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spacing w:after="0" w:line="222" w:lineRule="auto"/>
        <w:rPr>
          <w:sz w:val="20"/>
          <w:szCs w:val="20"/>
          <w:color w:val="auto"/>
        </w:rPr>
      </w:pPr>
      <w:r>
        <w:rPr>
          <w:rFonts w:ascii="Arial" w:cs="Arial" w:eastAsia="Arial" w:hAnsi="Arial"/>
          <w:sz w:val="19"/>
          <w:szCs w:val="19"/>
          <w:b w:val="1"/>
          <w:bCs w:val="1"/>
          <w:color w:val="auto"/>
        </w:rPr>
        <w:t>UNITED STATES</w:t>
      </w:r>
    </w:p>
    <w:p>
      <w:pPr>
        <w:jc w:val="center"/>
        <w:spacing w:after="0" w:line="222" w:lineRule="auto"/>
        <w:rPr>
          <w:sz w:val="20"/>
          <w:szCs w:val="20"/>
          <w:color w:val="auto"/>
        </w:rPr>
      </w:pPr>
      <w:r>
        <w:rPr>
          <w:rFonts w:ascii="Arial" w:cs="Arial" w:eastAsia="Arial" w:hAnsi="Arial"/>
          <w:sz w:val="19"/>
          <w:szCs w:val="1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10-Q</w:t>
      </w:r>
    </w:p>
    <w:p>
      <w:pPr>
        <w:spacing w:after="0" w:line="192" w:lineRule="auto"/>
        <w:rPr>
          <w:sz w:val="20"/>
          <w:szCs w:val="20"/>
          <w:color w:val="auto"/>
        </w:rPr>
      </w:pPr>
      <w:r>
        <w:rPr>
          <w:rFonts w:ascii="Arial" w:cs="Arial" w:eastAsia="Arial" w:hAnsi="Arial"/>
          <w:sz w:val="19"/>
          <w:szCs w:val="19"/>
          <w:color w:val="auto"/>
        </w:rPr>
        <w:t>(Mark One)</w:t>
      </w:r>
    </w:p>
    <w:p>
      <w:pPr>
        <w:spacing w:after="0" w:line="1" w:lineRule="exact"/>
        <w:rPr>
          <w:sz w:val="24"/>
          <w:szCs w:val="24"/>
          <w:color w:val="auto"/>
        </w:rPr>
      </w:pPr>
    </w:p>
    <w:p>
      <w:pPr>
        <w:ind w:left="3920" w:right="1980" w:hanging="3914"/>
        <w:spacing w:after="0" w:line="234" w:lineRule="auto"/>
        <w:rPr>
          <w:sz w:val="20"/>
          <w:szCs w:val="20"/>
          <w:color w:val="auto"/>
        </w:rPr>
      </w:pPr>
      <w:r>
        <w:rPr>
          <w:rFonts w:ascii="Arial" w:cs="Arial" w:eastAsia="Arial" w:hAnsi="Arial"/>
          <w:sz w:val="19"/>
          <w:szCs w:val="19"/>
          <w:b w:val="1"/>
          <w:bCs w:val="1"/>
          <w:color w:val="auto"/>
        </w:rPr>
        <w:t xml:space="preserve">S </w:t>
      </w:r>
      <w:r>
        <w:rPr>
          <w:rFonts w:ascii="Arial" w:cs="Arial" w:eastAsia="Arial" w:hAnsi="Arial"/>
          <w:sz w:val="19"/>
          <w:szCs w:val="19"/>
          <w:color w:val="auto"/>
        </w:rPr>
        <w:t>QUARTERLY REPORT PURSUANT TO SECTION 13 or 15 (d) OF THE SECURITIES EXCHANGE ACT OF 1934.</w:t>
      </w:r>
      <w:r>
        <w:rPr>
          <w:rFonts w:ascii="Arial" w:cs="Arial" w:eastAsia="Arial" w:hAnsi="Arial"/>
          <w:sz w:val="19"/>
          <w:szCs w:val="19"/>
          <w:b w:val="1"/>
          <w:bCs w:val="1"/>
          <w:color w:val="auto"/>
        </w:rPr>
        <w:t xml:space="preserve"> </w:t>
      </w:r>
      <w:r>
        <w:rPr>
          <w:rFonts w:ascii="Arial" w:cs="Arial" w:eastAsia="Arial" w:hAnsi="Arial"/>
          <w:sz w:val="19"/>
          <w:szCs w:val="19"/>
          <w:color w:val="auto"/>
        </w:rPr>
        <w:t>For the quarterly period ended June 30, 2021</w:t>
      </w:r>
    </w:p>
    <w:p>
      <w:pPr>
        <w:spacing w:after="0" w:line="71" w:lineRule="exact"/>
        <w:rPr>
          <w:sz w:val="24"/>
          <w:szCs w:val="24"/>
          <w:color w:val="auto"/>
        </w:rPr>
      </w:pPr>
    </w:p>
    <w:p>
      <w:pPr>
        <w:ind w:left="2960" w:right="1920" w:hanging="2952"/>
        <w:spacing w:after="0" w:line="273" w:lineRule="auto"/>
        <w:tabs>
          <w:tab w:leader="none" w:pos="144"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TRANSITION REPORT PURSUANT TO SECTION 13 OR 15(d) OF THE SECURITIES EXCHANGE ACT OF 1934. For the transition period from_______________ to _______________</w:t>
      </w:r>
    </w:p>
    <w:p>
      <w:pPr>
        <w:spacing w:after="0" w:line="42" w:lineRule="exact"/>
        <w:rPr>
          <w:sz w:val="24"/>
          <w:szCs w:val="24"/>
          <w:color w:val="auto"/>
        </w:rPr>
      </w:pPr>
    </w:p>
    <w:p>
      <w:pPr>
        <w:ind w:left="4320"/>
        <w:spacing w:after="0"/>
        <w:rPr>
          <w:sz w:val="20"/>
          <w:szCs w:val="20"/>
          <w:color w:val="auto"/>
        </w:rPr>
      </w:pPr>
      <w:r>
        <w:rPr>
          <w:rFonts w:ascii="Arial" w:cs="Arial" w:eastAsia="Arial" w:hAnsi="Arial"/>
          <w:sz w:val="19"/>
          <w:szCs w:val="19"/>
          <w:color w:val="auto"/>
        </w:rPr>
        <w:t>Commission File Number 1-6659</w:t>
      </w:r>
    </w:p>
    <w:p>
      <w:pPr>
        <w:spacing w:after="0" w:line="167" w:lineRule="exact"/>
        <w:rPr>
          <w:sz w:val="24"/>
          <w:szCs w:val="24"/>
          <w:color w:val="auto"/>
        </w:rPr>
      </w:pPr>
    </w:p>
    <w:p>
      <w:pPr>
        <w:ind w:left="4320"/>
        <w:spacing w:after="0"/>
        <w:rPr>
          <w:sz w:val="20"/>
          <w:szCs w:val="20"/>
          <w:color w:val="auto"/>
        </w:rPr>
      </w:pPr>
      <w:r>
        <w:rPr>
          <w:rFonts w:ascii="Arial" w:cs="Arial" w:eastAsia="Arial" w:hAnsi="Arial"/>
          <w:sz w:val="19"/>
          <w:szCs w:val="19"/>
          <w:b w:val="1"/>
          <w:bCs w:val="1"/>
          <w:u w:val="single" w:color="auto"/>
          <w:color w:val="auto"/>
        </w:rPr>
        <w:t>ESSENTIAL UTILITIES, INC.</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9"/>
          <w:szCs w:val="19"/>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tbl>
      <w:tblPr>
        <w:tblLayout w:type="fixed"/>
        <w:tblInd w:w="740" w:type="dxa"/>
        <w:tblCellMar>
          <w:top w:w="0" w:type="dxa"/>
          <w:left w:w="0" w:type="dxa"/>
          <w:bottom w:w="0" w:type="dxa"/>
          <w:right w:w="0" w:type="dxa"/>
        </w:tblCellMar>
      </w:tblPr>
      <w:tr>
        <w:trPr>
          <w:trHeight w:val="218"/>
        </w:trPr>
        <w:tc>
          <w:tcPr>
            <w:tcW w:w="15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w w:val="88"/>
              </w:rPr>
              <w:t>Pennsylvania</w:t>
            </w:r>
          </w:p>
        </w:tc>
        <w:tc>
          <w:tcPr>
            <w:tcW w:w="2960" w:type="dxa"/>
            <w:vAlign w:val="bottom"/>
            <w:gridSpan w:val="2"/>
          </w:tcPr>
          <w:p>
            <w:pPr>
              <w:spacing w:after="0"/>
              <w:rPr>
                <w:sz w:val="18"/>
                <w:szCs w:val="18"/>
                <w:color w:val="auto"/>
              </w:rPr>
            </w:pPr>
          </w:p>
        </w:tc>
        <w:tc>
          <w:tcPr>
            <w:tcW w:w="2640" w:type="dxa"/>
            <w:vAlign w:val="bottom"/>
            <w:gridSpan w:val="4"/>
          </w:tcPr>
          <w:p>
            <w:pPr>
              <w:jc w:val="right"/>
              <w:ind w:right="40"/>
              <w:spacing w:after="0"/>
              <w:rPr>
                <w:sz w:val="20"/>
                <w:szCs w:val="20"/>
                <w:color w:val="auto"/>
              </w:rPr>
            </w:pPr>
            <w:r>
              <w:rPr>
                <w:rFonts w:ascii="Arial" w:cs="Arial" w:eastAsia="Arial" w:hAnsi="Arial"/>
                <w:sz w:val="19"/>
                <w:szCs w:val="19"/>
                <w:color w:val="auto"/>
              </w:rPr>
              <w:t>23-1702594</w:t>
            </w:r>
          </w:p>
        </w:tc>
        <w:tc>
          <w:tcPr>
            <w:tcW w:w="220" w:type="dxa"/>
            <w:vAlign w:val="bottom"/>
          </w:tcPr>
          <w:p>
            <w:pPr>
              <w:spacing w:after="0"/>
              <w:rPr>
                <w:sz w:val="18"/>
                <w:szCs w:val="18"/>
                <w:color w:val="auto"/>
              </w:rPr>
            </w:pPr>
          </w:p>
        </w:tc>
      </w:tr>
      <w:tr>
        <w:trPr>
          <w:trHeight w:val="20"/>
        </w:trPr>
        <w:tc>
          <w:tcPr>
            <w:tcW w:w="15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7"/>
        </w:trPr>
        <w:tc>
          <w:tcPr>
            <w:tcW w:w="5480" w:type="dxa"/>
            <w:vAlign w:val="bottom"/>
            <w:gridSpan w:val="4"/>
          </w:tcPr>
          <w:p>
            <w:pPr>
              <w:jc w:val="center"/>
              <w:ind w:right="1440"/>
              <w:spacing w:after="0" w:line="187" w:lineRule="exact"/>
              <w:rPr>
                <w:sz w:val="20"/>
                <w:szCs w:val="20"/>
                <w:color w:val="auto"/>
              </w:rPr>
            </w:pPr>
            <w:r>
              <w:rPr>
                <w:rFonts w:ascii="Arial" w:cs="Arial" w:eastAsia="Arial" w:hAnsi="Arial"/>
                <w:sz w:val="19"/>
                <w:szCs w:val="19"/>
                <w:color w:val="auto"/>
                <w:w w:val="92"/>
              </w:rPr>
              <w:t>(State or other jurisdiction of</w:t>
            </w:r>
          </w:p>
        </w:tc>
        <w:tc>
          <w:tcPr>
            <w:tcW w:w="2860" w:type="dxa"/>
            <w:vAlign w:val="bottom"/>
            <w:gridSpan w:val="5"/>
          </w:tcPr>
          <w:p>
            <w:pPr>
              <w:jc w:val="center"/>
              <w:ind w:left="1346"/>
              <w:spacing w:after="0" w:line="187" w:lineRule="exact"/>
              <w:rPr>
                <w:sz w:val="20"/>
                <w:szCs w:val="20"/>
                <w:color w:val="auto"/>
              </w:rPr>
            </w:pPr>
            <w:r>
              <w:rPr>
                <w:rFonts w:ascii="Arial" w:cs="Arial" w:eastAsia="Arial" w:hAnsi="Arial"/>
                <w:sz w:val="19"/>
                <w:szCs w:val="19"/>
                <w:color w:val="auto"/>
                <w:w w:val="93"/>
              </w:rPr>
              <w:t>(I.R.S. Employer</w:t>
            </w:r>
          </w:p>
        </w:tc>
      </w:tr>
      <w:tr>
        <w:trPr>
          <w:trHeight w:val="240"/>
        </w:trPr>
        <w:tc>
          <w:tcPr>
            <w:tcW w:w="5480" w:type="dxa"/>
            <w:vAlign w:val="bottom"/>
            <w:gridSpan w:val="4"/>
          </w:tcPr>
          <w:p>
            <w:pPr>
              <w:jc w:val="center"/>
              <w:ind w:right="1440"/>
              <w:spacing w:after="0"/>
              <w:rPr>
                <w:sz w:val="20"/>
                <w:szCs w:val="20"/>
                <w:color w:val="auto"/>
              </w:rPr>
            </w:pPr>
            <w:r>
              <w:rPr>
                <w:rFonts w:ascii="Arial" w:cs="Arial" w:eastAsia="Arial" w:hAnsi="Arial"/>
                <w:sz w:val="19"/>
                <w:szCs w:val="19"/>
                <w:color w:val="auto"/>
                <w:w w:val="92"/>
              </w:rPr>
              <w:t>incorporation or organization)</w:t>
            </w:r>
          </w:p>
        </w:tc>
        <w:tc>
          <w:tcPr>
            <w:tcW w:w="2860" w:type="dxa"/>
            <w:vAlign w:val="bottom"/>
            <w:gridSpan w:val="5"/>
          </w:tcPr>
          <w:p>
            <w:pPr>
              <w:jc w:val="center"/>
              <w:ind w:left="1346"/>
              <w:spacing w:after="0"/>
              <w:rPr>
                <w:sz w:val="20"/>
                <w:szCs w:val="20"/>
                <w:color w:val="auto"/>
              </w:rPr>
            </w:pPr>
            <w:r>
              <w:rPr>
                <w:rFonts w:ascii="Arial" w:cs="Arial" w:eastAsia="Arial" w:hAnsi="Arial"/>
                <w:sz w:val="19"/>
                <w:szCs w:val="19"/>
                <w:color w:val="auto"/>
                <w:w w:val="96"/>
              </w:rPr>
              <w:t>Identification No.)</w:t>
            </w:r>
          </w:p>
        </w:tc>
      </w:tr>
      <w:tr>
        <w:trPr>
          <w:trHeight w:val="362"/>
        </w:trPr>
        <w:tc>
          <w:tcPr>
            <w:tcW w:w="5480" w:type="dxa"/>
            <w:vAlign w:val="bottom"/>
            <w:gridSpan w:val="4"/>
          </w:tcPr>
          <w:p>
            <w:pPr>
              <w:jc w:val="center"/>
              <w:ind w:right="1460"/>
              <w:spacing w:after="0"/>
              <w:rPr>
                <w:sz w:val="20"/>
                <w:szCs w:val="20"/>
                <w:color w:val="auto"/>
              </w:rPr>
            </w:pPr>
            <w:r>
              <w:rPr>
                <w:rFonts w:ascii="Arial" w:cs="Arial" w:eastAsia="Arial" w:hAnsi="Arial"/>
                <w:sz w:val="19"/>
                <w:szCs w:val="19"/>
                <w:color w:val="auto"/>
                <w:w w:val="90"/>
              </w:rPr>
              <w:t>762 W. Lancaster Avenue, Bryn Mawr, Pennsylvania</w:t>
            </w:r>
          </w:p>
        </w:tc>
        <w:tc>
          <w:tcPr>
            <w:tcW w:w="2860" w:type="dxa"/>
            <w:vAlign w:val="bottom"/>
            <w:gridSpan w:val="5"/>
          </w:tcPr>
          <w:p>
            <w:pPr>
              <w:jc w:val="right"/>
              <w:ind w:right="220"/>
              <w:spacing w:after="0"/>
              <w:rPr>
                <w:sz w:val="20"/>
                <w:szCs w:val="20"/>
                <w:color w:val="auto"/>
              </w:rPr>
            </w:pPr>
            <w:r>
              <w:rPr>
                <w:rFonts w:ascii="Arial" w:cs="Arial" w:eastAsia="Arial" w:hAnsi="Arial"/>
                <w:sz w:val="19"/>
                <w:szCs w:val="19"/>
                <w:color w:val="auto"/>
              </w:rPr>
              <w:t>19010 -3489</w:t>
            </w:r>
          </w:p>
        </w:tc>
      </w:tr>
      <w:tr>
        <w:trPr>
          <w:trHeight w:val="234"/>
        </w:trPr>
        <w:tc>
          <w:tcPr>
            <w:tcW w:w="4020" w:type="dxa"/>
            <w:vAlign w:val="bottom"/>
            <w:tcBorders>
              <w:top w:val="single" w:sz="8" w:color="auto"/>
            </w:tcBorders>
            <w:gridSpan w:val="3"/>
          </w:tcPr>
          <w:p>
            <w:pPr>
              <w:jc w:val="center"/>
              <w:spacing w:after="0"/>
              <w:rPr>
                <w:sz w:val="20"/>
                <w:szCs w:val="20"/>
                <w:color w:val="auto"/>
              </w:rPr>
            </w:pPr>
            <w:r>
              <w:rPr>
                <w:rFonts w:ascii="Arial" w:cs="Arial" w:eastAsia="Arial" w:hAnsi="Arial"/>
                <w:sz w:val="19"/>
                <w:szCs w:val="19"/>
                <w:color w:val="auto"/>
                <w:w w:val="92"/>
              </w:rPr>
              <w:t>(Address of principal executive offices)</w:t>
            </w:r>
          </w:p>
        </w:tc>
        <w:tc>
          <w:tcPr>
            <w:tcW w:w="1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center"/>
              <w:ind w:right="40"/>
              <w:spacing w:after="0"/>
              <w:rPr>
                <w:sz w:val="20"/>
                <w:szCs w:val="20"/>
                <w:color w:val="auto"/>
              </w:rPr>
            </w:pPr>
            <w:r>
              <w:rPr>
                <w:rFonts w:ascii="Arial" w:cs="Arial" w:eastAsia="Arial" w:hAnsi="Arial"/>
                <w:sz w:val="19"/>
                <w:szCs w:val="19"/>
                <w:color w:val="auto"/>
                <w:w w:val="91"/>
              </w:rPr>
              <w:t>(Zip Code)</w:t>
            </w:r>
          </w:p>
        </w:tc>
        <w:tc>
          <w:tcPr>
            <w:tcW w:w="220" w:type="dxa"/>
            <w:vAlign w:val="bottom"/>
          </w:tcPr>
          <w:p>
            <w:pPr>
              <w:spacing w:after="0"/>
              <w:rPr>
                <w:sz w:val="20"/>
                <w:szCs w:val="20"/>
                <w:color w:val="auto"/>
              </w:rPr>
            </w:pPr>
          </w:p>
        </w:tc>
      </w:tr>
    </w:tbl>
    <w:p>
      <w:pPr>
        <w:spacing w:after="0" w:line="156" w:lineRule="exact"/>
        <w:rPr>
          <w:sz w:val="24"/>
          <w:szCs w:val="24"/>
          <w:color w:val="auto"/>
        </w:rPr>
      </w:pPr>
    </w:p>
    <w:p>
      <w:pPr>
        <w:jc w:val="center"/>
        <w:spacing w:after="0"/>
        <w:rPr>
          <w:sz w:val="20"/>
          <w:szCs w:val="20"/>
          <w:color w:val="auto"/>
        </w:rPr>
      </w:pPr>
      <w:r>
        <w:rPr>
          <w:rFonts w:ascii="Arial" w:cs="Arial" w:eastAsia="Arial" w:hAnsi="Arial"/>
          <w:sz w:val="19"/>
          <w:szCs w:val="19"/>
          <w:u w:val="single" w:color="auto"/>
          <w:color w:val="auto"/>
        </w:rPr>
        <w:t>(610) 527-8000</w:t>
      </w:r>
    </w:p>
    <w:p>
      <w:pPr>
        <w:jc w:val="center"/>
        <w:spacing w:after="0" w:line="222" w:lineRule="auto"/>
        <w:rPr>
          <w:sz w:val="20"/>
          <w:szCs w:val="20"/>
          <w:color w:val="auto"/>
        </w:rPr>
      </w:pPr>
      <w:r>
        <w:rPr>
          <w:rFonts w:ascii="Arial" w:cs="Arial" w:eastAsia="Arial" w:hAnsi="Arial"/>
          <w:sz w:val="19"/>
          <w:szCs w:val="19"/>
          <w:color w:val="auto"/>
        </w:rPr>
        <w:t>(Registrant’s telephone number, including area code)</w:t>
      </w:r>
    </w:p>
    <w:p>
      <w:pPr>
        <w:jc w:val="center"/>
        <w:spacing w:after="0" w:line="222" w:lineRule="auto"/>
        <w:rPr>
          <w:sz w:val="20"/>
          <w:szCs w:val="20"/>
          <w:color w:val="auto"/>
        </w:rPr>
      </w:pPr>
      <w:r>
        <w:rPr>
          <w:rFonts w:ascii="Arial" w:cs="Arial" w:eastAsia="Arial" w:hAnsi="Arial"/>
          <w:sz w:val="19"/>
          <w:szCs w:val="19"/>
          <w:u w:val="single" w:color="auto"/>
          <w:color w:val="auto"/>
        </w:rPr>
        <w:t>N/A</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(Former Name, former address and former fiscal year, if changed since last report.)</w:t>
      </w:r>
    </w:p>
    <w:p>
      <w:pPr>
        <w:spacing w:after="0" w:line="171" w:lineRule="exact"/>
        <w:rPr>
          <w:sz w:val="24"/>
          <w:szCs w:val="24"/>
          <w:color w:val="auto"/>
        </w:rPr>
      </w:pPr>
    </w:p>
    <w:p>
      <w:pPr>
        <w:ind w:right="160"/>
        <w:spacing w:after="0" w:line="236" w:lineRule="auto"/>
        <w:rPr>
          <w:sz w:val="20"/>
          <w:szCs w:val="20"/>
          <w:color w:val="auto"/>
        </w:rPr>
      </w:pPr>
      <w:r>
        <w:rPr>
          <w:rFonts w:ascii="Arial" w:cs="Arial" w:eastAsia="Arial" w:hAnsi="Arial"/>
          <w:sz w:val="19"/>
          <w:szCs w:val="19"/>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9"/>
          <w:szCs w:val="19"/>
          <w:b w:val="1"/>
          <w:bCs w:val="1"/>
          <w:color w:val="auto"/>
        </w:rPr>
        <w:t>S</w:t>
      </w:r>
      <w:r>
        <w:rPr>
          <w:rFonts w:ascii="Arial" w:cs="Arial" w:eastAsia="Arial" w:hAnsi="Arial"/>
          <w:sz w:val="19"/>
          <w:szCs w:val="19"/>
          <w:color w:val="auto"/>
        </w:rPr>
        <w:t xml:space="preserve"> No </w:t>
      </w:r>
      <w:r>
        <w:rPr>
          <w:rFonts w:ascii="Arial" w:cs="Arial" w:eastAsia="Arial" w:hAnsi="Arial"/>
          <w:sz w:val="19"/>
          <w:szCs w:val="19"/>
          <w:b w:val="1"/>
          <w:bCs w:val="1"/>
          <w:color w:val="auto"/>
        </w:rPr>
        <w:t>£</w:t>
      </w:r>
    </w:p>
    <w:p>
      <w:pPr>
        <w:spacing w:after="0" w:line="165" w:lineRule="exact"/>
        <w:rPr>
          <w:sz w:val="24"/>
          <w:szCs w:val="24"/>
          <w:color w:val="auto"/>
        </w:rPr>
      </w:pPr>
    </w:p>
    <w:p>
      <w:pPr>
        <w:ind w:right="20"/>
        <w:spacing w:after="0" w:line="236" w:lineRule="auto"/>
        <w:rPr>
          <w:sz w:val="20"/>
          <w:szCs w:val="20"/>
          <w:color w:val="auto"/>
        </w:rPr>
      </w:pPr>
      <w:r>
        <w:rPr>
          <w:rFonts w:ascii="Arial" w:cs="Arial" w:eastAsia="Arial" w:hAnsi="Arial"/>
          <w:sz w:val="19"/>
          <w:szCs w:val="19"/>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9"/>
          <w:szCs w:val="19"/>
          <w:b w:val="1"/>
          <w:bCs w:val="1"/>
          <w:color w:val="auto"/>
        </w:rPr>
        <w:t>S</w:t>
      </w:r>
      <w:r>
        <w:rPr>
          <w:rFonts w:ascii="Arial" w:cs="Arial" w:eastAsia="Arial" w:hAnsi="Arial"/>
          <w:sz w:val="19"/>
          <w:szCs w:val="19"/>
          <w:color w:val="auto"/>
        </w:rPr>
        <w:t xml:space="preserve"> No </w:t>
      </w:r>
      <w:r>
        <w:rPr>
          <w:rFonts w:ascii="Arial" w:cs="Arial" w:eastAsia="Arial" w:hAnsi="Arial"/>
          <w:sz w:val="19"/>
          <w:szCs w:val="19"/>
          <w:b w:val="1"/>
          <w:bCs w:val="1"/>
          <w:color w:val="auto"/>
        </w:rPr>
        <w:t>£</w:t>
      </w:r>
    </w:p>
    <w:p>
      <w:pPr>
        <w:spacing w:after="0" w:line="165" w:lineRule="exact"/>
        <w:rPr>
          <w:sz w:val="24"/>
          <w:szCs w:val="24"/>
          <w:color w:val="auto"/>
        </w:rPr>
      </w:pPr>
    </w:p>
    <w:p>
      <w:pPr>
        <w:jc w:val="both"/>
        <w:ind w:right="200"/>
        <w:spacing w:after="0" w:line="236" w:lineRule="auto"/>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18" w:right="339" w:bottom="1440" w:gutter="0" w:footer="0" w:header="0"/>
        </w:sectPr>
      </w:pPr>
    </w:p>
    <w:p>
      <w:pPr>
        <w:spacing w:after="0" w:line="159" w:lineRule="exact"/>
        <w:rPr>
          <w:sz w:val="24"/>
          <w:szCs w:val="24"/>
          <w:color w:val="auto"/>
        </w:rPr>
      </w:pPr>
    </w:p>
    <w:p>
      <w:pPr>
        <w:spacing w:after="0"/>
        <w:rPr>
          <w:sz w:val="20"/>
          <w:szCs w:val="20"/>
          <w:color w:val="auto"/>
        </w:rPr>
      </w:pPr>
      <w:r>
        <w:rPr>
          <w:rFonts w:ascii="Arial" w:cs="Arial" w:eastAsia="Arial" w:hAnsi="Arial"/>
          <w:sz w:val="19"/>
          <w:szCs w:val="19"/>
          <w:color w:val="auto"/>
        </w:rPr>
        <w:t xml:space="preserve">Large Accelerated Filer </w:t>
      </w:r>
      <w:r>
        <w:rPr>
          <w:rFonts w:ascii="Arial" w:cs="Arial" w:eastAsia="Arial" w:hAnsi="Arial"/>
          <w:sz w:val="19"/>
          <w:szCs w:val="19"/>
          <w:b w:val="1"/>
          <w:bCs w:val="1"/>
          <w:color w:val="auto"/>
        </w:rPr>
        <w:t>S</w:t>
      </w:r>
    </w:p>
    <w:p>
      <w:pPr>
        <w:spacing w:after="0" w:line="229" w:lineRule="auto"/>
        <w:rPr>
          <w:sz w:val="20"/>
          <w:szCs w:val="20"/>
          <w:color w:val="auto"/>
        </w:rPr>
      </w:pPr>
      <w:r>
        <w:rPr>
          <w:rFonts w:ascii="Arial" w:cs="Arial" w:eastAsia="Arial" w:hAnsi="Arial"/>
          <w:sz w:val="19"/>
          <w:szCs w:val="19"/>
          <w:color w:val="auto"/>
        </w:rPr>
        <w:t xml:space="preserve">Non-Accelerated Filer </w:t>
      </w:r>
      <w:r>
        <w:rPr>
          <w:rFonts w:ascii="Arial" w:cs="Arial" w:eastAsia="Arial" w:hAnsi="Arial"/>
          <w:sz w:val="19"/>
          <w:szCs w:val="19"/>
          <w:b w:val="1"/>
          <w:bCs w:val="1"/>
          <w:color w:val="auto"/>
        </w:rPr>
        <w:t>£</w:t>
      </w:r>
    </w:p>
    <w:p>
      <w:pPr>
        <w:spacing w:after="0"/>
        <w:rPr>
          <w:sz w:val="20"/>
          <w:szCs w:val="20"/>
          <w:color w:val="auto"/>
        </w:rPr>
      </w:pPr>
      <w:r>
        <w:rPr>
          <w:rFonts w:ascii="Arial" w:cs="Arial" w:eastAsia="Arial" w:hAnsi="Arial"/>
          <w:sz w:val="17"/>
          <w:szCs w:val="17"/>
          <w:color w:val="auto"/>
        </w:rPr>
        <w:t xml:space="preserve">Emerging Growth Company </w:t>
      </w:r>
      <w:r>
        <w:rPr>
          <w:rFonts w:ascii="Arial" w:cs="Arial" w:eastAsia="Arial" w:hAnsi="Arial"/>
          <w:sz w:val="17"/>
          <w:szCs w:val="17"/>
          <w:b w:val="1"/>
          <w:bCs w:val="1"/>
          <w:color w:val="auto"/>
        </w:rPr>
        <w:t>£</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Arial" w:cs="Arial" w:eastAsia="Arial" w:hAnsi="Arial"/>
          <w:sz w:val="19"/>
          <w:szCs w:val="19"/>
          <w:color w:val="auto"/>
        </w:rPr>
        <w:t xml:space="preserve">Accelerated Filer </w:t>
      </w:r>
      <w:r>
        <w:rPr>
          <w:rFonts w:ascii="Arial" w:cs="Arial" w:eastAsia="Arial" w:hAnsi="Arial"/>
          <w:sz w:val="19"/>
          <w:szCs w:val="19"/>
          <w:b w:val="1"/>
          <w:bCs w:val="1"/>
          <w:color w:val="auto"/>
        </w:rPr>
        <w:t>£</w:t>
      </w:r>
    </w:p>
    <w:p>
      <w:pPr>
        <w:spacing w:after="0" w:line="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Smaller Reporting Company </w:t>
      </w:r>
      <w:r>
        <w:rPr>
          <w:rFonts w:ascii="Arial" w:cs="Arial" w:eastAsia="Arial" w:hAnsi="Arial"/>
          <w:sz w:val="17"/>
          <w:szCs w:val="17"/>
          <w:b w:val="1"/>
          <w:bCs w:val="1"/>
          <w:color w:val="auto"/>
        </w:rPr>
        <w:t>£</w:t>
      </w:r>
    </w:p>
    <w:p>
      <w:pPr>
        <w:spacing w:after="0" w:line="396" w:lineRule="exact"/>
        <w:rPr>
          <w:sz w:val="24"/>
          <w:szCs w:val="24"/>
          <w:color w:val="auto"/>
        </w:rPr>
      </w:pPr>
    </w:p>
    <w:p>
      <w:pPr>
        <w:sectPr>
          <w:pgSz w:w="11900" w:h="16838" w:orient="portrait"/>
          <w:cols w:equalWidth="0" w:num="2">
            <w:col w:w="6740" w:space="720"/>
            <w:col w:w="3780"/>
          </w:cols>
          <w:pgMar w:left="320" w:top="218" w:right="339" w:bottom="1440" w:gutter="0" w:footer="0" w:header="0"/>
          <w:type w:val="continuous"/>
        </w:sectPr>
      </w:pPr>
    </w:p>
    <w:p>
      <w:pPr>
        <w:ind w:right="280"/>
        <w:spacing w:after="0" w:line="246" w:lineRule="auto"/>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9"/>
          <w:szCs w:val="19"/>
          <w:b w:val="1"/>
          <w:bCs w:val="1"/>
          <w:color w:val="auto"/>
        </w:rPr>
        <w:t>£</w:t>
      </w:r>
    </w:p>
    <w:p>
      <w:pPr>
        <w:spacing w:after="0" w:line="154" w:lineRule="exact"/>
        <w:rPr>
          <w:sz w:val="24"/>
          <w:szCs w:val="24"/>
          <w:color w:val="auto"/>
        </w:rPr>
      </w:pPr>
    </w:p>
    <w:p>
      <w:pPr>
        <w:spacing w:after="0"/>
        <w:rPr>
          <w:sz w:val="20"/>
          <w:szCs w:val="20"/>
          <w:color w:val="auto"/>
        </w:rPr>
      </w:pPr>
      <w:r>
        <w:rPr>
          <w:rFonts w:ascii="Arial" w:cs="Arial" w:eastAsia="Arial" w:hAnsi="Arial"/>
          <w:sz w:val="19"/>
          <w:szCs w:val="19"/>
          <w:color w:val="auto"/>
        </w:rPr>
        <w:t xml:space="preserve">Indicate by check mark whether the registrant is a shell company (as defined in Rule 12b-2 of the Exchange Act). Yes </w:t>
      </w:r>
      <w:r>
        <w:rPr>
          <w:rFonts w:ascii="Arial" w:cs="Arial" w:eastAsia="Arial" w:hAnsi="Arial"/>
          <w:sz w:val="19"/>
          <w:szCs w:val="19"/>
          <w:b w:val="1"/>
          <w:bCs w:val="1"/>
          <w:color w:val="auto"/>
        </w:rPr>
        <w:t>£</w:t>
      </w:r>
      <w:r>
        <w:rPr>
          <w:rFonts w:ascii="Arial" w:cs="Arial" w:eastAsia="Arial" w:hAnsi="Arial"/>
          <w:sz w:val="19"/>
          <w:szCs w:val="19"/>
          <w:color w:val="auto"/>
        </w:rPr>
        <w:t xml:space="preserve"> No </w:t>
      </w:r>
      <w:r>
        <w:rPr>
          <w:rFonts w:ascii="Arial" w:cs="Arial" w:eastAsia="Arial" w:hAnsi="Arial"/>
          <w:sz w:val="19"/>
          <w:szCs w:val="19"/>
          <w:b w:val="1"/>
          <w:bCs w:val="1"/>
          <w:color w:val="auto"/>
        </w:rPr>
        <w:t>S</w:t>
      </w:r>
    </w:p>
    <w:p>
      <w:pPr>
        <w:spacing w:after="0" w:line="379"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380" w:type="dxa"/>
            <w:vAlign w:val="bottom"/>
          </w:tcPr>
          <w:p>
            <w:pPr>
              <w:spacing w:after="0"/>
              <w:rPr>
                <w:sz w:val="19"/>
                <w:szCs w:val="19"/>
                <w:color w:val="auto"/>
              </w:rPr>
            </w:pPr>
          </w:p>
        </w:tc>
        <w:tc>
          <w:tcPr>
            <w:tcW w:w="7860" w:type="dxa"/>
            <w:vAlign w:val="bottom"/>
            <w:gridSpan w:val="5"/>
          </w:tcPr>
          <w:p>
            <w:pPr>
              <w:ind w:left="60"/>
              <w:spacing w:after="0"/>
              <w:rPr>
                <w:sz w:val="20"/>
                <w:szCs w:val="20"/>
                <w:color w:val="auto"/>
              </w:rPr>
            </w:pPr>
            <w:r>
              <w:rPr>
                <w:rFonts w:ascii="Arial" w:cs="Arial" w:eastAsia="Arial" w:hAnsi="Arial"/>
                <w:sz w:val="19"/>
                <w:szCs w:val="19"/>
                <w:color w:val="auto"/>
              </w:rPr>
              <w:t>Securities registered pursuant to Section 12(b) of the Act:</w:t>
            </w:r>
          </w:p>
        </w:tc>
      </w:tr>
      <w:tr>
        <w:trPr>
          <w:trHeight w:val="225"/>
        </w:trPr>
        <w:tc>
          <w:tcPr>
            <w:tcW w:w="3380" w:type="dxa"/>
            <w:vAlign w:val="bottom"/>
          </w:tcPr>
          <w:p>
            <w:pPr>
              <w:jc w:val="center"/>
              <w:ind w:left="686"/>
              <w:spacing w:after="0"/>
              <w:rPr>
                <w:sz w:val="20"/>
                <w:szCs w:val="20"/>
                <w:color w:val="auto"/>
              </w:rPr>
            </w:pPr>
            <w:r>
              <w:rPr>
                <w:rFonts w:ascii="Arial" w:cs="Arial" w:eastAsia="Arial" w:hAnsi="Arial"/>
                <w:sz w:val="19"/>
                <w:szCs w:val="19"/>
                <w:color w:val="auto"/>
                <w:w w:val="89"/>
              </w:rPr>
              <w:t>Title of each class</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2"/>
          </w:tcPr>
          <w:p>
            <w:pPr>
              <w:jc w:val="center"/>
              <w:ind w:right="240"/>
              <w:spacing w:after="0"/>
              <w:rPr>
                <w:sz w:val="20"/>
                <w:szCs w:val="20"/>
                <w:color w:val="auto"/>
              </w:rPr>
            </w:pPr>
            <w:r>
              <w:rPr>
                <w:rFonts w:ascii="Arial" w:cs="Arial" w:eastAsia="Arial" w:hAnsi="Arial"/>
                <w:sz w:val="19"/>
                <w:szCs w:val="19"/>
                <w:color w:val="auto"/>
                <w:w w:val="92"/>
              </w:rPr>
              <w:t>Trading Symbol(s)</w:t>
            </w:r>
          </w:p>
        </w:tc>
        <w:tc>
          <w:tcPr>
            <w:tcW w:w="4520" w:type="dxa"/>
            <w:vAlign w:val="bottom"/>
          </w:tcPr>
          <w:p>
            <w:pPr>
              <w:jc w:val="center"/>
              <w:spacing w:after="0"/>
              <w:rPr>
                <w:sz w:val="20"/>
                <w:szCs w:val="20"/>
                <w:color w:val="auto"/>
              </w:rPr>
            </w:pPr>
            <w:r>
              <w:rPr>
                <w:rFonts w:ascii="Arial" w:cs="Arial" w:eastAsia="Arial" w:hAnsi="Arial"/>
                <w:sz w:val="19"/>
                <w:szCs w:val="19"/>
                <w:color w:val="auto"/>
                <w:w w:val="89"/>
              </w:rPr>
              <w:t>Name of each exchange on which registered</w:t>
            </w:r>
          </w:p>
        </w:tc>
      </w:tr>
      <w:tr>
        <w:trPr>
          <w:trHeight w:val="174"/>
        </w:trPr>
        <w:tc>
          <w:tcPr>
            <w:tcW w:w="3380" w:type="dxa"/>
            <w:vAlign w:val="bottom"/>
            <w:tcBorders>
              <w:top w:val="single" w:sz="8" w:color="auto"/>
            </w:tcBorders>
          </w:tcPr>
          <w:p>
            <w:pPr>
              <w:jc w:val="center"/>
              <w:ind w:left="706"/>
              <w:spacing w:after="0" w:line="173" w:lineRule="exact"/>
              <w:rPr>
                <w:sz w:val="20"/>
                <w:szCs w:val="20"/>
                <w:color w:val="auto"/>
              </w:rPr>
            </w:pPr>
            <w:r>
              <w:rPr>
                <w:rFonts w:ascii="Arial" w:cs="Arial" w:eastAsia="Arial" w:hAnsi="Arial"/>
                <w:sz w:val="19"/>
                <w:szCs w:val="19"/>
                <w:color w:val="auto"/>
                <w:w w:val="90"/>
              </w:rPr>
              <w:t>Common stock, $0.50 par value</w:t>
            </w:r>
          </w:p>
        </w:tc>
        <w:tc>
          <w:tcPr>
            <w:tcW w:w="7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9"/>
                <w:szCs w:val="19"/>
                <w:color w:val="auto"/>
                <w:w w:val="96"/>
              </w:rPr>
              <w:t>WTRG</w:t>
            </w:r>
          </w:p>
        </w:tc>
        <w:tc>
          <w:tcPr>
            <w:tcW w:w="240" w:type="dxa"/>
            <w:vAlign w:val="bottom"/>
          </w:tcPr>
          <w:p>
            <w:pPr>
              <w:spacing w:after="0"/>
              <w:rPr>
                <w:sz w:val="15"/>
                <w:szCs w:val="15"/>
                <w:color w:val="auto"/>
              </w:rPr>
            </w:pPr>
          </w:p>
        </w:tc>
        <w:tc>
          <w:tcPr>
            <w:tcW w:w="452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9"/>
                <w:szCs w:val="19"/>
                <w:color w:val="auto"/>
                <w:w w:val="90"/>
              </w:rPr>
              <w:t>New York Stock Exchange</w:t>
            </w:r>
          </w:p>
        </w:tc>
      </w:tr>
      <w:tr>
        <w:trPr>
          <w:trHeight w:val="240"/>
        </w:trPr>
        <w:tc>
          <w:tcPr>
            <w:tcW w:w="3380" w:type="dxa"/>
            <w:vAlign w:val="bottom"/>
          </w:tcPr>
          <w:p>
            <w:pPr>
              <w:jc w:val="center"/>
              <w:ind w:left="686"/>
              <w:spacing w:after="0"/>
              <w:rPr>
                <w:sz w:val="20"/>
                <w:szCs w:val="20"/>
                <w:color w:val="auto"/>
              </w:rPr>
            </w:pPr>
            <w:r>
              <w:rPr>
                <w:rFonts w:ascii="Arial" w:cs="Arial" w:eastAsia="Arial" w:hAnsi="Arial"/>
                <w:sz w:val="19"/>
                <w:szCs w:val="19"/>
                <w:color w:val="auto"/>
                <w:w w:val="92"/>
              </w:rPr>
              <w:t>6.00% Tangible Equity Units</w:t>
            </w: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2"/>
          </w:tcPr>
          <w:p>
            <w:pPr>
              <w:jc w:val="center"/>
              <w:ind w:right="240"/>
              <w:spacing w:after="0"/>
              <w:rPr>
                <w:sz w:val="20"/>
                <w:szCs w:val="20"/>
                <w:color w:val="auto"/>
              </w:rPr>
            </w:pPr>
            <w:r>
              <w:rPr>
                <w:rFonts w:ascii="Arial" w:cs="Arial" w:eastAsia="Arial" w:hAnsi="Arial"/>
                <w:sz w:val="19"/>
                <w:szCs w:val="19"/>
                <w:color w:val="auto"/>
                <w:w w:val="98"/>
              </w:rPr>
              <w:t>WTRU</w:t>
            </w:r>
          </w:p>
        </w:tc>
        <w:tc>
          <w:tcPr>
            <w:tcW w:w="4520" w:type="dxa"/>
            <w:vAlign w:val="bottom"/>
          </w:tcPr>
          <w:p>
            <w:pPr>
              <w:jc w:val="center"/>
              <w:spacing w:after="0"/>
              <w:rPr>
                <w:sz w:val="20"/>
                <w:szCs w:val="20"/>
                <w:color w:val="auto"/>
              </w:rPr>
            </w:pPr>
            <w:r>
              <w:rPr>
                <w:rFonts w:ascii="Arial" w:cs="Arial" w:eastAsia="Arial" w:hAnsi="Arial"/>
                <w:sz w:val="19"/>
                <w:szCs w:val="19"/>
                <w:color w:val="auto"/>
                <w:w w:val="90"/>
              </w:rPr>
              <w:t>New York Stock Exchange</w:t>
            </w:r>
          </w:p>
        </w:tc>
      </w:tr>
    </w:tbl>
    <w:p>
      <w:pPr>
        <w:spacing w:after="0" w:line="159" w:lineRule="exact"/>
        <w:rPr>
          <w:sz w:val="24"/>
          <w:szCs w:val="24"/>
          <w:color w:val="auto"/>
        </w:rPr>
      </w:pPr>
    </w:p>
    <w:p>
      <w:pPr>
        <w:spacing w:after="0"/>
        <w:rPr>
          <w:sz w:val="20"/>
          <w:szCs w:val="20"/>
          <w:color w:val="auto"/>
        </w:rPr>
      </w:pPr>
      <w:r>
        <w:rPr>
          <w:rFonts w:ascii="Arial" w:cs="Arial" w:eastAsia="Arial" w:hAnsi="Arial"/>
          <w:sz w:val="19"/>
          <w:szCs w:val="19"/>
          <w:color w:val="auto"/>
        </w:rPr>
        <w:t>Indicate the number of shares outstanding of each of the issuer's classes of common stock, as of July 23, 2021</w:t>
      </w:r>
      <w:r>
        <w:rPr>
          <w:rFonts w:ascii="Arial" w:cs="Arial" w:eastAsia="Arial" w:hAnsi="Arial"/>
          <w:sz w:val="19"/>
          <w:szCs w:val="19"/>
          <w:b w:val="1"/>
          <w:bCs w:val="1"/>
          <w:color w:val="auto"/>
        </w:rPr>
        <w:t>:</w:t>
      </w:r>
      <w:r>
        <w:rPr>
          <w:rFonts w:ascii="Arial" w:cs="Arial" w:eastAsia="Arial" w:hAnsi="Arial"/>
          <w:sz w:val="19"/>
          <w:szCs w:val="19"/>
          <w:color w:val="auto"/>
        </w:rPr>
        <w:t xml:space="preserve"> 245,757,399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638175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type w:val="continuous"/>
        </w:sectPr>
      </w:pPr>
    </w:p>
    <w:bookmarkStart w:id="1" w:name="page2"/>
    <w:bookmarkEnd w:id="1"/>
    <w:p>
      <w:pPr>
        <w:spacing w:after="0"/>
        <w:rPr>
          <w:rFonts w:ascii="Arial" w:cs="Arial" w:eastAsia="Arial" w:hAnsi="Arial"/>
          <w:sz w:val="22"/>
          <w:szCs w:val="22"/>
          <w:color w:val="0563C1"/>
        </w:rPr>
      </w:pPr>
      <w:hyperlink w:anchor="page2">
        <w:r>
          <w:rPr>
            <w:rFonts w:ascii="Arial" w:cs="Arial" w:eastAsia="Arial" w:hAnsi="Arial"/>
            <w:sz w:val="22"/>
            <w:szCs w:val="22"/>
            <w:color w:val="0563C1"/>
          </w:rPr>
          <w:t>Table of Contents</w:t>
        </w:r>
      </w:hyperlink>
    </w:p>
    <w:tbl>
      <w:tblPr>
        <w:tblLayout w:type="fixed"/>
        <w:tblInd w:w="0" w:type="dxa"/>
        <w:tblCellMar>
          <w:top w:w="0" w:type="dxa"/>
          <w:left w:w="0" w:type="dxa"/>
          <w:bottom w:w="0" w:type="dxa"/>
          <w:right w:w="0" w:type="dxa"/>
        </w:tblCellMar>
      </w:tblPr>
      <w:tr>
        <w:trPr>
          <w:trHeight w:val="294"/>
        </w:trPr>
        <w:tc>
          <w:tcPr>
            <w:tcW w:w="66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40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560" w:type="dxa"/>
            <w:vAlign w:val="bottom"/>
            <w:gridSpan w:val="21"/>
          </w:tcPr>
          <w:p>
            <w:pPr>
              <w:jc w:val="center"/>
              <w:ind w:right="1040"/>
              <w:spacing w:after="0"/>
              <w:rPr>
                <w:sz w:val="20"/>
                <w:szCs w:val="20"/>
                <w:color w:val="auto"/>
              </w:rPr>
            </w:pPr>
            <w:r>
              <w:rPr>
                <w:rFonts w:ascii="Arial" w:cs="Arial" w:eastAsia="Arial" w:hAnsi="Arial"/>
                <w:sz w:val="22"/>
                <w:szCs w:val="22"/>
                <w:color w:val="auto"/>
                <w:w w:val="96"/>
              </w:rPr>
              <w:t>ESSENTIAL UTILITIES, INC. AND SUBSIDIARIES</w:t>
            </w: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8"/>
        </w:trPr>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60" w:type="dxa"/>
            <w:vAlign w:val="bottom"/>
            <w:gridSpan w:val="15"/>
          </w:tcPr>
          <w:p>
            <w:pPr>
              <w:jc w:val="center"/>
              <w:ind w:right="2640"/>
              <w:spacing w:after="0"/>
              <w:rPr>
                <w:sz w:val="20"/>
                <w:szCs w:val="20"/>
                <w:color w:val="auto"/>
              </w:rPr>
            </w:pPr>
            <w:r>
              <w:rPr>
                <w:rFonts w:ascii="Arial" w:cs="Arial" w:eastAsia="Arial" w:hAnsi="Arial"/>
                <w:sz w:val="22"/>
                <w:szCs w:val="22"/>
                <w:color w:val="auto"/>
                <w:w w:val="94"/>
              </w:rPr>
              <w:t>TABLE OF CONTENTS</w:t>
            </w: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40" w:type="dxa"/>
            <w:vAlign w:val="bottom"/>
            <w:gridSpan w:val="3"/>
          </w:tcPr>
          <w:p>
            <w:pPr>
              <w:ind w:left="1400"/>
              <w:spacing w:after="0"/>
              <w:rPr>
                <w:sz w:val="20"/>
                <w:szCs w:val="20"/>
                <w:color w:val="auto"/>
              </w:rPr>
            </w:pPr>
            <w:r>
              <w:rPr>
                <w:rFonts w:ascii="Arial" w:cs="Arial" w:eastAsia="Arial" w:hAnsi="Arial"/>
                <w:sz w:val="22"/>
                <w:szCs w:val="22"/>
                <w:color w:val="auto"/>
                <w:w w:val="81"/>
              </w:rPr>
              <w:t>Page</w:t>
            </w: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80" w:type="dxa"/>
            <w:vAlign w:val="bottom"/>
            <w:gridSpan w:val="16"/>
            <w:shd w:val="clear" w:color="auto" w:fill="CCEEFF"/>
          </w:tcPr>
          <w:p>
            <w:pPr>
              <w:jc w:val="center"/>
              <w:ind w:right="2500"/>
              <w:spacing w:after="0" w:line="203" w:lineRule="exact"/>
              <w:rPr>
                <w:rFonts w:ascii="Arial" w:cs="Arial" w:eastAsia="Arial" w:hAnsi="Arial"/>
                <w:sz w:val="22"/>
                <w:szCs w:val="22"/>
                <w:color w:val="0563C1"/>
                <w:w w:val="91"/>
              </w:rPr>
            </w:pPr>
            <w:hyperlink w:anchor="page3">
              <w:r>
                <w:rPr>
                  <w:rFonts w:ascii="Arial" w:cs="Arial" w:eastAsia="Arial" w:hAnsi="Arial"/>
                  <w:sz w:val="22"/>
                  <w:szCs w:val="22"/>
                  <w:color w:val="0563C1"/>
                  <w:w w:val="91"/>
                </w:rPr>
                <w:t>Part I – Financial Information</w:t>
              </w:r>
            </w:hyperlink>
          </w:p>
        </w:tc>
        <w:tc>
          <w:tcPr>
            <w:tcW w:w="14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24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30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4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203" w:lineRule="exact"/>
              <w:rPr>
                <w:rFonts w:ascii="Arial" w:cs="Arial" w:eastAsia="Arial" w:hAnsi="Arial"/>
                <w:sz w:val="22"/>
                <w:szCs w:val="22"/>
                <w:color w:val="0563C1"/>
                <w:w w:val="95"/>
              </w:rPr>
            </w:pPr>
            <w:hyperlink w:anchor="page3">
              <w:r>
                <w:rPr>
                  <w:rFonts w:ascii="Arial" w:cs="Arial" w:eastAsia="Arial" w:hAnsi="Arial"/>
                  <w:sz w:val="22"/>
                  <w:szCs w:val="22"/>
                  <w:color w:val="0563C1"/>
                  <w:w w:val="95"/>
                </w:rPr>
                <w:t>Item 1.</w:t>
              </w:r>
            </w:hyperlink>
          </w:p>
        </w:tc>
        <w:tc>
          <w:tcPr>
            <w:tcW w:w="8760" w:type="dxa"/>
            <w:vAlign w:val="bottom"/>
            <w:gridSpan w:val="30"/>
            <w:shd w:val="clear" w:color="auto" w:fill="CCEEFF"/>
          </w:tcPr>
          <w:p>
            <w:pPr>
              <w:ind w:left="60"/>
              <w:spacing w:after="0" w:line="203" w:lineRule="exact"/>
              <w:rPr>
                <w:rFonts w:ascii="Arial" w:cs="Arial" w:eastAsia="Arial" w:hAnsi="Arial"/>
                <w:sz w:val="22"/>
                <w:szCs w:val="22"/>
                <w:color w:val="0563C1"/>
              </w:rPr>
            </w:pPr>
            <w:hyperlink w:anchor="page3">
              <w:r>
                <w:rPr>
                  <w:rFonts w:ascii="Arial" w:cs="Arial" w:eastAsia="Arial" w:hAnsi="Arial"/>
                  <w:sz w:val="22"/>
                  <w:szCs w:val="22"/>
                  <w:color w:val="0563C1"/>
                </w:rPr>
                <w:t>Financial Statements:</w:t>
              </w:r>
            </w:hyperlink>
          </w:p>
        </w:tc>
        <w:tc>
          <w:tcPr>
            <w:tcW w:w="1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8760" w:type="dxa"/>
            <w:vAlign w:val="bottom"/>
            <w:gridSpan w:val="30"/>
            <w:shd w:val="clear" w:color="auto" w:fill="CCEEFF"/>
          </w:tcPr>
          <w:p>
            <w:pPr>
              <w:spacing w:after="0" w:line="203" w:lineRule="exact"/>
              <w:rPr>
                <w:rFonts w:ascii="Arial" w:cs="Arial" w:eastAsia="Arial" w:hAnsi="Arial"/>
                <w:sz w:val="22"/>
                <w:szCs w:val="22"/>
                <w:color w:val="0563C1"/>
              </w:rPr>
            </w:pPr>
            <w:hyperlink w:anchor="page3">
              <w:r>
                <w:rPr>
                  <w:rFonts w:ascii="Arial" w:cs="Arial" w:eastAsia="Arial" w:hAnsi="Arial"/>
                  <w:sz w:val="22"/>
                  <w:szCs w:val="22"/>
                  <w:color w:val="0563C1"/>
                </w:rPr>
                <w:t>Consolidated Balance Sheets (unaudited) – June 30, 2021 and December 31, 2020</w:t>
              </w:r>
            </w:hyperlink>
          </w:p>
        </w:tc>
        <w:tc>
          <w:tcPr>
            <w:tcW w:w="18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22"/>
                <w:szCs w:val="22"/>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3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24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30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4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80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760" w:type="dxa"/>
            <w:vAlign w:val="bottom"/>
            <w:gridSpan w:val="30"/>
            <w:shd w:val="clear" w:color="auto" w:fill="CCEEFF"/>
          </w:tcPr>
          <w:p>
            <w:pPr>
              <w:spacing w:after="0" w:line="203" w:lineRule="exact"/>
              <w:rPr>
                <w:rFonts w:ascii="Arial" w:cs="Arial" w:eastAsia="Arial" w:hAnsi="Arial"/>
                <w:sz w:val="22"/>
                <w:szCs w:val="22"/>
                <w:color w:val="0563C1"/>
              </w:rPr>
            </w:pPr>
            <w:hyperlink w:anchor="page5">
              <w:r>
                <w:rPr>
                  <w:rFonts w:ascii="Arial" w:cs="Arial" w:eastAsia="Arial" w:hAnsi="Arial"/>
                  <w:sz w:val="22"/>
                  <w:szCs w:val="22"/>
                  <w:color w:val="0563C1"/>
                </w:rPr>
                <w:t>Consolidated Statements of Operations and Comprehensive Income (unaudited) –</w:t>
              </w:r>
            </w:hyperlink>
          </w:p>
        </w:tc>
        <w:tc>
          <w:tcPr>
            <w:tcW w:w="1820" w:type="dxa"/>
            <w:vAlign w:val="bottom"/>
            <w:gridSpan w:val="2"/>
            <w:vMerge w:val="restart"/>
            <w:shd w:val="clear" w:color="auto" w:fill="CCEEFF"/>
          </w:tcPr>
          <w:p>
            <w:pPr>
              <w:jc w:val="right"/>
              <w:spacing w:after="0"/>
              <w:rPr>
                <w:sz w:val="20"/>
                <w:szCs w:val="20"/>
                <w:color w:val="auto"/>
              </w:rPr>
            </w:pPr>
            <w:r>
              <w:rPr>
                <w:rFonts w:ascii="Arial" w:cs="Arial" w:eastAsia="Arial" w:hAnsi="Arial"/>
                <w:sz w:val="22"/>
                <w:szCs w:val="22"/>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0563C1"/>
            </w:tcBorders>
            <w:shd w:val="clear" w:color="auto" w:fill="CCEEFF"/>
          </w:tcPr>
          <w:p>
            <w:pPr>
              <w:spacing w:after="0"/>
              <w:rPr>
                <w:sz w:val="18"/>
                <w:szCs w:val="18"/>
                <w:color w:val="auto"/>
              </w:rPr>
            </w:pPr>
          </w:p>
        </w:tc>
        <w:tc>
          <w:tcPr>
            <w:tcW w:w="60" w:type="dxa"/>
            <w:vAlign w:val="bottom"/>
            <w:tcBorders>
              <w:top w:val="single" w:sz="8" w:color="0563C1"/>
            </w:tcBorders>
            <w:shd w:val="clear" w:color="auto" w:fill="CCEEFF"/>
          </w:tcPr>
          <w:p>
            <w:pPr>
              <w:spacing w:after="0"/>
              <w:rPr>
                <w:sz w:val="18"/>
                <w:szCs w:val="18"/>
                <w:color w:val="auto"/>
              </w:rPr>
            </w:pPr>
          </w:p>
        </w:tc>
        <w:tc>
          <w:tcPr>
            <w:tcW w:w="6740" w:type="dxa"/>
            <w:vAlign w:val="bottom"/>
            <w:tcBorders>
              <w:top w:val="single" w:sz="8" w:color="0563C1"/>
            </w:tcBorders>
            <w:gridSpan w:val="26"/>
            <w:shd w:val="clear" w:color="auto" w:fill="CCEEFF"/>
          </w:tcPr>
          <w:p>
            <w:pPr>
              <w:spacing w:after="0" w:line="209" w:lineRule="exact"/>
              <w:rPr>
                <w:rFonts w:ascii="Arial" w:cs="Arial" w:eastAsia="Arial" w:hAnsi="Arial"/>
                <w:sz w:val="22"/>
                <w:szCs w:val="22"/>
                <w:color w:val="0563C1"/>
              </w:rPr>
            </w:pPr>
            <w:hyperlink w:anchor="page5">
              <w:r>
                <w:rPr>
                  <w:rFonts w:ascii="Arial" w:cs="Arial" w:eastAsia="Arial" w:hAnsi="Arial"/>
                  <w:sz w:val="22"/>
                  <w:szCs w:val="22"/>
                  <w:color w:val="0563C1"/>
                </w:rPr>
                <w:t>Three Months Ended June 30, 2021 and 2020</w:t>
              </w:r>
            </w:hyperlink>
          </w:p>
        </w:tc>
        <w:tc>
          <w:tcPr>
            <w:tcW w:w="1700" w:type="dxa"/>
            <w:vAlign w:val="bottom"/>
            <w:tcBorders>
              <w:top w:val="single" w:sz="8" w:color="CCEEFF"/>
            </w:tcBorders>
            <w:gridSpan w:val="2"/>
            <w:shd w:val="clear" w:color="auto" w:fill="CCEEFF"/>
          </w:tcPr>
          <w:p>
            <w:pPr>
              <w:spacing w:after="0"/>
              <w:rPr>
                <w:sz w:val="18"/>
                <w:szCs w:val="18"/>
                <w:color w:val="auto"/>
              </w:rPr>
            </w:pPr>
          </w:p>
        </w:tc>
        <w:tc>
          <w:tcPr>
            <w:tcW w:w="1820" w:type="dxa"/>
            <w:vAlign w:val="bottom"/>
            <w:tcBorders>
              <w:top w:val="single" w:sz="8" w:color="CCEEFF"/>
            </w:tcBorders>
            <w:gridSpan w:val="2"/>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40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420" w:type="dxa"/>
            <w:vAlign w:val="bottom"/>
            <w:tcBorders>
              <w:top w:val="single" w:sz="8" w:color="0563C1"/>
            </w:tcBorders>
          </w:tcPr>
          <w:p>
            <w:pPr>
              <w:spacing w:after="0"/>
              <w:rPr>
                <w:sz w:val="21"/>
                <w:szCs w:val="21"/>
                <w:color w:val="auto"/>
              </w:rPr>
            </w:pPr>
          </w:p>
        </w:tc>
        <w:tc>
          <w:tcPr>
            <w:tcW w:w="360" w:type="dxa"/>
            <w:vAlign w:val="bottom"/>
            <w:tcBorders>
              <w:top w:val="single" w:sz="8" w:color="0563C1"/>
            </w:tcBorders>
          </w:tcPr>
          <w:p>
            <w:pPr>
              <w:spacing w:after="0"/>
              <w:rPr>
                <w:sz w:val="21"/>
                <w:szCs w:val="21"/>
                <w:color w:val="auto"/>
              </w:rPr>
            </w:pPr>
          </w:p>
        </w:tc>
        <w:tc>
          <w:tcPr>
            <w:tcW w:w="280" w:type="dxa"/>
            <w:vAlign w:val="bottom"/>
            <w:tcBorders>
              <w:top w:val="single" w:sz="8" w:color="0563C1"/>
            </w:tcBorders>
          </w:tcPr>
          <w:p>
            <w:pPr>
              <w:spacing w:after="0"/>
              <w:rPr>
                <w:sz w:val="21"/>
                <w:szCs w:val="21"/>
                <w:color w:val="auto"/>
              </w:rPr>
            </w:pPr>
          </w:p>
        </w:tc>
        <w:tc>
          <w:tcPr>
            <w:tcW w:w="260" w:type="dxa"/>
            <w:vAlign w:val="bottom"/>
            <w:tcBorders>
              <w:top w:val="single" w:sz="8" w:color="0563C1"/>
            </w:tcBorders>
          </w:tcPr>
          <w:p>
            <w:pPr>
              <w:spacing w:after="0"/>
              <w:rPr>
                <w:sz w:val="21"/>
                <w:szCs w:val="21"/>
                <w:color w:val="auto"/>
              </w:rPr>
            </w:pPr>
          </w:p>
        </w:tc>
        <w:tc>
          <w:tcPr>
            <w:tcW w:w="96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38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24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66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760" w:type="dxa"/>
            <w:vAlign w:val="bottom"/>
            <w:gridSpan w:val="30"/>
            <w:shd w:val="clear" w:color="auto" w:fill="CCEEFF"/>
          </w:tcPr>
          <w:p>
            <w:pPr>
              <w:spacing w:after="0" w:line="203" w:lineRule="exact"/>
              <w:rPr>
                <w:rFonts w:ascii="Arial" w:cs="Arial" w:eastAsia="Arial" w:hAnsi="Arial"/>
                <w:sz w:val="22"/>
                <w:szCs w:val="22"/>
                <w:color w:val="0563C1"/>
              </w:rPr>
            </w:pPr>
            <w:hyperlink w:anchor="page5">
              <w:r>
                <w:rPr>
                  <w:rFonts w:ascii="Arial" w:cs="Arial" w:eastAsia="Arial" w:hAnsi="Arial"/>
                  <w:sz w:val="22"/>
                  <w:szCs w:val="22"/>
                  <w:color w:val="0563C1"/>
                </w:rPr>
                <w:t>Consolidated Statements of Operations and Comprehensive Income (unaudited) –</w:t>
              </w:r>
            </w:hyperlink>
          </w:p>
        </w:tc>
        <w:tc>
          <w:tcPr>
            <w:tcW w:w="1820" w:type="dxa"/>
            <w:vAlign w:val="bottom"/>
            <w:gridSpan w:val="2"/>
            <w:vMerge w:val="restart"/>
            <w:shd w:val="clear" w:color="auto" w:fill="CCEEFF"/>
          </w:tcPr>
          <w:p>
            <w:pPr>
              <w:jc w:val="right"/>
              <w:spacing w:after="0"/>
              <w:rPr>
                <w:sz w:val="20"/>
                <w:szCs w:val="20"/>
                <w:color w:val="auto"/>
              </w:rPr>
            </w:pPr>
            <w:r>
              <w:rPr>
                <w:rFonts w:ascii="Arial" w:cs="Arial" w:eastAsia="Arial" w:hAnsi="Arial"/>
                <w:sz w:val="22"/>
                <w:szCs w:val="22"/>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0563C1"/>
            </w:tcBorders>
            <w:shd w:val="clear" w:color="auto" w:fill="CCEEFF"/>
          </w:tcPr>
          <w:p>
            <w:pPr>
              <w:spacing w:after="0"/>
              <w:rPr>
                <w:sz w:val="18"/>
                <w:szCs w:val="18"/>
                <w:color w:val="auto"/>
              </w:rPr>
            </w:pPr>
          </w:p>
        </w:tc>
        <w:tc>
          <w:tcPr>
            <w:tcW w:w="60" w:type="dxa"/>
            <w:vAlign w:val="bottom"/>
            <w:tcBorders>
              <w:top w:val="single" w:sz="8" w:color="0563C1"/>
            </w:tcBorders>
            <w:shd w:val="clear" w:color="auto" w:fill="CCEEFF"/>
          </w:tcPr>
          <w:p>
            <w:pPr>
              <w:spacing w:after="0"/>
              <w:rPr>
                <w:sz w:val="18"/>
                <w:szCs w:val="18"/>
                <w:color w:val="auto"/>
              </w:rPr>
            </w:pPr>
          </w:p>
        </w:tc>
        <w:tc>
          <w:tcPr>
            <w:tcW w:w="6740" w:type="dxa"/>
            <w:vAlign w:val="bottom"/>
            <w:tcBorders>
              <w:top w:val="single" w:sz="8" w:color="0563C1"/>
            </w:tcBorders>
            <w:gridSpan w:val="26"/>
            <w:shd w:val="clear" w:color="auto" w:fill="CCEEFF"/>
          </w:tcPr>
          <w:p>
            <w:pPr>
              <w:spacing w:after="0" w:line="209" w:lineRule="exact"/>
              <w:rPr>
                <w:rFonts w:ascii="Arial" w:cs="Arial" w:eastAsia="Arial" w:hAnsi="Arial"/>
                <w:sz w:val="22"/>
                <w:szCs w:val="22"/>
                <w:color w:val="0563C1"/>
              </w:rPr>
            </w:pPr>
            <w:hyperlink w:anchor="page5">
              <w:r>
                <w:rPr>
                  <w:rFonts w:ascii="Arial" w:cs="Arial" w:eastAsia="Arial" w:hAnsi="Arial"/>
                  <w:sz w:val="22"/>
                  <w:szCs w:val="22"/>
                  <w:color w:val="0563C1"/>
                </w:rPr>
                <w:t>Six Months Ended June 30, 2021 and 2020</w:t>
              </w:r>
            </w:hyperlink>
          </w:p>
        </w:tc>
        <w:tc>
          <w:tcPr>
            <w:tcW w:w="1700" w:type="dxa"/>
            <w:vAlign w:val="bottom"/>
            <w:tcBorders>
              <w:top w:val="single" w:sz="8" w:color="CCEEFF"/>
            </w:tcBorders>
            <w:gridSpan w:val="2"/>
            <w:shd w:val="clear" w:color="auto" w:fill="CCEEFF"/>
          </w:tcPr>
          <w:p>
            <w:pPr>
              <w:spacing w:after="0"/>
              <w:rPr>
                <w:sz w:val="18"/>
                <w:szCs w:val="18"/>
                <w:color w:val="auto"/>
              </w:rPr>
            </w:pPr>
          </w:p>
        </w:tc>
        <w:tc>
          <w:tcPr>
            <w:tcW w:w="1820" w:type="dxa"/>
            <w:vAlign w:val="bottom"/>
            <w:tcBorders>
              <w:top w:val="single" w:sz="8" w:color="CCEEFF"/>
            </w:tcBorders>
            <w:gridSpan w:val="2"/>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3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240" w:type="dxa"/>
            <w:vAlign w:val="bottom"/>
            <w:tcBorders>
              <w:top w:val="single" w:sz="8" w:color="0563C1"/>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760" w:type="dxa"/>
            <w:vAlign w:val="bottom"/>
            <w:gridSpan w:val="30"/>
            <w:shd w:val="clear" w:color="auto" w:fill="CCEEFF"/>
          </w:tcPr>
          <w:p>
            <w:pPr>
              <w:spacing w:after="0" w:line="203" w:lineRule="exact"/>
              <w:rPr>
                <w:rFonts w:ascii="Arial" w:cs="Arial" w:eastAsia="Arial" w:hAnsi="Arial"/>
                <w:sz w:val="22"/>
                <w:szCs w:val="22"/>
                <w:color w:val="0563C1"/>
              </w:rPr>
            </w:pPr>
            <w:hyperlink w:anchor="page7">
              <w:r>
                <w:rPr>
                  <w:rFonts w:ascii="Arial" w:cs="Arial" w:eastAsia="Arial" w:hAnsi="Arial"/>
                  <w:sz w:val="22"/>
                  <w:szCs w:val="22"/>
                  <w:color w:val="0563C1"/>
                </w:rPr>
                <w:t>Consolidated Statements of Capitalization (unaudited) –</w:t>
              </w:r>
            </w:hyperlink>
          </w:p>
        </w:tc>
        <w:tc>
          <w:tcPr>
            <w:tcW w:w="1820" w:type="dxa"/>
            <w:vAlign w:val="bottom"/>
            <w:gridSpan w:val="2"/>
            <w:vMerge w:val="restart"/>
            <w:shd w:val="clear" w:color="auto" w:fill="CCEEFF"/>
          </w:tcPr>
          <w:p>
            <w:pPr>
              <w:jc w:val="right"/>
              <w:spacing w:after="0"/>
              <w:rPr>
                <w:sz w:val="20"/>
                <w:szCs w:val="20"/>
                <w:color w:val="auto"/>
              </w:rPr>
            </w:pPr>
            <w:r>
              <w:rPr>
                <w:rFonts w:ascii="Arial" w:cs="Arial" w:eastAsia="Arial" w:hAnsi="Arial"/>
                <w:sz w:val="22"/>
                <w:szCs w:val="22"/>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0563C1"/>
            </w:tcBorders>
            <w:shd w:val="clear" w:color="auto" w:fill="CCEEFF"/>
          </w:tcPr>
          <w:p>
            <w:pPr>
              <w:spacing w:after="0"/>
              <w:rPr>
                <w:sz w:val="18"/>
                <w:szCs w:val="18"/>
                <w:color w:val="auto"/>
              </w:rPr>
            </w:pPr>
          </w:p>
        </w:tc>
        <w:tc>
          <w:tcPr>
            <w:tcW w:w="60" w:type="dxa"/>
            <w:vAlign w:val="bottom"/>
            <w:tcBorders>
              <w:top w:val="single" w:sz="8" w:color="0563C1"/>
            </w:tcBorders>
            <w:shd w:val="clear" w:color="auto" w:fill="CCEEFF"/>
          </w:tcPr>
          <w:p>
            <w:pPr>
              <w:spacing w:after="0"/>
              <w:rPr>
                <w:sz w:val="18"/>
                <w:szCs w:val="18"/>
                <w:color w:val="auto"/>
              </w:rPr>
            </w:pPr>
          </w:p>
        </w:tc>
        <w:tc>
          <w:tcPr>
            <w:tcW w:w="4520" w:type="dxa"/>
            <w:vAlign w:val="bottom"/>
            <w:tcBorders>
              <w:top w:val="single" w:sz="8" w:color="0563C1"/>
            </w:tcBorders>
            <w:gridSpan w:val="21"/>
            <w:shd w:val="clear" w:color="auto" w:fill="CCEEFF"/>
          </w:tcPr>
          <w:p>
            <w:pPr>
              <w:spacing w:after="0" w:line="209" w:lineRule="exact"/>
              <w:rPr>
                <w:rFonts w:ascii="Arial" w:cs="Arial" w:eastAsia="Arial" w:hAnsi="Arial"/>
                <w:sz w:val="22"/>
                <w:szCs w:val="22"/>
                <w:color w:val="0563C1"/>
              </w:rPr>
            </w:pPr>
            <w:hyperlink w:anchor="page7">
              <w:r>
                <w:rPr>
                  <w:rFonts w:ascii="Arial" w:cs="Arial" w:eastAsia="Arial" w:hAnsi="Arial"/>
                  <w:sz w:val="22"/>
                  <w:szCs w:val="22"/>
                  <w:color w:val="0563C1"/>
                </w:rPr>
                <w:t>June 30, 2021 and December 31, 2020</w:t>
              </w:r>
            </w:hyperlink>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CCEEFF"/>
            </w:tcBorders>
            <w:gridSpan w:val="4"/>
            <w:shd w:val="clear" w:color="auto" w:fill="CCEEFF"/>
          </w:tcPr>
          <w:p>
            <w:pPr>
              <w:spacing w:after="0"/>
              <w:rPr>
                <w:sz w:val="18"/>
                <w:szCs w:val="18"/>
                <w:color w:val="auto"/>
              </w:rPr>
            </w:pPr>
          </w:p>
        </w:tc>
        <w:tc>
          <w:tcPr>
            <w:tcW w:w="1820" w:type="dxa"/>
            <w:vAlign w:val="bottom"/>
            <w:tcBorders>
              <w:top w:val="single" w:sz="8" w:color="CCEEFF"/>
            </w:tcBorders>
            <w:gridSpan w:val="2"/>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380" w:type="dxa"/>
            <w:vAlign w:val="bottom"/>
            <w:tcBorders>
              <w:top w:val="single" w:sz="8" w:color="0563C1"/>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760" w:type="dxa"/>
            <w:vAlign w:val="bottom"/>
            <w:gridSpan w:val="30"/>
            <w:shd w:val="clear" w:color="auto" w:fill="CCEEFF"/>
          </w:tcPr>
          <w:p>
            <w:pPr>
              <w:spacing w:after="0" w:line="203" w:lineRule="exact"/>
              <w:rPr>
                <w:rFonts w:ascii="Arial" w:cs="Arial" w:eastAsia="Arial" w:hAnsi="Arial"/>
                <w:sz w:val="22"/>
                <w:szCs w:val="22"/>
                <w:color w:val="0563C1"/>
              </w:rPr>
            </w:pPr>
            <w:hyperlink w:anchor="page8">
              <w:r>
                <w:rPr>
                  <w:rFonts w:ascii="Arial" w:cs="Arial" w:eastAsia="Arial" w:hAnsi="Arial"/>
                  <w:sz w:val="22"/>
                  <w:szCs w:val="22"/>
                  <w:color w:val="0563C1"/>
                </w:rPr>
                <w:t>Consolidated Statements of Equity (unaudited) –</w:t>
              </w:r>
            </w:hyperlink>
          </w:p>
        </w:tc>
        <w:tc>
          <w:tcPr>
            <w:tcW w:w="1820" w:type="dxa"/>
            <w:vAlign w:val="bottom"/>
            <w:gridSpan w:val="2"/>
            <w:vMerge w:val="restart"/>
            <w:shd w:val="clear" w:color="auto" w:fill="CCEEFF"/>
          </w:tcPr>
          <w:p>
            <w:pPr>
              <w:jc w:val="right"/>
              <w:spacing w:after="0"/>
              <w:rPr>
                <w:sz w:val="20"/>
                <w:szCs w:val="20"/>
                <w:color w:val="auto"/>
              </w:rPr>
            </w:pPr>
            <w:r>
              <w:rPr>
                <w:rFonts w:ascii="Arial" w:cs="Arial" w:eastAsia="Arial" w:hAnsi="Arial"/>
                <w:sz w:val="22"/>
                <w:szCs w:val="22"/>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0563C1"/>
            </w:tcBorders>
            <w:shd w:val="clear" w:color="auto" w:fill="CCEEFF"/>
          </w:tcPr>
          <w:p>
            <w:pPr>
              <w:spacing w:after="0"/>
              <w:rPr>
                <w:sz w:val="18"/>
                <w:szCs w:val="18"/>
                <w:color w:val="auto"/>
              </w:rPr>
            </w:pPr>
          </w:p>
        </w:tc>
        <w:tc>
          <w:tcPr>
            <w:tcW w:w="60" w:type="dxa"/>
            <w:vAlign w:val="bottom"/>
            <w:tcBorders>
              <w:top w:val="single" w:sz="8" w:color="0563C1"/>
            </w:tcBorders>
            <w:shd w:val="clear" w:color="auto" w:fill="CCEEFF"/>
          </w:tcPr>
          <w:p>
            <w:pPr>
              <w:spacing w:after="0"/>
              <w:rPr>
                <w:sz w:val="18"/>
                <w:szCs w:val="18"/>
                <w:color w:val="auto"/>
              </w:rPr>
            </w:pPr>
          </w:p>
        </w:tc>
        <w:tc>
          <w:tcPr>
            <w:tcW w:w="3900" w:type="dxa"/>
            <w:vAlign w:val="bottom"/>
            <w:tcBorders>
              <w:top w:val="single" w:sz="8" w:color="0563C1"/>
            </w:tcBorders>
            <w:gridSpan w:val="16"/>
            <w:shd w:val="clear" w:color="auto" w:fill="CCEEFF"/>
          </w:tcPr>
          <w:p>
            <w:pPr>
              <w:spacing w:after="0" w:line="209" w:lineRule="exact"/>
              <w:rPr>
                <w:rFonts w:ascii="Arial" w:cs="Arial" w:eastAsia="Arial" w:hAnsi="Arial"/>
                <w:sz w:val="22"/>
                <w:szCs w:val="22"/>
                <w:color w:val="0563C1"/>
              </w:rPr>
            </w:pPr>
            <w:hyperlink w:anchor="page8">
              <w:r>
                <w:rPr>
                  <w:rFonts w:ascii="Arial" w:cs="Arial" w:eastAsia="Arial" w:hAnsi="Arial"/>
                  <w:sz w:val="22"/>
                  <w:szCs w:val="22"/>
                  <w:color w:val="0563C1"/>
                </w:rPr>
                <w:t>Six Months Ended June 30, 2021</w:t>
              </w:r>
            </w:hyperlink>
          </w:p>
        </w:tc>
        <w:tc>
          <w:tcPr>
            <w:tcW w:w="34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CCEEFF"/>
            </w:tcBorders>
            <w:gridSpan w:val="4"/>
            <w:shd w:val="clear" w:color="auto" w:fill="CCEEFF"/>
          </w:tcPr>
          <w:p>
            <w:pPr>
              <w:spacing w:after="0"/>
              <w:rPr>
                <w:sz w:val="18"/>
                <w:szCs w:val="18"/>
                <w:color w:val="auto"/>
              </w:rPr>
            </w:pPr>
          </w:p>
        </w:tc>
        <w:tc>
          <w:tcPr>
            <w:tcW w:w="1820" w:type="dxa"/>
            <w:vAlign w:val="bottom"/>
            <w:tcBorders>
              <w:top w:val="single" w:sz="8" w:color="CCEEFF"/>
            </w:tcBorders>
            <w:gridSpan w:val="2"/>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760" w:type="dxa"/>
            <w:vAlign w:val="bottom"/>
            <w:gridSpan w:val="30"/>
            <w:shd w:val="clear" w:color="auto" w:fill="CCEEFF"/>
          </w:tcPr>
          <w:p>
            <w:pPr>
              <w:spacing w:after="0" w:line="203" w:lineRule="exact"/>
              <w:rPr>
                <w:rFonts w:ascii="Arial" w:cs="Arial" w:eastAsia="Arial" w:hAnsi="Arial"/>
                <w:sz w:val="22"/>
                <w:szCs w:val="22"/>
                <w:color w:val="0563C1"/>
              </w:rPr>
            </w:pPr>
            <w:hyperlink w:anchor="page8">
              <w:r>
                <w:rPr>
                  <w:rFonts w:ascii="Arial" w:cs="Arial" w:eastAsia="Arial" w:hAnsi="Arial"/>
                  <w:sz w:val="22"/>
                  <w:szCs w:val="22"/>
                  <w:color w:val="0563C1"/>
                </w:rPr>
                <w:t>Consolidated Statements of Equity (unaudited) –</w:t>
              </w:r>
            </w:hyperlink>
          </w:p>
        </w:tc>
        <w:tc>
          <w:tcPr>
            <w:tcW w:w="1820" w:type="dxa"/>
            <w:vAlign w:val="bottom"/>
            <w:gridSpan w:val="2"/>
            <w:vMerge w:val="restart"/>
            <w:shd w:val="clear" w:color="auto" w:fill="CCEEFF"/>
          </w:tcPr>
          <w:p>
            <w:pPr>
              <w:jc w:val="right"/>
              <w:spacing w:after="0"/>
              <w:rPr>
                <w:sz w:val="20"/>
                <w:szCs w:val="20"/>
                <w:color w:val="auto"/>
              </w:rPr>
            </w:pPr>
            <w:r>
              <w:rPr>
                <w:rFonts w:ascii="Arial" w:cs="Arial" w:eastAsia="Arial" w:hAnsi="Arial"/>
                <w:sz w:val="22"/>
                <w:szCs w:val="22"/>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0563C1"/>
            </w:tcBorders>
            <w:shd w:val="clear" w:color="auto" w:fill="CCEEFF"/>
          </w:tcPr>
          <w:p>
            <w:pPr>
              <w:spacing w:after="0"/>
              <w:rPr>
                <w:sz w:val="18"/>
                <w:szCs w:val="18"/>
                <w:color w:val="auto"/>
              </w:rPr>
            </w:pPr>
          </w:p>
        </w:tc>
        <w:tc>
          <w:tcPr>
            <w:tcW w:w="60" w:type="dxa"/>
            <w:vAlign w:val="bottom"/>
            <w:tcBorders>
              <w:top w:val="single" w:sz="8" w:color="0563C1"/>
            </w:tcBorders>
            <w:shd w:val="clear" w:color="auto" w:fill="CCEEFF"/>
          </w:tcPr>
          <w:p>
            <w:pPr>
              <w:spacing w:after="0"/>
              <w:rPr>
                <w:sz w:val="18"/>
                <w:szCs w:val="18"/>
                <w:color w:val="auto"/>
              </w:rPr>
            </w:pPr>
          </w:p>
        </w:tc>
        <w:tc>
          <w:tcPr>
            <w:tcW w:w="60" w:type="dxa"/>
            <w:vAlign w:val="bottom"/>
            <w:tcBorders>
              <w:top w:val="single" w:sz="8" w:color="0563C1"/>
            </w:tcBorders>
            <w:shd w:val="clear" w:color="auto" w:fill="CCEEFF"/>
          </w:tcPr>
          <w:p>
            <w:pPr>
              <w:spacing w:after="0"/>
              <w:rPr>
                <w:sz w:val="18"/>
                <w:szCs w:val="18"/>
                <w:color w:val="auto"/>
              </w:rPr>
            </w:pPr>
          </w:p>
        </w:tc>
        <w:tc>
          <w:tcPr>
            <w:tcW w:w="3840" w:type="dxa"/>
            <w:vAlign w:val="bottom"/>
            <w:tcBorders>
              <w:top w:val="single" w:sz="8" w:color="0563C1"/>
            </w:tcBorders>
            <w:gridSpan w:val="15"/>
            <w:shd w:val="clear" w:color="auto" w:fill="CCEEFF"/>
          </w:tcPr>
          <w:p>
            <w:pPr>
              <w:spacing w:after="0" w:line="209" w:lineRule="exact"/>
              <w:rPr>
                <w:rFonts w:ascii="Arial" w:cs="Arial" w:eastAsia="Arial" w:hAnsi="Arial"/>
                <w:sz w:val="22"/>
                <w:szCs w:val="22"/>
                <w:color w:val="0563C1"/>
              </w:rPr>
            </w:pPr>
            <w:hyperlink w:anchor="page8">
              <w:r>
                <w:rPr>
                  <w:rFonts w:ascii="Arial" w:cs="Arial" w:eastAsia="Arial" w:hAnsi="Arial"/>
                  <w:sz w:val="22"/>
                  <w:szCs w:val="22"/>
                  <w:color w:val="0563C1"/>
                </w:rPr>
                <w:t>Six Months Ended June 30, 2020</w:t>
              </w:r>
            </w:hyperlink>
          </w:p>
        </w:tc>
        <w:tc>
          <w:tcPr>
            <w:tcW w:w="34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CCEEFF"/>
            </w:tcBorders>
            <w:gridSpan w:val="4"/>
            <w:shd w:val="clear" w:color="auto" w:fill="CCEEFF"/>
          </w:tcPr>
          <w:p>
            <w:pPr>
              <w:spacing w:after="0"/>
              <w:rPr>
                <w:sz w:val="18"/>
                <w:szCs w:val="18"/>
                <w:color w:val="auto"/>
              </w:rPr>
            </w:pPr>
          </w:p>
        </w:tc>
        <w:tc>
          <w:tcPr>
            <w:tcW w:w="1820" w:type="dxa"/>
            <w:vAlign w:val="bottom"/>
            <w:tcBorders>
              <w:top w:val="single" w:sz="8" w:color="CCEEFF"/>
            </w:tcBorders>
            <w:gridSpan w:val="2"/>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760" w:type="dxa"/>
            <w:vAlign w:val="bottom"/>
            <w:gridSpan w:val="30"/>
            <w:shd w:val="clear" w:color="auto" w:fill="CCEEFF"/>
          </w:tcPr>
          <w:p>
            <w:pPr>
              <w:spacing w:after="0" w:line="203" w:lineRule="exact"/>
              <w:rPr>
                <w:rFonts w:ascii="Arial" w:cs="Arial" w:eastAsia="Arial" w:hAnsi="Arial"/>
                <w:sz w:val="22"/>
                <w:szCs w:val="22"/>
                <w:color w:val="0563C1"/>
              </w:rPr>
            </w:pPr>
            <w:hyperlink w:anchor="page10">
              <w:r>
                <w:rPr>
                  <w:rFonts w:ascii="Arial" w:cs="Arial" w:eastAsia="Arial" w:hAnsi="Arial"/>
                  <w:sz w:val="22"/>
                  <w:szCs w:val="22"/>
                  <w:color w:val="0563C1"/>
                </w:rPr>
                <w:t>Consolidated Statements of Cash Flow (unaudited) –</w:t>
              </w:r>
            </w:hyperlink>
          </w:p>
        </w:tc>
        <w:tc>
          <w:tcPr>
            <w:tcW w:w="1820" w:type="dxa"/>
            <w:vAlign w:val="bottom"/>
            <w:gridSpan w:val="2"/>
            <w:vMerge w:val="restart"/>
            <w:shd w:val="clear" w:color="auto" w:fill="CCEEFF"/>
          </w:tcPr>
          <w:p>
            <w:pPr>
              <w:jc w:val="right"/>
              <w:spacing w:after="0"/>
              <w:rPr>
                <w:sz w:val="20"/>
                <w:szCs w:val="20"/>
                <w:color w:val="auto"/>
              </w:rPr>
            </w:pPr>
            <w:r>
              <w:rPr>
                <w:rFonts w:ascii="Arial" w:cs="Arial" w:eastAsia="Arial" w:hAnsi="Arial"/>
                <w:sz w:val="22"/>
                <w:szCs w:val="22"/>
                <w:color w:val="auto"/>
              </w:rPr>
              <w:t>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0563C1"/>
            </w:tcBorders>
            <w:shd w:val="clear" w:color="auto" w:fill="CCEEFF"/>
          </w:tcPr>
          <w:p>
            <w:pPr>
              <w:spacing w:after="0"/>
              <w:rPr>
                <w:sz w:val="18"/>
                <w:szCs w:val="18"/>
                <w:color w:val="auto"/>
              </w:rPr>
            </w:pPr>
          </w:p>
        </w:tc>
        <w:tc>
          <w:tcPr>
            <w:tcW w:w="60" w:type="dxa"/>
            <w:vAlign w:val="bottom"/>
            <w:tcBorders>
              <w:top w:val="single" w:sz="8" w:color="0563C1"/>
            </w:tcBorders>
            <w:shd w:val="clear" w:color="auto" w:fill="CCEEFF"/>
          </w:tcPr>
          <w:p>
            <w:pPr>
              <w:spacing w:after="0"/>
              <w:rPr>
                <w:sz w:val="18"/>
                <w:szCs w:val="18"/>
                <w:color w:val="auto"/>
              </w:rPr>
            </w:pPr>
          </w:p>
        </w:tc>
        <w:tc>
          <w:tcPr>
            <w:tcW w:w="4240" w:type="dxa"/>
            <w:vAlign w:val="bottom"/>
            <w:tcBorders>
              <w:top w:val="single" w:sz="8" w:color="0563C1"/>
            </w:tcBorders>
            <w:gridSpan w:val="18"/>
            <w:shd w:val="clear" w:color="auto" w:fill="CCEEFF"/>
          </w:tcPr>
          <w:p>
            <w:pPr>
              <w:spacing w:after="0" w:line="209" w:lineRule="exact"/>
              <w:rPr>
                <w:rFonts w:ascii="Arial" w:cs="Arial" w:eastAsia="Arial" w:hAnsi="Arial"/>
                <w:sz w:val="22"/>
                <w:szCs w:val="22"/>
                <w:color w:val="0563C1"/>
                <w:w w:val="98"/>
              </w:rPr>
            </w:pPr>
            <w:hyperlink w:anchor="page10">
              <w:r>
                <w:rPr>
                  <w:rFonts w:ascii="Arial" w:cs="Arial" w:eastAsia="Arial" w:hAnsi="Arial"/>
                  <w:sz w:val="22"/>
                  <w:szCs w:val="22"/>
                  <w:color w:val="0563C1"/>
                  <w:w w:val="98"/>
                </w:rPr>
                <w:t>Six Months Ended June 30, 2021 and 2020,</w:t>
              </w:r>
            </w:hyperlink>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CCEEFF"/>
            </w:tcBorders>
            <w:gridSpan w:val="4"/>
            <w:shd w:val="clear" w:color="auto" w:fill="CCEEFF"/>
          </w:tcPr>
          <w:p>
            <w:pPr>
              <w:spacing w:after="0"/>
              <w:rPr>
                <w:sz w:val="18"/>
                <w:szCs w:val="18"/>
                <w:color w:val="auto"/>
              </w:rPr>
            </w:pPr>
          </w:p>
        </w:tc>
        <w:tc>
          <w:tcPr>
            <w:tcW w:w="1820" w:type="dxa"/>
            <w:vAlign w:val="bottom"/>
            <w:tcBorders>
              <w:top w:val="single" w:sz="8" w:color="CCEEFF"/>
            </w:tcBorders>
            <w:gridSpan w:val="2"/>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3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24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rPr>
                <w:sz w:val="18"/>
                <w:szCs w:val="18"/>
                <w:color w:val="auto"/>
              </w:rPr>
            </w:pPr>
          </w:p>
        </w:tc>
        <w:tc>
          <w:tcPr>
            <w:tcW w:w="8760" w:type="dxa"/>
            <w:vAlign w:val="bottom"/>
            <w:gridSpan w:val="30"/>
            <w:shd w:val="clear" w:color="auto" w:fill="CCEEFF"/>
          </w:tcPr>
          <w:p>
            <w:pPr>
              <w:spacing w:after="0" w:line="203" w:lineRule="exact"/>
              <w:rPr>
                <w:rFonts w:ascii="Arial" w:cs="Arial" w:eastAsia="Arial" w:hAnsi="Arial"/>
                <w:sz w:val="22"/>
                <w:szCs w:val="22"/>
                <w:color w:val="0563C1"/>
              </w:rPr>
            </w:pPr>
            <w:hyperlink w:anchor="page11">
              <w:r>
                <w:rPr>
                  <w:rFonts w:ascii="Arial" w:cs="Arial" w:eastAsia="Arial" w:hAnsi="Arial"/>
                  <w:sz w:val="22"/>
                  <w:szCs w:val="22"/>
                  <w:color w:val="0563C1"/>
                </w:rPr>
                <w:t>Notes to Consolidated Financial Statements (unaudited)</w:t>
              </w:r>
            </w:hyperlink>
          </w:p>
        </w:tc>
        <w:tc>
          <w:tcPr>
            <w:tcW w:w="18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22"/>
                <w:szCs w:val="22"/>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3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24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30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420" w:type="dxa"/>
            <w:vAlign w:val="bottom"/>
            <w:gridSpan w:val="31"/>
            <w:shd w:val="clear" w:color="auto" w:fill="CCEEFF"/>
          </w:tcPr>
          <w:p>
            <w:pPr>
              <w:spacing w:after="0" w:line="203" w:lineRule="exact"/>
              <w:rPr>
                <w:rFonts w:ascii="Arial" w:cs="Arial" w:eastAsia="Arial" w:hAnsi="Arial"/>
                <w:sz w:val="22"/>
                <w:szCs w:val="22"/>
                <w:color w:val="0563C1"/>
              </w:rPr>
            </w:pPr>
            <w:hyperlink w:anchor="page40">
              <w:r>
                <w:rPr>
                  <w:rFonts w:ascii="Arial" w:cs="Arial" w:eastAsia="Arial" w:hAnsi="Arial"/>
                  <w:sz w:val="22"/>
                  <w:szCs w:val="22"/>
                  <w:color w:val="0563C1"/>
                </w:rPr>
                <w:t>Item 2. Management’s Discussion and Analysis of Financial</w:t>
              </w:r>
            </w:hyperlink>
          </w:p>
        </w:tc>
        <w:tc>
          <w:tcPr>
            <w:tcW w:w="1820" w:type="dxa"/>
            <w:vAlign w:val="bottom"/>
            <w:gridSpan w:val="2"/>
            <w:vMerge w:val="restart"/>
            <w:shd w:val="clear" w:color="auto" w:fill="CCEEFF"/>
          </w:tcPr>
          <w:p>
            <w:pPr>
              <w:jc w:val="right"/>
              <w:spacing w:after="0"/>
              <w:rPr>
                <w:sz w:val="20"/>
                <w:szCs w:val="20"/>
                <w:color w:val="auto"/>
              </w:rPr>
            </w:pPr>
            <w:r>
              <w:rPr>
                <w:rFonts w:ascii="Arial" w:cs="Arial" w:eastAsia="Arial" w:hAnsi="Arial"/>
                <w:sz w:val="22"/>
                <w:szCs w:val="22"/>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563C1"/>
            </w:tcBorders>
            <w:shd w:val="clear" w:color="auto" w:fill="CCEEFF"/>
          </w:tcPr>
          <w:p>
            <w:pPr>
              <w:spacing w:after="0"/>
              <w:rPr>
                <w:sz w:val="18"/>
                <w:szCs w:val="18"/>
                <w:color w:val="auto"/>
              </w:rPr>
            </w:pPr>
          </w:p>
        </w:tc>
        <w:tc>
          <w:tcPr>
            <w:tcW w:w="4600" w:type="dxa"/>
            <w:vAlign w:val="bottom"/>
            <w:tcBorders>
              <w:top w:val="single" w:sz="8" w:color="0563C1"/>
            </w:tcBorders>
            <w:gridSpan w:val="21"/>
            <w:shd w:val="clear" w:color="auto" w:fill="CCEEFF"/>
          </w:tcPr>
          <w:p>
            <w:pPr>
              <w:spacing w:after="0" w:line="209" w:lineRule="exact"/>
              <w:rPr>
                <w:rFonts w:ascii="Arial" w:cs="Arial" w:eastAsia="Arial" w:hAnsi="Arial"/>
                <w:sz w:val="22"/>
                <w:szCs w:val="22"/>
                <w:color w:val="0563C1"/>
              </w:rPr>
            </w:pPr>
            <w:hyperlink w:anchor="page40">
              <w:r>
                <w:rPr>
                  <w:rFonts w:ascii="Arial" w:cs="Arial" w:eastAsia="Arial" w:hAnsi="Arial"/>
                  <w:sz w:val="22"/>
                  <w:szCs w:val="22"/>
                  <w:color w:val="0563C1"/>
                </w:rPr>
                <w:t>Condition and Results of Operations</w:t>
              </w:r>
            </w:hyperlink>
          </w:p>
        </w:tc>
        <w:tc>
          <w:tcPr>
            <w:tcW w:w="680" w:type="dxa"/>
            <w:vAlign w:val="bottom"/>
            <w:tcBorders>
              <w:top w:val="single" w:sz="8" w:color="CCEEFF"/>
            </w:tcBorders>
            <w:gridSpan w:val="3"/>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CCEEFF"/>
            </w:tcBorders>
            <w:gridSpan w:val="4"/>
            <w:shd w:val="clear" w:color="auto" w:fill="CCEEFF"/>
          </w:tcPr>
          <w:p>
            <w:pPr>
              <w:spacing w:after="0"/>
              <w:rPr>
                <w:sz w:val="18"/>
                <w:szCs w:val="18"/>
                <w:color w:val="auto"/>
              </w:rPr>
            </w:pPr>
          </w:p>
        </w:tc>
        <w:tc>
          <w:tcPr>
            <w:tcW w:w="1820" w:type="dxa"/>
            <w:vAlign w:val="bottom"/>
            <w:tcBorders>
              <w:top w:val="single" w:sz="8" w:color="CCEEFF"/>
            </w:tcBorders>
            <w:gridSpan w:val="2"/>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shd w:val="clear" w:color="auto" w:fill="CCEEFF"/>
          </w:tcPr>
          <w:p>
            <w:pPr>
              <w:spacing w:after="0" w:line="216" w:lineRule="exact"/>
              <w:rPr>
                <w:rFonts w:ascii="Arial" w:cs="Arial" w:eastAsia="Arial" w:hAnsi="Arial"/>
                <w:sz w:val="22"/>
                <w:szCs w:val="22"/>
                <w:color w:val="0563C1"/>
                <w:w w:val="95"/>
              </w:rPr>
            </w:pPr>
            <w:hyperlink w:anchor="page53">
              <w:r>
                <w:rPr>
                  <w:rFonts w:ascii="Arial" w:cs="Arial" w:eastAsia="Arial" w:hAnsi="Arial"/>
                  <w:sz w:val="22"/>
                  <w:szCs w:val="22"/>
                  <w:color w:val="0563C1"/>
                  <w:w w:val="95"/>
                </w:rPr>
                <w:t>Item 3.</w:t>
              </w:r>
            </w:hyperlink>
          </w:p>
        </w:tc>
        <w:tc>
          <w:tcPr>
            <w:tcW w:w="8760" w:type="dxa"/>
            <w:vAlign w:val="bottom"/>
            <w:gridSpan w:val="30"/>
            <w:shd w:val="clear" w:color="auto" w:fill="CCEEFF"/>
          </w:tcPr>
          <w:p>
            <w:pPr>
              <w:ind w:left="60"/>
              <w:spacing w:after="0" w:line="216" w:lineRule="exact"/>
              <w:rPr>
                <w:rFonts w:ascii="Arial" w:cs="Arial" w:eastAsia="Arial" w:hAnsi="Arial"/>
                <w:sz w:val="22"/>
                <w:szCs w:val="22"/>
                <w:color w:val="0563C1"/>
              </w:rPr>
            </w:pPr>
            <w:hyperlink w:anchor="page53">
              <w:r>
                <w:rPr>
                  <w:rFonts w:ascii="Arial" w:cs="Arial" w:eastAsia="Arial" w:hAnsi="Arial"/>
                  <w:sz w:val="22"/>
                  <w:szCs w:val="22"/>
                  <w:color w:val="0563C1"/>
                </w:rPr>
                <w:t>Quantitative and Qualitative Disclosures About Market Risk</w:t>
              </w:r>
            </w:hyperlink>
          </w:p>
        </w:tc>
        <w:tc>
          <w:tcPr>
            <w:tcW w:w="182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2"/>
                <w:szCs w:val="22"/>
                <w:color w:val="auto"/>
              </w:rPr>
              <w:t>51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3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24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30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shd w:val="clear" w:color="auto" w:fill="CCEEFF"/>
          </w:tcPr>
          <w:p>
            <w:pPr>
              <w:spacing w:after="0" w:line="216" w:lineRule="exact"/>
              <w:rPr>
                <w:rFonts w:ascii="Arial" w:cs="Arial" w:eastAsia="Arial" w:hAnsi="Arial"/>
                <w:sz w:val="22"/>
                <w:szCs w:val="22"/>
                <w:color w:val="0563C1"/>
                <w:w w:val="95"/>
              </w:rPr>
            </w:pPr>
            <w:hyperlink w:anchor="page53">
              <w:r>
                <w:rPr>
                  <w:rFonts w:ascii="Arial" w:cs="Arial" w:eastAsia="Arial" w:hAnsi="Arial"/>
                  <w:sz w:val="22"/>
                  <w:szCs w:val="22"/>
                  <w:color w:val="0563C1"/>
                  <w:w w:val="95"/>
                </w:rPr>
                <w:t>Item 4.</w:t>
              </w:r>
            </w:hyperlink>
          </w:p>
        </w:tc>
        <w:tc>
          <w:tcPr>
            <w:tcW w:w="8760" w:type="dxa"/>
            <w:vAlign w:val="bottom"/>
            <w:gridSpan w:val="30"/>
            <w:shd w:val="clear" w:color="auto" w:fill="CCEEFF"/>
          </w:tcPr>
          <w:p>
            <w:pPr>
              <w:ind w:left="60"/>
              <w:spacing w:after="0" w:line="216" w:lineRule="exact"/>
              <w:rPr>
                <w:rFonts w:ascii="Arial" w:cs="Arial" w:eastAsia="Arial" w:hAnsi="Arial"/>
                <w:sz w:val="22"/>
                <w:szCs w:val="22"/>
                <w:color w:val="0563C1"/>
              </w:rPr>
            </w:pPr>
            <w:hyperlink w:anchor="page53">
              <w:r>
                <w:rPr>
                  <w:rFonts w:ascii="Arial" w:cs="Arial" w:eastAsia="Arial" w:hAnsi="Arial"/>
                  <w:sz w:val="22"/>
                  <w:szCs w:val="22"/>
                  <w:color w:val="0563C1"/>
                </w:rPr>
                <w:t>Controls and Procedures</w:t>
              </w:r>
            </w:hyperlink>
          </w:p>
        </w:tc>
        <w:tc>
          <w:tcPr>
            <w:tcW w:w="182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2"/>
                <w:szCs w:val="22"/>
                <w:color w:val="auto"/>
              </w:rPr>
              <w:t>51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960" w:type="dxa"/>
            <w:vAlign w:val="bottom"/>
            <w:gridSpan w:val="15"/>
            <w:shd w:val="clear" w:color="auto" w:fill="CCEEFF"/>
          </w:tcPr>
          <w:p>
            <w:pPr>
              <w:jc w:val="center"/>
              <w:ind w:right="2620"/>
              <w:spacing w:after="0" w:line="203" w:lineRule="exact"/>
              <w:rPr>
                <w:rFonts w:ascii="Arial" w:cs="Arial" w:eastAsia="Arial" w:hAnsi="Arial"/>
                <w:sz w:val="22"/>
                <w:szCs w:val="22"/>
                <w:color w:val="0563C1"/>
                <w:w w:val="91"/>
              </w:rPr>
            </w:pPr>
            <w:hyperlink w:anchor="page53">
              <w:r>
                <w:rPr>
                  <w:rFonts w:ascii="Arial" w:cs="Arial" w:eastAsia="Arial" w:hAnsi="Arial"/>
                  <w:sz w:val="22"/>
                  <w:szCs w:val="22"/>
                  <w:color w:val="0563C1"/>
                  <w:w w:val="91"/>
                </w:rPr>
                <w:t>Part II – Other Information</w:t>
              </w:r>
            </w:hyperlink>
          </w:p>
        </w:tc>
        <w:tc>
          <w:tcPr>
            <w:tcW w:w="1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30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40" w:type="dxa"/>
            <w:vAlign w:val="bottom"/>
            <w:tcBorders>
              <w:top w:val="single" w:sz="8" w:color="0563C1"/>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shd w:val="clear" w:color="auto" w:fill="CCEEFF"/>
          </w:tcPr>
          <w:p>
            <w:pPr>
              <w:spacing w:after="0" w:line="216" w:lineRule="exact"/>
              <w:rPr>
                <w:rFonts w:ascii="Arial" w:cs="Arial" w:eastAsia="Arial" w:hAnsi="Arial"/>
                <w:sz w:val="22"/>
                <w:szCs w:val="22"/>
                <w:color w:val="0563C1"/>
                <w:w w:val="95"/>
              </w:rPr>
            </w:pPr>
            <w:hyperlink w:anchor="page53">
              <w:r>
                <w:rPr>
                  <w:rFonts w:ascii="Arial" w:cs="Arial" w:eastAsia="Arial" w:hAnsi="Arial"/>
                  <w:sz w:val="22"/>
                  <w:szCs w:val="22"/>
                  <w:color w:val="0563C1"/>
                  <w:w w:val="95"/>
                </w:rPr>
                <w:t>Item 1.</w:t>
              </w:r>
            </w:hyperlink>
          </w:p>
        </w:tc>
        <w:tc>
          <w:tcPr>
            <w:tcW w:w="8760" w:type="dxa"/>
            <w:vAlign w:val="bottom"/>
            <w:gridSpan w:val="30"/>
            <w:shd w:val="clear" w:color="auto" w:fill="CCEEFF"/>
          </w:tcPr>
          <w:p>
            <w:pPr>
              <w:ind w:left="60"/>
              <w:spacing w:after="0" w:line="216" w:lineRule="exact"/>
              <w:rPr>
                <w:rFonts w:ascii="Arial" w:cs="Arial" w:eastAsia="Arial" w:hAnsi="Arial"/>
                <w:sz w:val="22"/>
                <w:szCs w:val="22"/>
                <w:color w:val="0563C1"/>
              </w:rPr>
            </w:pPr>
            <w:hyperlink w:anchor="page53">
              <w:r>
                <w:rPr>
                  <w:rFonts w:ascii="Arial" w:cs="Arial" w:eastAsia="Arial" w:hAnsi="Arial"/>
                  <w:sz w:val="22"/>
                  <w:szCs w:val="22"/>
                  <w:color w:val="0563C1"/>
                </w:rPr>
                <w:t>Legal Proceedings</w:t>
              </w:r>
            </w:hyperlink>
          </w:p>
        </w:tc>
        <w:tc>
          <w:tcPr>
            <w:tcW w:w="182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2"/>
                <w:szCs w:val="22"/>
                <w:color w:val="auto"/>
              </w:rPr>
              <w:t>51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Borders>
              <w:top w:val="single" w:sz="8" w:color="0563C1"/>
            </w:tcBorders>
            <w:gridSpan w:val="2"/>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420" w:type="dxa"/>
            <w:vAlign w:val="bottom"/>
            <w:gridSpan w:val="31"/>
            <w:shd w:val="clear" w:color="auto" w:fill="CCEEFF"/>
          </w:tcPr>
          <w:p>
            <w:pPr>
              <w:spacing w:after="0" w:line="216" w:lineRule="exact"/>
              <w:rPr>
                <w:rFonts w:ascii="Arial" w:cs="Arial" w:eastAsia="Arial" w:hAnsi="Arial"/>
                <w:sz w:val="22"/>
                <w:szCs w:val="22"/>
                <w:color w:val="0563C1"/>
              </w:rPr>
            </w:pPr>
            <w:hyperlink w:anchor="page53">
              <w:r>
                <w:rPr>
                  <w:rFonts w:ascii="Arial" w:cs="Arial" w:eastAsia="Arial" w:hAnsi="Arial"/>
                  <w:sz w:val="22"/>
                  <w:szCs w:val="22"/>
                  <w:color w:val="0563C1"/>
                </w:rPr>
                <w:t>Item 1A. Risk Factors</w:t>
              </w:r>
            </w:hyperlink>
          </w:p>
        </w:tc>
        <w:tc>
          <w:tcPr>
            <w:tcW w:w="182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2"/>
                <w:szCs w:val="22"/>
                <w:color w:val="auto"/>
              </w:rPr>
              <w:t>51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shd w:val="clear" w:color="auto" w:fill="CCEEFF"/>
          </w:tcPr>
          <w:p>
            <w:pPr>
              <w:spacing w:after="0" w:line="216" w:lineRule="exact"/>
              <w:rPr>
                <w:rFonts w:ascii="Arial" w:cs="Arial" w:eastAsia="Arial" w:hAnsi="Arial"/>
                <w:sz w:val="22"/>
                <w:szCs w:val="22"/>
                <w:color w:val="0563C1"/>
                <w:w w:val="95"/>
              </w:rPr>
            </w:pPr>
            <w:hyperlink w:anchor="page54">
              <w:r>
                <w:rPr>
                  <w:rFonts w:ascii="Arial" w:cs="Arial" w:eastAsia="Arial" w:hAnsi="Arial"/>
                  <w:sz w:val="22"/>
                  <w:szCs w:val="22"/>
                  <w:color w:val="0563C1"/>
                  <w:w w:val="95"/>
                </w:rPr>
                <w:t>Item 2.</w:t>
              </w:r>
            </w:hyperlink>
          </w:p>
        </w:tc>
        <w:tc>
          <w:tcPr>
            <w:tcW w:w="8760" w:type="dxa"/>
            <w:vAlign w:val="bottom"/>
            <w:gridSpan w:val="30"/>
            <w:shd w:val="clear" w:color="auto" w:fill="CCEEFF"/>
          </w:tcPr>
          <w:p>
            <w:pPr>
              <w:ind w:left="60"/>
              <w:spacing w:after="0" w:line="216" w:lineRule="exact"/>
              <w:rPr>
                <w:rFonts w:ascii="Arial" w:cs="Arial" w:eastAsia="Arial" w:hAnsi="Arial"/>
                <w:sz w:val="22"/>
                <w:szCs w:val="22"/>
                <w:color w:val="0563C1"/>
              </w:rPr>
            </w:pPr>
            <w:hyperlink w:anchor="page54">
              <w:r>
                <w:rPr>
                  <w:rFonts w:ascii="Arial" w:cs="Arial" w:eastAsia="Arial" w:hAnsi="Arial"/>
                  <w:sz w:val="22"/>
                  <w:szCs w:val="22"/>
                  <w:color w:val="0563C1"/>
                </w:rPr>
                <w:t>Unregistered Sales of Equity Securities and Use of Proceeds</w:t>
              </w:r>
            </w:hyperlink>
          </w:p>
        </w:tc>
        <w:tc>
          <w:tcPr>
            <w:tcW w:w="182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2"/>
                <w:szCs w:val="22"/>
                <w:color w:val="auto"/>
              </w:rPr>
              <w:t>52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3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24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30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shd w:val="clear" w:color="auto" w:fill="CCEEFF"/>
          </w:tcPr>
          <w:p>
            <w:pPr>
              <w:spacing w:after="0" w:line="216" w:lineRule="exact"/>
              <w:rPr>
                <w:rFonts w:ascii="Arial" w:cs="Arial" w:eastAsia="Arial" w:hAnsi="Arial"/>
                <w:sz w:val="22"/>
                <w:szCs w:val="22"/>
                <w:color w:val="0563C1"/>
                <w:w w:val="95"/>
              </w:rPr>
            </w:pPr>
            <w:hyperlink w:anchor="page55">
              <w:r>
                <w:rPr>
                  <w:rFonts w:ascii="Arial" w:cs="Arial" w:eastAsia="Arial" w:hAnsi="Arial"/>
                  <w:sz w:val="22"/>
                  <w:szCs w:val="22"/>
                  <w:color w:val="0563C1"/>
                  <w:w w:val="95"/>
                </w:rPr>
                <w:t>Item 6.</w:t>
              </w:r>
            </w:hyperlink>
          </w:p>
        </w:tc>
        <w:tc>
          <w:tcPr>
            <w:tcW w:w="8760" w:type="dxa"/>
            <w:vAlign w:val="bottom"/>
            <w:gridSpan w:val="30"/>
            <w:shd w:val="clear" w:color="auto" w:fill="CCEEFF"/>
          </w:tcPr>
          <w:p>
            <w:pPr>
              <w:ind w:left="60"/>
              <w:spacing w:after="0" w:line="216" w:lineRule="exact"/>
              <w:rPr>
                <w:rFonts w:ascii="Arial" w:cs="Arial" w:eastAsia="Arial" w:hAnsi="Arial"/>
                <w:sz w:val="22"/>
                <w:szCs w:val="22"/>
                <w:color w:val="0563C1"/>
              </w:rPr>
            </w:pPr>
            <w:hyperlink w:anchor="page55">
              <w:r>
                <w:rPr>
                  <w:rFonts w:ascii="Arial" w:cs="Arial" w:eastAsia="Arial" w:hAnsi="Arial"/>
                  <w:sz w:val="22"/>
                  <w:szCs w:val="22"/>
                  <w:color w:val="0563C1"/>
                </w:rPr>
                <w:t>Exhibits</w:t>
              </w:r>
            </w:hyperlink>
          </w:p>
        </w:tc>
        <w:tc>
          <w:tcPr>
            <w:tcW w:w="182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2"/>
                <w:szCs w:val="22"/>
                <w:color w:val="auto"/>
              </w:rPr>
              <w:t>53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tcBorders>
              <w:top w:val="single" w:sz="8" w:color="0563C1"/>
            </w:tcBorders>
            <w:gridSpan w:val="2"/>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Borders>
              <w:bottom w:val="single" w:sz="8" w:color="0563C1"/>
            </w:tcBorders>
            <w:gridSpan w:val="2"/>
            <w:shd w:val="clear" w:color="auto" w:fill="CCEEFF"/>
          </w:tcPr>
          <w:p>
            <w:pPr>
              <w:spacing w:after="0" w:line="216" w:lineRule="exact"/>
              <w:rPr>
                <w:rFonts w:ascii="Arial" w:cs="Arial" w:eastAsia="Arial" w:hAnsi="Arial"/>
                <w:sz w:val="22"/>
                <w:szCs w:val="22"/>
                <w:color w:val="0563C1"/>
                <w:w w:val="85"/>
              </w:rPr>
            </w:pPr>
            <w:hyperlink w:anchor="page56">
              <w:r>
                <w:rPr>
                  <w:rFonts w:ascii="Arial" w:cs="Arial" w:eastAsia="Arial" w:hAnsi="Arial"/>
                  <w:sz w:val="22"/>
                  <w:szCs w:val="22"/>
                  <w:color w:val="0563C1"/>
                  <w:w w:val="85"/>
                </w:rPr>
                <w:t>Signatures</w:t>
              </w:r>
            </w:hyperlink>
          </w:p>
        </w:tc>
        <w:tc>
          <w:tcPr>
            <w:tcW w:w="8500" w:type="dxa"/>
            <w:vAlign w:val="bottom"/>
            <w:tcBorders>
              <w:bottom w:val="single" w:sz="8" w:color="CCEEFF"/>
            </w:tcBorders>
            <w:gridSpan w:val="29"/>
            <w:shd w:val="clear" w:color="auto" w:fill="CCEEFF"/>
          </w:tcPr>
          <w:p>
            <w:pPr>
              <w:spacing w:after="0"/>
              <w:rPr>
                <w:sz w:val="19"/>
                <w:szCs w:val="19"/>
                <w:color w:val="auto"/>
              </w:rPr>
            </w:pPr>
          </w:p>
        </w:tc>
        <w:tc>
          <w:tcPr>
            <w:tcW w:w="1820" w:type="dxa"/>
            <w:vAlign w:val="bottom"/>
            <w:tcBorders>
              <w:bottom w:val="single" w:sz="8" w:color="CCEEFF"/>
            </w:tcBorders>
            <w:gridSpan w:val="2"/>
            <w:shd w:val="clear" w:color="auto" w:fill="CCEEFF"/>
          </w:tcPr>
          <w:p>
            <w:pPr>
              <w:jc w:val="right"/>
              <w:spacing w:after="0" w:line="216" w:lineRule="exact"/>
              <w:rPr>
                <w:sz w:val="20"/>
                <w:szCs w:val="20"/>
                <w:color w:val="auto"/>
              </w:rPr>
            </w:pPr>
            <w:r>
              <w:rPr>
                <w:rFonts w:ascii="Arial" w:cs="Arial" w:eastAsia="Arial" w:hAnsi="Arial"/>
                <w:sz w:val="22"/>
                <w:szCs w:val="22"/>
                <w:color w:val="auto"/>
              </w:rPr>
              <w:t>54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79"/>
        </w:trPr>
        <w:tc>
          <w:tcPr>
            <w:tcW w:w="660" w:type="dxa"/>
            <w:vAlign w:val="bottom"/>
          </w:tcPr>
          <w:p>
            <w:pPr>
              <w:spacing w:after="0"/>
              <w:rPr>
                <w:sz w:val="24"/>
                <w:szCs w:val="24"/>
                <w:color w:val="auto"/>
              </w:rPr>
            </w:pPr>
          </w:p>
        </w:tc>
        <w:tc>
          <w:tcPr>
            <w:tcW w:w="5280" w:type="dxa"/>
            <w:vAlign w:val="bottom"/>
            <w:gridSpan w:val="24"/>
          </w:tcPr>
          <w:p>
            <w:pPr>
              <w:jc w:val="center"/>
              <w:ind w:left="4552"/>
              <w:spacing w:after="0"/>
              <w:rPr>
                <w:sz w:val="20"/>
                <w:szCs w:val="20"/>
                <w:color w:val="auto"/>
              </w:rPr>
            </w:pPr>
            <w:r>
              <w:rPr>
                <w:rFonts w:ascii="Arial" w:cs="Arial" w:eastAsia="Arial" w:hAnsi="Arial"/>
                <w:sz w:val="22"/>
                <w:szCs w:val="22"/>
                <w:color w:val="auto"/>
                <w:w w:val="81"/>
              </w:rPr>
              <w:t>1</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6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 w:right="339" w:bottom="1440" w:gutter="0" w:footer="0" w:header="0"/>
        </w:sectPr>
      </w:pPr>
    </w:p>
    <w:bookmarkStart w:id="2" w:name="page3"/>
    <w:bookmarkEnd w:id="2"/>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75"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CONSOLIDATED BALANCE SHEETS</w:t>
      </w:r>
    </w:p>
    <w:p>
      <w:pPr>
        <w:jc w:val="center"/>
        <w:ind w:right="40"/>
        <w:spacing w:after="0" w:line="192"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80" w:type="dxa"/>
            <w:vAlign w:val="bottom"/>
            <w:vMerge w:val="restart"/>
          </w:tcPr>
          <w:p>
            <w:pPr>
              <w:ind w:left="3940"/>
              <w:spacing w:after="0"/>
              <w:rPr>
                <w:sz w:val="20"/>
                <w:szCs w:val="20"/>
                <w:color w:val="auto"/>
              </w:rPr>
            </w:pPr>
            <w:r>
              <w:rPr>
                <w:rFonts w:ascii="Arial" w:cs="Arial" w:eastAsia="Arial" w:hAnsi="Arial"/>
                <w:sz w:val="16"/>
                <w:szCs w:val="16"/>
                <w:color w:val="auto"/>
              </w:rPr>
              <w:t>Assets</w:t>
            </w:r>
          </w:p>
        </w:tc>
        <w:tc>
          <w:tcPr>
            <w:tcW w:w="240" w:type="dxa"/>
            <w:vAlign w:val="bottom"/>
          </w:tcPr>
          <w:p>
            <w:pPr>
              <w:spacing w:after="0"/>
              <w:rPr>
                <w:sz w:val="16"/>
                <w:szCs w:val="16"/>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6"/>
                <w:szCs w:val="16"/>
                <w:color w:val="auto"/>
              </w:rPr>
              <w:t>June 30,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w w:val="91"/>
              </w:rPr>
              <w:t>December 31,</w:t>
            </w:r>
          </w:p>
        </w:tc>
        <w:tc>
          <w:tcPr>
            <w:tcW w:w="0" w:type="dxa"/>
            <w:vAlign w:val="bottom"/>
          </w:tcPr>
          <w:p>
            <w:pPr>
              <w:spacing w:after="0"/>
              <w:rPr>
                <w:sz w:val="1"/>
                <w:szCs w:val="1"/>
                <w:color w:val="auto"/>
              </w:rPr>
            </w:pPr>
          </w:p>
        </w:tc>
      </w:tr>
      <w:tr>
        <w:trPr>
          <w:trHeight w:val="185"/>
        </w:trPr>
        <w:tc>
          <w:tcPr>
            <w:tcW w:w="84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56"/>
        </w:trPr>
        <w:tc>
          <w:tcPr>
            <w:tcW w:w="848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Property, plant and equipment, at cost</w:t>
            </w:r>
          </w:p>
        </w:tc>
        <w:tc>
          <w:tcPr>
            <w:tcW w:w="240" w:type="dxa"/>
            <w:vAlign w:val="bottom"/>
            <w:shd w:val="clear" w:color="auto" w:fill="CCEEFF"/>
          </w:tcPr>
          <w:p>
            <w:pPr>
              <w:jc w:val="right"/>
              <w:ind w:right="84"/>
              <w:spacing w:after="0" w:line="156" w:lineRule="exact"/>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11,977,707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11,620,019</w:t>
            </w:r>
          </w:p>
        </w:tc>
        <w:tc>
          <w:tcPr>
            <w:tcW w:w="0" w:type="dxa"/>
            <w:vAlign w:val="bottom"/>
          </w:tcPr>
          <w:p>
            <w:pPr>
              <w:spacing w:after="0"/>
              <w:rPr>
                <w:sz w:val="1"/>
                <w:szCs w:val="1"/>
                <w:color w:val="auto"/>
              </w:rPr>
            </w:pPr>
          </w:p>
        </w:tc>
      </w:tr>
      <w:tr>
        <w:trPr>
          <w:trHeight w:val="162"/>
        </w:trPr>
        <w:tc>
          <w:tcPr>
            <w:tcW w:w="8480" w:type="dxa"/>
            <w:vAlign w:val="bottom"/>
          </w:tcPr>
          <w:p>
            <w:pPr>
              <w:spacing w:after="0" w:line="162" w:lineRule="exact"/>
              <w:rPr>
                <w:sz w:val="20"/>
                <w:szCs w:val="20"/>
                <w:color w:val="auto"/>
              </w:rPr>
            </w:pPr>
            <w:r>
              <w:rPr>
                <w:rFonts w:ascii="Arial" w:cs="Arial" w:eastAsia="Arial" w:hAnsi="Arial"/>
                <w:sz w:val="16"/>
                <w:szCs w:val="16"/>
                <w:color w:val="auto"/>
              </w:rPr>
              <w:t>Less: accumulated depreciation</w:t>
            </w:r>
          </w:p>
        </w:tc>
        <w:tc>
          <w:tcPr>
            <w:tcW w:w="240" w:type="dxa"/>
            <w:vAlign w:val="bottom"/>
          </w:tcPr>
          <w:p>
            <w:pPr>
              <w:spacing w:after="0"/>
              <w:rPr>
                <w:sz w:val="14"/>
                <w:szCs w:val="14"/>
                <w:color w:val="auto"/>
              </w:rPr>
            </w:pPr>
          </w:p>
        </w:tc>
        <w:tc>
          <w:tcPr>
            <w:tcW w:w="118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2,270,344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2,107,142</w:t>
            </w:r>
          </w:p>
        </w:tc>
        <w:tc>
          <w:tcPr>
            <w:tcW w:w="0" w:type="dxa"/>
            <w:vAlign w:val="bottom"/>
          </w:tcPr>
          <w:p>
            <w:pPr>
              <w:spacing w:after="0"/>
              <w:rPr>
                <w:sz w:val="1"/>
                <w:szCs w:val="1"/>
                <w:color w:val="auto"/>
              </w:rPr>
            </w:pPr>
          </w:p>
        </w:tc>
      </w:tr>
      <w:tr>
        <w:trPr>
          <w:trHeight w:val="156"/>
        </w:trPr>
        <w:tc>
          <w:tcPr>
            <w:tcW w:w="84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Net property, plant and equipment</w:t>
            </w: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9,707,363</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9,512,877</w:t>
            </w:r>
          </w:p>
        </w:tc>
        <w:tc>
          <w:tcPr>
            <w:tcW w:w="0" w:type="dxa"/>
            <w:vAlign w:val="bottom"/>
          </w:tcPr>
          <w:p>
            <w:pPr>
              <w:spacing w:after="0"/>
              <w:rPr>
                <w:sz w:val="1"/>
                <w:szCs w:val="1"/>
                <w:color w:val="auto"/>
              </w:rPr>
            </w:pPr>
          </w:p>
        </w:tc>
      </w:tr>
      <w:tr>
        <w:trPr>
          <w:trHeight w:val="155"/>
        </w:trPr>
        <w:tc>
          <w:tcPr>
            <w:tcW w:w="8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Current assets:</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tcPr>
          <w:p>
            <w:pPr>
              <w:ind w:left="120"/>
              <w:spacing w:after="0" w:line="162" w:lineRule="exact"/>
              <w:rPr>
                <w:sz w:val="20"/>
                <w:szCs w:val="20"/>
                <w:color w:val="auto"/>
              </w:rPr>
            </w:pPr>
            <w:r>
              <w:rPr>
                <w:rFonts w:ascii="Arial" w:cs="Arial" w:eastAsia="Arial" w:hAnsi="Arial"/>
                <w:sz w:val="16"/>
                <w:szCs w:val="16"/>
                <w:color w:val="auto"/>
              </w:rPr>
              <w:t>Cash and cash equivalents</w:t>
            </w:r>
          </w:p>
        </w:tc>
        <w:tc>
          <w:tcPr>
            <w:tcW w:w="240" w:type="dxa"/>
            <w:vAlign w:val="bottom"/>
          </w:tcPr>
          <w:p>
            <w:pPr>
              <w:spacing w:after="0"/>
              <w:rPr>
                <w:sz w:val="14"/>
                <w:szCs w:val="14"/>
                <w:color w:val="auto"/>
              </w:rPr>
            </w:pPr>
          </w:p>
        </w:tc>
        <w:tc>
          <w:tcPr>
            <w:tcW w:w="118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8,404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4,827</w:t>
            </w: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Accounts receivable, net</w:t>
            </w:r>
          </w:p>
        </w:tc>
        <w:tc>
          <w:tcPr>
            <w:tcW w:w="2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129,151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154,775</w:t>
            </w:r>
          </w:p>
        </w:tc>
        <w:tc>
          <w:tcPr>
            <w:tcW w:w="0" w:type="dxa"/>
            <w:vAlign w:val="bottom"/>
          </w:tcPr>
          <w:p>
            <w:pPr>
              <w:spacing w:after="0"/>
              <w:rPr>
                <w:sz w:val="1"/>
                <w:szCs w:val="1"/>
                <w:color w:val="auto"/>
              </w:rPr>
            </w:pPr>
          </w:p>
        </w:tc>
      </w:tr>
      <w:tr>
        <w:trPr>
          <w:trHeight w:val="162"/>
        </w:trPr>
        <w:tc>
          <w:tcPr>
            <w:tcW w:w="8480" w:type="dxa"/>
            <w:vAlign w:val="bottom"/>
          </w:tcPr>
          <w:p>
            <w:pPr>
              <w:ind w:left="120"/>
              <w:spacing w:after="0" w:line="162" w:lineRule="exact"/>
              <w:rPr>
                <w:sz w:val="20"/>
                <w:szCs w:val="20"/>
                <w:color w:val="auto"/>
              </w:rPr>
            </w:pPr>
            <w:r>
              <w:rPr>
                <w:rFonts w:ascii="Arial" w:cs="Arial" w:eastAsia="Arial" w:hAnsi="Arial"/>
                <w:sz w:val="16"/>
                <w:szCs w:val="16"/>
                <w:color w:val="auto"/>
              </w:rPr>
              <w:t>Unbilled revenues</w:t>
            </w:r>
          </w:p>
        </w:tc>
        <w:tc>
          <w:tcPr>
            <w:tcW w:w="240" w:type="dxa"/>
            <w:vAlign w:val="bottom"/>
          </w:tcPr>
          <w:p>
            <w:pPr>
              <w:spacing w:after="0"/>
              <w:rPr>
                <w:sz w:val="14"/>
                <w:szCs w:val="14"/>
                <w:color w:val="auto"/>
              </w:rPr>
            </w:pPr>
          </w:p>
        </w:tc>
        <w:tc>
          <w:tcPr>
            <w:tcW w:w="118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63,912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118,538</w:t>
            </w: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Inventory - materials and supplies</w:t>
            </w:r>
          </w:p>
        </w:tc>
        <w:tc>
          <w:tcPr>
            <w:tcW w:w="2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27,755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21,669</w:t>
            </w:r>
          </w:p>
        </w:tc>
        <w:tc>
          <w:tcPr>
            <w:tcW w:w="0" w:type="dxa"/>
            <w:vAlign w:val="bottom"/>
          </w:tcPr>
          <w:p>
            <w:pPr>
              <w:spacing w:after="0"/>
              <w:rPr>
                <w:sz w:val="1"/>
                <w:szCs w:val="1"/>
                <w:color w:val="auto"/>
              </w:rPr>
            </w:pPr>
          </w:p>
        </w:tc>
      </w:tr>
      <w:tr>
        <w:trPr>
          <w:trHeight w:val="162"/>
        </w:trPr>
        <w:tc>
          <w:tcPr>
            <w:tcW w:w="8480" w:type="dxa"/>
            <w:vAlign w:val="bottom"/>
          </w:tcPr>
          <w:p>
            <w:pPr>
              <w:ind w:left="120"/>
              <w:spacing w:after="0" w:line="162" w:lineRule="exact"/>
              <w:rPr>
                <w:sz w:val="20"/>
                <w:szCs w:val="20"/>
                <w:color w:val="auto"/>
              </w:rPr>
            </w:pPr>
            <w:r>
              <w:rPr>
                <w:rFonts w:ascii="Arial" w:cs="Arial" w:eastAsia="Arial" w:hAnsi="Arial"/>
                <w:sz w:val="16"/>
                <w:szCs w:val="16"/>
                <w:color w:val="auto"/>
              </w:rPr>
              <w:t>Inventory - gas stored</w:t>
            </w:r>
          </w:p>
        </w:tc>
        <w:tc>
          <w:tcPr>
            <w:tcW w:w="240" w:type="dxa"/>
            <w:vAlign w:val="bottom"/>
          </w:tcPr>
          <w:p>
            <w:pPr>
              <w:spacing w:after="0"/>
              <w:rPr>
                <w:sz w:val="14"/>
                <w:szCs w:val="14"/>
                <w:color w:val="auto"/>
              </w:rPr>
            </w:pPr>
          </w:p>
        </w:tc>
        <w:tc>
          <w:tcPr>
            <w:tcW w:w="118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35,627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36,732</w:t>
            </w: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Prepayments and other current assets</w:t>
            </w:r>
          </w:p>
        </w:tc>
        <w:tc>
          <w:tcPr>
            <w:tcW w:w="2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29,440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38,594</w:t>
            </w:r>
          </w:p>
        </w:tc>
        <w:tc>
          <w:tcPr>
            <w:tcW w:w="0" w:type="dxa"/>
            <w:vAlign w:val="bottom"/>
          </w:tcPr>
          <w:p>
            <w:pPr>
              <w:spacing w:after="0"/>
              <w:rPr>
                <w:sz w:val="1"/>
                <w:szCs w:val="1"/>
                <w:color w:val="auto"/>
              </w:rPr>
            </w:pPr>
          </w:p>
        </w:tc>
      </w:tr>
      <w:tr>
        <w:trPr>
          <w:trHeight w:val="162"/>
        </w:trPr>
        <w:tc>
          <w:tcPr>
            <w:tcW w:w="8480" w:type="dxa"/>
            <w:vAlign w:val="bottom"/>
          </w:tcPr>
          <w:p>
            <w:pPr>
              <w:ind w:left="120"/>
              <w:spacing w:after="0" w:line="162" w:lineRule="exact"/>
              <w:rPr>
                <w:sz w:val="20"/>
                <w:szCs w:val="20"/>
                <w:color w:val="auto"/>
              </w:rPr>
            </w:pPr>
            <w:r>
              <w:rPr>
                <w:rFonts w:ascii="Arial" w:cs="Arial" w:eastAsia="Arial" w:hAnsi="Arial"/>
                <w:sz w:val="16"/>
                <w:szCs w:val="16"/>
                <w:color w:val="auto"/>
              </w:rPr>
              <w:t>Regulatory assets</w:t>
            </w:r>
          </w:p>
        </w:tc>
        <w:tc>
          <w:tcPr>
            <w:tcW w:w="240" w:type="dxa"/>
            <w:vAlign w:val="bottom"/>
          </w:tcPr>
          <w:p>
            <w:pPr>
              <w:spacing w:after="0"/>
              <w:rPr>
                <w:sz w:val="14"/>
                <w:szCs w:val="14"/>
                <w:color w:val="auto"/>
              </w:rPr>
            </w:pPr>
          </w:p>
        </w:tc>
        <w:tc>
          <w:tcPr>
            <w:tcW w:w="118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10,443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5,085</w:t>
            </w:r>
          </w:p>
        </w:tc>
        <w:tc>
          <w:tcPr>
            <w:tcW w:w="0" w:type="dxa"/>
            <w:vAlign w:val="bottom"/>
          </w:tcPr>
          <w:p>
            <w:pPr>
              <w:spacing w:after="0"/>
              <w:rPr>
                <w:sz w:val="1"/>
                <w:szCs w:val="1"/>
                <w:color w:val="auto"/>
              </w:rPr>
            </w:pPr>
          </w:p>
        </w:tc>
      </w:tr>
      <w:tr>
        <w:trPr>
          <w:trHeight w:val="156"/>
        </w:trPr>
        <w:tc>
          <w:tcPr>
            <w:tcW w:w="84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304,732</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380,220</w:t>
            </w:r>
          </w:p>
        </w:tc>
        <w:tc>
          <w:tcPr>
            <w:tcW w:w="0" w:type="dxa"/>
            <w:vAlign w:val="bottom"/>
          </w:tcPr>
          <w:p>
            <w:pPr>
              <w:spacing w:after="0"/>
              <w:rPr>
                <w:sz w:val="1"/>
                <w:szCs w:val="1"/>
                <w:color w:val="auto"/>
              </w:rPr>
            </w:pPr>
          </w:p>
        </w:tc>
      </w:tr>
      <w:tr>
        <w:trPr>
          <w:trHeight w:val="156"/>
        </w:trPr>
        <w:tc>
          <w:tcPr>
            <w:tcW w:w="8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Regulatory assets</w:t>
            </w:r>
          </w:p>
        </w:tc>
        <w:tc>
          <w:tcPr>
            <w:tcW w:w="2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1,400,215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1,362,788</w:t>
            </w:r>
          </w:p>
        </w:tc>
        <w:tc>
          <w:tcPr>
            <w:tcW w:w="0" w:type="dxa"/>
            <w:vAlign w:val="bottom"/>
          </w:tcPr>
          <w:p>
            <w:pPr>
              <w:spacing w:after="0"/>
              <w:rPr>
                <w:sz w:val="1"/>
                <w:szCs w:val="1"/>
                <w:color w:val="auto"/>
              </w:rPr>
            </w:pPr>
          </w:p>
        </w:tc>
      </w:tr>
      <w:tr>
        <w:trPr>
          <w:trHeight w:val="162"/>
        </w:trPr>
        <w:tc>
          <w:tcPr>
            <w:tcW w:w="8480" w:type="dxa"/>
            <w:vAlign w:val="bottom"/>
          </w:tcPr>
          <w:p>
            <w:pPr>
              <w:spacing w:after="0" w:line="162" w:lineRule="exact"/>
              <w:rPr>
                <w:sz w:val="20"/>
                <w:szCs w:val="20"/>
                <w:color w:val="auto"/>
              </w:rPr>
            </w:pPr>
            <w:r>
              <w:rPr>
                <w:rFonts w:ascii="Arial" w:cs="Arial" w:eastAsia="Arial" w:hAnsi="Arial"/>
                <w:sz w:val="16"/>
                <w:szCs w:val="16"/>
                <w:color w:val="auto"/>
              </w:rPr>
              <w:t>Deferred charges and other assets, net</w:t>
            </w:r>
          </w:p>
        </w:tc>
        <w:tc>
          <w:tcPr>
            <w:tcW w:w="240" w:type="dxa"/>
            <w:vAlign w:val="bottom"/>
          </w:tcPr>
          <w:p>
            <w:pPr>
              <w:spacing w:after="0"/>
              <w:rPr>
                <w:sz w:val="14"/>
                <w:szCs w:val="14"/>
                <w:color w:val="auto"/>
              </w:rPr>
            </w:pPr>
          </w:p>
        </w:tc>
        <w:tc>
          <w:tcPr>
            <w:tcW w:w="118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115,692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56,002</w:t>
            </w: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Funds restricted for construction activity</w:t>
            </w:r>
          </w:p>
        </w:tc>
        <w:tc>
          <w:tcPr>
            <w:tcW w:w="2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1,268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1,268</w:t>
            </w:r>
          </w:p>
        </w:tc>
        <w:tc>
          <w:tcPr>
            <w:tcW w:w="0" w:type="dxa"/>
            <w:vAlign w:val="bottom"/>
          </w:tcPr>
          <w:p>
            <w:pPr>
              <w:spacing w:after="0"/>
              <w:rPr>
                <w:sz w:val="1"/>
                <w:szCs w:val="1"/>
                <w:color w:val="auto"/>
              </w:rPr>
            </w:pPr>
          </w:p>
        </w:tc>
      </w:tr>
      <w:tr>
        <w:trPr>
          <w:trHeight w:val="162"/>
        </w:trPr>
        <w:tc>
          <w:tcPr>
            <w:tcW w:w="8480" w:type="dxa"/>
            <w:vAlign w:val="bottom"/>
          </w:tcPr>
          <w:p>
            <w:pPr>
              <w:spacing w:after="0" w:line="162" w:lineRule="exact"/>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4"/>
                <w:szCs w:val="14"/>
                <w:color w:val="auto"/>
              </w:rPr>
            </w:pPr>
          </w:p>
        </w:tc>
        <w:tc>
          <w:tcPr>
            <w:tcW w:w="118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2,340,836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2,324,547</w:t>
            </w: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Operating lease right-of-use assets</w:t>
            </w:r>
          </w:p>
        </w:tc>
        <w:tc>
          <w:tcPr>
            <w:tcW w:w="2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57,154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60,334</w:t>
            </w:r>
          </w:p>
        </w:tc>
        <w:tc>
          <w:tcPr>
            <w:tcW w:w="0" w:type="dxa"/>
            <w:vAlign w:val="bottom"/>
          </w:tcPr>
          <w:p>
            <w:pPr>
              <w:spacing w:after="0"/>
              <w:rPr>
                <w:sz w:val="1"/>
                <w:szCs w:val="1"/>
                <w:color w:val="auto"/>
              </w:rPr>
            </w:pPr>
          </w:p>
        </w:tc>
      </w:tr>
      <w:tr>
        <w:trPr>
          <w:trHeight w:val="162"/>
        </w:trPr>
        <w:tc>
          <w:tcPr>
            <w:tcW w:w="8480" w:type="dxa"/>
            <w:vAlign w:val="bottom"/>
          </w:tcPr>
          <w:p>
            <w:pPr>
              <w:spacing w:after="0" w:line="162" w:lineRule="exact"/>
              <w:rPr>
                <w:sz w:val="20"/>
                <w:szCs w:val="20"/>
                <w:color w:val="auto"/>
              </w:rPr>
            </w:pPr>
            <w:r>
              <w:rPr>
                <w:rFonts w:ascii="Arial" w:cs="Arial" w:eastAsia="Arial" w:hAnsi="Arial"/>
                <w:sz w:val="16"/>
                <w:szCs w:val="16"/>
                <w:color w:val="auto"/>
              </w:rPr>
              <w:t>Intangible assets</w:t>
            </w:r>
          </w:p>
        </w:tc>
        <w:tc>
          <w:tcPr>
            <w:tcW w:w="240" w:type="dxa"/>
            <w:vAlign w:val="bottom"/>
          </w:tcPr>
          <w:p>
            <w:pPr>
              <w:spacing w:after="0"/>
              <w:rPr>
                <w:sz w:val="14"/>
                <w:szCs w:val="14"/>
                <w:color w:val="auto"/>
              </w:rPr>
            </w:pPr>
          </w:p>
        </w:tc>
        <w:tc>
          <w:tcPr>
            <w:tcW w:w="118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6,732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7,241</w:t>
            </w:r>
          </w:p>
        </w:tc>
        <w:tc>
          <w:tcPr>
            <w:tcW w:w="0" w:type="dxa"/>
            <w:vAlign w:val="bottom"/>
          </w:tcPr>
          <w:p>
            <w:pPr>
              <w:spacing w:after="0"/>
              <w:rPr>
                <w:sz w:val="1"/>
                <w:szCs w:val="1"/>
                <w:color w:val="auto"/>
              </w:rPr>
            </w:pPr>
          </w:p>
        </w:tc>
      </w:tr>
      <w:tr>
        <w:trPr>
          <w:trHeight w:val="156"/>
        </w:trPr>
        <w:tc>
          <w:tcPr>
            <w:tcW w:w="848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Total assets</w:t>
            </w:r>
          </w:p>
        </w:tc>
        <w:tc>
          <w:tcPr>
            <w:tcW w:w="240" w:type="dxa"/>
            <w:vAlign w:val="bottom"/>
            <w:tcBorders>
              <w:top w:val="single" w:sz="8" w:color="auto"/>
              <w:bottom w:val="single" w:sz="8" w:color="auto"/>
            </w:tcBorders>
            <w:shd w:val="clear" w:color="auto" w:fill="CCEEFF"/>
          </w:tcPr>
          <w:p>
            <w:pPr>
              <w:jc w:val="right"/>
              <w:ind w:right="84"/>
              <w:spacing w:after="0" w:line="156" w:lineRule="exact"/>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13,933,992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13,705,277</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84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 w:name="page4"/>
    <w:bookmarkEnd w:id="3"/>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75"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CONSOLIDATED BALANCE SHEETS (continued)</w:t>
      </w:r>
    </w:p>
    <w:p>
      <w:pPr>
        <w:ind w:left="3380"/>
        <w:spacing w:after="0" w:line="192"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60" w:type="dxa"/>
            <w:vAlign w:val="bottom"/>
            <w:vMerge w:val="restart"/>
          </w:tcPr>
          <w:p>
            <w:pPr>
              <w:ind w:left="3500"/>
              <w:spacing w:after="0"/>
              <w:rPr>
                <w:sz w:val="20"/>
                <w:szCs w:val="20"/>
                <w:color w:val="auto"/>
              </w:rPr>
            </w:pPr>
            <w:r>
              <w:rPr>
                <w:rFonts w:ascii="Arial" w:cs="Arial" w:eastAsia="Arial" w:hAnsi="Arial"/>
                <w:sz w:val="16"/>
                <w:szCs w:val="16"/>
                <w:color w:val="auto"/>
              </w:rPr>
              <w:t>Liabilities and Equity</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6"/>
                <w:szCs w:val="16"/>
                <w:color w:val="auto"/>
              </w:rPr>
              <w:t>June 30,</w:t>
            </w:r>
          </w:p>
        </w:tc>
        <w:tc>
          <w:tcPr>
            <w:tcW w:w="10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185"/>
        </w:trPr>
        <w:tc>
          <w:tcPr>
            <w:tcW w:w="83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2021</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360" w:type="dxa"/>
            <w:vAlign w:val="bottom"/>
          </w:tcPr>
          <w:p>
            <w:pPr>
              <w:spacing w:after="0" w:line="155" w:lineRule="exact"/>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8360" w:type="dxa"/>
            <w:vAlign w:val="bottom"/>
            <w:shd w:val="clear" w:color="auto" w:fill="CCEEFF"/>
          </w:tcPr>
          <w:p>
            <w:pPr>
              <w:ind w:left="120"/>
              <w:spacing w:after="0" w:line="138" w:lineRule="exact"/>
              <w:rPr>
                <w:sz w:val="20"/>
                <w:szCs w:val="20"/>
                <w:color w:val="auto"/>
              </w:rPr>
            </w:pPr>
            <w:r>
              <w:rPr>
                <w:rFonts w:ascii="Arial" w:cs="Arial" w:eastAsia="Arial" w:hAnsi="Arial"/>
                <w:sz w:val="16"/>
                <w:szCs w:val="16"/>
                <w:color w:val="auto"/>
                <w:w w:val="92"/>
              </w:rPr>
              <w:t>Common stock at $0.50 par value, authorized 600,000,000 shares, issued 249,001,181 and 248,571,355 as of June 30, 2021</w:t>
            </w:r>
          </w:p>
        </w:tc>
        <w:tc>
          <w:tcPr>
            <w:tcW w:w="480" w:type="dxa"/>
            <w:vAlign w:val="bottom"/>
            <w:gridSpan w:val="2"/>
            <w:vMerge w:val="restart"/>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124,500</w:t>
            </w:r>
          </w:p>
        </w:tc>
        <w:tc>
          <w:tcPr>
            <w:tcW w:w="1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124,285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8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and December 31, 2020</w:t>
            </w:r>
          </w:p>
        </w:tc>
        <w:tc>
          <w:tcPr>
            <w:tcW w:w="480" w:type="dxa"/>
            <w:vAlign w:val="bottom"/>
            <w:gridSpan w:val="2"/>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360" w:type="dxa"/>
            <w:vAlign w:val="bottom"/>
          </w:tcPr>
          <w:p>
            <w:pPr>
              <w:ind w:left="120"/>
              <w:spacing w:after="0" w:line="162" w:lineRule="exact"/>
              <w:rPr>
                <w:sz w:val="20"/>
                <w:szCs w:val="20"/>
                <w:color w:val="auto"/>
              </w:rPr>
            </w:pPr>
            <w:r>
              <w:rPr>
                <w:rFonts w:ascii="Arial" w:cs="Arial" w:eastAsia="Arial" w:hAnsi="Arial"/>
                <w:sz w:val="16"/>
                <w:szCs w:val="16"/>
                <w:color w:val="auto"/>
              </w:rPr>
              <w:t>Capital in excess of par value</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3,393,372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3,379,057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Retained earnings</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1,403,041</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1,261,862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60" w:type="dxa"/>
            <w:vAlign w:val="bottom"/>
          </w:tcPr>
          <w:p>
            <w:pPr>
              <w:ind w:left="120"/>
              <w:spacing w:after="0" w:line="162" w:lineRule="exact"/>
              <w:rPr>
                <w:sz w:val="20"/>
                <w:szCs w:val="20"/>
                <w:color w:val="auto"/>
              </w:rPr>
            </w:pPr>
            <w:r>
              <w:rPr>
                <w:rFonts w:ascii="Arial" w:cs="Arial" w:eastAsia="Arial" w:hAnsi="Arial"/>
                <w:sz w:val="16"/>
                <w:szCs w:val="16"/>
                <w:color w:val="auto"/>
              </w:rPr>
              <w:t>Treasury stock, at cost, 3,246,023 and 3,180,887 shares as of June 30, 2021 and December 31, 2020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rPr>
              <w:t>(84,098)</w:t>
            </w:r>
          </w:p>
        </w:tc>
        <w:tc>
          <w:tcPr>
            <w:tcW w:w="1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(81,327)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36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Total stockholders' equity</w:t>
            </w:r>
          </w:p>
        </w:tc>
        <w:tc>
          <w:tcPr>
            <w:tcW w:w="2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4,836,815</w:t>
            </w: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4,683,877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36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Long-term debt, excluding current portion</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5,689,430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5,545,890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60" w:type="dxa"/>
            <w:vAlign w:val="bottom"/>
            <w:tcBorders>
              <w:bottom w:val="single" w:sz="8" w:color="CCEEFF"/>
            </w:tcBorders>
          </w:tcPr>
          <w:p>
            <w:pPr>
              <w:spacing w:after="0" w:line="162" w:lineRule="exact"/>
              <w:rPr>
                <w:sz w:val="20"/>
                <w:szCs w:val="20"/>
                <w:color w:val="auto"/>
              </w:rPr>
            </w:pPr>
            <w:r>
              <w:rPr>
                <w:rFonts w:ascii="Arial" w:cs="Arial" w:eastAsia="Arial" w:hAnsi="Arial"/>
                <w:sz w:val="16"/>
                <w:szCs w:val="16"/>
                <w:color w:val="auto"/>
              </w:rPr>
              <w:t>Less: debt issuance costs</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41,198</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38,146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36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Long-term debt, excluding current portion, net of debt issuance costs</w:t>
            </w:r>
          </w:p>
        </w:tc>
        <w:tc>
          <w:tcPr>
            <w:tcW w:w="24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5,648,232</w:t>
            </w:r>
          </w:p>
        </w:tc>
        <w:tc>
          <w:tcPr>
            <w:tcW w:w="1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5,507,744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8360" w:type="dxa"/>
            <w:vAlign w:val="bottom"/>
          </w:tcPr>
          <w:p>
            <w:pPr>
              <w:spacing w:after="0"/>
              <w:rPr>
                <w:sz w:val="20"/>
                <w:szCs w:val="20"/>
                <w:color w:val="auto"/>
              </w:rPr>
            </w:pPr>
            <w:r>
              <w:rPr>
                <w:rFonts w:ascii="Arial" w:cs="Arial" w:eastAsia="Arial" w:hAnsi="Arial"/>
                <w:sz w:val="16"/>
                <w:szCs w:val="16"/>
                <w:color w:val="auto"/>
              </w:rPr>
              <w:t>Commitments and contingencies (See Note 14)</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1"/>
        </w:trPr>
        <w:tc>
          <w:tcPr>
            <w:tcW w:w="8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36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60" w:type="dxa"/>
            <w:vAlign w:val="bottom"/>
          </w:tcPr>
          <w:p>
            <w:pPr>
              <w:ind w:left="120"/>
              <w:spacing w:after="0" w:line="162" w:lineRule="exact"/>
              <w:rPr>
                <w:sz w:val="20"/>
                <w:szCs w:val="20"/>
                <w:color w:val="auto"/>
              </w:rPr>
            </w:pPr>
            <w:r>
              <w:rPr>
                <w:rFonts w:ascii="Arial" w:cs="Arial" w:eastAsia="Arial" w:hAnsi="Arial"/>
                <w:sz w:val="16"/>
                <w:szCs w:val="16"/>
                <w:color w:val="auto"/>
              </w:rPr>
              <w:t>Current portion of long-term debt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79,660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84,353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Loans payable</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71,849</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78,198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60" w:type="dxa"/>
            <w:vAlign w:val="bottom"/>
          </w:tcPr>
          <w:p>
            <w:pPr>
              <w:ind w:left="120"/>
              <w:spacing w:after="0" w:line="162" w:lineRule="exact"/>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131,815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177,489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Book overdraft</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13,408</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44,003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60" w:type="dxa"/>
            <w:vAlign w:val="bottom"/>
          </w:tcPr>
          <w:p>
            <w:pPr>
              <w:ind w:left="120"/>
              <w:spacing w:after="0" w:line="162" w:lineRule="exact"/>
              <w:rPr>
                <w:sz w:val="20"/>
                <w:szCs w:val="20"/>
                <w:color w:val="auto"/>
              </w:rPr>
            </w:pPr>
            <w:r>
              <w:rPr>
                <w:rFonts w:ascii="Arial" w:cs="Arial" w:eastAsia="Arial" w:hAnsi="Arial"/>
                <w:sz w:val="16"/>
                <w:szCs w:val="16"/>
                <w:color w:val="auto"/>
              </w:rPr>
              <w:t>Accrued interest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43,731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39,408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Accrued taxes</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15,307</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37,172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60" w:type="dxa"/>
            <w:vAlign w:val="bottom"/>
          </w:tcPr>
          <w:p>
            <w:pPr>
              <w:ind w:left="120"/>
              <w:spacing w:after="0" w:line="162" w:lineRule="exact"/>
              <w:rPr>
                <w:sz w:val="20"/>
                <w:szCs w:val="20"/>
                <w:color w:val="auto"/>
              </w:rPr>
            </w:pPr>
            <w:r>
              <w:rPr>
                <w:rFonts w:ascii="Arial" w:cs="Arial" w:eastAsia="Arial" w:hAnsi="Arial"/>
                <w:sz w:val="16"/>
                <w:szCs w:val="16"/>
                <w:color w:val="auto"/>
              </w:rPr>
              <w:t>Regulatory liabilities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5,314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19,866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Other accrued liabilities</w:t>
            </w:r>
          </w:p>
        </w:tc>
        <w:tc>
          <w:tcPr>
            <w:tcW w:w="2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108,071</w:t>
            </w: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123,384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360" w:type="dxa"/>
            <w:vAlign w:val="bottom"/>
          </w:tcPr>
          <w:p>
            <w:pPr>
              <w:spacing w:after="0" w:line="155" w:lineRule="exact"/>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469,155</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603,873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36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Deferred credits and other liabilities:</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60" w:type="dxa"/>
            <w:vAlign w:val="bottom"/>
          </w:tcPr>
          <w:p>
            <w:pPr>
              <w:ind w:left="120"/>
              <w:spacing w:after="0" w:line="162" w:lineRule="exact"/>
              <w:rPr>
                <w:sz w:val="20"/>
                <w:szCs w:val="20"/>
                <w:color w:val="auto"/>
              </w:rPr>
            </w:pPr>
            <w:r>
              <w:rPr>
                <w:rFonts w:ascii="Arial" w:cs="Arial" w:eastAsia="Arial" w:hAnsi="Arial"/>
                <w:sz w:val="16"/>
                <w:szCs w:val="16"/>
                <w:color w:val="auto"/>
              </w:rPr>
              <w:t>Deferred income taxes and investment tax credits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1,349,873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1,258,098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Customers' advances for construction</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108,605</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99,014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60" w:type="dxa"/>
            <w:vAlign w:val="bottom"/>
          </w:tcPr>
          <w:p>
            <w:pPr>
              <w:ind w:left="120"/>
              <w:spacing w:after="0" w:line="162" w:lineRule="exact"/>
              <w:rPr>
                <w:sz w:val="20"/>
                <w:szCs w:val="20"/>
                <w:color w:val="auto"/>
              </w:rPr>
            </w:pPr>
            <w:r>
              <w:rPr>
                <w:rFonts w:ascii="Arial" w:cs="Arial" w:eastAsia="Arial" w:hAnsi="Arial"/>
                <w:sz w:val="16"/>
                <w:szCs w:val="16"/>
                <w:color w:val="auto"/>
              </w:rPr>
              <w:t>Regulatory liabilities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779,355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773,310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Asset retirement obligations</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1,355</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1,336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60" w:type="dxa"/>
            <w:vAlign w:val="bottom"/>
          </w:tcPr>
          <w:p>
            <w:pPr>
              <w:ind w:left="120"/>
              <w:spacing w:after="0" w:line="162" w:lineRule="exact"/>
              <w:rPr>
                <w:sz w:val="20"/>
                <w:szCs w:val="20"/>
                <w:color w:val="auto"/>
              </w:rPr>
            </w:pPr>
            <w:r>
              <w:rPr>
                <w:rFonts w:ascii="Arial" w:cs="Arial" w:eastAsia="Arial" w:hAnsi="Arial"/>
                <w:sz w:val="16"/>
                <w:szCs w:val="16"/>
                <w:color w:val="auto"/>
              </w:rPr>
              <w:t>Operating lease liabilities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51,992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55,642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Pension and other postretirement benefit liabilities</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56,901</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91,896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60" w:type="dxa"/>
            <w:vAlign w:val="bottom"/>
            <w:tcBorders>
              <w:bottom w:val="single" w:sz="8" w:color="CCEEFF"/>
            </w:tcBorders>
          </w:tcPr>
          <w:p>
            <w:pPr>
              <w:ind w:left="120"/>
              <w:spacing w:after="0" w:line="162" w:lineRule="exact"/>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50,334</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56,713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36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Total deferred credits and other liabilities</w:t>
            </w:r>
          </w:p>
        </w:tc>
        <w:tc>
          <w:tcPr>
            <w:tcW w:w="24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2,398,415</w:t>
            </w:r>
          </w:p>
        </w:tc>
        <w:tc>
          <w:tcPr>
            <w:tcW w:w="1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2,336,009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36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Contributions in aid of construction</w:t>
            </w:r>
          </w:p>
        </w:tc>
        <w:tc>
          <w:tcPr>
            <w:tcW w:w="2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581,375</w:t>
            </w: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573,774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360" w:type="dxa"/>
            <w:vAlign w:val="bottom"/>
          </w:tcPr>
          <w:p>
            <w:pPr>
              <w:spacing w:after="0" w:line="155" w:lineRule="exact"/>
              <w:rPr>
                <w:sz w:val="20"/>
                <w:szCs w:val="20"/>
                <w:color w:val="auto"/>
              </w:rPr>
            </w:pPr>
            <w:r>
              <w:rPr>
                <w:rFonts w:ascii="Arial" w:cs="Arial" w:eastAsia="Arial" w:hAnsi="Arial"/>
                <w:sz w:val="16"/>
                <w:szCs w:val="16"/>
                <w:color w:val="auto"/>
              </w:rPr>
              <w:t>Total liabilities and equity</w:t>
            </w:r>
          </w:p>
        </w:tc>
        <w:tc>
          <w:tcPr>
            <w:tcW w:w="240" w:type="dxa"/>
            <w:vAlign w:val="bottom"/>
          </w:tcPr>
          <w:p>
            <w:pPr>
              <w:spacing w:after="0"/>
              <w:rPr>
                <w:sz w:val="13"/>
                <w:szCs w:val="13"/>
                <w:color w:val="auto"/>
              </w:rPr>
            </w:pPr>
          </w:p>
        </w:tc>
        <w:tc>
          <w:tcPr>
            <w:tcW w:w="240" w:type="dxa"/>
            <w:vAlign w:val="bottom"/>
            <w:tcBorders>
              <w:bottom w:val="single" w:sz="8" w:color="auto"/>
            </w:tcBorders>
          </w:tcPr>
          <w:p>
            <w:pPr>
              <w:jc w:val="right"/>
              <w:ind w:right="84"/>
              <w:spacing w:after="0" w:line="156" w:lineRule="exact"/>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13,933,992</w:t>
            </w:r>
          </w:p>
        </w:tc>
        <w:tc>
          <w:tcPr>
            <w:tcW w:w="18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13,705,277</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4" w:name="page5"/>
    <w:bookmarkEnd w:id="4"/>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183"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CONSOLIDATED STATEMENTS OF OPERATIONS AND COMPREHENSIVE INCOME</w:t>
      </w:r>
    </w:p>
    <w:p>
      <w:pPr>
        <w:ind w:left="3980"/>
        <w:spacing w:after="0" w:line="217" w:lineRule="auto"/>
        <w:rPr>
          <w:sz w:val="20"/>
          <w:szCs w:val="20"/>
          <w:color w:val="auto"/>
        </w:rPr>
      </w:pPr>
      <w:r>
        <w:rPr>
          <w:rFonts w:ascii="Arial" w:cs="Arial" w:eastAsia="Arial" w:hAnsi="Arial"/>
          <w:sz w:val="22"/>
          <w:szCs w:val="22"/>
          <w:color w:val="auto"/>
        </w:rPr>
        <w:t>(In thousands, except per share amounts)</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(UNAUDITED)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20" w:type="dxa"/>
            <w:vAlign w:val="bottom"/>
            <w:gridSpan w:val="5"/>
          </w:tcPr>
          <w:p>
            <w:pPr>
              <w:jc w:val="right"/>
              <w:ind w:right="792"/>
              <w:spacing w:after="0"/>
              <w:rPr>
                <w:sz w:val="20"/>
                <w:szCs w:val="20"/>
                <w:color w:val="auto"/>
              </w:rPr>
            </w:pPr>
            <w:r>
              <w:rPr>
                <w:rFonts w:ascii="Arial" w:cs="Arial" w:eastAsia="Arial" w:hAnsi="Arial"/>
                <w:sz w:val="22"/>
                <w:szCs w:val="22"/>
                <w:color w:val="auto"/>
              </w:rPr>
              <w:t>Three Months Ended</w:t>
            </w:r>
          </w:p>
        </w:tc>
        <w:tc>
          <w:tcPr>
            <w:tcW w:w="0" w:type="dxa"/>
            <w:vAlign w:val="bottom"/>
          </w:tcPr>
          <w:p>
            <w:pPr>
              <w:spacing w:after="0"/>
              <w:rPr>
                <w:sz w:val="1"/>
                <w:szCs w:val="1"/>
                <w:color w:val="auto"/>
              </w:rPr>
            </w:pPr>
          </w:p>
        </w:tc>
      </w:tr>
      <w:tr>
        <w:trPr>
          <w:trHeight w:val="251"/>
        </w:trPr>
        <w:tc>
          <w:tcPr>
            <w:tcW w:w="58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4"/>
          </w:tcPr>
          <w:p>
            <w:pPr>
              <w:jc w:val="right"/>
              <w:ind w:right="124"/>
              <w:spacing w:after="0" w:line="251" w:lineRule="exact"/>
              <w:rPr>
                <w:sz w:val="20"/>
                <w:szCs w:val="20"/>
                <w:color w:val="auto"/>
              </w:rPr>
            </w:pPr>
            <w:r>
              <w:rPr>
                <w:rFonts w:ascii="Arial" w:cs="Arial" w:eastAsia="Arial" w:hAnsi="Arial"/>
                <w:sz w:val="22"/>
                <w:szCs w:val="22"/>
                <w:color w:val="auto"/>
              </w:rPr>
              <w:t>June 30,</w:t>
            </w:r>
          </w:p>
        </w:tc>
        <w:tc>
          <w:tcPr>
            <w:tcW w:w="1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2"/>
              <w:spacing w:after="0" w:line="223" w:lineRule="exact"/>
              <w:rPr>
                <w:sz w:val="20"/>
                <w:szCs w:val="20"/>
                <w:color w:val="auto"/>
              </w:rPr>
            </w:pPr>
            <w:r>
              <w:rPr>
                <w:rFonts w:ascii="Arial" w:cs="Arial" w:eastAsia="Arial" w:hAnsi="Arial"/>
                <w:sz w:val="22"/>
                <w:szCs w:val="22"/>
                <w:color w:val="auto"/>
              </w:rPr>
              <w:t>2021</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2"/>
              <w:spacing w:after="0" w:line="223" w:lineRule="exact"/>
              <w:rPr>
                <w:sz w:val="20"/>
                <w:szCs w:val="20"/>
                <w:color w:val="auto"/>
              </w:rPr>
            </w:pPr>
            <w:r>
              <w:rPr>
                <w:rFonts w:ascii="Arial" w:cs="Arial" w:eastAsia="Arial" w:hAnsi="Arial"/>
                <w:sz w:val="22"/>
                <w:szCs w:val="22"/>
                <w:color w:val="auto"/>
              </w:rPr>
              <w:t>2020</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Operating revenues</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83"/>
              <w:spacing w:after="0"/>
              <w:rPr>
                <w:sz w:val="20"/>
                <w:szCs w:val="20"/>
                <w:color w:val="auto"/>
              </w:rPr>
            </w:pPr>
            <w:r>
              <w:rPr>
                <w:rFonts w:ascii="Arial" w:cs="Arial" w:eastAsia="Arial" w:hAnsi="Arial"/>
                <w:sz w:val="19"/>
                <w:szCs w:val="19"/>
                <w:color w:val="auto"/>
                <w:w w:val="75"/>
              </w:rPr>
              <w:t>$</w:t>
            </w:r>
          </w:p>
        </w:tc>
        <w:tc>
          <w:tcPr>
            <w:tcW w:w="13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397,032</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384,468</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Operating expenses:</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120"/>
              <w:spacing w:after="0" w:line="229" w:lineRule="exact"/>
              <w:rPr>
                <w:sz w:val="20"/>
                <w:szCs w:val="20"/>
                <w:color w:val="auto"/>
              </w:rPr>
            </w:pPr>
            <w:r>
              <w:rPr>
                <w:rFonts w:ascii="Arial" w:cs="Arial" w:eastAsia="Arial" w:hAnsi="Arial"/>
                <w:sz w:val="22"/>
                <w:szCs w:val="22"/>
                <w:color w:val="auto"/>
              </w:rPr>
              <w:t>Operations and maintenance</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9" w:lineRule="exact"/>
              <w:rPr>
                <w:sz w:val="20"/>
                <w:szCs w:val="20"/>
                <w:color w:val="auto"/>
              </w:rPr>
            </w:pPr>
            <w:r>
              <w:rPr>
                <w:rFonts w:ascii="Arial" w:cs="Arial" w:eastAsia="Arial" w:hAnsi="Arial"/>
                <w:sz w:val="22"/>
                <w:szCs w:val="22"/>
                <w:color w:val="auto"/>
              </w:rPr>
              <w:t>127,515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line="229" w:lineRule="exact"/>
              <w:rPr>
                <w:sz w:val="20"/>
                <w:szCs w:val="20"/>
                <w:color w:val="auto"/>
              </w:rPr>
            </w:pPr>
            <w:r>
              <w:rPr>
                <w:rFonts w:ascii="Arial" w:cs="Arial" w:eastAsia="Arial" w:hAnsi="Arial"/>
                <w:sz w:val="22"/>
                <w:szCs w:val="22"/>
                <w:color w:val="auto"/>
              </w:rPr>
              <w:t>128,604</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Purchased gas</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44,897</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43,420</w:t>
            </w:r>
          </w:p>
        </w:tc>
        <w:tc>
          <w:tcPr>
            <w:tcW w:w="0" w:type="dxa"/>
            <w:vAlign w:val="bottom"/>
          </w:tcPr>
          <w:p>
            <w:pPr>
              <w:spacing w:after="0"/>
              <w:rPr>
                <w:sz w:val="1"/>
                <w:szCs w:val="1"/>
                <w:color w:val="auto"/>
              </w:rPr>
            </w:pPr>
          </w:p>
        </w:tc>
      </w:tr>
      <w:tr>
        <w:trPr>
          <w:trHeight w:val="229"/>
        </w:trPr>
        <w:tc>
          <w:tcPr>
            <w:tcW w:w="5860" w:type="dxa"/>
            <w:vAlign w:val="bottom"/>
          </w:tcPr>
          <w:p>
            <w:pPr>
              <w:ind w:left="120"/>
              <w:spacing w:after="0" w:line="229" w:lineRule="exact"/>
              <w:rPr>
                <w:sz w:val="20"/>
                <w:szCs w:val="20"/>
                <w:color w:val="auto"/>
              </w:rPr>
            </w:pPr>
            <w:r>
              <w:rPr>
                <w:rFonts w:ascii="Arial" w:cs="Arial" w:eastAsia="Arial" w:hAnsi="Arial"/>
                <w:sz w:val="22"/>
                <w:szCs w:val="22"/>
                <w:color w:val="auto"/>
              </w:rPr>
              <w:t>Depreciation</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9" w:lineRule="exact"/>
              <w:rPr>
                <w:sz w:val="20"/>
                <w:szCs w:val="20"/>
                <w:color w:val="auto"/>
              </w:rPr>
            </w:pPr>
            <w:r>
              <w:rPr>
                <w:rFonts w:ascii="Arial" w:cs="Arial" w:eastAsia="Arial" w:hAnsi="Arial"/>
                <w:sz w:val="22"/>
                <w:szCs w:val="22"/>
                <w:color w:val="auto"/>
              </w:rPr>
              <w:t>72,764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line="229" w:lineRule="exact"/>
              <w:rPr>
                <w:sz w:val="20"/>
                <w:szCs w:val="20"/>
                <w:color w:val="auto"/>
              </w:rPr>
            </w:pPr>
            <w:r>
              <w:rPr>
                <w:rFonts w:ascii="Arial" w:cs="Arial" w:eastAsia="Arial" w:hAnsi="Arial"/>
                <w:sz w:val="22"/>
                <w:szCs w:val="22"/>
                <w:color w:val="auto"/>
              </w:rPr>
              <w:t>67,925</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Amortization</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1,408</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1,967</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tcPr>
          <w:p>
            <w:pPr>
              <w:ind w:left="120"/>
              <w:spacing w:after="0" w:line="229" w:lineRule="exact"/>
              <w:rPr>
                <w:sz w:val="20"/>
                <w:szCs w:val="20"/>
                <w:color w:val="auto"/>
              </w:rPr>
            </w:pPr>
            <w:r>
              <w:rPr>
                <w:rFonts w:ascii="Arial" w:cs="Arial" w:eastAsia="Arial" w:hAnsi="Arial"/>
                <w:sz w:val="22"/>
                <w:szCs w:val="22"/>
                <w:color w:val="auto"/>
              </w:rPr>
              <w:t>Taxes other than income taxes</w:t>
            </w:r>
          </w:p>
        </w:tc>
        <w:tc>
          <w:tcPr>
            <w:tcW w:w="17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21,120</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19,433</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120"/>
              <w:spacing w:after="0" w:line="223" w:lineRule="exact"/>
              <w:rPr>
                <w:sz w:val="20"/>
                <w:szCs w:val="20"/>
                <w:color w:val="auto"/>
              </w:rPr>
            </w:pPr>
            <w:r>
              <w:rPr>
                <w:rFonts w:ascii="Arial" w:cs="Arial" w:eastAsia="Arial" w:hAnsi="Arial"/>
                <w:sz w:val="22"/>
                <w:szCs w:val="22"/>
                <w:color w:val="auto"/>
              </w:rPr>
              <w:t>Total operating expenses</w:t>
            </w:r>
          </w:p>
        </w:tc>
        <w:tc>
          <w:tcPr>
            <w:tcW w:w="17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267,704</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261,349</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Operating income</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129,328</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123,119</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Other expense (income):</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120"/>
              <w:spacing w:after="0" w:line="229" w:lineRule="exact"/>
              <w:rPr>
                <w:sz w:val="20"/>
                <w:szCs w:val="20"/>
                <w:color w:val="auto"/>
              </w:rPr>
            </w:pPr>
            <w:r>
              <w:rPr>
                <w:rFonts w:ascii="Arial" w:cs="Arial" w:eastAsia="Arial" w:hAnsi="Arial"/>
                <w:sz w:val="22"/>
                <w:szCs w:val="22"/>
                <w:color w:val="auto"/>
              </w:rPr>
              <w:t>Interest expense</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9" w:lineRule="exact"/>
              <w:rPr>
                <w:sz w:val="20"/>
                <w:szCs w:val="20"/>
                <w:color w:val="auto"/>
              </w:rPr>
            </w:pPr>
            <w:r>
              <w:rPr>
                <w:rFonts w:ascii="Arial" w:cs="Arial" w:eastAsia="Arial" w:hAnsi="Arial"/>
                <w:sz w:val="22"/>
                <w:szCs w:val="22"/>
                <w:color w:val="auto"/>
              </w:rPr>
              <w:t>52,036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line="229" w:lineRule="exact"/>
              <w:rPr>
                <w:sz w:val="20"/>
                <w:szCs w:val="20"/>
                <w:color w:val="auto"/>
              </w:rPr>
            </w:pPr>
            <w:r>
              <w:rPr>
                <w:rFonts w:ascii="Arial" w:cs="Arial" w:eastAsia="Arial" w:hAnsi="Arial"/>
                <w:sz w:val="22"/>
                <w:szCs w:val="22"/>
                <w:color w:val="auto"/>
              </w:rPr>
              <w:t>51,666</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Interest income</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(338)</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(196)</w:t>
            </w:r>
          </w:p>
        </w:tc>
        <w:tc>
          <w:tcPr>
            <w:tcW w:w="0" w:type="dxa"/>
            <w:vAlign w:val="bottom"/>
          </w:tcPr>
          <w:p>
            <w:pPr>
              <w:spacing w:after="0"/>
              <w:rPr>
                <w:sz w:val="1"/>
                <w:szCs w:val="1"/>
                <w:color w:val="auto"/>
              </w:rPr>
            </w:pPr>
          </w:p>
        </w:tc>
      </w:tr>
      <w:tr>
        <w:trPr>
          <w:trHeight w:val="229"/>
        </w:trPr>
        <w:tc>
          <w:tcPr>
            <w:tcW w:w="5860" w:type="dxa"/>
            <w:vAlign w:val="bottom"/>
          </w:tcPr>
          <w:p>
            <w:pPr>
              <w:ind w:left="120"/>
              <w:spacing w:after="0" w:line="229" w:lineRule="exact"/>
              <w:rPr>
                <w:sz w:val="20"/>
                <w:szCs w:val="20"/>
                <w:color w:val="auto"/>
              </w:rPr>
            </w:pPr>
            <w:r>
              <w:rPr>
                <w:rFonts w:ascii="Arial" w:cs="Arial" w:eastAsia="Arial" w:hAnsi="Arial"/>
                <w:sz w:val="22"/>
                <w:szCs w:val="22"/>
                <w:color w:val="auto"/>
              </w:rPr>
              <w:t>Allowance for funds used during construction</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9" w:lineRule="exact"/>
              <w:rPr>
                <w:sz w:val="20"/>
                <w:szCs w:val="20"/>
                <w:color w:val="auto"/>
              </w:rPr>
            </w:pPr>
            <w:r>
              <w:rPr>
                <w:rFonts w:ascii="Arial" w:cs="Arial" w:eastAsia="Arial" w:hAnsi="Arial"/>
                <w:sz w:val="22"/>
                <w:szCs w:val="22"/>
                <w:color w:val="auto"/>
              </w:rPr>
              <w:t>(4,906)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line="229" w:lineRule="exact"/>
              <w:rPr>
                <w:sz w:val="20"/>
                <w:szCs w:val="20"/>
                <w:color w:val="auto"/>
              </w:rPr>
            </w:pPr>
            <w:r>
              <w:rPr>
                <w:rFonts w:ascii="Arial" w:cs="Arial" w:eastAsia="Arial" w:hAnsi="Arial"/>
                <w:sz w:val="22"/>
                <w:szCs w:val="22"/>
                <w:color w:val="auto"/>
              </w:rPr>
              <w:t>(2,230)</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Gain on sale of other assets</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(223)</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230"/>
        </w:trPr>
        <w:tc>
          <w:tcPr>
            <w:tcW w:w="5860" w:type="dxa"/>
            <w:vAlign w:val="bottom"/>
          </w:tcPr>
          <w:p>
            <w:pPr>
              <w:ind w:left="120"/>
              <w:spacing w:after="0" w:line="229" w:lineRule="exact"/>
              <w:rPr>
                <w:sz w:val="20"/>
                <w:szCs w:val="20"/>
                <w:color w:val="auto"/>
              </w:rPr>
            </w:pPr>
            <w:r>
              <w:rPr>
                <w:rFonts w:ascii="Arial" w:cs="Arial" w:eastAsia="Arial" w:hAnsi="Arial"/>
                <w:sz w:val="22"/>
                <w:szCs w:val="22"/>
                <w:color w:val="auto"/>
              </w:rPr>
              <w:t>Equity earnings in joint venture</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line="229" w:lineRule="exact"/>
              <w:rPr>
                <w:sz w:val="20"/>
                <w:szCs w:val="20"/>
                <w:color w:val="auto"/>
              </w:rPr>
            </w:pPr>
            <w:r>
              <w:rPr>
                <w:rFonts w:ascii="Arial" w:cs="Arial" w:eastAsia="Arial" w:hAnsi="Arial"/>
                <w:sz w:val="22"/>
                <w:szCs w:val="22"/>
                <w:color w:val="auto"/>
              </w:rPr>
              <w:t>(470)</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Other</w:t>
            </w:r>
          </w:p>
        </w:tc>
        <w:tc>
          <w:tcPr>
            <w:tcW w:w="17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(1,941)</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(722)</w:t>
            </w:r>
          </w:p>
        </w:tc>
        <w:tc>
          <w:tcPr>
            <w:tcW w:w="0" w:type="dxa"/>
            <w:vAlign w:val="bottom"/>
          </w:tcPr>
          <w:p>
            <w:pPr>
              <w:spacing w:after="0"/>
              <w:rPr>
                <w:sz w:val="1"/>
                <w:szCs w:val="1"/>
                <w:color w:val="auto"/>
              </w:rPr>
            </w:pPr>
          </w:p>
        </w:tc>
      </w:tr>
      <w:tr>
        <w:trPr>
          <w:trHeight w:val="223"/>
        </w:trPr>
        <w:tc>
          <w:tcPr>
            <w:tcW w:w="5860" w:type="dxa"/>
            <w:vAlign w:val="bottom"/>
          </w:tcPr>
          <w:p>
            <w:pPr>
              <w:spacing w:after="0" w:line="223" w:lineRule="exact"/>
              <w:rPr>
                <w:sz w:val="20"/>
                <w:szCs w:val="20"/>
                <w:color w:val="auto"/>
              </w:rPr>
            </w:pPr>
            <w:r>
              <w:rPr>
                <w:rFonts w:ascii="Arial" w:cs="Arial" w:eastAsia="Arial" w:hAnsi="Arial"/>
                <w:sz w:val="22"/>
                <w:szCs w:val="22"/>
                <w:color w:val="auto"/>
              </w:rPr>
              <w:t>Income before income taxes</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3" w:lineRule="exact"/>
              <w:rPr>
                <w:sz w:val="20"/>
                <w:szCs w:val="20"/>
                <w:color w:val="auto"/>
              </w:rPr>
            </w:pPr>
            <w:r>
              <w:rPr>
                <w:rFonts w:ascii="Arial" w:cs="Arial" w:eastAsia="Arial" w:hAnsi="Arial"/>
                <w:sz w:val="22"/>
                <w:szCs w:val="22"/>
                <w:color w:val="auto"/>
              </w:rPr>
              <w:t>84,700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line="223" w:lineRule="exact"/>
              <w:rPr>
                <w:sz w:val="20"/>
                <w:szCs w:val="20"/>
                <w:color w:val="auto"/>
              </w:rPr>
            </w:pPr>
            <w:r>
              <w:rPr>
                <w:rFonts w:ascii="Arial" w:cs="Arial" w:eastAsia="Arial" w:hAnsi="Arial"/>
                <w:sz w:val="22"/>
                <w:szCs w:val="22"/>
                <w:color w:val="auto"/>
              </w:rPr>
              <w:t>75,091</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Provision for income taxes</w:t>
            </w:r>
          </w:p>
        </w:tc>
        <w:tc>
          <w:tcPr>
            <w:tcW w:w="17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3,786</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462</w:t>
            </w:r>
          </w:p>
        </w:tc>
        <w:tc>
          <w:tcPr>
            <w:tcW w:w="0" w:type="dxa"/>
            <w:vAlign w:val="bottom"/>
          </w:tcPr>
          <w:p>
            <w:pPr>
              <w:spacing w:after="0"/>
              <w:rPr>
                <w:sz w:val="1"/>
                <w:szCs w:val="1"/>
                <w:color w:val="auto"/>
              </w:rPr>
            </w:pPr>
          </w:p>
        </w:tc>
      </w:tr>
      <w:tr>
        <w:trPr>
          <w:trHeight w:val="223"/>
        </w:trPr>
        <w:tc>
          <w:tcPr>
            <w:tcW w:w="5860" w:type="dxa"/>
            <w:vAlign w:val="bottom"/>
          </w:tcPr>
          <w:p>
            <w:pPr>
              <w:spacing w:after="0" w:line="223" w:lineRule="exact"/>
              <w:rPr>
                <w:sz w:val="20"/>
                <w:szCs w:val="20"/>
                <w:color w:val="auto"/>
              </w:rPr>
            </w:pPr>
            <w:r>
              <w:rPr>
                <w:rFonts w:ascii="Arial" w:cs="Arial" w:eastAsia="Arial" w:hAnsi="Arial"/>
                <w:sz w:val="22"/>
                <w:szCs w:val="22"/>
                <w:color w:val="auto"/>
              </w:rPr>
              <w:t>Net income</w:t>
            </w:r>
          </w:p>
        </w:tc>
        <w:tc>
          <w:tcPr>
            <w:tcW w:w="1780" w:type="dxa"/>
            <w:vAlign w:val="bottom"/>
          </w:tcPr>
          <w:p>
            <w:pPr>
              <w:spacing w:after="0"/>
              <w:rPr>
                <w:sz w:val="19"/>
                <w:szCs w:val="19"/>
                <w:color w:val="auto"/>
              </w:rPr>
            </w:pPr>
          </w:p>
        </w:tc>
        <w:tc>
          <w:tcPr>
            <w:tcW w:w="380" w:type="dxa"/>
            <w:vAlign w:val="bottom"/>
            <w:tcBorders>
              <w:bottom w:val="single" w:sz="8" w:color="auto"/>
            </w:tcBorders>
          </w:tcPr>
          <w:p>
            <w:pPr>
              <w:jc w:val="right"/>
              <w:ind w:right="183"/>
              <w:spacing w:after="0"/>
              <w:rPr>
                <w:sz w:val="20"/>
                <w:szCs w:val="20"/>
                <w:color w:val="auto"/>
              </w:rPr>
            </w:pPr>
            <w:r>
              <w:rPr>
                <w:rFonts w:ascii="Arial" w:cs="Arial" w:eastAsia="Arial" w:hAnsi="Arial"/>
                <w:sz w:val="19"/>
                <w:szCs w:val="19"/>
                <w:color w:val="auto"/>
                <w:w w:val="75"/>
              </w:rPr>
              <w:t>$</w:t>
            </w:r>
          </w:p>
        </w:tc>
        <w:tc>
          <w:tcPr>
            <w:tcW w:w="13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80,914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74,629</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Comprehensive income</w:t>
            </w:r>
          </w:p>
        </w:tc>
        <w:tc>
          <w:tcPr>
            <w:tcW w:w="2160" w:type="dxa"/>
            <w:vAlign w:val="bottom"/>
            <w:gridSpan w:val="2"/>
            <w:shd w:val="clear" w:color="auto" w:fill="CCEEFF"/>
          </w:tcPr>
          <w:p>
            <w:pPr>
              <w:jc w:val="right"/>
              <w:ind w:right="183"/>
              <w:spacing w:after="0" w:line="229" w:lineRule="exact"/>
              <w:rPr>
                <w:sz w:val="20"/>
                <w:szCs w:val="20"/>
                <w:color w:val="auto"/>
              </w:rPr>
            </w:pPr>
            <w:r>
              <w:rPr>
                <w:rFonts w:ascii="Arial" w:cs="Arial" w:eastAsia="Arial" w:hAnsi="Arial"/>
                <w:sz w:val="22"/>
                <w:szCs w:val="22"/>
                <w:color w:val="auto"/>
              </w:rPr>
              <w:t>$</w:t>
            </w:r>
          </w:p>
        </w:tc>
        <w:tc>
          <w:tcPr>
            <w:tcW w:w="13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80,914</w:t>
            </w:r>
          </w:p>
        </w:tc>
        <w:tc>
          <w:tcPr>
            <w:tcW w:w="2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44"/>
              <w:spacing w:after="0"/>
              <w:rPr>
                <w:sz w:val="20"/>
                <w:szCs w:val="20"/>
                <w:color w:val="auto"/>
              </w:rPr>
            </w:pPr>
            <w:r>
              <w:rPr>
                <w:rFonts w:ascii="Arial" w:cs="Arial" w:eastAsia="Arial" w:hAnsi="Arial"/>
                <w:sz w:val="19"/>
                <w:szCs w:val="19"/>
                <w:color w:val="auto"/>
                <w:w w:val="75"/>
              </w:rPr>
              <w:t>$</w:t>
            </w:r>
          </w:p>
        </w:tc>
        <w:tc>
          <w:tcPr>
            <w:tcW w:w="12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74,629</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22"/>
                <w:szCs w:val="22"/>
                <w:color w:val="auto"/>
              </w:rPr>
              <w:t>Net income per common share:</w:t>
            </w:r>
          </w:p>
        </w:tc>
        <w:tc>
          <w:tcPr>
            <w:tcW w:w="1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86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Basic</w:t>
            </w:r>
          </w:p>
        </w:tc>
        <w:tc>
          <w:tcPr>
            <w:tcW w:w="2160" w:type="dxa"/>
            <w:vAlign w:val="bottom"/>
            <w:gridSpan w:val="2"/>
            <w:shd w:val="clear" w:color="auto" w:fill="CCEEFF"/>
          </w:tcPr>
          <w:p>
            <w:pPr>
              <w:jc w:val="right"/>
              <w:ind w:right="183"/>
              <w:spacing w:after="0" w:line="229" w:lineRule="exact"/>
              <w:rPr>
                <w:sz w:val="20"/>
                <w:szCs w:val="20"/>
                <w:color w:val="auto"/>
              </w:rPr>
            </w:pPr>
            <w:r>
              <w:rPr>
                <w:rFonts w:ascii="Arial" w:cs="Arial" w:eastAsia="Arial" w:hAnsi="Arial"/>
                <w:sz w:val="22"/>
                <w:szCs w:val="22"/>
                <w:color w:val="auto"/>
              </w:rPr>
              <w:t>$</w:t>
            </w:r>
          </w:p>
        </w:tc>
        <w:tc>
          <w:tcPr>
            <w:tcW w:w="13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0.32</w:t>
            </w:r>
          </w:p>
        </w:tc>
        <w:tc>
          <w:tcPr>
            <w:tcW w:w="2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44"/>
              <w:spacing w:after="0"/>
              <w:rPr>
                <w:sz w:val="20"/>
                <w:szCs w:val="20"/>
                <w:color w:val="auto"/>
              </w:rPr>
            </w:pPr>
            <w:r>
              <w:rPr>
                <w:rFonts w:ascii="Arial" w:cs="Arial" w:eastAsia="Arial" w:hAnsi="Arial"/>
                <w:sz w:val="19"/>
                <w:szCs w:val="19"/>
                <w:color w:val="auto"/>
                <w:w w:val="75"/>
              </w:rPr>
              <w:t>$</w:t>
            </w:r>
          </w:p>
        </w:tc>
        <w:tc>
          <w:tcPr>
            <w:tcW w:w="12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0.29</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120"/>
              <w:spacing w:after="0" w:line="250" w:lineRule="exact"/>
              <w:rPr>
                <w:sz w:val="20"/>
                <w:szCs w:val="20"/>
                <w:color w:val="auto"/>
              </w:rPr>
            </w:pPr>
            <w:r>
              <w:rPr>
                <w:rFonts w:ascii="Arial" w:cs="Arial" w:eastAsia="Arial" w:hAnsi="Arial"/>
                <w:sz w:val="22"/>
                <w:szCs w:val="22"/>
                <w:color w:val="auto"/>
              </w:rPr>
              <w:t>Diluted</w:t>
            </w:r>
          </w:p>
        </w:tc>
        <w:tc>
          <w:tcPr>
            <w:tcW w:w="178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1780" w:type="dxa"/>
            <w:vAlign w:val="bottom"/>
            <w:vMerge w:val="continue"/>
          </w:tcPr>
          <w:p>
            <w:pPr>
              <w:spacing w:after="0"/>
              <w:rPr>
                <w:sz w:val="18"/>
                <w:szCs w:val="18"/>
                <w:color w:val="auto"/>
              </w:rPr>
            </w:pPr>
          </w:p>
        </w:tc>
        <w:tc>
          <w:tcPr>
            <w:tcW w:w="380" w:type="dxa"/>
            <w:vAlign w:val="bottom"/>
            <w:tcBorders>
              <w:bottom w:val="single" w:sz="8" w:color="auto"/>
            </w:tcBorders>
          </w:tcPr>
          <w:p>
            <w:pPr>
              <w:jc w:val="right"/>
              <w:ind w:right="183"/>
              <w:spacing w:after="0" w:line="210" w:lineRule="exact"/>
              <w:rPr>
                <w:sz w:val="20"/>
                <w:szCs w:val="20"/>
                <w:color w:val="auto"/>
              </w:rPr>
            </w:pPr>
            <w:r>
              <w:rPr>
                <w:rFonts w:ascii="Arial" w:cs="Arial" w:eastAsia="Arial" w:hAnsi="Arial"/>
                <w:sz w:val="19"/>
                <w:szCs w:val="19"/>
                <w:color w:val="auto"/>
                <w:w w:val="75"/>
              </w:rPr>
              <w:t>$</w:t>
            </w:r>
          </w:p>
        </w:tc>
        <w:tc>
          <w:tcPr>
            <w:tcW w:w="13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2"/>
                <w:szCs w:val="22"/>
                <w:color w:val="auto"/>
              </w:rPr>
              <w:t>0.32</w:t>
            </w:r>
          </w:p>
        </w:tc>
        <w:tc>
          <w:tcPr>
            <w:tcW w:w="220" w:type="dxa"/>
            <w:vAlign w:val="bottom"/>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2"/>
                <w:szCs w:val="22"/>
                <w:color w:val="auto"/>
              </w:rPr>
              <w:t>0.29</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640" w:type="dxa"/>
            <w:vAlign w:val="bottom"/>
          </w:tcPr>
          <w:p>
            <w:pPr>
              <w:spacing w:after="0"/>
              <w:rPr>
                <w:sz w:val="20"/>
                <w:szCs w:val="20"/>
                <w:color w:val="auto"/>
              </w:rPr>
            </w:pPr>
            <w:r>
              <w:rPr>
                <w:rFonts w:ascii="Arial" w:cs="Arial" w:eastAsia="Arial" w:hAnsi="Arial"/>
                <w:sz w:val="22"/>
                <w:szCs w:val="22"/>
                <w:color w:val="auto"/>
              </w:rPr>
              <w:t>Average common shares outstanding during the period:</w:t>
            </w:r>
          </w:p>
        </w:tc>
        <w:tc>
          <w:tcPr>
            <w:tcW w:w="1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shd w:val="clear" w:color="auto" w:fill="CCEEFF"/>
          </w:tcPr>
          <w:p>
            <w:pPr>
              <w:ind w:left="120"/>
              <w:spacing w:after="0" w:line="229" w:lineRule="exact"/>
              <w:rPr>
                <w:sz w:val="20"/>
                <w:szCs w:val="20"/>
                <w:color w:val="auto"/>
              </w:rPr>
            </w:pPr>
            <w:r>
              <w:rPr>
                <w:rFonts w:ascii="Arial" w:cs="Arial" w:eastAsia="Arial" w:hAnsi="Arial"/>
                <w:sz w:val="22"/>
                <w:szCs w:val="22"/>
                <w:color w:val="auto"/>
              </w:rPr>
              <w:t>Basic</w:t>
            </w:r>
          </w:p>
        </w:tc>
        <w:tc>
          <w:tcPr>
            <w:tcW w:w="1720" w:type="dxa"/>
            <w:vAlign w:val="bottom"/>
            <w:tcBorders>
              <w:bottom w:val="single" w:sz="8" w:color="auto"/>
            </w:tcBorders>
            <w:shd w:val="clear" w:color="auto" w:fill="CCEEFF"/>
          </w:tcPr>
          <w:p>
            <w:pPr>
              <w:jc w:val="right"/>
              <w:ind w:right="12"/>
              <w:spacing w:after="0" w:line="229" w:lineRule="exact"/>
              <w:rPr>
                <w:sz w:val="20"/>
                <w:szCs w:val="20"/>
                <w:color w:val="auto"/>
              </w:rPr>
            </w:pPr>
            <w:r>
              <w:rPr>
                <w:rFonts w:ascii="Arial" w:cs="Arial" w:eastAsia="Arial" w:hAnsi="Arial"/>
                <w:sz w:val="22"/>
                <w:szCs w:val="22"/>
                <w:color w:val="auto"/>
              </w:rPr>
              <w:t>254,769</w:t>
            </w:r>
          </w:p>
        </w:tc>
        <w:tc>
          <w:tcPr>
            <w:tcW w:w="2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2"/>
              <w:spacing w:after="0" w:line="229" w:lineRule="exact"/>
              <w:rPr>
                <w:sz w:val="20"/>
                <w:szCs w:val="20"/>
                <w:color w:val="auto"/>
              </w:rPr>
            </w:pPr>
            <w:r>
              <w:rPr>
                <w:rFonts w:ascii="Arial" w:cs="Arial" w:eastAsia="Arial" w:hAnsi="Arial"/>
                <w:sz w:val="22"/>
                <w:szCs w:val="22"/>
                <w:color w:val="auto"/>
              </w:rPr>
              <w:t>254,167</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120"/>
              <w:spacing w:after="0" w:line="250" w:lineRule="exact"/>
              <w:rPr>
                <w:sz w:val="20"/>
                <w:szCs w:val="20"/>
                <w:color w:val="auto"/>
              </w:rPr>
            </w:pPr>
            <w:r>
              <w:rPr>
                <w:rFonts w:ascii="Arial" w:cs="Arial" w:eastAsia="Arial" w:hAnsi="Arial"/>
                <w:sz w:val="22"/>
                <w:szCs w:val="22"/>
                <w:color w:val="auto"/>
              </w:rPr>
              <w:t>Diluted</w:t>
            </w: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vMerge w:val="continue"/>
          </w:tcPr>
          <w:p>
            <w:pPr>
              <w:spacing w:after="0"/>
              <w:rPr>
                <w:sz w:val="18"/>
                <w:szCs w:val="18"/>
                <w:color w:val="auto"/>
              </w:rPr>
            </w:pPr>
          </w:p>
        </w:tc>
        <w:tc>
          <w:tcPr>
            <w:tcW w:w="1720" w:type="dxa"/>
            <w:vAlign w:val="bottom"/>
            <w:tcBorders>
              <w:bottom w:val="single" w:sz="8" w:color="auto"/>
            </w:tcBorders>
          </w:tcPr>
          <w:p>
            <w:pPr>
              <w:jc w:val="right"/>
              <w:ind w:right="12"/>
              <w:spacing w:after="0" w:line="210" w:lineRule="exact"/>
              <w:rPr>
                <w:sz w:val="20"/>
                <w:szCs w:val="20"/>
                <w:color w:val="auto"/>
              </w:rPr>
            </w:pPr>
            <w:r>
              <w:rPr>
                <w:rFonts w:ascii="Arial" w:cs="Arial" w:eastAsia="Arial" w:hAnsi="Arial"/>
                <w:sz w:val="22"/>
                <w:szCs w:val="22"/>
                <w:color w:val="auto"/>
              </w:rPr>
              <w:t>255,441</w:t>
            </w:r>
          </w:p>
        </w:tc>
        <w:tc>
          <w:tcPr>
            <w:tcW w:w="220" w:type="dxa"/>
            <w:vAlign w:val="bottom"/>
          </w:tcPr>
          <w:p>
            <w:pPr>
              <w:spacing w:after="0"/>
              <w:rPr>
                <w:sz w:val="18"/>
                <w:szCs w:val="18"/>
                <w:color w:val="auto"/>
              </w:rPr>
            </w:pPr>
          </w:p>
        </w:tc>
        <w:tc>
          <w:tcPr>
            <w:tcW w:w="1660" w:type="dxa"/>
            <w:vAlign w:val="bottom"/>
            <w:tcBorders>
              <w:bottom w:val="single" w:sz="8" w:color="auto"/>
            </w:tcBorders>
          </w:tcPr>
          <w:p>
            <w:pPr>
              <w:jc w:val="right"/>
              <w:ind w:right="12"/>
              <w:spacing w:after="0" w:line="210" w:lineRule="exact"/>
              <w:rPr>
                <w:sz w:val="20"/>
                <w:szCs w:val="20"/>
                <w:color w:val="auto"/>
              </w:rPr>
            </w:pPr>
            <w:r>
              <w:rPr>
                <w:rFonts w:ascii="Arial" w:cs="Arial" w:eastAsia="Arial" w:hAnsi="Arial"/>
                <w:sz w:val="22"/>
                <w:szCs w:val="22"/>
                <w:color w:val="auto"/>
              </w:rPr>
              <w:t>254,434</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5" w:name="page6"/>
    <w:bookmarkEnd w:id="5"/>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183"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CONSOLIDATED STATEMENTS OF OPERATIONS AND COMPREHENSIVE INCOME</w:t>
      </w:r>
    </w:p>
    <w:p>
      <w:pPr>
        <w:ind w:left="3980"/>
        <w:spacing w:after="0" w:line="217" w:lineRule="auto"/>
        <w:rPr>
          <w:sz w:val="20"/>
          <w:szCs w:val="20"/>
          <w:color w:val="auto"/>
        </w:rPr>
      </w:pPr>
      <w:r>
        <w:rPr>
          <w:rFonts w:ascii="Arial" w:cs="Arial" w:eastAsia="Arial" w:hAnsi="Arial"/>
          <w:sz w:val="22"/>
          <w:szCs w:val="22"/>
          <w:color w:val="auto"/>
        </w:rPr>
        <w:t>(In thousands, except per share amounts)</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0" w:type="dxa"/>
            <w:vAlign w:val="bottom"/>
            <w:gridSpan w:val="4"/>
          </w:tcPr>
          <w:p>
            <w:pPr>
              <w:jc w:val="right"/>
              <w:ind w:right="752"/>
              <w:spacing w:after="0"/>
              <w:rPr>
                <w:sz w:val="20"/>
                <w:szCs w:val="20"/>
                <w:color w:val="auto"/>
              </w:rPr>
            </w:pPr>
            <w:r>
              <w:rPr>
                <w:rFonts w:ascii="Arial" w:cs="Arial" w:eastAsia="Arial" w:hAnsi="Arial"/>
                <w:sz w:val="22"/>
                <w:szCs w:val="22"/>
                <w:color w:val="auto"/>
              </w:rPr>
              <w:t>Six Months Ended</w:t>
            </w:r>
          </w:p>
        </w:tc>
        <w:tc>
          <w:tcPr>
            <w:tcW w:w="0" w:type="dxa"/>
            <w:vAlign w:val="bottom"/>
          </w:tcPr>
          <w:p>
            <w:pPr>
              <w:spacing w:after="0"/>
              <w:rPr>
                <w:sz w:val="1"/>
                <w:szCs w:val="1"/>
                <w:color w:val="auto"/>
              </w:rPr>
            </w:pPr>
          </w:p>
        </w:tc>
      </w:tr>
      <w:tr>
        <w:trPr>
          <w:trHeight w:val="251"/>
        </w:trPr>
        <w:tc>
          <w:tcPr>
            <w:tcW w:w="79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ind w:right="63"/>
              <w:spacing w:after="0" w:line="251" w:lineRule="exact"/>
              <w:rPr>
                <w:sz w:val="20"/>
                <w:szCs w:val="20"/>
                <w:color w:val="auto"/>
              </w:rPr>
            </w:pPr>
            <w:r>
              <w:rPr>
                <w:rFonts w:ascii="Arial" w:cs="Arial" w:eastAsia="Arial" w:hAnsi="Arial"/>
                <w:sz w:val="22"/>
                <w:szCs w:val="22"/>
                <w:color w:val="auto"/>
              </w:rPr>
              <w:t>June 30,</w:t>
            </w:r>
          </w:p>
        </w:tc>
        <w:tc>
          <w:tcPr>
            <w:tcW w:w="1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9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2"/>
              <w:spacing w:after="0" w:line="223" w:lineRule="exact"/>
              <w:rPr>
                <w:sz w:val="20"/>
                <w:szCs w:val="20"/>
                <w:color w:val="auto"/>
              </w:rPr>
            </w:pPr>
            <w:r>
              <w:rPr>
                <w:rFonts w:ascii="Arial" w:cs="Arial" w:eastAsia="Arial" w:hAnsi="Arial"/>
                <w:sz w:val="22"/>
                <w:szCs w:val="22"/>
                <w:color w:val="auto"/>
              </w:rPr>
              <w:t>2021</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2"/>
              <w:spacing w:after="0" w:line="223" w:lineRule="exact"/>
              <w:rPr>
                <w:sz w:val="20"/>
                <w:szCs w:val="20"/>
                <w:color w:val="auto"/>
              </w:rPr>
            </w:pPr>
            <w:r>
              <w:rPr>
                <w:rFonts w:ascii="Arial" w:cs="Arial" w:eastAsia="Arial" w:hAnsi="Arial"/>
                <w:sz w:val="22"/>
                <w:szCs w:val="22"/>
                <w:color w:val="auto"/>
              </w:rPr>
              <w:t>2020</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Operating revenues</w:t>
            </w:r>
          </w:p>
        </w:tc>
        <w:tc>
          <w:tcPr>
            <w:tcW w:w="320" w:type="dxa"/>
            <w:vAlign w:val="bottom"/>
            <w:shd w:val="clear" w:color="auto" w:fill="CCEEFF"/>
          </w:tcPr>
          <w:p>
            <w:pPr>
              <w:jc w:val="right"/>
              <w:ind w:right="123"/>
              <w:spacing w:after="0"/>
              <w:rPr>
                <w:sz w:val="20"/>
                <w:szCs w:val="20"/>
                <w:color w:val="auto"/>
              </w:rPr>
            </w:pPr>
            <w:r>
              <w:rPr>
                <w:rFonts w:ascii="Arial" w:cs="Arial" w:eastAsia="Arial" w:hAnsi="Arial"/>
                <w:sz w:val="19"/>
                <w:szCs w:val="19"/>
                <w:color w:val="auto"/>
                <w:w w:val="75"/>
              </w:rPr>
              <w:t>$</w:t>
            </w:r>
          </w:p>
        </w:tc>
        <w:tc>
          <w:tcPr>
            <w:tcW w:w="122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980,597</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23"/>
              <w:spacing w:after="0"/>
              <w:rPr>
                <w:sz w:val="20"/>
                <w:szCs w:val="20"/>
                <w:color w:val="auto"/>
              </w:rPr>
            </w:pPr>
            <w:r>
              <w:rPr>
                <w:rFonts w:ascii="Arial" w:cs="Arial" w:eastAsia="Arial" w:hAnsi="Arial"/>
                <w:sz w:val="19"/>
                <w:szCs w:val="19"/>
                <w:color w:val="auto"/>
                <w:w w:val="75"/>
              </w:rPr>
              <w:t>$</w:t>
            </w:r>
          </w:p>
        </w:tc>
        <w:tc>
          <w:tcPr>
            <w:tcW w:w="11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640,053</w:t>
            </w:r>
          </w:p>
        </w:tc>
        <w:tc>
          <w:tcPr>
            <w:tcW w:w="0" w:type="dxa"/>
            <w:vAlign w:val="bottom"/>
          </w:tcPr>
          <w:p>
            <w:pPr>
              <w:spacing w:after="0"/>
              <w:rPr>
                <w:sz w:val="1"/>
                <w:szCs w:val="1"/>
                <w:color w:val="auto"/>
              </w:rPr>
            </w:pPr>
          </w:p>
        </w:tc>
      </w:tr>
      <w:tr>
        <w:trPr>
          <w:trHeight w:val="229"/>
        </w:trPr>
        <w:tc>
          <w:tcPr>
            <w:tcW w:w="7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Operating expenses: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120"/>
              <w:spacing w:after="0" w:line="229" w:lineRule="exact"/>
              <w:rPr>
                <w:sz w:val="20"/>
                <w:szCs w:val="20"/>
                <w:color w:val="auto"/>
              </w:rPr>
            </w:pPr>
            <w:r>
              <w:rPr>
                <w:rFonts w:ascii="Arial" w:cs="Arial" w:eastAsia="Arial" w:hAnsi="Arial"/>
                <w:sz w:val="22"/>
                <w:szCs w:val="22"/>
                <w:color w:val="auto"/>
              </w:rPr>
              <w:t>Operations and maintenance</w:t>
            </w:r>
          </w:p>
        </w:tc>
        <w:tc>
          <w:tcPr>
            <w:tcW w:w="320" w:type="dxa"/>
            <w:vAlign w:val="bottom"/>
          </w:tcPr>
          <w:p>
            <w:pPr>
              <w:spacing w:after="0"/>
              <w:rPr>
                <w:sz w:val="19"/>
                <w:szCs w:val="19"/>
                <w:color w:val="auto"/>
              </w:rPr>
            </w:pPr>
          </w:p>
        </w:tc>
        <w:tc>
          <w:tcPr>
            <w:tcW w:w="1220" w:type="dxa"/>
            <w:vAlign w:val="bottom"/>
          </w:tcPr>
          <w:p>
            <w:pPr>
              <w:jc w:val="right"/>
              <w:spacing w:after="0" w:line="229" w:lineRule="exact"/>
              <w:rPr>
                <w:sz w:val="20"/>
                <w:szCs w:val="20"/>
                <w:color w:val="auto"/>
              </w:rPr>
            </w:pPr>
            <w:r>
              <w:rPr>
                <w:rFonts w:ascii="Arial" w:cs="Arial" w:eastAsia="Arial" w:hAnsi="Arial"/>
                <w:sz w:val="22"/>
                <w:szCs w:val="22"/>
                <w:color w:val="auto"/>
              </w:rPr>
              <w:t>252,590</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line="229" w:lineRule="exact"/>
              <w:rPr>
                <w:sz w:val="20"/>
                <w:szCs w:val="20"/>
                <w:color w:val="auto"/>
              </w:rPr>
            </w:pPr>
            <w:r>
              <w:rPr>
                <w:rFonts w:ascii="Arial" w:cs="Arial" w:eastAsia="Arial" w:hAnsi="Arial"/>
                <w:sz w:val="22"/>
                <w:szCs w:val="22"/>
                <w:color w:val="auto"/>
              </w:rPr>
              <w:t>235,241</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Purchased gas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177,050</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56,190</w:t>
            </w:r>
          </w:p>
        </w:tc>
        <w:tc>
          <w:tcPr>
            <w:tcW w:w="0" w:type="dxa"/>
            <w:vAlign w:val="bottom"/>
          </w:tcPr>
          <w:p>
            <w:pPr>
              <w:spacing w:after="0"/>
              <w:rPr>
                <w:sz w:val="1"/>
                <w:szCs w:val="1"/>
                <w:color w:val="auto"/>
              </w:rPr>
            </w:pPr>
          </w:p>
        </w:tc>
      </w:tr>
      <w:tr>
        <w:trPr>
          <w:trHeight w:val="230"/>
        </w:trPr>
        <w:tc>
          <w:tcPr>
            <w:tcW w:w="7920" w:type="dxa"/>
            <w:vAlign w:val="bottom"/>
          </w:tcPr>
          <w:p>
            <w:pPr>
              <w:ind w:left="120"/>
              <w:spacing w:after="0" w:line="229" w:lineRule="exact"/>
              <w:rPr>
                <w:sz w:val="20"/>
                <w:szCs w:val="20"/>
                <w:color w:val="auto"/>
              </w:rPr>
            </w:pPr>
            <w:r>
              <w:rPr>
                <w:rFonts w:ascii="Arial" w:cs="Arial" w:eastAsia="Arial" w:hAnsi="Arial"/>
                <w:sz w:val="22"/>
                <w:szCs w:val="22"/>
                <w:color w:val="auto"/>
              </w:rPr>
              <w:t>Depreciation</w:t>
            </w:r>
          </w:p>
        </w:tc>
        <w:tc>
          <w:tcPr>
            <w:tcW w:w="320" w:type="dxa"/>
            <w:vAlign w:val="bottom"/>
          </w:tcPr>
          <w:p>
            <w:pPr>
              <w:spacing w:after="0"/>
              <w:rPr>
                <w:sz w:val="19"/>
                <w:szCs w:val="19"/>
                <w:color w:val="auto"/>
              </w:rPr>
            </w:pPr>
          </w:p>
        </w:tc>
        <w:tc>
          <w:tcPr>
            <w:tcW w:w="1220" w:type="dxa"/>
            <w:vAlign w:val="bottom"/>
          </w:tcPr>
          <w:p>
            <w:pPr>
              <w:jc w:val="right"/>
              <w:spacing w:after="0" w:line="229" w:lineRule="exact"/>
              <w:rPr>
                <w:sz w:val="20"/>
                <w:szCs w:val="20"/>
                <w:color w:val="auto"/>
              </w:rPr>
            </w:pPr>
            <w:r>
              <w:rPr>
                <w:rFonts w:ascii="Arial" w:cs="Arial" w:eastAsia="Arial" w:hAnsi="Arial"/>
                <w:sz w:val="22"/>
                <w:szCs w:val="22"/>
                <w:color w:val="auto"/>
              </w:rPr>
              <w:t>144,401</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line="229" w:lineRule="exact"/>
              <w:rPr>
                <w:sz w:val="20"/>
                <w:szCs w:val="20"/>
                <w:color w:val="auto"/>
              </w:rPr>
            </w:pPr>
            <w:r>
              <w:rPr>
                <w:rFonts w:ascii="Arial" w:cs="Arial" w:eastAsia="Arial" w:hAnsi="Arial"/>
                <w:sz w:val="22"/>
                <w:szCs w:val="22"/>
                <w:color w:val="auto"/>
              </w:rPr>
              <w:t>113,491</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Amortization</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2,715</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2,646</w:t>
            </w:r>
          </w:p>
        </w:tc>
        <w:tc>
          <w:tcPr>
            <w:tcW w:w="0" w:type="dxa"/>
            <w:vAlign w:val="bottom"/>
          </w:tcPr>
          <w:p>
            <w:pPr>
              <w:spacing w:after="0"/>
              <w:rPr>
                <w:sz w:val="1"/>
                <w:szCs w:val="1"/>
                <w:color w:val="auto"/>
              </w:rPr>
            </w:pPr>
          </w:p>
        </w:tc>
      </w:tr>
      <w:tr>
        <w:trPr>
          <w:trHeight w:val="229"/>
        </w:trPr>
        <w:tc>
          <w:tcPr>
            <w:tcW w:w="7920" w:type="dxa"/>
            <w:vAlign w:val="bottom"/>
            <w:tcBorders>
              <w:bottom w:val="single" w:sz="8" w:color="CCEEFF"/>
            </w:tcBorders>
          </w:tcPr>
          <w:p>
            <w:pPr>
              <w:ind w:left="120"/>
              <w:spacing w:after="0" w:line="229" w:lineRule="exact"/>
              <w:rPr>
                <w:sz w:val="20"/>
                <w:szCs w:val="20"/>
                <w:color w:val="auto"/>
              </w:rPr>
            </w:pPr>
            <w:r>
              <w:rPr>
                <w:rFonts w:ascii="Arial" w:cs="Arial" w:eastAsia="Arial" w:hAnsi="Arial"/>
                <w:sz w:val="22"/>
                <w:szCs w:val="22"/>
                <w:color w:val="auto"/>
              </w:rPr>
              <w:t>Taxes other than income taxes</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42,161</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35,869</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618,917</w:t>
            </w:r>
          </w:p>
        </w:tc>
        <w:tc>
          <w:tcPr>
            <w:tcW w:w="2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443,437</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Operating income</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361,680</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196,616</w:t>
            </w:r>
          </w:p>
        </w:tc>
        <w:tc>
          <w:tcPr>
            <w:tcW w:w="0" w:type="dxa"/>
            <w:vAlign w:val="bottom"/>
          </w:tcPr>
          <w:p>
            <w:pPr>
              <w:spacing w:after="0"/>
              <w:rPr>
                <w:sz w:val="1"/>
                <w:szCs w:val="1"/>
                <w:color w:val="auto"/>
              </w:rPr>
            </w:pPr>
          </w:p>
        </w:tc>
      </w:tr>
      <w:tr>
        <w:trPr>
          <w:trHeight w:val="229"/>
        </w:trPr>
        <w:tc>
          <w:tcPr>
            <w:tcW w:w="7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Other expense (income):</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120"/>
              <w:spacing w:after="0" w:line="229" w:lineRule="exact"/>
              <w:rPr>
                <w:sz w:val="20"/>
                <w:szCs w:val="20"/>
                <w:color w:val="auto"/>
              </w:rPr>
            </w:pPr>
            <w:r>
              <w:rPr>
                <w:rFonts w:ascii="Arial" w:cs="Arial" w:eastAsia="Arial" w:hAnsi="Arial"/>
                <w:sz w:val="22"/>
                <w:szCs w:val="22"/>
                <w:color w:val="auto"/>
              </w:rPr>
              <w:t>Interest expense</w:t>
            </w:r>
          </w:p>
        </w:tc>
        <w:tc>
          <w:tcPr>
            <w:tcW w:w="320" w:type="dxa"/>
            <w:vAlign w:val="bottom"/>
          </w:tcPr>
          <w:p>
            <w:pPr>
              <w:spacing w:after="0"/>
              <w:rPr>
                <w:sz w:val="19"/>
                <w:szCs w:val="19"/>
                <w:color w:val="auto"/>
              </w:rPr>
            </w:pPr>
          </w:p>
        </w:tc>
        <w:tc>
          <w:tcPr>
            <w:tcW w:w="1220" w:type="dxa"/>
            <w:vAlign w:val="bottom"/>
          </w:tcPr>
          <w:p>
            <w:pPr>
              <w:jc w:val="right"/>
              <w:spacing w:after="0" w:line="229" w:lineRule="exact"/>
              <w:rPr>
                <w:sz w:val="20"/>
                <w:szCs w:val="20"/>
                <w:color w:val="auto"/>
              </w:rPr>
            </w:pPr>
            <w:r>
              <w:rPr>
                <w:rFonts w:ascii="Arial" w:cs="Arial" w:eastAsia="Arial" w:hAnsi="Arial"/>
                <w:sz w:val="22"/>
                <w:szCs w:val="22"/>
                <w:color w:val="auto"/>
              </w:rPr>
              <w:t>102,805</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line="229" w:lineRule="exact"/>
              <w:rPr>
                <w:sz w:val="20"/>
                <w:szCs w:val="20"/>
                <w:color w:val="auto"/>
              </w:rPr>
            </w:pPr>
            <w:r>
              <w:rPr>
                <w:rFonts w:ascii="Arial" w:cs="Arial" w:eastAsia="Arial" w:hAnsi="Arial"/>
                <w:sz w:val="22"/>
                <w:szCs w:val="22"/>
                <w:color w:val="auto"/>
              </w:rPr>
              <w:t>86,788</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Interest income</w:t>
            </w: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line="229" w:lineRule="exact"/>
              <w:rPr>
                <w:sz w:val="20"/>
                <w:szCs w:val="20"/>
                <w:color w:val="auto"/>
              </w:rPr>
            </w:pPr>
            <w:r>
              <w:rPr>
                <w:rFonts w:ascii="Arial" w:cs="Arial" w:eastAsia="Arial" w:hAnsi="Arial"/>
                <w:sz w:val="22"/>
                <w:szCs w:val="22"/>
                <w:color w:val="auto"/>
              </w:rPr>
              <w:t>(725)</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(5,231)</w:t>
            </w:r>
          </w:p>
        </w:tc>
        <w:tc>
          <w:tcPr>
            <w:tcW w:w="0" w:type="dxa"/>
            <w:vAlign w:val="bottom"/>
          </w:tcPr>
          <w:p>
            <w:pPr>
              <w:spacing w:after="0"/>
              <w:rPr>
                <w:sz w:val="1"/>
                <w:szCs w:val="1"/>
                <w:color w:val="auto"/>
              </w:rPr>
            </w:pPr>
          </w:p>
        </w:tc>
      </w:tr>
      <w:tr>
        <w:trPr>
          <w:trHeight w:val="230"/>
        </w:trPr>
        <w:tc>
          <w:tcPr>
            <w:tcW w:w="7920" w:type="dxa"/>
            <w:vAlign w:val="bottom"/>
          </w:tcPr>
          <w:p>
            <w:pPr>
              <w:ind w:left="120"/>
              <w:spacing w:after="0" w:line="229" w:lineRule="exact"/>
              <w:rPr>
                <w:sz w:val="20"/>
                <w:szCs w:val="20"/>
                <w:color w:val="auto"/>
              </w:rPr>
            </w:pPr>
            <w:r>
              <w:rPr>
                <w:rFonts w:ascii="Arial" w:cs="Arial" w:eastAsia="Arial" w:hAnsi="Arial"/>
                <w:sz w:val="22"/>
                <w:szCs w:val="22"/>
                <w:color w:val="auto"/>
              </w:rPr>
              <w:t>Allowance for funds used during construction</w:t>
            </w:r>
          </w:p>
        </w:tc>
        <w:tc>
          <w:tcPr>
            <w:tcW w:w="320" w:type="dxa"/>
            <w:vAlign w:val="bottom"/>
          </w:tcPr>
          <w:p>
            <w:pPr>
              <w:spacing w:after="0"/>
              <w:rPr>
                <w:sz w:val="19"/>
                <w:szCs w:val="19"/>
                <w:color w:val="auto"/>
              </w:rPr>
            </w:pPr>
          </w:p>
        </w:tc>
        <w:tc>
          <w:tcPr>
            <w:tcW w:w="1440" w:type="dxa"/>
            <w:vAlign w:val="bottom"/>
            <w:gridSpan w:val="2"/>
          </w:tcPr>
          <w:p>
            <w:pPr>
              <w:jc w:val="right"/>
              <w:ind w:right="220"/>
              <w:spacing w:after="0" w:line="229" w:lineRule="exact"/>
              <w:rPr>
                <w:sz w:val="20"/>
                <w:szCs w:val="20"/>
                <w:color w:val="auto"/>
              </w:rPr>
            </w:pPr>
            <w:r>
              <w:rPr>
                <w:rFonts w:ascii="Arial" w:cs="Arial" w:eastAsia="Arial" w:hAnsi="Arial"/>
                <w:sz w:val="22"/>
                <w:szCs w:val="22"/>
                <w:color w:val="auto"/>
              </w:rPr>
              <w:t>(7,840)</w:t>
            </w:r>
          </w:p>
        </w:tc>
        <w:tc>
          <w:tcPr>
            <w:tcW w:w="420" w:type="dxa"/>
            <w:vAlign w:val="bottom"/>
          </w:tcPr>
          <w:p>
            <w:pPr>
              <w:spacing w:after="0"/>
              <w:rPr>
                <w:sz w:val="19"/>
                <w:szCs w:val="19"/>
                <w:color w:val="auto"/>
              </w:rPr>
            </w:pPr>
          </w:p>
        </w:tc>
        <w:tc>
          <w:tcPr>
            <w:tcW w:w="1140" w:type="dxa"/>
            <w:vAlign w:val="bottom"/>
          </w:tcPr>
          <w:p>
            <w:pPr>
              <w:jc w:val="right"/>
              <w:spacing w:after="0" w:line="229" w:lineRule="exact"/>
              <w:rPr>
                <w:sz w:val="20"/>
                <w:szCs w:val="20"/>
                <w:color w:val="auto"/>
              </w:rPr>
            </w:pPr>
            <w:r>
              <w:rPr>
                <w:rFonts w:ascii="Arial" w:cs="Arial" w:eastAsia="Arial" w:hAnsi="Arial"/>
                <w:sz w:val="22"/>
                <w:szCs w:val="22"/>
                <w:color w:val="auto"/>
              </w:rPr>
              <w:t>(5,178)</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Gain on sale of other assets</w:t>
            </w: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line="229" w:lineRule="exact"/>
              <w:rPr>
                <w:sz w:val="20"/>
                <w:szCs w:val="20"/>
                <w:color w:val="auto"/>
              </w:rPr>
            </w:pPr>
            <w:r>
              <w:rPr>
                <w:rFonts w:ascii="Arial" w:cs="Arial" w:eastAsia="Arial" w:hAnsi="Arial"/>
                <w:sz w:val="22"/>
                <w:szCs w:val="22"/>
                <w:color w:val="auto"/>
              </w:rPr>
              <w:t>(303)</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(125)</w:t>
            </w:r>
          </w:p>
        </w:tc>
        <w:tc>
          <w:tcPr>
            <w:tcW w:w="0" w:type="dxa"/>
            <w:vAlign w:val="bottom"/>
          </w:tcPr>
          <w:p>
            <w:pPr>
              <w:spacing w:after="0"/>
              <w:rPr>
                <w:sz w:val="1"/>
                <w:szCs w:val="1"/>
                <w:color w:val="auto"/>
              </w:rPr>
            </w:pPr>
          </w:p>
        </w:tc>
      </w:tr>
      <w:tr>
        <w:trPr>
          <w:trHeight w:val="229"/>
        </w:trPr>
        <w:tc>
          <w:tcPr>
            <w:tcW w:w="7920" w:type="dxa"/>
            <w:vAlign w:val="bottom"/>
          </w:tcPr>
          <w:p>
            <w:pPr>
              <w:ind w:left="120"/>
              <w:spacing w:after="0" w:line="229" w:lineRule="exact"/>
              <w:rPr>
                <w:sz w:val="20"/>
                <w:szCs w:val="20"/>
                <w:color w:val="auto"/>
              </w:rPr>
            </w:pPr>
            <w:r>
              <w:rPr>
                <w:rFonts w:ascii="Arial" w:cs="Arial" w:eastAsia="Arial" w:hAnsi="Arial"/>
                <w:sz w:val="22"/>
                <w:szCs w:val="22"/>
                <w:color w:val="auto"/>
              </w:rPr>
              <w:t>Equity earnings in joint venture</w:t>
            </w:r>
          </w:p>
        </w:tc>
        <w:tc>
          <w:tcPr>
            <w:tcW w:w="320" w:type="dxa"/>
            <w:vAlign w:val="bottom"/>
          </w:tcPr>
          <w:p>
            <w:pPr>
              <w:spacing w:after="0"/>
              <w:rPr>
                <w:sz w:val="19"/>
                <w:szCs w:val="19"/>
                <w:color w:val="auto"/>
              </w:rPr>
            </w:pPr>
          </w:p>
        </w:tc>
        <w:tc>
          <w:tcPr>
            <w:tcW w:w="122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line="229" w:lineRule="exact"/>
              <w:rPr>
                <w:sz w:val="20"/>
                <w:szCs w:val="20"/>
                <w:color w:val="auto"/>
              </w:rPr>
            </w:pPr>
            <w:r>
              <w:rPr>
                <w:rFonts w:ascii="Arial" w:cs="Arial" w:eastAsia="Arial" w:hAnsi="Arial"/>
                <w:sz w:val="22"/>
                <w:szCs w:val="22"/>
                <w:color w:val="auto"/>
              </w:rPr>
              <w:t>(343)</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Other</w:t>
            </w: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line="229" w:lineRule="exact"/>
              <w:rPr>
                <w:sz w:val="20"/>
                <w:szCs w:val="20"/>
                <w:color w:val="auto"/>
              </w:rPr>
            </w:pPr>
            <w:r>
              <w:rPr>
                <w:rFonts w:ascii="Arial" w:cs="Arial" w:eastAsia="Arial" w:hAnsi="Arial"/>
                <w:sz w:val="22"/>
                <w:szCs w:val="22"/>
                <w:color w:val="auto"/>
              </w:rPr>
              <w:t>(5,412)</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957</w:t>
            </w:r>
          </w:p>
        </w:tc>
        <w:tc>
          <w:tcPr>
            <w:tcW w:w="0" w:type="dxa"/>
            <w:vAlign w:val="bottom"/>
          </w:tcPr>
          <w:p>
            <w:pPr>
              <w:spacing w:after="0"/>
              <w:rPr>
                <w:sz w:val="1"/>
                <w:szCs w:val="1"/>
                <w:color w:val="auto"/>
              </w:rPr>
            </w:pPr>
          </w:p>
        </w:tc>
      </w:tr>
      <w:tr>
        <w:trPr>
          <w:trHeight w:val="223"/>
        </w:trPr>
        <w:tc>
          <w:tcPr>
            <w:tcW w:w="7920" w:type="dxa"/>
            <w:vAlign w:val="bottom"/>
          </w:tcPr>
          <w:p>
            <w:pPr>
              <w:spacing w:after="0" w:line="223" w:lineRule="exact"/>
              <w:rPr>
                <w:sz w:val="20"/>
                <w:szCs w:val="20"/>
                <w:color w:val="auto"/>
              </w:rPr>
            </w:pPr>
            <w:r>
              <w:rPr>
                <w:rFonts w:ascii="Arial" w:cs="Arial" w:eastAsia="Arial" w:hAnsi="Arial"/>
                <w:sz w:val="22"/>
                <w:szCs w:val="22"/>
                <w:color w:val="auto"/>
              </w:rPr>
              <w:t>Income before income taxes</w:t>
            </w:r>
          </w:p>
        </w:tc>
        <w:tc>
          <w:tcPr>
            <w:tcW w:w="3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2"/>
                <w:szCs w:val="22"/>
                <w:color w:val="auto"/>
              </w:rPr>
              <w:t>273,155</w:t>
            </w:r>
          </w:p>
        </w:tc>
        <w:tc>
          <w:tcPr>
            <w:tcW w:w="2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2"/>
                <w:szCs w:val="22"/>
                <w:color w:val="auto"/>
              </w:rPr>
              <w:t>119,748</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Provision for income taxes (benefit)</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8,552</w:t>
            </w:r>
          </w:p>
        </w:tc>
        <w:tc>
          <w:tcPr>
            <w:tcW w:w="2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(6,662)</w:t>
            </w:r>
          </w:p>
        </w:tc>
        <w:tc>
          <w:tcPr>
            <w:tcW w:w="0" w:type="dxa"/>
            <w:vAlign w:val="bottom"/>
          </w:tcPr>
          <w:p>
            <w:pPr>
              <w:spacing w:after="0"/>
              <w:rPr>
                <w:sz w:val="1"/>
                <w:szCs w:val="1"/>
                <w:color w:val="auto"/>
              </w:rPr>
            </w:pPr>
          </w:p>
        </w:tc>
      </w:tr>
      <w:tr>
        <w:trPr>
          <w:trHeight w:val="263"/>
        </w:trPr>
        <w:tc>
          <w:tcPr>
            <w:tcW w:w="7920" w:type="dxa"/>
            <w:vAlign w:val="bottom"/>
            <w:tcBorders>
              <w:bottom w:val="single" w:sz="8" w:color="CCEEFF"/>
            </w:tcBorders>
          </w:tcPr>
          <w:p>
            <w:pPr>
              <w:spacing w:after="0" w:line="223" w:lineRule="exact"/>
              <w:rPr>
                <w:sz w:val="20"/>
                <w:szCs w:val="20"/>
                <w:color w:val="auto"/>
              </w:rPr>
            </w:pPr>
            <w:r>
              <w:rPr>
                <w:rFonts w:ascii="Arial" w:cs="Arial" w:eastAsia="Arial" w:hAnsi="Arial"/>
                <w:sz w:val="22"/>
                <w:szCs w:val="22"/>
                <w:color w:val="auto"/>
              </w:rPr>
              <w:t>Net income</w:t>
            </w:r>
          </w:p>
        </w:tc>
        <w:tc>
          <w:tcPr>
            <w:tcW w:w="320" w:type="dxa"/>
            <w:vAlign w:val="bottom"/>
            <w:tcBorders>
              <w:bottom w:val="single" w:sz="8" w:color="auto"/>
            </w:tcBorders>
          </w:tcPr>
          <w:p>
            <w:pPr>
              <w:jc w:val="right"/>
              <w:ind w:right="123"/>
              <w:spacing w:after="0"/>
              <w:rPr>
                <w:sz w:val="20"/>
                <w:szCs w:val="20"/>
                <w:color w:val="auto"/>
              </w:rPr>
            </w:pPr>
            <w:r>
              <w:rPr>
                <w:rFonts w:ascii="Arial" w:cs="Arial" w:eastAsia="Arial" w:hAnsi="Arial"/>
                <w:sz w:val="19"/>
                <w:szCs w:val="19"/>
                <w:color w:val="auto"/>
                <w:w w:val="75"/>
              </w:rPr>
              <w:t>$</w:t>
            </w:r>
          </w:p>
        </w:tc>
        <w:tc>
          <w:tcPr>
            <w:tcW w:w="12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264,603</w:t>
            </w:r>
          </w:p>
        </w:tc>
        <w:tc>
          <w:tcPr>
            <w:tcW w:w="2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ind w:right="223"/>
              <w:spacing w:after="0"/>
              <w:rPr>
                <w:sz w:val="20"/>
                <w:szCs w:val="20"/>
                <w:color w:val="auto"/>
              </w:rPr>
            </w:pPr>
            <w:r>
              <w:rPr>
                <w:rFonts w:ascii="Arial" w:cs="Arial" w:eastAsia="Arial" w:hAnsi="Arial"/>
                <w:sz w:val="19"/>
                <w:szCs w:val="19"/>
                <w:color w:val="auto"/>
                <w:w w:val="75"/>
              </w:rPr>
              <w:t>$</w:t>
            </w:r>
          </w:p>
        </w:tc>
        <w:tc>
          <w:tcPr>
            <w:tcW w:w="11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126,410</w:t>
            </w:r>
          </w:p>
        </w:tc>
        <w:tc>
          <w:tcPr>
            <w:tcW w:w="0" w:type="dxa"/>
            <w:vAlign w:val="bottom"/>
          </w:tcPr>
          <w:p>
            <w:pPr>
              <w:spacing w:after="0"/>
              <w:rPr>
                <w:sz w:val="1"/>
                <w:szCs w:val="1"/>
                <w:color w:val="auto"/>
              </w:rPr>
            </w:pPr>
          </w:p>
        </w:tc>
      </w:tr>
      <w:tr>
        <w:trPr>
          <w:trHeight w:val="210"/>
        </w:trPr>
        <w:tc>
          <w:tcPr>
            <w:tcW w:w="7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920" w:type="dxa"/>
            <w:vAlign w:val="bottom"/>
            <w:tcBorders>
              <w:bottom w:val="single" w:sz="8" w:color="CCEEFF"/>
            </w:tcBorders>
          </w:tcPr>
          <w:p>
            <w:pPr>
              <w:spacing w:after="0" w:line="229" w:lineRule="exact"/>
              <w:rPr>
                <w:sz w:val="20"/>
                <w:szCs w:val="20"/>
                <w:color w:val="auto"/>
              </w:rPr>
            </w:pPr>
            <w:r>
              <w:rPr>
                <w:rFonts w:ascii="Arial" w:cs="Arial" w:eastAsia="Arial" w:hAnsi="Arial"/>
                <w:sz w:val="22"/>
                <w:szCs w:val="22"/>
                <w:color w:val="auto"/>
              </w:rPr>
              <w:t>Comprehensive income</w:t>
            </w:r>
          </w:p>
        </w:tc>
        <w:tc>
          <w:tcPr>
            <w:tcW w:w="320" w:type="dxa"/>
            <w:vAlign w:val="bottom"/>
            <w:tcBorders>
              <w:bottom w:val="single" w:sz="8" w:color="auto"/>
            </w:tcBorders>
          </w:tcPr>
          <w:p>
            <w:pPr>
              <w:jc w:val="right"/>
              <w:ind w:right="123"/>
              <w:spacing w:after="0"/>
              <w:rPr>
                <w:sz w:val="20"/>
                <w:szCs w:val="20"/>
                <w:color w:val="auto"/>
              </w:rPr>
            </w:pPr>
            <w:r>
              <w:rPr>
                <w:rFonts w:ascii="Arial" w:cs="Arial" w:eastAsia="Arial" w:hAnsi="Arial"/>
                <w:sz w:val="19"/>
                <w:szCs w:val="19"/>
                <w:color w:val="auto"/>
                <w:w w:val="75"/>
              </w:rPr>
              <w:t>$</w:t>
            </w:r>
          </w:p>
        </w:tc>
        <w:tc>
          <w:tcPr>
            <w:tcW w:w="122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264,603</w:t>
            </w:r>
          </w:p>
        </w:tc>
        <w:tc>
          <w:tcPr>
            <w:tcW w:w="2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jc w:val="right"/>
              <w:ind w:right="223"/>
              <w:spacing w:after="0"/>
              <w:rPr>
                <w:sz w:val="20"/>
                <w:szCs w:val="20"/>
                <w:color w:val="auto"/>
              </w:rPr>
            </w:pPr>
            <w:r>
              <w:rPr>
                <w:rFonts w:ascii="Arial" w:cs="Arial" w:eastAsia="Arial" w:hAnsi="Arial"/>
                <w:sz w:val="19"/>
                <w:szCs w:val="19"/>
                <w:color w:val="auto"/>
                <w:w w:val="75"/>
              </w:rPr>
              <w:t>$</w:t>
            </w:r>
          </w:p>
        </w:tc>
        <w:tc>
          <w:tcPr>
            <w:tcW w:w="114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126,410</w:t>
            </w:r>
          </w:p>
        </w:tc>
        <w:tc>
          <w:tcPr>
            <w:tcW w:w="0" w:type="dxa"/>
            <w:vAlign w:val="bottom"/>
          </w:tcPr>
          <w:p>
            <w:pPr>
              <w:spacing w:after="0"/>
              <w:rPr>
                <w:sz w:val="1"/>
                <w:szCs w:val="1"/>
                <w:color w:val="auto"/>
              </w:rPr>
            </w:pPr>
          </w:p>
        </w:tc>
      </w:tr>
      <w:tr>
        <w:trPr>
          <w:trHeight w:val="210"/>
        </w:trPr>
        <w:tc>
          <w:tcPr>
            <w:tcW w:w="7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line="229" w:lineRule="exact"/>
              <w:rPr>
                <w:sz w:val="20"/>
                <w:szCs w:val="20"/>
                <w:color w:val="auto"/>
              </w:rPr>
            </w:pPr>
            <w:r>
              <w:rPr>
                <w:rFonts w:ascii="Arial" w:cs="Arial" w:eastAsia="Arial" w:hAnsi="Arial"/>
                <w:sz w:val="22"/>
                <w:szCs w:val="22"/>
                <w:color w:val="auto"/>
              </w:rPr>
              <w:t>Net income per common share:</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Borders>
              <w:bottom w:val="single" w:sz="8" w:color="CCEEFF"/>
            </w:tcBorders>
            <w:shd w:val="clear" w:color="auto" w:fill="CCEEFF"/>
          </w:tcPr>
          <w:p>
            <w:pPr>
              <w:ind w:left="120"/>
              <w:spacing w:after="0" w:line="229" w:lineRule="exact"/>
              <w:rPr>
                <w:sz w:val="20"/>
                <w:szCs w:val="20"/>
                <w:color w:val="auto"/>
              </w:rPr>
            </w:pPr>
            <w:r>
              <w:rPr>
                <w:rFonts w:ascii="Arial" w:cs="Arial" w:eastAsia="Arial" w:hAnsi="Arial"/>
                <w:sz w:val="22"/>
                <w:szCs w:val="22"/>
                <w:color w:val="auto"/>
              </w:rPr>
              <w:t>Basic</w:t>
            </w:r>
          </w:p>
        </w:tc>
        <w:tc>
          <w:tcPr>
            <w:tcW w:w="3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9"/>
                <w:szCs w:val="19"/>
                <w:color w:val="auto"/>
                <w:w w:val="75"/>
              </w:rPr>
              <w:t>$</w:t>
            </w:r>
          </w:p>
        </w:tc>
        <w:tc>
          <w:tcPr>
            <w:tcW w:w="122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1.04</w:t>
            </w:r>
          </w:p>
        </w:tc>
        <w:tc>
          <w:tcPr>
            <w:tcW w:w="2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9"/>
                <w:szCs w:val="19"/>
                <w:color w:val="auto"/>
                <w:w w:val="75"/>
              </w:rPr>
              <w:t>$</w:t>
            </w:r>
          </w:p>
        </w:tc>
        <w:tc>
          <w:tcPr>
            <w:tcW w:w="114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0.52</w:t>
            </w:r>
          </w:p>
        </w:tc>
        <w:tc>
          <w:tcPr>
            <w:tcW w:w="0" w:type="dxa"/>
            <w:vAlign w:val="bottom"/>
          </w:tcPr>
          <w:p>
            <w:pPr>
              <w:spacing w:after="0"/>
              <w:rPr>
                <w:sz w:val="1"/>
                <w:szCs w:val="1"/>
                <w:color w:val="auto"/>
              </w:rPr>
            </w:pPr>
          </w:p>
        </w:tc>
      </w:tr>
      <w:tr>
        <w:trPr>
          <w:trHeight w:val="20"/>
        </w:trPr>
        <w:tc>
          <w:tcPr>
            <w:tcW w:w="7920" w:type="dxa"/>
            <w:vAlign w:val="bottom"/>
            <w:vMerge w:val="restart"/>
          </w:tcPr>
          <w:p>
            <w:pPr>
              <w:ind w:left="120"/>
              <w:spacing w:after="0" w:line="250" w:lineRule="exact"/>
              <w:rPr>
                <w:sz w:val="20"/>
                <w:szCs w:val="20"/>
                <w:color w:val="auto"/>
              </w:rPr>
            </w:pPr>
            <w:r>
              <w:rPr>
                <w:rFonts w:ascii="Arial" w:cs="Arial" w:eastAsia="Arial" w:hAnsi="Arial"/>
                <w:sz w:val="22"/>
                <w:szCs w:val="22"/>
                <w:color w:val="auto"/>
              </w:rPr>
              <w:t>Diluted</w:t>
            </w: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920" w:type="dxa"/>
            <w:vAlign w:val="bottom"/>
            <w:tcBorders>
              <w:bottom w:val="single" w:sz="8" w:color="CCEEFF"/>
            </w:tcBorders>
            <w:vMerge w:val="continue"/>
          </w:tcPr>
          <w:p>
            <w:pPr>
              <w:spacing w:after="0"/>
              <w:rPr>
                <w:sz w:val="21"/>
                <w:szCs w:val="21"/>
                <w:color w:val="auto"/>
              </w:rPr>
            </w:pPr>
          </w:p>
        </w:tc>
        <w:tc>
          <w:tcPr>
            <w:tcW w:w="320" w:type="dxa"/>
            <w:vAlign w:val="bottom"/>
            <w:tcBorders>
              <w:bottom w:val="single" w:sz="8" w:color="auto"/>
            </w:tcBorders>
          </w:tcPr>
          <w:p>
            <w:pPr>
              <w:jc w:val="right"/>
              <w:ind w:right="123"/>
              <w:spacing w:after="0" w:line="210" w:lineRule="exact"/>
              <w:rPr>
                <w:sz w:val="20"/>
                <w:szCs w:val="20"/>
                <w:color w:val="auto"/>
              </w:rPr>
            </w:pPr>
            <w:r>
              <w:rPr>
                <w:rFonts w:ascii="Arial" w:cs="Arial" w:eastAsia="Arial" w:hAnsi="Arial"/>
                <w:sz w:val="19"/>
                <w:szCs w:val="19"/>
                <w:color w:val="auto"/>
                <w:w w:val="75"/>
              </w:rPr>
              <w:t>$</w:t>
            </w:r>
          </w:p>
        </w:tc>
        <w:tc>
          <w:tcPr>
            <w:tcW w:w="12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2"/>
                <w:szCs w:val="22"/>
                <w:color w:val="auto"/>
              </w:rPr>
              <w:t>1.04</w:t>
            </w:r>
          </w:p>
        </w:tc>
        <w:tc>
          <w:tcPr>
            <w:tcW w:w="2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23"/>
              <w:spacing w:after="0" w:line="210" w:lineRule="exact"/>
              <w:rPr>
                <w:sz w:val="20"/>
                <w:szCs w:val="20"/>
                <w:color w:val="auto"/>
              </w:rPr>
            </w:pPr>
            <w:r>
              <w:rPr>
                <w:rFonts w:ascii="Arial" w:cs="Arial" w:eastAsia="Arial" w:hAnsi="Arial"/>
                <w:sz w:val="19"/>
                <w:szCs w:val="19"/>
                <w:color w:val="auto"/>
                <w:w w:val="75"/>
              </w:rPr>
              <w:t>$</w:t>
            </w:r>
          </w:p>
        </w:tc>
        <w:tc>
          <w:tcPr>
            <w:tcW w:w="11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2"/>
                <w:szCs w:val="22"/>
                <w:color w:val="auto"/>
              </w:rPr>
              <w:t>0.50</w:t>
            </w:r>
          </w:p>
        </w:tc>
        <w:tc>
          <w:tcPr>
            <w:tcW w:w="0" w:type="dxa"/>
            <w:vAlign w:val="bottom"/>
          </w:tcPr>
          <w:p>
            <w:pPr>
              <w:spacing w:after="0"/>
              <w:rPr>
                <w:sz w:val="1"/>
                <w:szCs w:val="1"/>
                <w:color w:val="auto"/>
              </w:rPr>
            </w:pPr>
          </w:p>
        </w:tc>
      </w:tr>
      <w:tr>
        <w:trPr>
          <w:trHeight w:val="210"/>
        </w:trPr>
        <w:tc>
          <w:tcPr>
            <w:tcW w:w="7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line="229" w:lineRule="exact"/>
              <w:rPr>
                <w:sz w:val="20"/>
                <w:szCs w:val="20"/>
                <w:color w:val="auto"/>
              </w:rPr>
            </w:pPr>
            <w:r>
              <w:rPr>
                <w:rFonts w:ascii="Arial" w:cs="Arial" w:eastAsia="Arial" w:hAnsi="Arial"/>
                <w:sz w:val="22"/>
                <w:szCs w:val="22"/>
                <w:color w:val="auto"/>
              </w:rPr>
              <w:t>Average common shares outstanding during the period:</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Borders>
              <w:bottom w:val="single" w:sz="8" w:color="CCEEFF"/>
            </w:tcBorders>
            <w:shd w:val="clear" w:color="auto" w:fill="CCEEFF"/>
          </w:tcPr>
          <w:p>
            <w:pPr>
              <w:ind w:left="120"/>
              <w:spacing w:after="0" w:line="229" w:lineRule="exact"/>
              <w:rPr>
                <w:sz w:val="20"/>
                <w:szCs w:val="20"/>
                <w:color w:val="auto"/>
              </w:rPr>
            </w:pPr>
            <w:r>
              <w:rPr>
                <w:rFonts w:ascii="Arial" w:cs="Arial" w:eastAsia="Arial" w:hAnsi="Arial"/>
                <w:sz w:val="22"/>
                <w:szCs w:val="22"/>
                <w:color w:val="auto"/>
              </w:rPr>
              <w:t>Basic</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254,667</w:t>
            </w:r>
          </w:p>
        </w:tc>
        <w:tc>
          <w:tcPr>
            <w:tcW w:w="2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245,144</w:t>
            </w:r>
          </w:p>
        </w:tc>
        <w:tc>
          <w:tcPr>
            <w:tcW w:w="0" w:type="dxa"/>
            <w:vAlign w:val="bottom"/>
          </w:tcPr>
          <w:p>
            <w:pPr>
              <w:spacing w:after="0"/>
              <w:rPr>
                <w:sz w:val="1"/>
                <w:szCs w:val="1"/>
                <w:color w:val="auto"/>
              </w:rPr>
            </w:pPr>
          </w:p>
        </w:tc>
      </w:tr>
      <w:tr>
        <w:trPr>
          <w:trHeight w:val="20"/>
        </w:trPr>
        <w:tc>
          <w:tcPr>
            <w:tcW w:w="7920" w:type="dxa"/>
            <w:vAlign w:val="bottom"/>
            <w:vMerge w:val="restart"/>
          </w:tcPr>
          <w:p>
            <w:pPr>
              <w:ind w:left="120"/>
              <w:spacing w:after="0" w:line="250" w:lineRule="exact"/>
              <w:rPr>
                <w:sz w:val="20"/>
                <w:szCs w:val="20"/>
                <w:color w:val="auto"/>
              </w:rPr>
            </w:pPr>
            <w:r>
              <w:rPr>
                <w:rFonts w:ascii="Arial" w:cs="Arial" w:eastAsia="Arial" w:hAnsi="Arial"/>
                <w:sz w:val="22"/>
                <w:szCs w:val="22"/>
                <w:color w:val="auto"/>
              </w:rPr>
              <w:t>Diluted</w:t>
            </w: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20" w:type="dxa"/>
            <w:vAlign w:val="bottom"/>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2"/>
                <w:szCs w:val="22"/>
                <w:color w:val="auto"/>
              </w:rPr>
              <w:t>255,268</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2"/>
                <w:szCs w:val="22"/>
                <w:color w:val="auto"/>
              </w:rPr>
              <w:t>254,452</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6" w:name="page7"/>
    <w:bookmarkEnd w:id="6"/>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75"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CONSOLIDATED STATEMENTS OF CAPITALIZATION</w:t>
      </w:r>
    </w:p>
    <w:p>
      <w:pPr>
        <w:jc w:val="center"/>
        <w:ind w:right="40"/>
        <w:spacing w:after="0" w:line="187" w:lineRule="auto"/>
        <w:rPr>
          <w:sz w:val="20"/>
          <w:szCs w:val="20"/>
          <w:color w:val="auto"/>
        </w:rPr>
      </w:pPr>
      <w:r>
        <w:rPr>
          <w:rFonts w:ascii="Arial" w:cs="Arial" w:eastAsia="Arial" w:hAnsi="Arial"/>
          <w:sz w:val="18"/>
          <w:szCs w:val="18"/>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gridSpan w:val="2"/>
          </w:tcPr>
          <w:p>
            <w:pPr>
              <w:jc w:val="right"/>
              <w:ind w:right="880"/>
              <w:spacing w:after="0"/>
              <w:rPr>
                <w:sz w:val="20"/>
                <w:szCs w:val="20"/>
                <w:color w:val="auto"/>
              </w:rPr>
            </w:pPr>
            <w:r>
              <w:rPr>
                <w:rFonts w:ascii="Arial" w:cs="Arial" w:eastAsia="Arial" w:hAnsi="Arial"/>
                <w:sz w:val="18"/>
                <w:szCs w:val="18"/>
                <w:color w:val="auto"/>
              </w:rPr>
              <w:t>June 30,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right"/>
              <w:ind w:right="311"/>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16"/>
        </w:trPr>
        <w:tc>
          <w:tcPr>
            <w:tcW w:w="7160" w:type="dxa"/>
            <w:vAlign w:val="bottom"/>
            <w:vMerge w:val="restart"/>
          </w:tcPr>
          <w:p>
            <w:pPr>
              <w:spacing w:after="0"/>
              <w:rPr>
                <w:sz w:val="20"/>
                <w:szCs w:val="20"/>
                <w:color w:val="auto"/>
              </w:rPr>
            </w:pPr>
            <w:r>
              <w:rPr>
                <w:rFonts w:ascii="Arial" w:cs="Arial" w:eastAsia="Arial" w:hAnsi="Arial"/>
                <w:sz w:val="18"/>
                <w:szCs w:val="18"/>
                <w:color w:val="auto"/>
              </w:rPr>
              <w:t>Stockholders' equity:</w:t>
            </w:r>
          </w:p>
        </w:tc>
        <w:tc>
          <w:tcPr>
            <w:tcW w:w="4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1"/>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83"/>
        </w:trPr>
        <w:tc>
          <w:tcPr>
            <w:tcW w:w="71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16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Common stock, $0.50 par value</w:t>
            </w:r>
          </w:p>
        </w:tc>
        <w:tc>
          <w:tcPr>
            <w:tcW w:w="420" w:type="dxa"/>
            <w:vAlign w:val="bottom"/>
            <w:shd w:val="clear" w:color="auto" w:fill="CCEEFF"/>
          </w:tcPr>
          <w:p>
            <w:pPr>
              <w:jc w:val="right"/>
              <w:ind w:right="230"/>
              <w:spacing w:after="0" w:line="189" w:lineRule="exact"/>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124,500</w:t>
            </w:r>
          </w:p>
        </w:tc>
        <w:tc>
          <w:tcPr>
            <w:tcW w:w="12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124,285</w:t>
            </w:r>
          </w:p>
        </w:tc>
        <w:tc>
          <w:tcPr>
            <w:tcW w:w="0" w:type="dxa"/>
            <w:vAlign w:val="bottom"/>
          </w:tcPr>
          <w:p>
            <w:pPr>
              <w:spacing w:after="0"/>
              <w:rPr>
                <w:sz w:val="1"/>
                <w:szCs w:val="1"/>
                <w:color w:val="auto"/>
              </w:rPr>
            </w:pPr>
          </w:p>
        </w:tc>
      </w:tr>
      <w:tr>
        <w:trPr>
          <w:trHeight w:val="189"/>
        </w:trPr>
        <w:tc>
          <w:tcPr>
            <w:tcW w:w="7160" w:type="dxa"/>
            <w:vAlign w:val="bottom"/>
          </w:tcPr>
          <w:p>
            <w:pPr>
              <w:ind w:left="240"/>
              <w:spacing w:after="0" w:line="189" w:lineRule="exact"/>
              <w:rPr>
                <w:sz w:val="20"/>
                <w:szCs w:val="20"/>
                <w:color w:val="auto"/>
              </w:rPr>
            </w:pPr>
            <w:r>
              <w:rPr>
                <w:rFonts w:ascii="Arial" w:cs="Arial" w:eastAsia="Arial" w:hAnsi="Arial"/>
                <w:sz w:val="18"/>
                <w:szCs w:val="18"/>
                <w:color w:val="auto"/>
              </w:rPr>
              <w:t>Capital in excess of par value</w:t>
            </w:r>
          </w:p>
        </w:tc>
        <w:tc>
          <w:tcPr>
            <w:tcW w:w="420" w:type="dxa"/>
            <w:vAlign w:val="bottom"/>
          </w:tcPr>
          <w:p>
            <w:pPr>
              <w:spacing w:after="0"/>
              <w:rPr>
                <w:sz w:val="16"/>
                <w:szCs w:val="16"/>
                <w:color w:val="auto"/>
              </w:rPr>
            </w:pPr>
          </w:p>
        </w:tc>
        <w:tc>
          <w:tcPr>
            <w:tcW w:w="1700" w:type="dxa"/>
            <w:vAlign w:val="bottom"/>
          </w:tcPr>
          <w:p>
            <w:pPr>
              <w:jc w:val="right"/>
              <w:spacing w:after="0" w:line="189" w:lineRule="exact"/>
              <w:rPr>
                <w:sz w:val="20"/>
                <w:szCs w:val="20"/>
                <w:color w:val="auto"/>
              </w:rPr>
            </w:pPr>
            <w:r>
              <w:rPr>
                <w:rFonts w:ascii="Arial" w:cs="Arial" w:eastAsia="Arial" w:hAnsi="Arial"/>
                <w:sz w:val="18"/>
                <w:szCs w:val="18"/>
                <w:color w:val="auto"/>
              </w:rPr>
              <w:t>3,393,372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spacing w:after="0" w:line="189" w:lineRule="exact"/>
              <w:rPr>
                <w:sz w:val="20"/>
                <w:szCs w:val="20"/>
                <w:color w:val="auto"/>
              </w:rPr>
            </w:pPr>
            <w:r>
              <w:rPr>
                <w:rFonts w:ascii="Arial" w:cs="Arial" w:eastAsia="Arial" w:hAnsi="Arial"/>
                <w:sz w:val="18"/>
                <w:szCs w:val="18"/>
                <w:color w:val="auto"/>
              </w:rPr>
              <w:t>3,379,057</w:t>
            </w:r>
          </w:p>
        </w:tc>
        <w:tc>
          <w:tcPr>
            <w:tcW w:w="0" w:type="dxa"/>
            <w:vAlign w:val="bottom"/>
          </w:tcPr>
          <w:p>
            <w:pPr>
              <w:spacing w:after="0"/>
              <w:rPr>
                <w:sz w:val="1"/>
                <w:szCs w:val="1"/>
                <w:color w:val="auto"/>
              </w:rPr>
            </w:pPr>
          </w:p>
        </w:tc>
      </w:tr>
      <w:tr>
        <w:trPr>
          <w:trHeight w:val="189"/>
        </w:trPr>
        <w:tc>
          <w:tcPr>
            <w:tcW w:w="716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Retained earnings</w:t>
            </w:r>
          </w:p>
        </w:tc>
        <w:tc>
          <w:tcPr>
            <w:tcW w:w="4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1,403,041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1,261,862</w:t>
            </w:r>
          </w:p>
        </w:tc>
        <w:tc>
          <w:tcPr>
            <w:tcW w:w="0" w:type="dxa"/>
            <w:vAlign w:val="bottom"/>
          </w:tcPr>
          <w:p>
            <w:pPr>
              <w:spacing w:after="0"/>
              <w:rPr>
                <w:sz w:val="1"/>
                <w:szCs w:val="1"/>
                <w:color w:val="auto"/>
              </w:rPr>
            </w:pPr>
          </w:p>
        </w:tc>
      </w:tr>
      <w:tr>
        <w:trPr>
          <w:trHeight w:val="189"/>
        </w:trPr>
        <w:tc>
          <w:tcPr>
            <w:tcW w:w="7160" w:type="dxa"/>
            <w:vAlign w:val="bottom"/>
          </w:tcPr>
          <w:p>
            <w:pPr>
              <w:ind w:left="240"/>
              <w:spacing w:after="0" w:line="189" w:lineRule="exact"/>
              <w:rPr>
                <w:sz w:val="20"/>
                <w:szCs w:val="20"/>
                <w:color w:val="auto"/>
              </w:rPr>
            </w:pPr>
            <w:r>
              <w:rPr>
                <w:rFonts w:ascii="Arial" w:cs="Arial" w:eastAsia="Arial" w:hAnsi="Arial"/>
                <w:sz w:val="18"/>
                <w:szCs w:val="18"/>
                <w:color w:val="auto"/>
              </w:rPr>
              <w:t>Treasury stock, at cost</w:t>
            </w:r>
          </w:p>
        </w:tc>
        <w:tc>
          <w:tcPr>
            <w:tcW w:w="420" w:type="dxa"/>
            <w:vAlign w:val="bottom"/>
          </w:tcPr>
          <w:p>
            <w:pPr>
              <w:spacing w:after="0"/>
              <w:rPr>
                <w:sz w:val="16"/>
                <w:szCs w:val="16"/>
                <w:color w:val="auto"/>
              </w:rPr>
            </w:pPr>
          </w:p>
        </w:tc>
        <w:tc>
          <w:tcPr>
            <w:tcW w:w="182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(84,098)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spacing w:after="0" w:line="189" w:lineRule="exact"/>
              <w:rPr>
                <w:sz w:val="20"/>
                <w:szCs w:val="20"/>
                <w:color w:val="auto"/>
              </w:rPr>
            </w:pPr>
            <w:r>
              <w:rPr>
                <w:rFonts w:ascii="Arial" w:cs="Arial" w:eastAsia="Arial" w:hAnsi="Arial"/>
                <w:sz w:val="18"/>
                <w:szCs w:val="18"/>
                <w:color w:val="auto"/>
              </w:rPr>
              <w:t>(81,327)</w:t>
            </w:r>
          </w:p>
        </w:tc>
        <w:tc>
          <w:tcPr>
            <w:tcW w:w="0" w:type="dxa"/>
            <w:vAlign w:val="bottom"/>
          </w:tcPr>
          <w:p>
            <w:pPr>
              <w:spacing w:after="0"/>
              <w:rPr>
                <w:sz w:val="1"/>
                <w:szCs w:val="1"/>
                <w:color w:val="auto"/>
              </w:rPr>
            </w:pPr>
          </w:p>
        </w:tc>
      </w:tr>
      <w:tr>
        <w:trPr>
          <w:trHeight w:val="183"/>
        </w:trPr>
        <w:tc>
          <w:tcPr>
            <w:tcW w:w="71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stockholders' equity</w:t>
            </w:r>
          </w:p>
        </w:tc>
        <w:tc>
          <w:tcPr>
            <w:tcW w:w="420" w:type="dxa"/>
            <w:vAlign w:val="bottom"/>
            <w:tcBorders>
              <w:top w:val="single" w:sz="8" w:color="auto"/>
              <w:bottom w:val="single" w:sz="8" w:color="auto"/>
            </w:tcBorders>
            <w:shd w:val="clear" w:color="auto" w:fill="CCEEFF"/>
          </w:tcPr>
          <w:p>
            <w:pPr>
              <w:spacing w:after="0"/>
              <w:rPr>
                <w:sz w:val="15"/>
                <w:szCs w:val="15"/>
                <w:color w:val="auto"/>
              </w:rPr>
            </w:pPr>
          </w:p>
        </w:tc>
        <w:tc>
          <w:tcPr>
            <w:tcW w:w="17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4,836,815</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14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4,683,877</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of subsidiaries (substantially collateralized by utility 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200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2"/>
        </w:trPr>
        <w:tc>
          <w:tcPr>
            <w:tcW w:w="1260" w:type="dxa"/>
            <w:vAlign w:val="bottom"/>
          </w:tcPr>
          <w:p>
            <w:pPr>
              <w:spacing w:after="0"/>
              <w:rPr>
                <w:sz w:val="16"/>
                <w:szCs w:val="16"/>
                <w:color w:val="auto"/>
              </w:rPr>
            </w:pPr>
          </w:p>
        </w:tc>
        <w:tc>
          <w:tcPr>
            <w:tcW w:w="3400" w:type="dxa"/>
            <w:vAlign w:val="bottom"/>
            <w:gridSpan w:val="2"/>
          </w:tcPr>
          <w:p>
            <w:pPr>
              <w:jc w:val="center"/>
              <w:ind w:right="1980"/>
              <w:spacing w:after="0" w:line="185" w:lineRule="exact"/>
              <w:rPr>
                <w:sz w:val="20"/>
                <w:szCs w:val="20"/>
                <w:color w:val="auto"/>
              </w:rPr>
            </w:pPr>
            <w:r>
              <w:rPr>
                <w:rFonts w:ascii="Arial" w:cs="Arial" w:eastAsia="Arial" w:hAnsi="Arial"/>
                <w:sz w:val="18"/>
                <w:szCs w:val="18"/>
                <w:color w:val="auto"/>
                <w:w w:val="88"/>
              </w:rPr>
              <w:t>Interest Rate Range</w:t>
            </w:r>
          </w:p>
        </w:tc>
        <w:tc>
          <w:tcPr>
            <w:tcW w:w="2500" w:type="dxa"/>
            <w:vAlign w:val="bottom"/>
            <w:gridSpan w:val="2"/>
          </w:tcPr>
          <w:p>
            <w:pPr>
              <w:jc w:val="center"/>
              <w:ind w:right="980"/>
              <w:spacing w:after="0" w:line="185" w:lineRule="exact"/>
              <w:rPr>
                <w:sz w:val="20"/>
                <w:szCs w:val="20"/>
                <w:color w:val="auto"/>
              </w:rPr>
            </w:pPr>
            <w:r>
              <w:rPr>
                <w:rFonts w:ascii="Arial" w:cs="Arial" w:eastAsia="Arial" w:hAnsi="Arial"/>
                <w:sz w:val="18"/>
                <w:szCs w:val="18"/>
                <w:color w:val="auto"/>
                <w:w w:val="92"/>
              </w:rPr>
              <w:t>Maturity Date Range</w:t>
            </w:r>
          </w:p>
        </w:tc>
        <w:tc>
          <w:tcPr>
            <w:tcW w:w="6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60" w:type="dxa"/>
            <w:vAlign w:val="bottom"/>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0.00% to 0.99%</w:t>
            </w:r>
          </w:p>
        </w:tc>
        <w:tc>
          <w:tcPr>
            <w:tcW w:w="1980" w:type="dxa"/>
            <w:vAlign w:val="bottom"/>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2023 to 2033</w:t>
            </w:r>
          </w:p>
        </w:tc>
        <w:tc>
          <w:tcPr>
            <w:tcW w:w="9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2,491</w:t>
            </w: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2,805</w:t>
            </w: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3400" w:type="dxa"/>
            <w:vAlign w:val="bottom"/>
            <w:gridSpan w:val="2"/>
          </w:tcPr>
          <w:p>
            <w:pPr>
              <w:jc w:val="center"/>
              <w:ind w:right="1960"/>
              <w:spacing w:after="0" w:line="189" w:lineRule="exact"/>
              <w:rPr>
                <w:sz w:val="20"/>
                <w:szCs w:val="20"/>
                <w:color w:val="auto"/>
              </w:rPr>
            </w:pPr>
            <w:r>
              <w:rPr>
                <w:rFonts w:ascii="Arial" w:cs="Arial" w:eastAsia="Arial" w:hAnsi="Arial"/>
                <w:sz w:val="18"/>
                <w:szCs w:val="18"/>
                <w:color w:val="auto"/>
                <w:w w:val="91"/>
              </w:rPr>
              <w:t>1.00% to 1.99%</w:t>
            </w:r>
          </w:p>
        </w:tc>
        <w:tc>
          <w:tcPr>
            <w:tcW w:w="2500" w:type="dxa"/>
            <w:vAlign w:val="bottom"/>
            <w:gridSpan w:val="2"/>
          </w:tcPr>
          <w:p>
            <w:pPr>
              <w:jc w:val="center"/>
              <w:ind w:right="980"/>
              <w:spacing w:after="0" w:line="189" w:lineRule="exact"/>
              <w:rPr>
                <w:sz w:val="20"/>
                <w:szCs w:val="20"/>
                <w:color w:val="auto"/>
              </w:rPr>
            </w:pPr>
            <w:r>
              <w:rPr>
                <w:rFonts w:ascii="Arial" w:cs="Arial" w:eastAsia="Arial" w:hAnsi="Arial"/>
                <w:sz w:val="18"/>
                <w:szCs w:val="18"/>
                <w:color w:val="auto"/>
                <w:w w:val="91"/>
              </w:rPr>
              <w:t>2021 to 2039</w:t>
            </w:r>
          </w:p>
        </w:tc>
        <w:tc>
          <w:tcPr>
            <w:tcW w:w="68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Arial" w:cs="Arial" w:eastAsia="Arial" w:hAnsi="Arial"/>
                <w:sz w:val="18"/>
                <w:szCs w:val="18"/>
                <w:color w:val="auto"/>
              </w:rPr>
              <w:t>9,820</w:t>
            </w: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10,260</w:t>
            </w:r>
          </w:p>
        </w:tc>
        <w:tc>
          <w:tcPr>
            <w:tcW w:w="0" w:type="dxa"/>
            <w:vAlign w:val="bottom"/>
          </w:tcPr>
          <w:p>
            <w:pPr>
              <w:spacing w:after="0"/>
              <w:rPr>
                <w:sz w:val="1"/>
                <w:szCs w:val="1"/>
                <w:color w:val="auto"/>
              </w:rPr>
            </w:pPr>
          </w:p>
        </w:tc>
      </w:tr>
      <w:tr>
        <w:trPr>
          <w:trHeight w:val="189"/>
        </w:trPr>
        <w:tc>
          <w:tcPr>
            <w:tcW w:w="1260" w:type="dxa"/>
            <w:vAlign w:val="bottom"/>
            <w:shd w:val="clear" w:color="auto" w:fill="CCEEFF"/>
          </w:tcPr>
          <w:p>
            <w:pPr>
              <w:spacing w:after="0"/>
              <w:rPr>
                <w:sz w:val="16"/>
                <w:szCs w:val="16"/>
                <w:color w:val="auto"/>
              </w:rPr>
            </w:pPr>
          </w:p>
        </w:tc>
        <w:tc>
          <w:tcPr>
            <w:tcW w:w="3400" w:type="dxa"/>
            <w:vAlign w:val="bottom"/>
            <w:gridSpan w:val="2"/>
            <w:shd w:val="clear" w:color="auto" w:fill="CCEEFF"/>
          </w:tcPr>
          <w:p>
            <w:pPr>
              <w:jc w:val="center"/>
              <w:ind w:right="1960"/>
              <w:spacing w:after="0" w:line="189" w:lineRule="exact"/>
              <w:rPr>
                <w:sz w:val="20"/>
                <w:szCs w:val="20"/>
                <w:color w:val="auto"/>
              </w:rPr>
            </w:pPr>
            <w:r>
              <w:rPr>
                <w:rFonts w:ascii="Arial" w:cs="Arial" w:eastAsia="Arial" w:hAnsi="Arial"/>
                <w:sz w:val="18"/>
                <w:szCs w:val="18"/>
                <w:color w:val="auto"/>
                <w:w w:val="91"/>
              </w:rPr>
              <w:t>2.00% to 2.99%</w:t>
            </w:r>
          </w:p>
        </w:tc>
        <w:tc>
          <w:tcPr>
            <w:tcW w:w="2500" w:type="dxa"/>
            <w:vAlign w:val="bottom"/>
            <w:gridSpan w:val="2"/>
            <w:shd w:val="clear" w:color="auto" w:fill="CCEEFF"/>
          </w:tcPr>
          <w:p>
            <w:pPr>
              <w:jc w:val="center"/>
              <w:ind w:right="980"/>
              <w:spacing w:after="0" w:line="189" w:lineRule="exact"/>
              <w:rPr>
                <w:sz w:val="20"/>
                <w:szCs w:val="20"/>
                <w:color w:val="auto"/>
              </w:rPr>
            </w:pPr>
            <w:r>
              <w:rPr>
                <w:rFonts w:ascii="Arial" w:cs="Arial" w:eastAsia="Arial" w:hAnsi="Arial"/>
                <w:sz w:val="18"/>
                <w:szCs w:val="18"/>
                <w:color w:val="auto"/>
                <w:w w:val="91"/>
              </w:rPr>
              <w:t>2022 to 2033</w:t>
            </w:r>
          </w:p>
        </w:tc>
        <w:tc>
          <w:tcPr>
            <w:tcW w:w="6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314,161</w:t>
            </w: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265,557</w:t>
            </w: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3400" w:type="dxa"/>
            <w:vAlign w:val="bottom"/>
            <w:gridSpan w:val="2"/>
          </w:tcPr>
          <w:p>
            <w:pPr>
              <w:jc w:val="center"/>
              <w:ind w:right="1960"/>
              <w:spacing w:after="0" w:line="189" w:lineRule="exact"/>
              <w:rPr>
                <w:sz w:val="20"/>
                <w:szCs w:val="20"/>
                <w:color w:val="auto"/>
              </w:rPr>
            </w:pPr>
            <w:r>
              <w:rPr>
                <w:rFonts w:ascii="Arial" w:cs="Arial" w:eastAsia="Arial" w:hAnsi="Arial"/>
                <w:sz w:val="18"/>
                <w:szCs w:val="18"/>
                <w:color w:val="auto"/>
                <w:w w:val="91"/>
              </w:rPr>
              <w:t>3.00% to 3.99%</w:t>
            </w:r>
          </w:p>
        </w:tc>
        <w:tc>
          <w:tcPr>
            <w:tcW w:w="2500" w:type="dxa"/>
            <w:vAlign w:val="bottom"/>
            <w:gridSpan w:val="2"/>
          </w:tcPr>
          <w:p>
            <w:pPr>
              <w:jc w:val="center"/>
              <w:ind w:right="980"/>
              <w:spacing w:after="0" w:line="189" w:lineRule="exact"/>
              <w:rPr>
                <w:sz w:val="20"/>
                <w:szCs w:val="20"/>
                <w:color w:val="auto"/>
              </w:rPr>
            </w:pPr>
            <w:r>
              <w:rPr>
                <w:rFonts w:ascii="Arial" w:cs="Arial" w:eastAsia="Arial" w:hAnsi="Arial"/>
                <w:sz w:val="18"/>
                <w:szCs w:val="18"/>
                <w:color w:val="auto"/>
                <w:w w:val="91"/>
              </w:rPr>
              <w:t>2021 to 2056</w:t>
            </w:r>
          </w:p>
        </w:tc>
        <w:tc>
          <w:tcPr>
            <w:tcW w:w="68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Arial" w:cs="Arial" w:eastAsia="Arial" w:hAnsi="Arial"/>
                <w:sz w:val="18"/>
                <w:szCs w:val="18"/>
                <w:color w:val="auto"/>
              </w:rPr>
              <w:t>1,362,817</w:t>
            </w: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1,316,872</w:t>
            </w:r>
          </w:p>
        </w:tc>
        <w:tc>
          <w:tcPr>
            <w:tcW w:w="0" w:type="dxa"/>
            <w:vAlign w:val="bottom"/>
          </w:tcPr>
          <w:p>
            <w:pPr>
              <w:spacing w:after="0"/>
              <w:rPr>
                <w:sz w:val="1"/>
                <w:szCs w:val="1"/>
                <w:color w:val="auto"/>
              </w:rPr>
            </w:pPr>
          </w:p>
        </w:tc>
      </w:tr>
      <w:tr>
        <w:trPr>
          <w:trHeight w:val="189"/>
        </w:trPr>
        <w:tc>
          <w:tcPr>
            <w:tcW w:w="1260" w:type="dxa"/>
            <w:vAlign w:val="bottom"/>
            <w:shd w:val="clear" w:color="auto" w:fill="CCEEFF"/>
          </w:tcPr>
          <w:p>
            <w:pPr>
              <w:spacing w:after="0"/>
              <w:rPr>
                <w:sz w:val="16"/>
                <w:szCs w:val="16"/>
                <w:color w:val="auto"/>
              </w:rPr>
            </w:pPr>
          </w:p>
        </w:tc>
        <w:tc>
          <w:tcPr>
            <w:tcW w:w="3400" w:type="dxa"/>
            <w:vAlign w:val="bottom"/>
            <w:gridSpan w:val="2"/>
            <w:shd w:val="clear" w:color="auto" w:fill="CCEEFF"/>
          </w:tcPr>
          <w:p>
            <w:pPr>
              <w:jc w:val="center"/>
              <w:ind w:right="1960"/>
              <w:spacing w:after="0" w:line="189" w:lineRule="exact"/>
              <w:rPr>
                <w:sz w:val="20"/>
                <w:szCs w:val="20"/>
                <w:color w:val="auto"/>
              </w:rPr>
            </w:pPr>
            <w:r>
              <w:rPr>
                <w:rFonts w:ascii="Arial" w:cs="Arial" w:eastAsia="Arial" w:hAnsi="Arial"/>
                <w:sz w:val="18"/>
                <w:szCs w:val="18"/>
                <w:color w:val="auto"/>
                <w:w w:val="91"/>
              </w:rPr>
              <w:t>4.00% to 4.99%</w:t>
            </w:r>
          </w:p>
        </w:tc>
        <w:tc>
          <w:tcPr>
            <w:tcW w:w="2500" w:type="dxa"/>
            <w:vAlign w:val="bottom"/>
            <w:gridSpan w:val="2"/>
            <w:shd w:val="clear" w:color="auto" w:fill="CCEEFF"/>
          </w:tcPr>
          <w:p>
            <w:pPr>
              <w:jc w:val="center"/>
              <w:ind w:right="980"/>
              <w:spacing w:after="0" w:line="189" w:lineRule="exact"/>
              <w:rPr>
                <w:sz w:val="20"/>
                <w:szCs w:val="20"/>
                <w:color w:val="auto"/>
              </w:rPr>
            </w:pPr>
            <w:r>
              <w:rPr>
                <w:rFonts w:ascii="Arial" w:cs="Arial" w:eastAsia="Arial" w:hAnsi="Arial"/>
                <w:sz w:val="18"/>
                <w:szCs w:val="18"/>
                <w:color w:val="auto"/>
                <w:w w:val="91"/>
              </w:rPr>
              <w:t>2021 to 2059</w:t>
            </w:r>
          </w:p>
        </w:tc>
        <w:tc>
          <w:tcPr>
            <w:tcW w:w="6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1,312,447</w:t>
            </w: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1,315,812</w:t>
            </w: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3400" w:type="dxa"/>
            <w:vAlign w:val="bottom"/>
            <w:gridSpan w:val="2"/>
          </w:tcPr>
          <w:p>
            <w:pPr>
              <w:jc w:val="center"/>
              <w:ind w:right="1960"/>
              <w:spacing w:after="0" w:line="189" w:lineRule="exact"/>
              <w:rPr>
                <w:sz w:val="20"/>
                <w:szCs w:val="20"/>
                <w:color w:val="auto"/>
              </w:rPr>
            </w:pPr>
            <w:r>
              <w:rPr>
                <w:rFonts w:ascii="Arial" w:cs="Arial" w:eastAsia="Arial" w:hAnsi="Arial"/>
                <w:sz w:val="18"/>
                <w:szCs w:val="18"/>
                <w:color w:val="auto"/>
                <w:w w:val="91"/>
              </w:rPr>
              <w:t>5.00% to 5.99%</w:t>
            </w:r>
          </w:p>
        </w:tc>
        <w:tc>
          <w:tcPr>
            <w:tcW w:w="2500" w:type="dxa"/>
            <w:vAlign w:val="bottom"/>
            <w:gridSpan w:val="2"/>
          </w:tcPr>
          <w:p>
            <w:pPr>
              <w:jc w:val="center"/>
              <w:ind w:right="980"/>
              <w:spacing w:after="0" w:line="189" w:lineRule="exact"/>
              <w:rPr>
                <w:sz w:val="20"/>
                <w:szCs w:val="20"/>
                <w:color w:val="auto"/>
              </w:rPr>
            </w:pPr>
            <w:r>
              <w:rPr>
                <w:rFonts w:ascii="Arial" w:cs="Arial" w:eastAsia="Arial" w:hAnsi="Arial"/>
                <w:sz w:val="18"/>
                <w:szCs w:val="18"/>
                <w:color w:val="auto"/>
                <w:w w:val="91"/>
              </w:rPr>
              <w:t>2021 to 2043</w:t>
            </w:r>
          </w:p>
        </w:tc>
        <w:tc>
          <w:tcPr>
            <w:tcW w:w="68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Arial" w:cs="Arial" w:eastAsia="Arial" w:hAnsi="Arial"/>
                <w:sz w:val="18"/>
                <w:szCs w:val="18"/>
                <w:color w:val="auto"/>
              </w:rPr>
              <w:t>17,416</w:t>
            </w: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17,804</w:t>
            </w:r>
          </w:p>
        </w:tc>
        <w:tc>
          <w:tcPr>
            <w:tcW w:w="0" w:type="dxa"/>
            <w:vAlign w:val="bottom"/>
          </w:tcPr>
          <w:p>
            <w:pPr>
              <w:spacing w:after="0"/>
              <w:rPr>
                <w:sz w:val="1"/>
                <w:szCs w:val="1"/>
                <w:color w:val="auto"/>
              </w:rPr>
            </w:pPr>
          </w:p>
        </w:tc>
      </w:tr>
      <w:tr>
        <w:trPr>
          <w:trHeight w:val="189"/>
        </w:trPr>
        <w:tc>
          <w:tcPr>
            <w:tcW w:w="1260" w:type="dxa"/>
            <w:vAlign w:val="bottom"/>
            <w:shd w:val="clear" w:color="auto" w:fill="CCEEFF"/>
          </w:tcPr>
          <w:p>
            <w:pPr>
              <w:spacing w:after="0"/>
              <w:rPr>
                <w:sz w:val="16"/>
                <w:szCs w:val="16"/>
                <w:color w:val="auto"/>
              </w:rPr>
            </w:pPr>
          </w:p>
        </w:tc>
        <w:tc>
          <w:tcPr>
            <w:tcW w:w="3400" w:type="dxa"/>
            <w:vAlign w:val="bottom"/>
            <w:gridSpan w:val="2"/>
            <w:shd w:val="clear" w:color="auto" w:fill="CCEEFF"/>
          </w:tcPr>
          <w:p>
            <w:pPr>
              <w:jc w:val="center"/>
              <w:ind w:right="1960"/>
              <w:spacing w:after="0" w:line="189" w:lineRule="exact"/>
              <w:rPr>
                <w:sz w:val="20"/>
                <w:szCs w:val="20"/>
                <w:color w:val="auto"/>
              </w:rPr>
            </w:pPr>
            <w:r>
              <w:rPr>
                <w:rFonts w:ascii="Arial" w:cs="Arial" w:eastAsia="Arial" w:hAnsi="Arial"/>
                <w:sz w:val="18"/>
                <w:szCs w:val="18"/>
                <w:color w:val="auto"/>
                <w:w w:val="91"/>
              </w:rPr>
              <w:t>6.00% to 6.99%</w:t>
            </w:r>
          </w:p>
        </w:tc>
        <w:tc>
          <w:tcPr>
            <w:tcW w:w="2500" w:type="dxa"/>
            <w:vAlign w:val="bottom"/>
            <w:gridSpan w:val="2"/>
            <w:shd w:val="clear" w:color="auto" w:fill="CCEEFF"/>
          </w:tcPr>
          <w:p>
            <w:pPr>
              <w:jc w:val="center"/>
              <w:ind w:right="980"/>
              <w:spacing w:after="0" w:line="189" w:lineRule="exact"/>
              <w:rPr>
                <w:sz w:val="20"/>
                <w:szCs w:val="20"/>
                <w:color w:val="auto"/>
              </w:rPr>
            </w:pPr>
            <w:r>
              <w:rPr>
                <w:rFonts w:ascii="Arial" w:cs="Arial" w:eastAsia="Arial" w:hAnsi="Arial"/>
                <w:sz w:val="18"/>
                <w:szCs w:val="18"/>
                <w:color w:val="auto"/>
                <w:w w:val="91"/>
              </w:rPr>
              <w:t>2022 to 2036</w:t>
            </w:r>
          </w:p>
        </w:tc>
        <w:tc>
          <w:tcPr>
            <w:tcW w:w="6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33,896</w:t>
            </w: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33,955</w:t>
            </w: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3400" w:type="dxa"/>
            <w:vAlign w:val="bottom"/>
            <w:gridSpan w:val="2"/>
          </w:tcPr>
          <w:p>
            <w:pPr>
              <w:jc w:val="center"/>
              <w:ind w:right="1960"/>
              <w:spacing w:after="0" w:line="189" w:lineRule="exact"/>
              <w:rPr>
                <w:sz w:val="20"/>
                <w:szCs w:val="20"/>
                <w:color w:val="auto"/>
              </w:rPr>
            </w:pPr>
            <w:r>
              <w:rPr>
                <w:rFonts w:ascii="Arial" w:cs="Arial" w:eastAsia="Arial" w:hAnsi="Arial"/>
                <w:sz w:val="18"/>
                <w:szCs w:val="18"/>
                <w:color w:val="auto"/>
                <w:w w:val="91"/>
              </w:rPr>
              <w:t>7.00% to 7.99%</w:t>
            </w:r>
          </w:p>
        </w:tc>
        <w:tc>
          <w:tcPr>
            <w:tcW w:w="2500" w:type="dxa"/>
            <w:vAlign w:val="bottom"/>
            <w:gridSpan w:val="2"/>
          </w:tcPr>
          <w:p>
            <w:pPr>
              <w:jc w:val="center"/>
              <w:ind w:right="980"/>
              <w:spacing w:after="0" w:line="189" w:lineRule="exact"/>
              <w:rPr>
                <w:sz w:val="20"/>
                <w:szCs w:val="20"/>
                <w:color w:val="auto"/>
              </w:rPr>
            </w:pPr>
            <w:r>
              <w:rPr>
                <w:rFonts w:ascii="Arial" w:cs="Arial" w:eastAsia="Arial" w:hAnsi="Arial"/>
                <w:sz w:val="18"/>
                <w:szCs w:val="18"/>
                <w:color w:val="auto"/>
                <w:w w:val="91"/>
              </w:rPr>
              <w:t>2022 to 2027</w:t>
            </w:r>
          </w:p>
        </w:tc>
        <w:tc>
          <w:tcPr>
            <w:tcW w:w="68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Arial" w:cs="Arial" w:eastAsia="Arial" w:hAnsi="Arial"/>
                <w:sz w:val="18"/>
                <w:szCs w:val="18"/>
                <w:color w:val="auto"/>
              </w:rPr>
              <w:t>29,442</w:t>
            </w: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29,890</w:t>
            </w:r>
          </w:p>
        </w:tc>
        <w:tc>
          <w:tcPr>
            <w:tcW w:w="0" w:type="dxa"/>
            <w:vAlign w:val="bottom"/>
          </w:tcPr>
          <w:p>
            <w:pPr>
              <w:spacing w:after="0"/>
              <w:rPr>
                <w:sz w:val="1"/>
                <w:szCs w:val="1"/>
                <w:color w:val="auto"/>
              </w:rPr>
            </w:pPr>
          </w:p>
        </w:tc>
      </w:tr>
      <w:tr>
        <w:trPr>
          <w:trHeight w:val="189"/>
        </w:trPr>
        <w:tc>
          <w:tcPr>
            <w:tcW w:w="1260" w:type="dxa"/>
            <w:vAlign w:val="bottom"/>
            <w:shd w:val="clear" w:color="auto" w:fill="CCEEFF"/>
          </w:tcPr>
          <w:p>
            <w:pPr>
              <w:spacing w:after="0"/>
              <w:rPr>
                <w:sz w:val="16"/>
                <w:szCs w:val="16"/>
                <w:color w:val="auto"/>
              </w:rPr>
            </w:pPr>
          </w:p>
        </w:tc>
        <w:tc>
          <w:tcPr>
            <w:tcW w:w="3400" w:type="dxa"/>
            <w:vAlign w:val="bottom"/>
            <w:gridSpan w:val="2"/>
            <w:shd w:val="clear" w:color="auto" w:fill="CCEEFF"/>
          </w:tcPr>
          <w:p>
            <w:pPr>
              <w:jc w:val="center"/>
              <w:ind w:right="1960"/>
              <w:spacing w:after="0" w:line="189" w:lineRule="exact"/>
              <w:rPr>
                <w:sz w:val="20"/>
                <w:szCs w:val="20"/>
                <w:color w:val="auto"/>
              </w:rPr>
            </w:pPr>
            <w:r>
              <w:rPr>
                <w:rFonts w:ascii="Arial" w:cs="Arial" w:eastAsia="Arial" w:hAnsi="Arial"/>
                <w:sz w:val="18"/>
                <w:szCs w:val="18"/>
                <w:color w:val="auto"/>
                <w:w w:val="91"/>
              </w:rPr>
              <w:t>8.00% to 8.99%</w:t>
            </w:r>
          </w:p>
        </w:tc>
        <w:tc>
          <w:tcPr>
            <w:tcW w:w="2500" w:type="dxa"/>
            <w:vAlign w:val="bottom"/>
            <w:gridSpan w:val="2"/>
            <w:shd w:val="clear" w:color="auto" w:fill="CCEEFF"/>
          </w:tcPr>
          <w:p>
            <w:pPr>
              <w:jc w:val="center"/>
              <w:ind w:right="980"/>
              <w:spacing w:after="0" w:line="189" w:lineRule="exact"/>
              <w:rPr>
                <w:sz w:val="20"/>
                <w:szCs w:val="20"/>
                <w:color w:val="auto"/>
              </w:rPr>
            </w:pPr>
            <w:r>
              <w:rPr>
                <w:rFonts w:ascii="Arial" w:cs="Arial" w:eastAsia="Arial" w:hAnsi="Arial"/>
                <w:sz w:val="18"/>
                <w:szCs w:val="18"/>
                <w:color w:val="auto"/>
                <w:w w:val="91"/>
              </w:rPr>
              <w:t>2021 to 2025</w:t>
            </w:r>
          </w:p>
        </w:tc>
        <w:tc>
          <w:tcPr>
            <w:tcW w:w="6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3,105</w:t>
            </w: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4,425</w:t>
            </w:r>
          </w:p>
        </w:tc>
        <w:tc>
          <w:tcPr>
            <w:tcW w:w="0" w:type="dxa"/>
            <w:vAlign w:val="bottom"/>
          </w:tcPr>
          <w:p>
            <w:pPr>
              <w:spacing w:after="0"/>
              <w:rPr>
                <w:sz w:val="1"/>
                <w:szCs w:val="1"/>
                <w:color w:val="auto"/>
              </w:rPr>
            </w:pPr>
          </w:p>
        </w:tc>
      </w:tr>
      <w:tr>
        <w:trPr>
          <w:trHeight w:val="189"/>
        </w:trPr>
        <w:tc>
          <w:tcPr>
            <w:tcW w:w="1260" w:type="dxa"/>
            <w:vAlign w:val="bottom"/>
            <w:tcBorders>
              <w:bottom w:val="single" w:sz="8" w:color="CCEEFF"/>
            </w:tcBorders>
          </w:tcPr>
          <w:p>
            <w:pPr>
              <w:spacing w:after="0"/>
              <w:rPr>
                <w:sz w:val="16"/>
                <w:szCs w:val="16"/>
                <w:color w:val="auto"/>
              </w:rPr>
            </w:pPr>
          </w:p>
        </w:tc>
        <w:tc>
          <w:tcPr>
            <w:tcW w:w="3400" w:type="dxa"/>
            <w:vAlign w:val="bottom"/>
            <w:tcBorders>
              <w:bottom w:val="single" w:sz="8" w:color="CCEEFF"/>
            </w:tcBorders>
            <w:gridSpan w:val="2"/>
          </w:tcPr>
          <w:p>
            <w:pPr>
              <w:jc w:val="center"/>
              <w:ind w:right="1960"/>
              <w:spacing w:after="0" w:line="189" w:lineRule="exact"/>
              <w:rPr>
                <w:sz w:val="20"/>
                <w:szCs w:val="20"/>
                <w:color w:val="auto"/>
              </w:rPr>
            </w:pPr>
            <w:r>
              <w:rPr>
                <w:rFonts w:ascii="Arial" w:cs="Arial" w:eastAsia="Arial" w:hAnsi="Arial"/>
                <w:sz w:val="18"/>
                <w:szCs w:val="18"/>
                <w:color w:val="auto"/>
                <w:w w:val="91"/>
              </w:rPr>
              <w:t>9.00% to 9.99%</w:t>
            </w:r>
          </w:p>
        </w:tc>
        <w:tc>
          <w:tcPr>
            <w:tcW w:w="2500" w:type="dxa"/>
            <w:vAlign w:val="bottom"/>
            <w:tcBorders>
              <w:bottom w:val="single" w:sz="8" w:color="CCEEFF"/>
            </w:tcBorders>
            <w:gridSpan w:val="2"/>
          </w:tcPr>
          <w:p>
            <w:pPr>
              <w:jc w:val="center"/>
              <w:ind w:right="980"/>
              <w:spacing w:after="0" w:line="189" w:lineRule="exact"/>
              <w:rPr>
                <w:sz w:val="20"/>
                <w:szCs w:val="20"/>
                <w:color w:val="auto"/>
              </w:rPr>
            </w:pPr>
            <w:r>
              <w:rPr>
                <w:rFonts w:ascii="Arial" w:cs="Arial" w:eastAsia="Arial" w:hAnsi="Arial"/>
                <w:sz w:val="18"/>
                <w:szCs w:val="18"/>
                <w:color w:val="auto"/>
                <w:w w:val="91"/>
              </w:rPr>
              <w:t>2021 to 2026</w:t>
            </w:r>
          </w:p>
        </w:tc>
        <w:tc>
          <w:tcPr>
            <w:tcW w:w="6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12,400</w:t>
            </w:r>
          </w:p>
        </w:tc>
        <w:tc>
          <w:tcPr>
            <w:tcW w:w="24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16,900</w:t>
            </w:r>
          </w:p>
        </w:tc>
        <w:tc>
          <w:tcPr>
            <w:tcW w:w="0" w:type="dxa"/>
            <w:vAlign w:val="bottom"/>
          </w:tcPr>
          <w:p>
            <w:pPr>
              <w:spacing w:after="0"/>
              <w:rPr>
                <w:sz w:val="1"/>
                <w:szCs w:val="1"/>
                <w:color w:val="auto"/>
              </w:rPr>
            </w:pPr>
          </w:p>
        </w:tc>
      </w:tr>
      <w:tr>
        <w:trPr>
          <w:trHeight w:val="183"/>
        </w:trPr>
        <w:tc>
          <w:tcPr>
            <w:tcW w:w="1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3,097,995</w:t>
            </w: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3,014,280</w:t>
            </w: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500" w:type="dxa"/>
            <w:vAlign w:val="bottom"/>
            <w:gridSpan w:val="2"/>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6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auto"/>
              </w:rPr>
              <w:t>Notes payable to bank under revolving credit agreement, variable rate, due 2023</w:t>
            </w:r>
          </w:p>
        </w:tc>
        <w:tc>
          <w:tcPr>
            <w:tcW w:w="6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60,000</w:t>
            </w: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385,000</w:t>
            </w:r>
          </w:p>
        </w:tc>
        <w:tc>
          <w:tcPr>
            <w:tcW w:w="0" w:type="dxa"/>
            <w:vAlign w:val="bottom"/>
          </w:tcPr>
          <w:p>
            <w:pPr>
              <w:spacing w:after="0"/>
              <w:rPr>
                <w:sz w:val="1"/>
                <w:szCs w:val="1"/>
                <w:color w:val="auto"/>
              </w:rPr>
            </w:pPr>
          </w:p>
        </w:tc>
      </w:tr>
      <w:tr>
        <w:trPr>
          <w:trHeight w:val="189"/>
        </w:trPr>
        <w:tc>
          <w:tcPr>
            <w:tcW w:w="4660" w:type="dxa"/>
            <w:vAlign w:val="bottom"/>
            <w:gridSpan w:val="3"/>
          </w:tcPr>
          <w:p>
            <w:pPr>
              <w:spacing w:after="0" w:line="189" w:lineRule="exact"/>
              <w:rPr>
                <w:sz w:val="20"/>
                <w:szCs w:val="20"/>
                <w:color w:val="auto"/>
              </w:rPr>
            </w:pPr>
            <w:r>
              <w:rPr>
                <w:rFonts w:ascii="Arial" w:cs="Arial" w:eastAsia="Arial" w:hAnsi="Arial"/>
                <w:sz w:val="18"/>
                <w:szCs w:val="18"/>
                <w:color w:val="auto"/>
              </w:rPr>
              <w:t>Unsecured notes payable:</w:t>
            </w:r>
          </w:p>
        </w:tc>
        <w:tc>
          <w:tcPr>
            <w:tcW w:w="1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Amortizing notes at 3.00% due 2022</w:t>
            </w:r>
          </w:p>
        </w:tc>
        <w:tc>
          <w:tcPr>
            <w:tcW w:w="15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40,635</w:t>
            </w: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60,502</w:t>
            </w:r>
          </w:p>
        </w:tc>
        <w:tc>
          <w:tcPr>
            <w:tcW w:w="0" w:type="dxa"/>
            <w:vAlign w:val="bottom"/>
          </w:tcPr>
          <w:p>
            <w:pPr>
              <w:spacing w:after="0"/>
              <w:rPr>
                <w:sz w:val="1"/>
                <w:szCs w:val="1"/>
                <w:color w:val="auto"/>
              </w:rPr>
            </w:pPr>
          </w:p>
        </w:tc>
      </w:tr>
      <w:tr>
        <w:trPr>
          <w:trHeight w:val="189"/>
        </w:trPr>
        <w:tc>
          <w:tcPr>
            <w:tcW w:w="4660" w:type="dxa"/>
            <w:vAlign w:val="bottom"/>
            <w:gridSpan w:val="3"/>
          </w:tcPr>
          <w:p>
            <w:pPr>
              <w:ind w:left="120"/>
              <w:spacing w:after="0" w:line="189" w:lineRule="exact"/>
              <w:rPr>
                <w:sz w:val="20"/>
                <w:szCs w:val="20"/>
                <w:color w:val="auto"/>
              </w:rPr>
            </w:pPr>
            <w:r>
              <w:rPr>
                <w:rFonts w:ascii="Arial" w:cs="Arial" w:eastAsia="Arial" w:hAnsi="Arial"/>
                <w:sz w:val="18"/>
                <w:szCs w:val="18"/>
                <w:color w:val="auto"/>
              </w:rPr>
              <w:t>Notes at 2.40% due 2031</w:t>
            </w:r>
          </w:p>
        </w:tc>
        <w:tc>
          <w:tcPr>
            <w:tcW w:w="1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Arial" w:cs="Arial" w:eastAsia="Arial" w:hAnsi="Arial"/>
                <w:sz w:val="18"/>
                <w:szCs w:val="18"/>
                <w:color w:val="auto"/>
              </w:rPr>
              <w:t>400,000</w:t>
            </w: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66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Notes at 2.704% due 2030</w:t>
            </w:r>
          </w:p>
        </w:tc>
        <w:tc>
          <w:tcPr>
            <w:tcW w:w="15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500,000</w:t>
            </w: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189"/>
        </w:trPr>
        <w:tc>
          <w:tcPr>
            <w:tcW w:w="4660" w:type="dxa"/>
            <w:vAlign w:val="bottom"/>
            <w:gridSpan w:val="3"/>
          </w:tcPr>
          <w:p>
            <w:pPr>
              <w:ind w:left="120"/>
              <w:spacing w:after="0" w:line="189" w:lineRule="exact"/>
              <w:rPr>
                <w:sz w:val="20"/>
                <w:szCs w:val="20"/>
                <w:color w:val="auto"/>
              </w:rPr>
            </w:pPr>
            <w:r>
              <w:rPr>
                <w:rFonts w:ascii="Arial" w:cs="Arial" w:eastAsia="Arial" w:hAnsi="Arial"/>
                <w:sz w:val="18"/>
                <w:szCs w:val="18"/>
                <w:color w:val="auto"/>
                <w:w w:val="94"/>
              </w:rPr>
              <w:t>Notes ranging from 3.01% to 3.59% due 2029 through 2050</w:t>
            </w:r>
          </w:p>
        </w:tc>
        <w:tc>
          <w:tcPr>
            <w:tcW w:w="1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Arial" w:cs="Arial" w:eastAsia="Arial" w:hAnsi="Arial"/>
                <w:sz w:val="18"/>
                <w:szCs w:val="18"/>
                <w:color w:val="auto"/>
              </w:rPr>
              <w:t>1,125,000</w:t>
            </w: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1,125,000</w:t>
            </w:r>
          </w:p>
        </w:tc>
        <w:tc>
          <w:tcPr>
            <w:tcW w:w="0" w:type="dxa"/>
            <w:vAlign w:val="bottom"/>
          </w:tcPr>
          <w:p>
            <w:pPr>
              <w:spacing w:after="0"/>
              <w:rPr>
                <w:sz w:val="1"/>
                <w:szCs w:val="1"/>
                <w:color w:val="auto"/>
              </w:rPr>
            </w:pPr>
          </w:p>
        </w:tc>
      </w:tr>
      <w:tr>
        <w:trPr>
          <w:trHeight w:val="189"/>
        </w:trPr>
        <w:tc>
          <w:tcPr>
            <w:tcW w:w="466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Notes at 4.28% due 2049</w:t>
            </w:r>
          </w:p>
        </w:tc>
        <w:tc>
          <w:tcPr>
            <w:tcW w:w="15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500,000</w:t>
            </w: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189"/>
        </w:trPr>
        <w:tc>
          <w:tcPr>
            <w:tcW w:w="4660" w:type="dxa"/>
            <w:vAlign w:val="bottom"/>
            <w:tcBorders>
              <w:bottom w:val="single" w:sz="8" w:color="CCEEFF"/>
            </w:tcBorders>
            <w:gridSpan w:val="3"/>
          </w:tcPr>
          <w:p>
            <w:pPr>
              <w:ind w:left="120"/>
              <w:spacing w:after="0" w:line="189" w:lineRule="exact"/>
              <w:rPr>
                <w:sz w:val="20"/>
                <w:szCs w:val="20"/>
                <w:color w:val="auto"/>
              </w:rPr>
            </w:pPr>
            <w:r>
              <w:rPr>
                <w:rFonts w:ascii="Arial" w:cs="Arial" w:eastAsia="Arial" w:hAnsi="Arial"/>
                <w:sz w:val="18"/>
                <w:szCs w:val="18"/>
                <w:color w:val="auto"/>
                <w:w w:val="93"/>
              </w:rPr>
              <w:t>Notes ranging from 5.64% to 5.95%, due 2021 through 2034</w:t>
            </w:r>
          </w:p>
        </w:tc>
        <w:tc>
          <w:tcPr>
            <w:tcW w:w="152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45,460</w:t>
            </w:r>
          </w:p>
        </w:tc>
        <w:tc>
          <w:tcPr>
            <w:tcW w:w="24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45,461</w:t>
            </w:r>
          </w:p>
        </w:tc>
        <w:tc>
          <w:tcPr>
            <w:tcW w:w="0" w:type="dxa"/>
            <w:vAlign w:val="bottom"/>
          </w:tcPr>
          <w:p>
            <w:pPr>
              <w:spacing w:after="0"/>
              <w:rPr>
                <w:sz w:val="1"/>
                <w:szCs w:val="1"/>
                <w:color w:val="auto"/>
              </w:rPr>
            </w:pPr>
          </w:p>
        </w:tc>
      </w:tr>
      <w:tr>
        <w:trPr>
          <w:trHeight w:val="183"/>
        </w:trPr>
        <w:tc>
          <w:tcPr>
            <w:tcW w:w="1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5,769,090</w:t>
            </w: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5,630,243</w:t>
            </w: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Current portion of long-term debt</w:t>
            </w:r>
          </w:p>
        </w:tc>
        <w:tc>
          <w:tcPr>
            <w:tcW w:w="15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79,660</w:t>
            </w:r>
          </w:p>
        </w:tc>
        <w:tc>
          <w:tcPr>
            <w:tcW w:w="24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84,353</w:t>
            </w:r>
          </w:p>
        </w:tc>
        <w:tc>
          <w:tcPr>
            <w:tcW w:w="0" w:type="dxa"/>
            <w:vAlign w:val="bottom"/>
          </w:tcPr>
          <w:p>
            <w:pPr>
              <w:spacing w:after="0"/>
              <w:rPr>
                <w:sz w:val="1"/>
                <w:szCs w:val="1"/>
                <w:color w:val="auto"/>
              </w:rPr>
            </w:pPr>
          </w:p>
        </w:tc>
      </w:tr>
      <w:tr>
        <w:trPr>
          <w:trHeight w:val="183"/>
        </w:trPr>
        <w:tc>
          <w:tcPr>
            <w:tcW w:w="4660" w:type="dxa"/>
            <w:vAlign w:val="bottom"/>
            <w:gridSpan w:val="3"/>
          </w:tcPr>
          <w:p>
            <w:pPr>
              <w:spacing w:after="0" w:line="182" w:lineRule="exact"/>
              <w:rPr>
                <w:sz w:val="20"/>
                <w:szCs w:val="20"/>
                <w:color w:val="auto"/>
              </w:rPr>
            </w:pPr>
            <w:r>
              <w:rPr>
                <w:rFonts w:ascii="Arial" w:cs="Arial" w:eastAsia="Arial" w:hAnsi="Arial"/>
                <w:sz w:val="18"/>
                <w:szCs w:val="18"/>
                <w:color w:val="auto"/>
              </w:rPr>
              <w:t>Long-term debt, excluding current portion</w:t>
            </w:r>
          </w:p>
        </w:tc>
        <w:tc>
          <w:tcPr>
            <w:tcW w:w="1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40" w:type="dxa"/>
            <w:vAlign w:val="bottom"/>
          </w:tcPr>
          <w:p>
            <w:pPr>
              <w:jc w:val="right"/>
              <w:spacing w:after="0" w:line="182" w:lineRule="exact"/>
              <w:rPr>
                <w:sz w:val="20"/>
                <w:szCs w:val="20"/>
                <w:color w:val="auto"/>
              </w:rPr>
            </w:pPr>
            <w:r>
              <w:rPr>
                <w:rFonts w:ascii="Arial" w:cs="Arial" w:eastAsia="Arial" w:hAnsi="Arial"/>
                <w:sz w:val="18"/>
                <w:szCs w:val="18"/>
                <w:color w:val="auto"/>
              </w:rPr>
              <w:t>5,689,430</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auto"/>
              </w:rPr>
              <w:t>5,545,890</w:t>
            </w:r>
          </w:p>
        </w:tc>
        <w:tc>
          <w:tcPr>
            <w:tcW w:w="0" w:type="dxa"/>
            <w:vAlign w:val="bottom"/>
          </w:tcPr>
          <w:p>
            <w:pPr>
              <w:spacing w:after="0"/>
              <w:rPr>
                <w:sz w:val="1"/>
                <w:szCs w:val="1"/>
                <w:color w:val="auto"/>
              </w:rPr>
            </w:pPr>
          </w:p>
        </w:tc>
      </w:tr>
      <w:tr>
        <w:trPr>
          <w:trHeight w:val="189"/>
        </w:trPr>
        <w:tc>
          <w:tcPr>
            <w:tcW w:w="46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Less: debt issuance costs</w:t>
            </w:r>
          </w:p>
        </w:tc>
        <w:tc>
          <w:tcPr>
            <w:tcW w:w="15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41,198</w:t>
            </w:r>
          </w:p>
        </w:tc>
        <w:tc>
          <w:tcPr>
            <w:tcW w:w="24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38,146</w:t>
            </w:r>
          </w:p>
        </w:tc>
        <w:tc>
          <w:tcPr>
            <w:tcW w:w="0" w:type="dxa"/>
            <w:vAlign w:val="bottom"/>
          </w:tcPr>
          <w:p>
            <w:pPr>
              <w:spacing w:after="0"/>
              <w:rPr>
                <w:sz w:val="1"/>
                <w:szCs w:val="1"/>
                <w:color w:val="auto"/>
              </w:rPr>
            </w:pPr>
          </w:p>
        </w:tc>
      </w:tr>
      <w:tr>
        <w:trPr>
          <w:trHeight w:val="183"/>
        </w:trPr>
        <w:tc>
          <w:tcPr>
            <w:tcW w:w="7160" w:type="dxa"/>
            <w:vAlign w:val="bottom"/>
            <w:tcBorders>
              <w:bottom w:val="single" w:sz="8" w:color="CCEEFF"/>
            </w:tcBorders>
            <w:gridSpan w:val="5"/>
          </w:tcPr>
          <w:p>
            <w:pPr>
              <w:spacing w:after="0" w:line="182" w:lineRule="exact"/>
              <w:rPr>
                <w:sz w:val="20"/>
                <w:szCs w:val="20"/>
                <w:color w:val="auto"/>
              </w:rPr>
            </w:pPr>
            <w:r>
              <w:rPr>
                <w:rFonts w:ascii="Arial" w:cs="Arial" w:eastAsia="Arial" w:hAnsi="Arial"/>
                <w:sz w:val="18"/>
                <w:szCs w:val="18"/>
                <w:color w:val="auto"/>
              </w:rPr>
              <w:t>Long-term debt, excluding current portion, net of debt issuance costs</w:t>
            </w:r>
          </w:p>
        </w:tc>
        <w:tc>
          <w:tcPr>
            <w:tcW w:w="6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5,648,232</w:t>
            </w:r>
          </w:p>
        </w:tc>
        <w:tc>
          <w:tcPr>
            <w:tcW w:w="24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5,507,744</w:t>
            </w:r>
          </w:p>
        </w:tc>
        <w:tc>
          <w:tcPr>
            <w:tcW w:w="0" w:type="dxa"/>
            <w:vAlign w:val="bottom"/>
          </w:tcPr>
          <w:p>
            <w:pPr>
              <w:spacing w:after="0"/>
              <w:rPr>
                <w:sz w:val="1"/>
                <w:szCs w:val="1"/>
                <w:color w:val="auto"/>
              </w:rPr>
            </w:pPr>
          </w:p>
        </w:tc>
      </w:tr>
      <w:tr>
        <w:trPr>
          <w:trHeight w:val="183"/>
        </w:trPr>
        <w:tc>
          <w:tcPr>
            <w:tcW w:w="1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60" w:type="dxa"/>
            <w:vAlign w:val="bottom"/>
            <w:gridSpan w:val="3"/>
          </w:tcPr>
          <w:p>
            <w:pPr>
              <w:spacing w:after="0" w:line="182" w:lineRule="exact"/>
              <w:rPr>
                <w:sz w:val="20"/>
                <w:szCs w:val="20"/>
                <w:color w:val="auto"/>
              </w:rPr>
            </w:pPr>
            <w:r>
              <w:rPr>
                <w:rFonts w:ascii="Arial" w:cs="Arial" w:eastAsia="Arial" w:hAnsi="Arial"/>
                <w:sz w:val="18"/>
                <w:szCs w:val="18"/>
                <w:color w:val="auto"/>
              </w:rPr>
              <w:t>Total capitalization</w:t>
            </w:r>
          </w:p>
        </w:tc>
        <w:tc>
          <w:tcPr>
            <w:tcW w:w="1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tcBorders>
              <w:bottom w:val="single" w:sz="8" w:color="auto"/>
            </w:tcBorders>
          </w:tcPr>
          <w:p>
            <w:pPr>
              <w:jc w:val="right"/>
              <w:ind w:right="490"/>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10,485,047</w:t>
            </w:r>
          </w:p>
        </w:tc>
        <w:tc>
          <w:tcPr>
            <w:tcW w:w="240" w:type="dxa"/>
            <w:vAlign w:val="bottom"/>
          </w:tcPr>
          <w:p>
            <w:pPr>
              <w:spacing w:after="0"/>
              <w:rPr>
                <w:sz w:val="15"/>
                <w:szCs w:val="15"/>
                <w:color w:val="auto"/>
              </w:rPr>
            </w:pPr>
          </w:p>
        </w:tc>
        <w:tc>
          <w:tcPr>
            <w:tcW w:w="480" w:type="dxa"/>
            <w:vAlign w:val="bottom"/>
            <w:tcBorders>
              <w:bottom w:val="single" w:sz="8" w:color="auto"/>
            </w:tcBorders>
          </w:tcPr>
          <w:p>
            <w:pPr>
              <w:jc w:val="right"/>
              <w:ind w:right="29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10,191,621</w:t>
            </w:r>
          </w:p>
        </w:tc>
        <w:tc>
          <w:tcPr>
            <w:tcW w:w="0" w:type="dxa"/>
            <w:vAlign w:val="bottom"/>
          </w:tcPr>
          <w:p>
            <w:pPr>
              <w:spacing w:after="0"/>
              <w:rPr>
                <w:sz w:val="1"/>
                <w:szCs w:val="1"/>
                <w:color w:val="auto"/>
              </w:rPr>
            </w:pPr>
          </w:p>
        </w:tc>
      </w:tr>
      <w:tr>
        <w:trPr>
          <w:trHeight w:val="20"/>
        </w:trPr>
        <w:tc>
          <w:tcPr>
            <w:tcW w:w="7160" w:type="dxa"/>
            <w:vAlign w:val="bottom"/>
            <w:gridSpan w:val="5"/>
            <w:vMerge w:val="restart"/>
          </w:tcPr>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6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160" w:type="dxa"/>
            <w:vAlign w:val="bottom"/>
            <w:gridSpan w:val="5"/>
            <w:vMerge w:val="continue"/>
          </w:tcPr>
          <w:p>
            <w:pPr>
              <w:spacing w:after="0"/>
              <w:rPr>
                <w:sz w:val="24"/>
                <w:szCs w:val="24"/>
                <w:color w:val="auto"/>
              </w:rPr>
            </w:pPr>
          </w:p>
        </w:tc>
        <w:tc>
          <w:tcPr>
            <w:tcW w:w="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7" w:name="page8"/>
    <w:bookmarkEnd w:id="7"/>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75"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CONSOLIDATED STATEMENTS OF EQUITY</w:t>
      </w:r>
    </w:p>
    <w:p>
      <w:pPr>
        <w:jc w:val="center"/>
        <w:spacing w:after="0" w:line="192" w:lineRule="auto"/>
        <w:rPr>
          <w:sz w:val="20"/>
          <w:szCs w:val="20"/>
          <w:color w:val="auto"/>
        </w:rPr>
      </w:pPr>
      <w:r>
        <w:rPr>
          <w:rFonts w:ascii="Arial" w:cs="Arial" w:eastAsia="Arial" w:hAnsi="Arial"/>
          <w:sz w:val="22"/>
          <w:szCs w:val="22"/>
          <w:color w:val="auto"/>
        </w:rPr>
        <w:t>(In thousands of dollars)</w:t>
      </w: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6"/>
                <w:szCs w:val="16"/>
                <w:color w:val="auto"/>
                <w:w w:val="92"/>
              </w:rPr>
              <w:t>Common</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color w:val="auto"/>
              </w:rPr>
              <w:t>Capital in</w:t>
            </w:r>
          </w:p>
        </w:tc>
        <w:tc>
          <w:tcPr>
            <w:tcW w:w="14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w w:val="93"/>
              </w:rPr>
              <w:t>Retained</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restart"/>
          </w:tcPr>
          <w:p>
            <w:pPr>
              <w:jc w:val="center"/>
              <w:ind w:right="160"/>
              <w:spacing w:after="0"/>
              <w:rPr>
                <w:sz w:val="20"/>
                <w:szCs w:val="20"/>
                <w:color w:val="auto"/>
              </w:rPr>
            </w:pPr>
            <w:r>
              <w:rPr>
                <w:rFonts w:ascii="Arial" w:cs="Arial" w:eastAsia="Arial" w:hAnsi="Arial"/>
                <w:sz w:val="16"/>
                <w:szCs w:val="16"/>
                <w:color w:val="auto"/>
                <w:w w:val="88"/>
              </w:rPr>
              <w:t>Treasury</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40"/>
              <w:spacing w:after="0" w:line="162" w:lineRule="exact"/>
              <w:rPr>
                <w:sz w:val="20"/>
                <w:szCs w:val="20"/>
                <w:color w:val="auto"/>
              </w:rPr>
            </w:pPr>
            <w:r>
              <w:rPr>
                <w:rFonts w:ascii="Arial" w:cs="Arial" w:eastAsia="Arial" w:hAnsi="Arial"/>
                <w:sz w:val="16"/>
                <w:szCs w:val="16"/>
                <w:color w:val="auto"/>
              </w:rPr>
              <w:t>Excess of</w:t>
            </w: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ind w:right="25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85"/>
        </w:trPr>
        <w:tc>
          <w:tcPr>
            <w:tcW w:w="5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Stock</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color w:val="auto"/>
              </w:rPr>
              <w:t>Par Value</w:t>
            </w:r>
          </w:p>
        </w:tc>
        <w:tc>
          <w:tcPr>
            <w:tcW w:w="14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w w:val="94"/>
              </w:rPr>
              <w:t>Earnings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Stock</w:t>
            </w: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7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Balance at December 31, 2020</w:t>
            </w:r>
          </w:p>
        </w:tc>
        <w:tc>
          <w:tcPr>
            <w:tcW w:w="7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124,285</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3,379,057</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1,261,862</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(81,327)</w:t>
            </w: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4,683,877</w:t>
            </w:r>
          </w:p>
        </w:tc>
        <w:tc>
          <w:tcPr>
            <w:tcW w:w="0" w:type="dxa"/>
            <w:vAlign w:val="bottom"/>
          </w:tcPr>
          <w:p>
            <w:pPr>
              <w:spacing w:after="0"/>
              <w:rPr>
                <w:sz w:val="1"/>
                <w:szCs w:val="1"/>
                <w:color w:val="auto"/>
              </w:rPr>
            </w:pPr>
          </w:p>
        </w:tc>
      </w:tr>
      <w:tr>
        <w:trPr>
          <w:trHeight w:val="162"/>
        </w:trPr>
        <w:tc>
          <w:tcPr>
            <w:tcW w:w="5700" w:type="dxa"/>
            <w:vAlign w:val="bottom"/>
          </w:tcPr>
          <w:p>
            <w:pPr>
              <w:spacing w:after="0" w:line="162" w:lineRule="exact"/>
              <w:rPr>
                <w:sz w:val="20"/>
                <w:szCs w:val="20"/>
                <w:color w:val="auto"/>
              </w:rPr>
            </w:pPr>
            <w:r>
              <w:rPr>
                <w:rFonts w:ascii="Arial" w:cs="Arial" w:eastAsia="Arial" w:hAnsi="Arial"/>
                <w:sz w:val="16"/>
                <w:szCs w:val="16"/>
                <w:color w:val="auto"/>
              </w:rPr>
              <w:t>Net income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183,689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183,689</w:t>
            </w:r>
          </w:p>
        </w:tc>
        <w:tc>
          <w:tcPr>
            <w:tcW w:w="0" w:type="dxa"/>
            <w:vAlign w:val="bottom"/>
          </w:tcPr>
          <w:p>
            <w:pPr>
              <w:spacing w:after="0"/>
              <w:rPr>
                <w:sz w:val="1"/>
                <w:szCs w:val="1"/>
                <w:color w:val="auto"/>
              </w:rPr>
            </w:pPr>
          </w:p>
        </w:tc>
      </w:tr>
      <w:tr>
        <w:trPr>
          <w:trHeight w:val="162"/>
        </w:trPr>
        <w:tc>
          <w:tcPr>
            <w:tcW w:w="57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Dividends declared ($0.2507 per share)</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(61,520)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(61,520)</w:t>
            </w:r>
          </w:p>
        </w:tc>
        <w:tc>
          <w:tcPr>
            <w:tcW w:w="0" w:type="dxa"/>
            <w:vAlign w:val="bottom"/>
          </w:tcPr>
          <w:p>
            <w:pPr>
              <w:spacing w:after="0"/>
              <w:rPr>
                <w:sz w:val="1"/>
                <w:szCs w:val="1"/>
                <w:color w:val="auto"/>
              </w:rPr>
            </w:pPr>
          </w:p>
        </w:tc>
      </w:tr>
      <w:tr>
        <w:trPr>
          <w:trHeight w:val="162"/>
        </w:trPr>
        <w:tc>
          <w:tcPr>
            <w:tcW w:w="5700" w:type="dxa"/>
            <w:vAlign w:val="bottom"/>
          </w:tcPr>
          <w:p>
            <w:pPr>
              <w:spacing w:after="0" w:line="162" w:lineRule="exact"/>
              <w:rPr>
                <w:sz w:val="20"/>
                <w:szCs w:val="20"/>
                <w:color w:val="auto"/>
              </w:rPr>
            </w:pPr>
            <w:r>
              <w:rPr>
                <w:rFonts w:ascii="Arial" w:cs="Arial" w:eastAsia="Arial" w:hAnsi="Arial"/>
                <w:sz w:val="16"/>
                <w:szCs w:val="16"/>
                <w:color w:val="auto"/>
              </w:rPr>
              <w:t>Issuance of common stock under dividend reinvestment plan (98,904 shares)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49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6"/>
                <w:szCs w:val="16"/>
                <w:color w:val="auto"/>
              </w:rPr>
              <w:t>4,112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4,161</w:t>
            </w:r>
          </w:p>
        </w:tc>
        <w:tc>
          <w:tcPr>
            <w:tcW w:w="0" w:type="dxa"/>
            <w:vAlign w:val="bottom"/>
          </w:tcPr>
          <w:p>
            <w:pPr>
              <w:spacing w:after="0"/>
              <w:rPr>
                <w:sz w:val="1"/>
                <w:szCs w:val="1"/>
                <w:color w:val="auto"/>
              </w:rPr>
            </w:pPr>
          </w:p>
        </w:tc>
      </w:tr>
      <w:tr>
        <w:trPr>
          <w:trHeight w:val="162"/>
        </w:trPr>
        <w:tc>
          <w:tcPr>
            <w:tcW w:w="57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Repurchase of stock (76,105 shares)</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(3,262)</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(3,262)</w:t>
            </w:r>
          </w:p>
        </w:tc>
        <w:tc>
          <w:tcPr>
            <w:tcW w:w="0" w:type="dxa"/>
            <w:vAlign w:val="bottom"/>
          </w:tcPr>
          <w:p>
            <w:pPr>
              <w:spacing w:after="0"/>
              <w:rPr>
                <w:sz w:val="1"/>
                <w:szCs w:val="1"/>
                <w:color w:val="auto"/>
              </w:rPr>
            </w:pPr>
          </w:p>
        </w:tc>
      </w:tr>
      <w:tr>
        <w:trPr>
          <w:trHeight w:val="162"/>
        </w:trPr>
        <w:tc>
          <w:tcPr>
            <w:tcW w:w="5700" w:type="dxa"/>
            <w:vAlign w:val="bottom"/>
          </w:tcPr>
          <w:p>
            <w:pPr>
              <w:spacing w:after="0" w:line="162" w:lineRule="exact"/>
              <w:rPr>
                <w:sz w:val="20"/>
                <w:szCs w:val="20"/>
                <w:color w:val="auto"/>
              </w:rPr>
            </w:pPr>
            <w:r>
              <w:rPr>
                <w:rFonts w:ascii="Arial" w:cs="Arial" w:eastAsia="Arial" w:hAnsi="Arial"/>
                <w:sz w:val="16"/>
                <w:szCs w:val="16"/>
                <w:color w:val="auto"/>
              </w:rPr>
              <w:t>Equity compensation plan (192,407 shares)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97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(97)</w:t>
            </w:r>
          </w:p>
        </w:tc>
        <w:tc>
          <w:tcPr>
            <w:tcW w:w="14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57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Exercise of stock options (20,201 shares)</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704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162"/>
        </w:trPr>
        <w:tc>
          <w:tcPr>
            <w:tcW w:w="5700" w:type="dxa"/>
            <w:vAlign w:val="bottom"/>
          </w:tcPr>
          <w:p>
            <w:pPr>
              <w:spacing w:after="0" w:line="162" w:lineRule="exact"/>
              <w:rPr>
                <w:sz w:val="20"/>
                <w:szCs w:val="20"/>
                <w:color w:val="auto"/>
              </w:rPr>
            </w:pPr>
            <w:r>
              <w:rPr>
                <w:rFonts w:ascii="Arial" w:cs="Arial" w:eastAsia="Arial" w:hAnsi="Arial"/>
                <w:sz w:val="16"/>
                <w:szCs w:val="16"/>
                <w:color w:val="auto"/>
              </w:rPr>
              <w:t>Stock-based compensation</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6"/>
                <w:szCs w:val="16"/>
                <w:color w:val="auto"/>
              </w:rPr>
              <w:t>2,631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(174)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2,457</w:t>
            </w:r>
          </w:p>
        </w:tc>
        <w:tc>
          <w:tcPr>
            <w:tcW w:w="0" w:type="dxa"/>
            <w:vAlign w:val="bottom"/>
          </w:tcPr>
          <w:p>
            <w:pPr>
              <w:spacing w:after="0"/>
              <w:rPr>
                <w:sz w:val="1"/>
                <w:szCs w:val="1"/>
                <w:color w:val="auto"/>
              </w:rPr>
            </w:pPr>
          </w:p>
        </w:tc>
      </w:tr>
      <w:tr>
        <w:trPr>
          <w:trHeight w:val="162"/>
        </w:trPr>
        <w:tc>
          <w:tcPr>
            <w:tcW w:w="57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Other</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(31)</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256</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156"/>
        </w:trPr>
        <w:tc>
          <w:tcPr>
            <w:tcW w:w="5700" w:type="dxa"/>
            <w:vAlign w:val="bottom"/>
          </w:tcPr>
          <w:p>
            <w:pPr>
              <w:spacing w:after="0" w:line="155" w:lineRule="exact"/>
              <w:rPr>
                <w:sz w:val="20"/>
                <w:szCs w:val="20"/>
                <w:color w:val="auto"/>
              </w:rPr>
            </w:pPr>
            <w:r>
              <w:rPr>
                <w:rFonts w:ascii="Arial" w:cs="Arial" w:eastAsia="Arial" w:hAnsi="Arial"/>
                <w:sz w:val="16"/>
                <w:szCs w:val="16"/>
                <w:color w:val="auto"/>
              </w:rPr>
              <w:t>Balance at March 31, 2021</w:t>
            </w:r>
          </w:p>
        </w:tc>
        <w:tc>
          <w:tcPr>
            <w:tcW w:w="7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124,441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3,386,376</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1,383,857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(84,333)</w:t>
            </w:r>
          </w:p>
        </w:tc>
        <w:tc>
          <w:tcPr>
            <w:tcW w:w="60" w:type="dxa"/>
            <w:vAlign w:val="bottom"/>
          </w:tcPr>
          <w:p>
            <w:pPr>
              <w:spacing w:after="0"/>
              <w:rPr>
                <w:sz w:val="13"/>
                <w:szCs w:val="13"/>
                <w:color w:val="auto"/>
              </w:rPr>
            </w:pPr>
          </w:p>
        </w:tc>
        <w:tc>
          <w:tcPr>
            <w:tcW w:w="200" w:type="dxa"/>
            <w:vAlign w:val="bottom"/>
            <w:tcBorders>
              <w:top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4,810,341</w:t>
            </w:r>
          </w:p>
        </w:tc>
        <w:tc>
          <w:tcPr>
            <w:tcW w:w="0" w:type="dxa"/>
            <w:vAlign w:val="bottom"/>
          </w:tcPr>
          <w:p>
            <w:pPr>
              <w:spacing w:after="0"/>
              <w:rPr>
                <w:sz w:val="1"/>
                <w:szCs w:val="1"/>
                <w:color w:val="auto"/>
              </w:rPr>
            </w:pPr>
          </w:p>
        </w:tc>
      </w:tr>
      <w:tr>
        <w:trPr>
          <w:trHeight w:val="162"/>
        </w:trPr>
        <w:tc>
          <w:tcPr>
            <w:tcW w:w="57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Net income</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80,914</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80,914</w:t>
            </w:r>
          </w:p>
        </w:tc>
        <w:tc>
          <w:tcPr>
            <w:tcW w:w="0" w:type="dxa"/>
            <w:vAlign w:val="bottom"/>
          </w:tcPr>
          <w:p>
            <w:pPr>
              <w:spacing w:after="0"/>
              <w:rPr>
                <w:sz w:val="1"/>
                <w:szCs w:val="1"/>
                <w:color w:val="auto"/>
              </w:rPr>
            </w:pPr>
          </w:p>
        </w:tc>
      </w:tr>
      <w:tr>
        <w:trPr>
          <w:trHeight w:val="162"/>
        </w:trPr>
        <w:tc>
          <w:tcPr>
            <w:tcW w:w="5700" w:type="dxa"/>
            <w:vAlign w:val="bottom"/>
          </w:tcPr>
          <w:p>
            <w:pPr>
              <w:spacing w:after="0" w:line="162" w:lineRule="exact"/>
              <w:rPr>
                <w:sz w:val="20"/>
                <w:szCs w:val="20"/>
                <w:color w:val="auto"/>
              </w:rPr>
            </w:pPr>
            <w:r>
              <w:rPr>
                <w:rFonts w:ascii="Arial" w:cs="Arial" w:eastAsia="Arial" w:hAnsi="Arial"/>
                <w:sz w:val="16"/>
                <w:szCs w:val="16"/>
                <w:color w:val="auto"/>
              </w:rPr>
              <w:t>Dividends declared ($0.2507 per share)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(61,584)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(61,584)</w:t>
            </w:r>
          </w:p>
        </w:tc>
        <w:tc>
          <w:tcPr>
            <w:tcW w:w="0" w:type="dxa"/>
            <w:vAlign w:val="bottom"/>
          </w:tcPr>
          <w:p>
            <w:pPr>
              <w:spacing w:after="0"/>
              <w:rPr>
                <w:sz w:val="1"/>
                <w:szCs w:val="1"/>
                <w:color w:val="auto"/>
              </w:rPr>
            </w:pPr>
          </w:p>
        </w:tc>
      </w:tr>
      <w:tr>
        <w:trPr>
          <w:trHeight w:val="162"/>
        </w:trPr>
        <w:tc>
          <w:tcPr>
            <w:tcW w:w="57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Issuance of common stock under dividend reinvestment plan (90,654 shares)</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46</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4,049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4,095</w:t>
            </w:r>
          </w:p>
        </w:tc>
        <w:tc>
          <w:tcPr>
            <w:tcW w:w="0" w:type="dxa"/>
            <w:vAlign w:val="bottom"/>
          </w:tcPr>
          <w:p>
            <w:pPr>
              <w:spacing w:after="0"/>
              <w:rPr>
                <w:sz w:val="1"/>
                <w:szCs w:val="1"/>
                <w:color w:val="auto"/>
              </w:rPr>
            </w:pPr>
          </w:p>
        </w:tc>
      </w:tr>
      <w:tr>
        <w:trPr>
          <w:trHeight w:val="162"/>
        </w:trPr>
        <w:tc>
          <w:tcPr>
            <w:tcW w:w="5700" w:type="dxa"/>
            <w:vAlign w:val="bottom"/>
          </w:tcPr>
          <w:p>
            <w:pPr>
              <w:spacing w:after="0" w:line="162" w:lineRule="exact"/>
              <w:rPr>
                <w:sz w:val="20"/>
                <w:szCs w:val="20"/>
                <w:color w:val="auto"/>
              </w:rPr>
            </w:pPr>
            <w:r>
              <w:rPr>
                <w:rFonts w:ascii="Arial" w:cs="Arial" w:eastAsia="Arial" w:hAnsi="Arial"/>
                <w:sz w:val="16"/>
                <w:szCs w:val="16"/>
                <w:color w:val="auto"/>
              </w:rPr>
              <w:t>Repurchase of stock (364 shares)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(17)</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62"/>
        </w:trPr>
        <w:tc>
          <w:tcPr>
            <w:tcW w:w="57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Equity compensation plan (4,874 shares)</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5700" w:type="dxa"/>
            <w:vAlign w:val="bottom"/>
          </w:tcPr>
          <w:p>
            <w:pPr>
              <w:spacing w:after="0" w:line="162" w:lineRule="exact"/>
              <w:rPr>
                <w:sz w:val="20"/>
                <w:szCs w:val="20"/>
                <w:color w:val="auto"/>
              </w:rPr>
            </w:pPr>
            <w:r>
              <w:rPr>
                <w:rFonts w:ascii="Arial" w:cs="Arial" w:eastAsia="Arial" w:hAnsi="Arial"/>
                <w:sz w:val="16"/>
                <w:szCs w:val="16"/>
                <w:color w:val="auto"/>
              </w:rPr>
              <w:t>Exercise of stock options (22,786 shares)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11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6"/>
                <w:szCs w:val="16"/>
                <w:color w:val="auto"/>
              </w:rPr>
              <w:t>781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792</w:t>
            </w:r>
          </w:p>
        </w:tc>
        <w:tc>
          <w:tcPr>
            <w:tcW w:w="0" w:type="dxa"/>
            <w:vAlign w:val="bottom"/>
          </w:tcPr>
          <w:p>
            <w:pPr>
              <w:spacing w:after="0"/>
              <w:rPr>
                <w:sz w:val="1"/>
                <w:szCs w:val="1"/>
                <w:color w:val="auto"/>
              </w:rPr>
            </w:pPr>
          </w:p>
        </w:tc>
      </w:tr>
      <w:tr>
        <w:trPr>
          <w:trHeight w:val="162"/>
        </w:trPr>
        <w:tc>
          <w:tcPr>
            <w:tcW w:w="57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Stock-based compensation</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2,316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(146)</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2,170</w:t>
            </w:r>
          </w:p>
        </w:tc>
        <w:tc>
          <w:tcPr>
            <w:tcW w:w="0" w:type="dxa"/>
            <w:vAlign w:val="bottom"/>
          </w:tcPr>
          <w:p>
            <w:pPr>
              <w:spacing w:after="0"/>
              <w:rPr>
                <w:sz w:val="1"/>
                <w:szCs w:val="1"/>
                <w:color w:val="auto"/>
              </w:rPr>
            </w:pPr>
          </w:p>
        </w:tc>
      </w:tr>
      <w:tr>
        <w:trPr>
          <w:trHeight w:val="162"/>
        </w:trPr>
        <w:tc>
          <w:tcPr>
            <w:tcW w:w="5700" w:type="dxa"/>
            <w:vAlign w:val="bottom"/>
          </w:tcPr>
          <w:p>
            <w:pPr>
              <w:spacing w:after="0" w:line="162" w:lineRule="exact"/>
              <w:rPr>
                <w:sz w:val="20"/>
                <w:szCs w:val="20"/>
                <w:color w:val="auto"/>
              </w:rPr>
            </w:pPr>
            <w:r>
              <w:rPr>
                <w:rFonts w:ascii="Arial" w:cs="Arial" w:eastAsia="Arial" w:hAnsi="Arial"/>
                <w:sz w:val="16"/>
                <w:szCs w:val="16"/>
                <w:color w:val="auto"/>
              </w:rPr>
              <w:t>Other</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(148)</w:t>
            </w:r>
          </w:p>
        </w:tc>
        <w:tc>
          <w:tcPr>
            <w:tcW w:w="14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252</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155"/>
        </w:trPr>
        <w:tc>
          <w:tcPr>
            <w:tcW w:w="570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Balance at June 30, 2021</w:t>
            </w:r>
          </w:p>
        </w:tc>
        <w:tc>
          <w:tcPr>
            <w:tcW w:w="7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124,500</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3,393,372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1,403,041</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(84,098)</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4,836,815</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8" w:name="page9"/>
    <w:bookmarkEnd w:id="8"/>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75"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CONSOLIDATED STATEMENTS OF EQUITY</w:t>
      </w:r>
    </w:p>
    <w:p>
      <w:pPr>
        <w:jc w:val="center"/>
        <w:spacing w:after="0" w:line="192" w:lineRule="auto"/>
        <w:rPr>
          <w:sz w:val="20"/>
          <w:szCs w:val="20"/>
          <w:color w:val="auto"/>
        </w:rPr>
      </w:pPr>
      <w:r>
        <w:rPr>
          <w:rFonts w:ascii="Arial" w:cs="Arial" w:eastAsia="Arial" w:hAnsi="Arial"/>
          <w:sz w:val="22"/>
          <w:szCs w:val="22"/>
          <w:color w:val="auto"/>
        </w:rPr>
        <w:t>(In thousands of dollars)</w:t>
      </w: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6"/>
                <w:szCs w:val="16"/>
                <w:color w:val="auto"/>
                <w:w w:val="92"/>
              </w:rPr>
              <w:t>Common</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color w:val="auto"/>
              </w:rPr>
              <w:t>Capital in</w:t>
            </w:r>
          </w:p>
        </w:tc>
        <w:tc>
          <w:tcPr>
            <w:tcW w:w="14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w w:val="93"/>
              </w:rPr>
              <w:t>Retained</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restart"/>
          </w:tcPr>
          <w:p>
            <w:pPr>
              <w:jc w:val="center"/>
              <w:ind w:right="160"/>
              <w:spacing w:after="0"/>
              <w:rPr>
                <w:sz w:val="20"/>
                <w:szCs w:val="20"/>
                <w:color w:val="auto"/>
              </w:rPr>
            </w:pPr>
            <w:r>
              <w:rPr>
                <w:rFonts w:ascii="Arial" w:cs="Arial" w:eastAsia="Arial" w:hAnsi="Arial"/>
                <w:sz w:val="16"/>
                <w:szCs w:val="16"/>
                <w:color w:val="auto"/>
                <w:w w:val="88"/>
              </w:rPr>
              <w:t>Treasury</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40"/>
              <w:spacing w:after="0" w:line="162" w:lineRule="exact"/>
              <w:rPr>
                <w:sz w:val="20"/>
                <w:szCs w:val="20"/>
                <w:color w:val="auto"/>
              </w:rPr>
            </w:pPr>
            <w:r>
              <w:rPr>
                <w:rFonts w:ascii="Arial" w:cs="Arial" w:eastAsia="Arial" w:hAnsi="Arial"/>
                <w:sz w:val="16"/>
                <w:szCs w:val="16"/>
                <w:color w:val="auto"/>
              </w:rPr>
              <w:t>Excess of</w:t>
            </w: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ind w:right="17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85"/>
        </w:trPr>
        <w:tc>
          <w:tcPr>
            <w:tcW w:w="5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Stock</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color w:val="auto"/>
              </w:rPr>
              <w:t>Par Value</w:t>
            </w:r>
          </w:p>
        </w:tc>
        <w:tc>
          <w:tcPr>
            <w:tcW w:w="14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w w:val="94"/>
              </w:rPr>
              <w:t>Earnings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Stock</w:t>
            </w: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74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Balance at December 31, 2019</w:t>
            </w:r>
          </w:p>
        </w:tc>
        <w:tc>
          <w:tcPr>
            <w:tcW w:w="6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111,935</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2,636,555</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1,210,072</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(77,702)</w:t>
            </w: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3,880,860</w:t>
            </w:r>
          </w:p>
        </w:tc>
        <w:tc>
          <w:tcPr>
            <w:tcW w:w="0" w:type="dxa"/>
            <w:vAlign w:val="bottom"/>
          </w:tcPr>
          <w:p>
            <w:pPr>
              <w:spacing w:after="0"/>
              <w:rPr>
                <w:sz w:val="1"/>
                <w:szCs w:val="1"/>
                <w:color w:val="auto"/>
              </w:rPr>
            </w:pPr>
          </w:p>
        </w:tc>
      </w:tr>
      <w:tr>
        <w:trPr>
          <w:trHeight w:val="162"/>
        </w:trPr>
        <w:tc>
          <w:tcPr>
            <w:tcW w:w="5740" w:type="dxa"/>
            <w:vAlign w:val="bottom"/>
          </w:tcPr>
          <w:p>
            <w:pPr>
              <w:spacing w:after="0" w:line="162" w:lineRule="exact"/>
              <w:rPr>
                <w:sz w:val="20"/>
                <w:szCs w:val="20"/>
                <w:color w:val="auto"/>
              </w:rPr>
            </w:pPr>
            <w:r>
              <w:rPr>
                <w:rFonts w:ascii="Arial" w:cs="Arial" w:eastAsia="Arial" w:hAnsi="Arial"/>
                <w:sz w:val="16"/>
                <w:szCs w:val="16"/>
                <w:color w:val="auto"/>
              </w:rPr>
              <w:t>Net income</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51,781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51,781</w:t>
            </w:r>
          </w:p>
        </w:tc>
        <w:tc>
          <w:tcPr>
            <w:tcW w:w="0" w:type="dxa"/>
            <w:vAlign w:val="bottom"/>
          </w:tcPr>
          <w:p>
            <w:pPr>
              <w:spacing w:after="0"/>
              <w:rPr>
                <w:sz w:val="1"/>
                <w:szCs w:val="1"/>
                <w:color w:val="auto"/>
              </w:rPr>
            </w:pPr>
          </w:p>
        </w:tc>
      </w:tr>
      <w:tr>
        <w:trPr>
          <w:trHeight w:val="162"/>
        </w:trPr>
        <w:tc>
          <w:tcPr>
            <w:tcW w:w="57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Dividends declared ($0.2343 per share)</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(52,205)</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(52,205)</w:t>
            </w:r>
          </w:p>
        </w:tc>
        <w:tc>
          <w:tcPr>
            <w:tcW w:w="0" w:type="dxa"/>
            <w:vAlign w:val="bottom"/>
          </w:tcPr>
          <w:p>
            <w:pPr>
              <w:spacing w:after="0"/>
              <w:rPr>
                <w:sz w:val="1"/>
                <w:szCs w:val="1"/>
                <w:color w:val="auto"/>
              </w:rPr>
            </w:pPr>
          </w:p>
        </w:tc>
      </w:tr>
      <w:tr>
        <w:trPr>
          <w:trHeight w:val="162"/>
        </w:trPr>
        <w:tc>
          <w:tcPr>
            <w:tcW w:w="5740" w:type="dxa"/>
            <w:vAlign w:val="bottom"/>
          </w:tcPr>
          <w:p>
            <w:pPr>
              <w:spacing w:after="0" w:line="162" w:lineRule="exact"/>
              <w:rPr>
                <w:sz w:val="20"/>
                <w:szCs w:val="20"/>
                <w:color w:val="auto"/>
              </w:rPr>
            </w:pPr>
            <w:r>
              <w:rPr>
                <w:rFonts w:ascii="Arial" w:cs="Arial" w:eastAsia="Arial" w:hAnsi="Arial"/>
                <w:sz w:val="16"/>
                <w:szCs w:val="16"/>
                <w:color w:val="auto"/>
              </w:rPr>
              <w:t>Issuance of common stock from private placement (21,661,095 shares)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10,831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6"/>
                <w:szCs w:val="16"/>
                <w:color w:val="auto"/>
              </w:rPr>
              <w:t>719,304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730,135</w:t>
            </w:r>
          </w:p>
        </w:tc>
        <w:tc>
          <w:tcPr>
            <w:tcW w:w="0" w:type="dxa"/>
            <w:vAlign w:val="bottom"/>
          </w:tcPr>
          <w:p>
            <w:pPr>
              <w:spacing w:after="0"/>
              <w:rPr>
                <w:sz w:val="1"/>
                <w:szCs w:val="1"/>
                <w:color w:val="auto"/>
              </w:rPr>
            </w:pPr>
          </w:p>
        </w:tc>
      </w:tr>
      <w:tr>
        <w:trPr>
          <w:trHeight w:val="162"/>
        </w:trPr>
        <w:tc>
          <w:tcPr>
            <w:tcW w:w="57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Issuance of common stock from stock purchase contracts (2,335,654 shares)</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1,168</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(1,168)</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5740" w:type="dxa"/>
            <w:vAlign w:val="bottom"/>
          </w:tcPr>
          <w:p>
            <w:pPr>
              <w:spacing w:after="0" w:line="162" w:lineRule="exact"/>
              <w:rPr>
                <w:sz w:val="20"/>
                <w:szCs w:val="20"/>
                <w:color w:val="auto"/>
              </w:rPr>
            </w:pPr>
            <w:r>
              <w:rPr>
                <w:rFonts w:ascii="Arial" w:cs="Arial" w:eastAsia="Arial" w:hAnsi="Arial"/>
                <w:sz w:val="16"/>
                <w:szCs w:val="16"/>
                <w:color w:val="auto"/>
              </w:rPr>
              <w:t>Issuance of common stock under dividend reinvestment plan (86,969 shares)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43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6"/>
                <w:szCs w:val="16"/>
                <w:color w:val="auto"/>
              </w:rPr>
              <w:t>4,019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4,062</w:t>
            </w:r>
          </w:p>
        </w:tc>
        <w:tc>
          <w:tcPr>
            <w:tcW w:w="0" w:type="dxa"/>
            <w:vAlign w:val="bottom"/>
          </w:tcPr>
          <w:p>
            <w:pPr>
              <w:spacing w:after="0"/>
              <w:rPr>
                <w:sz w:val="1"/>
                <w:szCs w:val="1"/>
                <w:color w:val="auto"/>
              </w:rPr>
            </w:pPr>
          </w:p>
        </w:tc>
      </w:tr>
      <w:tr>
        <w:trPr>
          <w:trHeight w:val="162"/>
        </w:trPr>
        <w:tc>
          <w:tcPr>
            <w:tcW w:w="57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Repurchase of stock (81,722 shares)</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(4,339)</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(4,339)</w:t>
            </w:r>
          </w:p>
        </w:tc>
        <w:tc>
          <w:tcPr>
            <w:tcW w:w="0" w:type="dxa"/>
            <w:vAlign w:val="bottom"/>
          </w:tcPr>
          <w:p>
            <w:pPr>
              <w:spacing w:after="0"/>
              <w:rPr>
                <w:sz w:val="1"/>
                <w:szCs w:val="1"/>
                <w:color w:val="auto"/>
              </w:rPr>
            </w:pPr>
          </w:p>
        </w:tc>
      </w:tr>
      <w:tr>
        <w:trPr>
          <w:trHeight w:val="162"/>
        </w:trPr>
        <w:tc>
          <w:tcPr>
            <w:tcW w:w="5740" w:type="dxa"/>
            <w:vAlign w:val="bottom"/>
          </w:tcPr>
          <w:p>
            <w:pPr>
              <w:spacing w:after="0" w:line="162" w:lineRule="exact"/>
              <w:rPr>
                <w:sz w:val="20"/>
                <w:szCs w:val="20"/>
                <w:color w:val="auto"/>
              </w:rPr>
            </w:pPr>
            <w:r>
              <w:rPr>
                <w:rFonts w:ascii="Arial" w:cs="Arial" w:eastAsia="Arial" w:hAnsi="Arial"/>
                <w:sz w:val="16"/>
                <w:szCs w:val="16"/>
                <w:color w:val="auto"/>
              </w:rPr>
              <w:t>Equity compensation plan (223,495 shares)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112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(112)</w:t>
            </w:r>
          </w:p>
        </w:tc>
        <w:tc>
          <w:tcPr>
            <w:tcW w:w="14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57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Exercise of stock options (56,106 shares)</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28</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922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950</w:t>
            </w:r>
          </w:p>
        </w:tc>
        <w:tc>
          <w:tcPr>
            <w:tcW w:w="0" w:type="dxa"/>
            <w:vAlign w:val="bottom"/>
          </w:tcPr>
          <w:p>
            <w:pPr>
              <w:spacing w:after="0"/>
              <w:rPr>
                <w:sz w:val="1"/>
                <w:szCs w:val="1"/>
                <w:color w:val="auto"/>
              </w:rPr>
            </w:pPr>
          </w:p>
        </w:tc>
      </w:tr>
      <w:tr>
        <w:trPr>
          <w:trHeight w:val="162"/>
        </w:trPr>
        <w:tc>
          <w:tcPr>
            <w:tcW w:w="5740" w:type="dxa"/>
            <w:vAlign w:val="bottom"/>
          </w:tcPr>
          <w:p>
            <w:pPr>
              <w:spacing w:after="0" w:line="162" w:lineRule="exact"/>
              <w:rPr>
                <w:sz w:val="20"/>
                <w:szCs w:val="20"/>
                <w:color w:val="auto"/>
              </w:rPr>
            </w:pPr>
            <w:r>
              <w:rPr>
                <w:rFonts w:ascii="Arial" w:cs="Arial" w:eastAsia="Arial" w:hAnsi="Arial"/>
                <w:sz w:val="16"/>
                <w:szCs w:val="16"/>
                <w:color w:val="auto"/>
              </w:rPr>
              <w:t>Stock-based compensation</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6"/>
                <w:szCs w:val="16"/>
                <w:color w:val="auto"/>
              </w:rPr>
              <w:t>2,072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(147)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1,925</w:t>
            </w:r>
          </w:p>
        </w:tc>
        <w:tc>
          <w:tcPr>
            <w:tcW w:w="0" w:type="dxa"/>
            <w:vAlign w:val="bottom"/>
          </w:tcPr>
          <w:p>
            <w:pPr>
              <w:spacing w:after="0"/>
              <w:rPr>
                <w:sz w:val="1"/>
                <w:szCs w:val="1"/>
                <w:color w:val="auto"/>
              </w:rPr>
            </w:pPr>
          </w:p>
        </w:tc>
      </w:tr>
      <w:tr>
        <w:trPr>
          <w:trHeight w:val="162"/>
        </w:trPr>
        <w:tc>
          <w:tcPr>
            <w:tcW w:w="57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Other</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(6)</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56"/>
        </w:trPr>
        <w:tc>
          <w:tcPr>
            <w:tcW w:w="5740" w:type="dxa"/>
            <w:vAlign w:val="bottom"/>
          </w:tcPr>
          <w:p>
            <w:pPr>
              <w:spacing w:after="0" w:line="155" w:lineRule="exact"/>
              <w:rPr>
                <w:sz w:val="20"/>
                <w:szCs w:val="20"/>
                <w:color w:val="auto"/>
              </w:rPr>
            </w:pPr>
            <w:r>
              <w:rPr>
                <w:rFonts w:ascii="Arial" w:cs="Arial" w:eastAsia="Arial" w:hAnsi="Arial"/>
                <w:sz w:val="16"/>
                <w:szCs w:val="16"/>
                <w:color w:val="auto"/>
              </w:rPr>
              <w:t>Balance at March 31, 2020</w:t>
            </w:r>
          </w:p>
        </w:tc>
        <w:tc>
          <w:tcPr>
            <w:tcW w:w="6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124,117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3,361,586</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1,209,501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(82,041)</w:t>
            </w:r>
          </w:p>
        </w:tc>
        <w:tc>
          <w:tcPr>
            <w:tcW w:w="60" w:type="dxa"/>
            <w:vAlign w:val="bottom"/>
          </w:tcPr>
          <w:p>
            <w:pPr>
              <w:spacing w:after="0"/>
              <w:rPr>
                <w:sz w:val="13"/>
                <w:szCs w:val="13"/>
                <w:color w:val="auto"/>
              </w:rPr>
            </w:pPr>
          </w:p>
        </w:tc>
        <w:tc>
          <w:tcPr>
            <w:tcW w:w="200" w:type="dxa"/>
            <w:vAlign w:val="bottom"/>
            <w:tcBorders>
              <w:top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4,613,163</w:t>
            </w:r>
          </w:p>
        </w:tc>
        <w:tc>
          <w:tcPr>
            <w:tcW w:w="0" w:type="dxa"/>
            <w:vAlign w:val="bottom"/>
          </w:tcPr>
          <w:p>
            <w:pPr>
              <w:spacing w:after="0"/>
              <w:rPr>
                <w:sz w:val="1"/>
                <w:szCs w:val="1"/>
                <w:color w:val="auto"/>
              </w:rPr>
            </w:pPr>
          </w:p>
        </w:tc>
      </w:tr>
      <w:tr>
        <w:trPr>
          <w:trHeight w:val="162"/>
        </w:trPr>
        <w:tc>
          <w:tcPr>
            <w:tcW w:w="57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Net income</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74,629</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74,629</w:t>
            </w:r>
          </w:p>
        </w:tc>
        <w:tc>
          <w:tcPr>
            <w:tcW w:w="0" w:type="dxa"/>
            <w:vAlign w:val="bottom"/>
          </w:tcPr>
          <w:p>
            <w:pPr>
              <w:spacing w:after="0"/>
              <w:rPr>
                <w:sz w:val="1"/>
                <w:szCs w:val="1"/>
                <w:color w:val="auto"/>
              </w:rPr>
            </w:pPr>
          </w:p>
        </w:tc>
      </w:tr>
      <w:tr>
        <w:trPr>
          <w:trHeight w:val="162"/>
        </w:trPr>
        <w:tc>
          <w:tcPr>
            <w:tcW w:w="5740" w:type="dxa"/>
            <w:vAlign w:val="bottom"/>
          </w:tcPr>
          <w:p>
            <w:pPr>
              <w:spacing w:after="0" w:line="162" w:lineRule="exact"/>
              <w:rPr>
                <w:sz w:val="20"/>
                <w:szCs w:val="20"/>
                <w:color w:val="auto"/>
              </w:rPr>
            </w:pPr>
            <w:r>
              <w:rPr>
                <w:rFonts w:ascii="Arial" w:cs="Arial" w:eastAsia="Arial" w:hAnsi="Arial"/>
                <w:sz w:val="16"/>
                <w:szCs w:val="16"/>
                <w:color w:val="auto"/>
              </w:rPr>
              <w:t>Dividends declared ($0.2343 per share)</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(57,414)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(57,414)</w:t>
            </w:r>
          </w:p>
        </w:tc>
        <w:tc>
          <w:tcPr>
            <w:tcW w:w="0" w:type="dxa"/>
            <w:vAlign w:val="bottom"/>
          </w:tcPr>
          <w:p>
            <w:pPr>
              <w:spacing w:after="0"/>
              <w:rPr>
                <w:sz w:val="1"/>
                <w:szCs w:val="1"/>
                <w:color w:val="auto"/>
              </w:rPr>
            </w:pPr>
          </w:p>
        </w:tc>
      </w:tr>
      <w:tr>
        <w:trPr>
          <w:trHeight w:val="162"/>
        </w:trPr>
        <w:tc>
          <w:tcPr>
            <w:tcW w:w="57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Expenses incurred for private placement issuance of common stock</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(834)</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(834)</w:t>
            </w:r>
          </w:p>
        </w:tc>
        <w:tc>
          <w:tcPr>
            <w:tcW w:w="0" w:type="dxa"/>
            <w:vAlign w:val="bottom"/>
          </w:tcPr>
          <w:p>
            <w:pPr>
              <w:spacing w:after="0"/>
              <w:rPr>
                <w:sz w:val="1"/>
                <w:szCs w:val="1"/>
                <w:color w:val="auto"/>
              </w:rPr>
            </w:pPr>
          </w:p>
        </w:tc>
      </w:tr>
      <w:tr>
        <w:trPr>
          <w:trHeight w:val="162"/>
        </w:trPr>
        <w:tc>
          <w:tcPr>
            <w:tcW w:w="5740" w:type="dxa"/>
            <w:vAlign w:val="bottom"/>
          </w:tcPr>
          <w:p>
            <w:pPr>
              <w:spacing w:after="0" w:line="162" w:lineRule="exact"/>
              <w:rPr>
                <w:sz w:val="20"/>
                <w:szCs w:val="20"/>
                <w:color w:val="auto"/>
              </w:rPr>
            </w:pPr>
            <w:r>
              <w:rPr>
                <w:rFonts w:ascii="Arial" w:cs="Arial" w:eastAsia="Arial" w:hAnsi="Arial"/>
                <w:sz w:val="16"/>
                <w:szCs w:val="16"/>
                <w:color w:val="auto"/>
              </w:rPr>
              <w:t>Issuance of common stock under dividend reinvestment plan (100,148 shares)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50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6"/>
                <w:szCs w:val="16"/>
                <w:color w:val="auto"/>
              </w:rPr>
              <w:t>3,949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3,999</w:t>
            </w:r>
          </w:p>
        </w:tc>
        <w:tc>
          <w:tcPr>
            <w:tcW w:w="0" w:type="dxa"/>
            <w:vAlign w:val="bottom"/>
          </w:tcPr>
          <w:p>
            <w:pPr>
              <w:spacing w:after="0"/>
              <w:rPr>
                <w:sz w:val="1"/>
                <w:szCs w:val="1"/>
                <w:color w:val="auto"/>
              </w:rPr>
            </w:pPr>
          </w:p>
        </w:tc>
      </w:tr>
      <w:tr>
        <w:trPr>
          <w:trHeight w:val="162"/>
        </w:trPr>
        <w:tc>
          <w:tcPr>
            <w:tcW w:w="57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Repurchase of stock (100 shares)</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(4)</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2"/>
        </w:trPr>
        <w:tc>
          <w:tcPr>
            <w:tcW w:w="5740" w:type="dxa"/>
            <w:vAlign w:val="bottom"/>
          </w:tcPr>
          <w:p>
            <w:pPr>
              <w:spacing w:after="0" w:line="162" w:lineRule="exact"/>
              <w:rPr>
                <w:sz w:val="20"/>
                <w:szCs w:val="20"/>
                <w:color w:val="auto"/>
              </w:rPr>
            </w:pPr>
            <w:r>
              <w:rPr>
                <w:rFonts w:ascii="Arial" w:cs="Arial" w:eastAsia="Arial" w:hAnsi="Arial"/>
                <w:sz w:val="16"/>
                <w:szCs w:val="16"/>
                <w:color w:val="auto"/>
              </w:rPr>
              <w:t>Equity compensation plan (4,594 shares)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(2)</w:t>
            </w:r>
          </w:p>
        </w:tc>
        <w:tc>
          <w:tcPr>
            <w:tcW w:w="14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57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Exercise of stock options (3,411 shares)</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162"/>
        </w:trPr>
        <w:tc>
          <w:tcPr>
            <w:tcW w:w="5740" w:type="dxa"/>
            <w:vAlign w:val="bottom"/>
          </w:tcPr>
          <w:p>
            <w:pPr>
              <w:spacing w:after="0" w:line="162" w:lineRule="exact"/>
              <w:rPr>
                <w:sz w:val="20"/>
                <w:szCs w:val="20"/>
                <w:color w:val="auto"/>
              </w:rPr>
            </w:pPr>
            <w:r>
              <w:rPr>
                <w:rFonts w:ascii="Arial" w:cs="Arial" w:eastAsia="Arial" w:hAnsi="Arial"/>
                <w:sz w:val="16"/>
                <w:szCs w:val="16"/>
                <w:color w:val="auto"/>
              </w:rPr>
              <w:t>Stock-based compensation</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6"/>
                <w:szCs w:val="16"/>
                <w:color w:val="auto"/>
              </w:rPr>
              <w:t>1,918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(94)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1,824</w:t>
            </w:r>
          </w:p>
        </w:tc>
        <w:tc>
          <w:tcPr>
            <w:tcW w:w="0" w:type="dxa"/>
            <w:vAlign w:val="bottom"/>
          </w:tcPr>
          <w:p>
            <w:pPr>
              <w:spacing w:after="0"/>
              <w:rPr>
                <w:sz w:val="1"/>
                <w:szCs w:val="1"/>
                <w:color w:val="auto"/>
              </w:rPr>
            </w:pPr>
          </w:p>
        </w:tc>
      </w:tr>
      <w:tr>
        <w:trPr>
          <w:trHeight w:val="162"/>
        </w:trPr>
        <w:tc>
          <w:tcPr>
            <w:tcW w:w="57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Other</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(37)</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91</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56"/>
        </w:trPr>
        <w:tc>
          <w:tcPr>
            <w:tcW w:w="5740" w:type="dxa"/>
            <w:vAlign w:val="bottom"/>
          </w:tcPr>
          <w:p>
            <w:pPr>
              <w:spacing w:after="0" w:line="155" w:lineRule="exact"/>
              <w:rPr>
                <w:sz w:val="20"/>
                <w:szCs w:val="20"/>
                <w:color w:val="auto"/>
              </w:rPr>
            </w:pPr>
            <w:r>
              <w:rPr>
                <w:rFonts w:ascii="Arial" w:cs="Arial" w:eastAsia="Arial" w:hAnsi="Arial"/>
                <w:sz w:val="16"/>
                <w:szCs w:val="16"/>
                <w:color w:val="auto"/>
              </w:rPr>
              <w:t>Balance at June 30, 2020</w:t>
            </w:r>
          </w:p>
        </w:tc>
        <w:tc>
          <w:tcPr>
            <w:tcW w:w="6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124,171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3,366,695</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1,226,622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(81,954)</w:t>
            </w:r>
          </w:p>
        </w:tc>
        <w:tc>
          <w:tcPr>
            <w:tcW w:w="6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4,635,534</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9" w:name="page10"/>
    <w:bookmarkEnd w:id="9"/>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75"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CONSOLIDATED STATEMENTS OF CASH FLOW</w:t>
      </w:r>
    </w:p>
    <w:p>
      <w:pPr>
        <w:ind w:left="4540"/>
        <w:spacing w:after="0" w:line="187" w:lineRule="auto"/>
        <w:rPr>
          <w:sz w:val="20"/>
          <w:szCs w:val="20"/>
          <w:color w:val="auto"/>
        </w:rPr>
      </w:pPr>
      <w:r>
        <w:rPr>
          <w:rFonts w:ascii="Arial" w:cs="Arial" w:eastAsia="Arial" w:hAnsi="Arial"/>
          <w:sz w:val="18"/>
          <w:szCs w:val="18"/>
          <w:color w:val="auto"/>
        </w:rPr>
        <w:t>(In thousands of dollars)</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8" w:lineRule="exact"/>
        <w:rPr>
          <w:sz w:val="20"/>
          <w:szCs w:val="20"/>
          <w:color w:val="auto"/>
        </w:rPr>
      </w:pPr>
    </w:p>
    <w:p>
      <w:pPr>
        <w:jc w:val="center"/>
        <w:ind w:left="8500"/>
        <w:spacing w:after="0"/>
        <w:rPr>
          <w:sz w:val="20"/>
          <w:szCs w:val="20"/>
          <w:color w:val="auto"/>
        </w:rPr>
      </w:pPr>
      <w:r>
        <w:rPr>
          <w:rFonts w:ascii="Arial" w:cs="Arial" w:eastAsia="Arial" w:hAnsi="Arial"/>
          <w:sz w:val="16"/>
          <w:szCs w:val="16"/>
          <w:color w:val="auto"/>
        </w:rPr>
        <w:t>Six Months Ended</w:t>
      </w:r>
    </w:p>
    <w:p>
      <w:pPr>
        <w:jc w:val="center"/>
        <w:ind w:left="8500"/>
        <w:spacing w:after="0" w:line="223" w:lineRule="auto"/>
        <w:rPr>
          <w:sz w:val="20"/>
          <w:szCs w:val="20"/>
          <w:color w:val="auto"/>
        </w:rPr>
      </w:pPr>
      <w:r>
        <w:rPr>
          <w:rFonts w:ascii="Arial" w:cs="Arial" w:eastAsia="Arial" w:hAnsi="Arial"/>
          <w:sz w:val="16"/>
          <w:szCs w:val="16"/>
          <w:color w:val="auto"/>
        </w:rPr>
        <w:t>June 30,</w:t>
      </w:r>
    </w:p>
    <w:tbl>
      <w:tblPr>
        <w:tblLayout w:type="fixed"/>
        <w:tblInd w:w="0" w:type="dxa"/>
        <w:tblCellMar>
          <w:top w:w="0" w:type="dxa"/>
          <w:left w:w="0" w:type="dxa"/>
          <w:bottom w:w="0" w:type="dxa"/>
          <w:right w:w="0" w:type="dxa"/>
        </w:tblCellMar>
      </w:tblPr>
      <w:tr>
        <w:trPr>
          <w:trHeight w:val="155"/>
        </w:trPr>
        <w:tc>
          <w:tcPr>
            <w:tcW w:w="8280" w:type="dxa"/>
            <w:vAlign w:val="bottom"/>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99"/>
              <w:spacing w:after="0" w:line="155" w:lineRule="exact"/>
              <w:rPr>
                <w:sz w:val="20"/>
                <w:szCs w:val="20"/>
                <w:color w:val="auto"/>
              </w:rPr>
            </w:pPr>
            <w:r>
              <w:rPr>
                <w:rFonts w:ascii="Arial" w:cs="Arial" w:eastAsia="Arial" w:hAnsi="Arial"/>
                <w:sz w:val="16"/>
                <w:szCs w:val="16"/>
                <w:color w:val="auto"/>
              </w:rPr>
              <w:t>2021</w:t>
            </w: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99"/>
              <w:spacing w:after="0" w:line="155" w:lineRule="exact"/>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56"/>
        </w:trPr>
        <w:tc>
          <w:tcPr>
            <w:tcW w:w="82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2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Net income</w:t>
            </w:r>
          </w:p>
        </w:tc>
        <w:tc>
          <w:tcPr>
            <w:tcW w:w="520" w:type="dxa"/>
            <w:vAlign w:val="bottom"/>
            <w:gridSpan w:val="2"/>
            <w:shd w:val="clear" w:color="auto" w:fill="CCEEFF"/>
          </w:tcPr>
          <w:p>
            <w:pPr>
              <w:jc w:val="right"/>
              <w:ind w:right="124"/>
              <w:spacing w:after="0" w:line="162" w:lineRule="exact"/>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264,603</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4"/>
              <w:spacing w:after="0" w:line="162" w:lineRule="exact"/>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126,410</w:t>
            </w:r>
          </w:p>
        </w:tc>
        <w:tc>
          <w:tcPr>
            <w:tcW w:w="0" w:type="dxa"/>
            <w:vAlign w:val="bottom"/>
          </w:tcPr>
          <w:p>
            <w:pPr>
              <w:spacing w:after="0"/>
              <w:rPr>
                <w:sz w:val="1"/>
                <w:szCs w:val="1"/>
                <w:color w:val="auto"/>
              </w:rPr>
            </w:pPr>
          </w:p>
        </w:tc>
      </w:tr>
      <w:tr>
        <w:trPr>
          <w:trHeight w:val="162"/>
        </w:trPr>
        <w:tc>
          <w:tcPr>
            <w:tcW w:w="8280" w:type="dxa"/>
            <w:vAlign w:val="bottom"/>
          </w:tcPr>
          <w:p>
            <w:pPr>
              <w:spacing w:after="0" w:line="162" w:lineRule="exact"/>
              <w:rPr>
                <w:sz w:val="20"/>
                <w:szCs w:val="20"/>
                <w:color w:val="auto"/>
              </w:rPr>
            </w:pPr>
            <w:r>
              <w:rPr>
                <w:rFonts w:ascii="Arial" w:cs="Arial" w:eastAsia="Arial" w:hAnsi="Arial"/>
                <w:sz w:val="16"/>
                <w:szCs w:val="16"/>
                <w:color w:val="auto"/>
              </w:rPr>
              <w:t>Adjustments to reconcile net income to net cash flows from operating activities: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8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Depreciation and amortization</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147,116</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116,137</w:t>
            </w:r>
          </w:p>
        </w:tc>
        <w:tc>
          <w:tcPr>
            <w:tcW w:w="0" w:type="dxa"/>
            <w:vAlign w:val="bottom"/>
          </w:tcPr>
          <w:p>
            <w:pPr>
              <w:spacing w:after="0"/>
              <w:rPr>
                <w:sz w:val="1"/>
                <w:szCs w:val="1"/>
                <w:color w:val="auto"/>
              </w:rPr>
            </w:pPr>
          </w:p>
        </w:tc>
      </w:tr>
      <w:tr>
        <w:trPr>
          <w:trHeight w:val="162"/>
        </w:trPr>
        <w:tc>
          <w:tcPr>
            <w:tcW w:w="8280" w:type="dxa"/>
            <w:vAlign w:val="bottom"/>
          </w:tcPr>
          <w:p>
            <w:pPr>
              <w:ind w:left="220"/>
              <w:spacing w:after="0" w:line="162" w:lineRule="exact"/>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19,594</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(11,959)</w:t>
            </w:r>
          </w:p>
        </w:tc>
        <w:tc>
          <w:tcPr>
            <w:tcW w:w="0" w:type="dxa"/>
            <w:vAlign w:val="bottom"/>
          </w:tcPr>
          <w:p>
            <w:pPr>
              <w:spacing w:after="0"/>
              <w:rPr>
                <w:sz w:val="1"/>
                <w:szCs w:val="1"/>
                <w:color w:val="auto"/>
              </w:rPr>
            </w:pPr>
          </w:p>
        </w:tc>
      </w:tr>
      <w:tr>
        <w:trPr>
          <w:trHeight w:val="162"/>
        </w:trPr>
        <w:tc>
          <w:tcPr>
            <w:tcW w:w="828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Provision for doubtful accounts</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16,511</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11,599</w:t>
            </w:r>
          </w:p>
        </w:tc>
        <w:tc>
          <w:tcPr>
            <w:tcW w:w="0" w:type="dxa"/>
            <w:vAlign w:val="bottom"/>
          </w:tcPr>
          <w:p>
            <w:pPr>
              <w:spacing w:after="0"/>
              <w:rPr>
                <w:sz w:val="1"/>
                <w:szCs w:val="1"/>
                <w:color w:val="auto"/>
              </w:rPr>
            </w:pPr>
          </w:p>
        </w:tc>
      </w:tr>
      <w:tr>
        <w:trPr>
          <w:trHeight w:val="162"/>
        </w:trPr>
        <w:tc>
          <w:tcPr>
            <w:tcW w:w="8280" w:type="dxa"/>
            <w:vAlign w:val="bottom"/>
          </w:tcPr>
          <w:p>
            <w:pPr>
              <w:ind w:left="220"/>
              <w:spacing w:after="0" w:line="162" w:lineRule="exact"/>
              <w:rPr>
                <w:sz w:val="20"/>
                <w:szCs w:val="20"/>
                <w:color w:val="auto"/>
              </w:rPr>
            </w:pPr>
            <w:r>
              <w:rPr>
                <w:rFonts w:ascii="Arial" w:cs="Arial" w:eastAsia="Arial" w:hAnsi="Arial"/>
                <w:sz w:val="16"/>
                <w:szCs w:val="16"/>
                <w:color w:val="auto"/>
              </w:rPr>
              <w:t>Stock-based compensation</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5,053</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3,708</w:t>
            </w:r>
          </w:p>
        </w:tc>
        <w:tc>
          <w:tcPr>
            <w:tcW w:w="0" w:type="dxa"/>
            <w:vAlign w:val="bottom"/>
          </w:tcPr>
          <w:p>
            <w:pPr>
              <w:spacing w:after="0"/>
              <w:rPr>
                <w:sz w:val="1"/>
                <w:szCs w:val="1"/>
                <w:color w:val="auto"/>
              </w:rPr>
            </w:pPr>
          </w:p>
        </w:tc>
      </w:tr>
      <w:tr>
        <w:trPr>
          <w:trHeight w:val="162"/>
        </w:trPr>
        <w:tc>
          <w:tcPr>
            <w:tcW w:w="828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Gain on sale of other assets</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6"/>
                <w:szCs w:val="16"/>
                <w:color w:val="auto"/>
              </w:rPr>
              <w:t>(808)</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162"/>
        </w:trPr>
        <w:tc>
          <w:tcPr>
            <w:tcW w:w="8280" w:type="dxa"/>
            <w:vAlign w:val="bottom"/>
          </w:tcPr>
          <w:p>
            <w:pPr>
              <w:ind w:left="220"/>
              <w:spacing w:after="0" w:line="162" w:lineRule="exact"/>
              <w:rPr>
                <w:sz w:val="20"/>
                <w:szCs w:val="20"/>
                <w:color w:val="auto"/>
              </w:rPr>
            </w:pPr>
            <w:r>
              <w:rPr>
                <w:rFonts w:ascii="Arial" w:cs="Arial" w:eastAsia="Arial" w:hAnsi="Arial"/>
                <w:sz w:val="16"/>
                <w:szCs w:val="16"/>
                <w:color w:val="auto"/>
              </w:rPr>
              <w:t>Net change in receivables, inventory and prepayments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55,561</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45,328</w:t>
            </w:r>
          </w:p>
        </w:tc>
        <w:tc>
          <w:tcPr>
            <w:tcW w:w="0" w:type="dxa"/>
            <w:vAlign w:val="bottom"/>
          </w:tcPr>
          <w:p>
            <w:pPr>
              <w:spacing w:after="0"/>
              <w:rPr>
                <w:sz w:val="1"/>
                <w:szCs w:val="1"/>
                <w:color w:val="auto"/>
              </w:rPr>
            </w:pPr>
          </w:p>
        </w:tc>
      </w:tr>
      <w:tr>
        <w:trPr>
          <w:trHeight w:val="162"/>
        </w:trPr>
        <w:tc>
          <w:tcPr>
            <w:tcW w:w="828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Net change in payables, accrued interest, accrued taxes and other accrued liabilities</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6"/>
                <w:szCs w:val="16"/>
                <w:color w:val="auto"/>
              </w:rPr>
              <w:t>(78,587)</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(39,019)</w:t>
            </w:r>
          </w:p>
        </w:tc>
        <w:tc>
          <w:tcPr>
            <w:tcW w:w="0" w:type="dxa"/>
            <w:vAlign w:val="bottom"/>
          </w:tcPr>
          <w:p>
            <w:pPr>
              <w:spacing w:after="0"/>
              <w:rPr>
                <w:sz w:val="1"/>
                <w:szCs w:val="1"/>
                <w:color w:val="auto"/>
              </w:rPr>
            </w:pPr>
          </w:p>
        </w:tc>
      </w:tr>
      <w:tr>
        <w:trPr>
          <w:trHeight w:val="162"/>
        </w:trPr>
        <w:tc>
          <w:tcPr>
            <w:tcW w:w="8280" w:type="dxa"/>
            <w:vAlign w:val="bottom"/>
          </w:tcPr>
          <w:p>
            <w:pPr>
              <w:ind w:left="220"/>
              <w:spacing w:after="0" w:line="162" w:lineRule="exact"/>
              <w:rPr>
                <w:sz w:val="20"/>
                <w:szCs w:val="20"/>
                <w:color w:val="auto"/>
              </w:rPr>
            </w:pPr>
            <w:r>
              <w:rPr>
                <w:rFonts w:ascii="Arial" w:cs="Arial" w:eastAsia="Arial" w:hAnsi="Arial"/>
                <w:sz w:val="16"/>
                <w:szCs w:val="16"/>
                <w:color w:val="auto"/>
              </w:rPr>
              <w:t>Pension and other postretirement benefits contributions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rPr>
              <w:t>(12,971)</w:t>
            </w:r>
          </w:p>
        </w:tc>
        <w:tc>
          <w:tcPr>
            <w:tcW w:w="26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(3,784)</w:t>
            </w:r>
          </w:p>
        </w:tc>
        <w:tc>
          <w:tcPr>
            <w:tcW w:w="0" w:type="dxa"/>
            <w:vAlign w:val="bottom"/>
          </w:tcPr>
          <w:p>
            <w:pPr>
              <w:spacing w:after="0"/>
              <w:rPr>
                <w:sz w:val="1"/>
                <w:szCs w:val="1"/>
                <w:color w:val="auto"/>
              </w:rPr>
            </w:pPr>
          </w:p>
        </w:tc>
      </w:tr>
      <w:tr>
        <w:trPr>
          <w:trHeight w:val="162"/>
        </w:trPr>
        <w:tc>
          <w:tcPr>
            <w:tcW w:w="828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6"/>
                <w:szCs w:val="16"/>
                <w:color w:val="auto"/>
              </w:rPr>
              <w:t>(3,204)</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(3,093)</w:t>
            </w:r>
          </w:p>
        </w:tc>
        <w:tc>
          <w:tcPr>
            <w:tcW w:w="0" w:type="dxa"/>
            <w:vAlign w:val="bottom"/>
          </w:tcPr>
          <w:p>
            <w:pPr>
              <w:spacing w:after="0"/>
              <w:rPr>
                <w:sz w:val="1"/>
                <w:szCs w:val="1"/>
                <w:color w:val="auto"/>
              </w:rPr>
            </w:pPr>
          </w:p>
        </w:tc>
      </w:tr>
      <w:tr>
        <w:trPr>
          <w:trHeight w:val="156"/>
        </w:trPr>
        <w:tc>
          <w:tcPr>
            <w:tcW w:w="8280" w:type="dxa"/>
            <w:vAlign w:val="bottom"/>
            <w:tcBorders>
              <w:bottom w:val="single" w:sz="8" w:color="CCEEFF"/>
            </w:tcBorders>
          </w:tcPr>
          <w:p>
            <w:pPr>
              <w:spacing w:after="0" w:line="155" w:lineRule="exact"/>
              <w:rPr>
                <w:sz w:val="20"/>
                <w:szCs w:val="20"/>
                <w:color w:val="auto"/>
              </w:rPr>
            </w:pPr>
            <w:r>
              <w:rPr>
                <w:rFonts w:ascii="Arial" w:cs="Arial" w:eastAsia="Arial" w:hAnsi="Arial"/>
                <w:sz w:val="16"/>
                <w:szCs w:val="16"/>
                <w:color w:val="auto"/>
              </w:rPr>
              <w:t>Net cash flows from operating activities</w:t>
            </w:r>
          </w:p>
        </w:tc>
        <w:tc>
          <w:tcPr>
            <w:tcW w:w="24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412,868</w:t>
            </w:r>
          </w:p>
        </w:tc>
        <w:tc>
          <w:tcPr>
            <w:tcW w:w="18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245,202</w:t>
            </w:r>
          </w:p>
        </w:tc>
        <w:tc>
          <w:tcPr>
            <w:tcW w:w="0" w:type="dxa"/>
            <w:vAlign w:val="bottom"/>
          </w:tcPr>
          <w:p>
            <w:pPr>
              <w:spacing w:after="0"/>
              <w:rPr>
                <w:sz w:val="1"/>
                <w:szCs w:val="1"/>
                <w:color w:val="auto"/>
              </w:rPr>
            </w:pPr>
          </w:p>
        </w:tc>
      </w:tr>
      <w:tr>
        <w:trPr>
          <w:trHeight w:val="155"/>
        </w:trPr>
        <w:tc>
          <w:tcPr>
            <w:tcW w:w="828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Cash flows used in investing activities:</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8280" w:type="dxa"/>
            <w:vAlign w:val="bottom"/>
          </w:tcPr>
          <w:p>
            <w:pPr>
              <w:ind w:left="120"/>
              <w:spacing w:after="0" w:line="138" w:lineRule="exact"/>
              <w:rPr>
                <w:sz w:val="20"/>
                <w:szCs w:val="20"/>
                <w:color w:val="auto"/>
              </w:rPr>
            </w:pPr>
            <w:r>
              <w:rPr>
                <w:rFonts w:ascii="Arial" w:cs="Arial" w:eastAsia="Arial" w:hAnsi="Arial"/>
                <w:sz w:val="16"/>
                <w:szCs w:val="16"/>
                <w:color w:val="auto"/>
                <w:w w:val="94"/>
              </w:rPr>
              <w:t>Property, plant and equipment additions, including the debt component of allowance for funds used during construction of</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(404,557)</w:t>
            </w:r>
          </w:p>
        </w:tc>
        <w:tc>
          <w:tcPr>
            <w:tcW w:w="26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(293,090)</w:t>
            </w:r>
          </w:p>
        </w:tc>
        <w:tc>
          <w:tcPr>
            <w:tcW w:w="0" w:type="dxa"/>
            <w:vAlign w:val="bottom"/>
          </w:tcPr>
          <w:p>
            <w:pPr>
              <w:spacing w:after="0"/>
              <w:rPr>
                <w:sz w:val="1"/>
                <w:szCs w:val="1"/>
                <w:color w:val="auto"/>
              </w:rPr>
            </w:pPr>
          </w:p>
        </w:tc>
      </w:tr>
      <w:tr>
        <w:trPr>
          <w:trHeight w:val="185"/>
        </w:trPr>
        <w:tc>
          <w:tcPr>
            <w:tcW w:w="8280" w:type="dxa"/>
            <w:vAlign w:val="bottom"/>
          </w:tcPr>
          <w:p>
            <w:pPr>
              <w:ind w:left="120"/>
              <w:spacing w:after="0"/>
              <w:rPr>
                <w:sz w:val="20"/>
                <w:szCs w:val="20"/>
                <w:color w:val="auto"/>
              </w:rPr>
            </w:pPr>
            <w:r>
              <w:rPr>
                <w:rFonts w:ascii="Arial" w:cs="Arial" w:eastAsia="Arial" w:hAnsi="Arial"/>
                <w:sz w:val="16"/>
                <w:szCs w:val="16"/>
                <w:color w:val="auto"/>
              </w:rPr>
              <w:t>$1,393 and $1,708</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2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Acquisitions of utility systems, net</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(3,467,060)</w:t>
            </w:r>
          </w:p>
        </w:tc>
        <w:tc>
          <w:tcPr>
            <w:tcW w:w="0" w:type="dxa"/>
            <w:vAlign w:val="bottom"/>
          </w:tcPr>
          <w:p>
            <w:pPr>
              <w:spacing w:after="0"/>
              <w:rPr>
                <w:sz w:val="1"/>
                <w:szCs w:val="1"/>
                <w:color w:val="auto"/>
              </w:rPr>
            </w:pPr>
          </w:p>
        </w:tc>
      </w:tr>
      <w:tr>
        <w:trPr>
          <w:trHeight w:val="162"/>
        </w:trPr>
        <w:tc>
          <w:tcPr>
            <w:tcW w:w="8280" w:type="dxa"/>
            <w:vAlign w:val="bottom"/>
          </w:tcPr>
          <w:p>
            <w:pPr>
              <w:ind w:left="120"/>
              <w:spacing w:after="0" w:line="162" w:lineRule="exact"/>
              <w:rPr>
                <w:sz w:val="20"/>
                <w:szCs w:val="20"/>
                <w:color w:val="auto"/>
              </w:rPr>
            </w:pPr>
            <w:r>
              <w:rPr>
                <w:rFonts w:ascii="Arial" w:cs="Arial" w:eastAsia="Arial" w:hAnsi="Arial"/>
                <w:sz w:val="16"/>
                <w:szCs w:val="16"/>
                <w:color w:val="auto"/>
              </w:rPr>
              <w:t>Net proceeds from the sale of other assets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960</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162"/>
        </w:trPr>
        <w:tc>
          <w:tcPr>
            <w:tcW w:w="82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6"/>
                <w:szCs w:val="16"/>
                <w:color w:val="auto"/>
              </w:rPr>
              <w:t>(184)</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56"/>
        </w:trPr>
        <w:tc>
          <w:tcPr>
            <w:tcW w:w="8280" w:type="dxa"/>
            <w:vAlign w:val="bottom"/>
            <w:tcBorders>
              <w:bottom w:val="single" w:sz="8" w:color="CCEEFF"/>
            </w:tcBorders>
          </w:tcPr>
          <w:p>
            <w:pPr>
              <w:spacing w:after="0" w:line="155" w:lineRule="exact"/>
              <w:rPr>
                <w:sz w:val="20"/>
                <w:szCs w:val="20"/>
                <w:color w:val="auto"/>
              </w:rPr>
            </w:pPr>
            <w:r>
              <w:rPr>
                <w:rFonts w:ascii="Arial" w:cs="Arial" w:eastAsia="Arial" w:hAnsi="Arial"/>
                <w:sz w:val="16"/>
                <w:szCs w:val="16"/>
                <w:color w:val="auto"/>
              </w:rPr>
              <w:t>Net cash flows used in investing activities</w:t>
            </w:r>
          </w:p>
        </w:tc>
        <w:tc>
          <w:tcPr>
            <w:tcW w:w="24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(403,781)</w:t>
            </w:r>
          </w:p>
        </w:tc>
        <w:tc>
          <w:tcPr>
            <w:tcW w:w="18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(3,759,935)</w:t>
            </w:r>
          </w:p>
        </w:tc>
        <w:tc>
          <w:tcPr>
            <w:tcW w:w="0" w:type="dxa"/>
            <w:vAlign w:val="bottom"/>
          </w:tcPr>
          <w:p>
            <w:pPr>
              <w:spacing w:after="0"/>
              <w:rPr>
                <w:sz w:val="1"/>
                <w:szCs w:val="1"/>
                <w:color w:val="auto"/>
              </w:rPr>
            </w:pPr>
          </w:p>
        </w:tc>
      </w:tr>
      <w:tr>
        <w:trPr>
          <w:trHeight w:val="155"/>
        </w:trPr>
        <w:tc>
          <w:tcPr>
            <w:tcW w:w="828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Cash flows (used in) from financing activities:</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280" w:type="dxa"/>
            <w:vAlign w:val="bottom"/>
          </w:tcPr>
          <w:p>
            <w:pPr>
              <w:ind w:left="120"/>
              <w:spacing w:after="0" w:line="162" w:lineRule="exact"/>
              <w:rPr>
                <w:sz w:val="20"/>
                <w:szCs w:val="20"/>
                <w:color w:val="auto"/>
              </w:rPr>
            </w:pPr>
            <w:r>
              <w:rPr>
                <w:rFonts w:ascii="Arial" w:cs="Arial" w:eastAsia="Arial" w:hAnsi="Arial"/>
                <w:sz w:val="16"/>
                <w:szCs w:val="16"/>
                <w:color w:val="auto"/>
              </w:rPr>
              <w:t>Customers' advances and contributions in aid of construction</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8,988</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3,001</w:t>
            </w:r>
          </w:p>
        </w:tc>
        <w:tc>
          <w:tcPr>
            <w:tcW w:w="0" w:type="dxa"/>
            <w:vAlign w:val="bottom"/>
          </w:tcPr>
          <w:p>
            <w:pPr>
              <w:spacing w:after="0"/>
              <w:rPr>
                <w:sz w:val="1"/>
                <w:szCs w:val="1"/>
                <w:color w:val="auto"/>
              </w:rPr>
            </w:pPr>
          </w:p>
        </w:tc>
      </w:tr>
      <w:tr>
        <w:trPr>
          <w:trHeight w:val="162"/>
        </w:trPr>
        <w:tc>
          <w:tcPr>
            <w:tcW w:w="82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Repayments of customers' advances</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6"/>
                <w:szCs w:val="16"/>
                <w:color w:val="auto"/>
              </w:rPr>
              <w:t>(1,961)</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(1,827)</w:t>
            </w:r>
          </w:p>
        </w:tc>
        <w:tc>
          <w:tcPr>
            <w:tcW w:w="0" w:type="dxa"/>
            <w:vAlign w:val="bottom"/>
          </w:tcPr>
          <w:p>
            <w:pPr>
              <w:spacing w:after="0"/>
              <w:rPr>
                <w:sz w:val="1"/>
                <w:szCs w:val="1"/>
                <w:color w:val="auto"/>
              </w:rPr>
            </w:pPr>
          </w:p>
        </w:tc>
      </w:tr>
      <w:tr>
        <w:trPr>
          <w:trHeight w:val="162"/>
        </w:trPr>
        <w:tc>
          <w:tcPr>
            <w:tcW w:w="8280" w:type="dxa"/>
            <w:vAlign w:val="bottom"/>
          </w:tcPr>
          <w:p>
            <w:pPr>
              <w:ind w:left="120"/>
              <w:spacing w:after="0" w:line="162" w:lineRule="exact"/>
              <w:rPr>
                <w:sz w:val="20"/>
                <w:szCs w:val="20"/>
                <w:color w:val="auto"/>
              </w:rPr>
            </w:pPr>
            <w:r>
              <w:rPr>
                <w:rFonts w:ascii="Arial" w:cs="Arial" w:eastAsia="Arial" w:hAnsi="Arial"/>
                <w:sz w:val="16"/>
                <w:szCs w:val="16"/>
                <w:color w:val="auto"/>
              </w:rPr>
              <w:t>Net repayments of short-term debt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rPr>
              <w:t>(6,349)</w:t>
            </w:r>
          </w:p>
        </w:tc>
        <w:tc>
          <w:tcPr>
            <w:tcW w:w="26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(192,605)</w:t>
            </w:r>
          </w:p>
        </w:tc>
        <w:tc>
          <w:tcPr>
            <w:tcW w:w="0" w:type="dxa"/>
            <w:vAlign w:val="bottom"/>
          </w:tcPr>
          <w:p>
            <w:pPr>
              <w:spacing w:after="0"/>
              <w:rPr>
                <w:sz w:val="1"/>
                <w:szCs w:val="1"/>
                <w:color w:val="auto"/>
              </w:rPr>
            </w:pPr>
          </w:p>
        </w:tc>
      </w:tr>
      <w:tr>
        <w:trPr>
          <w:trHeight w:val="162"/>
        </w:trPr>
        <w:tc>
          <w:tcPr>
            <w:tcW w:w="82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Proceeds from long-term debt</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760,176</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2,838,664</w:t>
            </w:r>
          </w:p>
        </w:tc>
        <w:tc>
          <w:tcPr>
            <w:tcW w:w="0" w:type="dxa"/>
            <w:vAlign w:val="bottom"/>
          </w:tcPr>
          <w:p>
            <w:pPr>
              <w:spacing w:after="0"/>
              <w:rPr>
                <w:sz w:val="1"/>
                <w:szCs w:val="1"/>
                <w:color w:val="auto"/>
              </w:rPr>
            </w:pPr>
          </w:p>
        </w:tc>
      </w:tr>
      <w:tr>
        <w:trPr>
          <w:trHeight w:val="162"/>
        </w:trPr>
        <w:tc>
          <w:tcPr>
            <w:tcW w:w="8280" w:type="dxa"/>
            <w:vAlign w:val="bottom"/>
          </w:tcPr>
          <w:p>
            <w:pPr>
              <w:ind w:left="120"/>
              <w:spacing w:after="0" w:line="162" w:lineRule="exact"/>
              <w:rPr>
                <w:sz w:val="20"/>
                <w:szCs w:val="20"/>
                <w:color w:val="auto"/>
              </w:rPr>
            </w:pPr>
            <w:r>
              <w:rPr>
                <w:rFonts w:ascii="Arial" w:cs="Arial" w:eastAsia="Arial" w:hAnsi="Arial"/>
                <w:sz w:val="16"/>
                <w:szCs w:val="16"/>
                <w:color w:val="auto"/>
              </w:rPr>
              <w:t>Repayments of long-term debt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rPr>
              <w:t>(619,477)</w:t>
            </w:r>
          </w:p>
        </w:tc>
        <w:tc>
          <w:tcPr>
            <w:tcW w:w="26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(1,627,300)</w:t>
            </w:r>
          </w:p>
        </w:tc>
        <w:tc>
          <w:tcPr>
            <w:tcW w:w="0" w:type="dxa"/>
            <w:vAlign w:val="bottom"/>
          </w:tcPr>
          <w:p>
            <w:pPr>
              <w:spacing w:after="0"/>
              <w:rPr>
                <w:sz w:val="1"/>
                <w:szCs w:val="1"/>
                <w:color w:val="auto"/>
              </w:rPr>
            </w:pPr>
          </w:p>
        </w:tc>
      </w:tr>
      <w:tr>
        <w:trPr>
          <w:trHeight w:val="162"/>
        </w:trPr>
        <w:tc>
          <w:tcPr>
            <w:tcW w:w="82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Change in cash overdraft position</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6"/>
                <w:szCs w:val="16"/>
                <w:color w:val="auto"/>
              </w:rPr>
              <w:t>(30,595)</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8,590</w:t>
            </w:r>
          </w:p>
        </w:tc>
        <w:tc>
          <w:tcPr>
            <w:tcW w:w="0" w:type="dxa"/>
            <w:vAlign w:val="bottom"/>
          </w:tcPr>
          <w:p>
            <w:pPr>
              <w:spacing w:after="0"/>
              <w:rPr>
                <w:sz w:val="1"/>
                <w:szCs w:val="1"/>
                <w:color w:val="auto"/>
              </w:rPr>
            </w:pPr>
          </w:p>
        </w:tc>
      </w:tr>
      <w:tr>
        <w:trPr>
          <w:trHeight w:val="162"/>
        </w:trPr>
        <w:tc>
          <w:tcPr>
            <w:tcW w:w="8280" w:type="dxa"/>
            <w:vAlign w:val="bottom"/>
          </w:tcPr>
          <w:p>
            <w:pPr>
              <w:ind w:left="120"/>
              <w:spacing w:after="0" w:line="162" w:lineRule="exact"/>
              <w:rPr>
                <w:sz w:val="20"/>
                <w:szCs w:val="20"/>
                <w:color w:val="auto"/>
              </w:rPr>
            </w:pPr>
            <w:r>
              <w:rPr>
                <w:rFonts w:ascii="Arial" w:cs="Arial" w:eastAsia="Arial" w:hAnsi="Arial"/>
                <w:sz w:val="16"/>
                <w:szCs w:val="16"/>
                <w:color w:val="auto"/>
              </w:rPr>
              <w:t>Proceeds from issuance of common stock under dividend reinvestment plan</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8,256</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8,061</w:t>
            </w:r>
          </w:p>
        </w:tc>
        <w:tc>
          <w:tcPr>
            <w:tcW w:w="0" w:type="dxa"/>
            <w:vAlign w:val="bottom"/>
          </w:tcPr>
          <w:p>
            <w:pPr>
              <w:spacing w:after="0"/>
              <w:rPr>
                <w:sz w:val="1"/>
                <w:szCs w:val="1"/>
                <w:color w:val="auto"/>
              </w:rPr>
            </w:pPr>
          </w:p>
        </w:tc>
      </w:tr>
      <w:tr>
        <w:trPr>
          <w:trHeight w:val="162"/>
        </w:trPr>
        <w:tc>
          <w:tcPr>
            <w:tcW w:w="82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Proceeds from issuance of common stock from private placement</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729,301</w:t>
            </w:r>
          </w:p>
        </w:tc>
        <w:tc>
          <w:tcPr>
            <w:tcW w:w="0" w:type="dxa"/>
            <w:vAlign w:val="bottom"/>
          </w:tcPr>
          <w:p>
            <w:pPr>
              <w:spacing w:after="0"/>
              <w:rPr>
                <w:sz w:val="1"/>
                <w:szCs w:val="1"/>
                <w:color w:val="auto"/>
              </w:rPr>
            </w:pPr>
          </w:p>
        </w:tc>
      </w:tr>
      <w:tr>
        <w:trPr>
          <w:trHeight w:val="162"/>
        </w:trPr>
        <w:tc>
          <w:tcPr>
            <w:tcW w:w="8280" w:type="dxa"/>
            <w:vAlign w:val="bottom"/>
          </w:tcPr>
          <w:p>
            <w:pPr>
              <w:ind w:left="120"/>
              <w:spacing w:after="0" w:line="162" w:lineRule="exact"/>
              <w:rPr>
                <w:sz w:val="20"/>
                <w:szCs w:val="20"/>
                <w:color w:val="auto"/>
              </w:rPr>
            </w:pPr>
            <w:r>
              <w:rPr>
                <w:rFonts w:ascii="Arial" w:cs="Arial" w:eastAsia="Arial" w:hAnsi="Arial"/>
                <w:sz w:val="16"/>
                <w:szCs w:val="16"/>
                <w:color w:val="auto"/>
              </w:rPr>
              <w:t>Proceeds from exercised stock options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1,506</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1,067</w:t>
            </w:r>
          </w:p>
        </w:tc>
        <w:tc>
          <w:tcPr>
            <w:tcW w:w="0" w:type="dxa"/>
            <w:vAlign w:val="bottom"/>
          </w:tcPr>
          <w:p>
            <w:pPr>
              <w:spacing w:after="0"/>
              <w:rPr>
                <w:sz w:val="1"/>
                <w:szCs w:val="1"/>
                <w:color w:val="auto"/>
              </w:rPr>
            </w:pPr>
          </w:p>
        </w:tc>
      </w:tr>
      <w:tr>
        <w:trPr>
          <w:trHeight w:val="162"/>
        </w:trPr>
        <w:tc>
          <w:tcPr>
            <w:tcW w:w="82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Repurchase of common stock</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6"/>
                <w:szCs w:val="16"/>
                <w:color w:val="auto"/>
              </w:rPr>
              <w:t>(3,279)</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(4,343)</w:t>
            </w:r>
          </w:p>
        </w:tc>
        <w:tc>
          <w:tcPr>
            <w:tcW w:w="0" w:type="dxa"/>
            <w:vAlign w:val="bottom"/>
          </w:tcPr>
          <w:p>
            <w:pPr>
              <w:spacing w:after="0"/>
              <w:rPr>
                <w:sz w:val="1"/>
                <w:szCs w:val="1"/>
                <w:color w:val="auto"/>
              </w:rPr>
            </w:pPr>
          </w:p>
        </w:tc>
      </w:tr>
      <w:tr>
        <w:trPr>
          <w:trHeight w:val="162"/>
        </w:trPr>
        <w:tc>
          <w:tcPr>
            <w:tcW w:w="8280" w:type="dxa"/>
            <w:vAlign w:val="bottom"/>
          </w:tcPr>
          <w:p>
            <w:pPr>
              <w:ind w:left="120"/>
              <w:spacing w:after="0" w:line="162" w:lineRule="exact"/>
              <w:rPr>
                <w:sz w:val="20"/>
                <w:szCs w:val="20"/>
                <w:color w:val="auto"/>
              </w:rPr>
            </w:pPr>
            <w:r>
              <w:rPr>
                <w:rFonts w:ascii="Arial" w:cs="Arial" w:eastAsia="Arial" w:hAnsi="Arial"/>
                <w:sz w:val="16"/>
                <w:szCs w:val="16"/>
                <w:color w:val="auto"/>
              </w:rPr>
              <w:t>Dividends paid on common stock</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rPr>
              <w:t>(123,104)</w:t>
            </w:r>
          </w:p>
        </w:tc>
        <w:tc>
          <w:tcPr>
            <w:tcW w:w="26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(109,619)</w:t>
            </w:r>
          </w:p>
        </w:tc>
        <w:tc>
          <w:tcPr>
            <w:tcW w:w="0" w:type="dxa"/>
            <w:vAlign w:val="bottom"/>
          </w:tcPr>
          <w:p>
            <w:pPr>
              <w:spacing w:after="0"/>
              <w:rPr>
                <w:sz w:val="1"/>
                <w:szCs w:val="1"/>
                <w:color w:val="auto"/>
              </w:rPr>
            </w:pPr>
          </w:p>
        </w:tc>
      </w:tr>
      <w:tr>
        <w:trPr>
          <w:trHeight w:val="162"/>
        </w:trPr>
        <w:tc>
          <w:tcPr>
            <w:tcW w:w="82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329</w:t>
            </w:r>
          </w:p>
        </w:tc>
        <w:tc>
          <w:tcPr>
            <w:tcW w:w="1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55"/>
        </w:trPr>
        <w:tc>
          <w:tcPr>
            <w:tcW w:w="8280" w:type="dxa"/>
            <w:vAlign w:val="bottom"/>
            <w:tcBorders>
              <w:bottom w:val="single" w:sz="8" w:color="CCEEFF"/>
            </w:tcBorders>
          </w:tcPr>
          <w:p>
            <w:pPr>
              <w:spacing w:after="0" w:line="155" w:lineRule="exact"/>
              <w:rPr>
                <w:sz w:val="20"/>
                <w:szCs w:val="20"/>
                <w:color w:val="auto"/>
              </w:rPr>
            </w:pPr>
            <w:r>
              <w:rPr>
                <w:rFonts w:ascii="Arial" w:cs="Arial" w:eastAsia="Arial" w:hAnsi="Arial"/>
                <w:sz w:val="16"/>
                <w:szCs w:val="16"/>
                <w:color w:val="auto"/>
              </w:rPr>
              <w:t>Net cash flows (used in) from financing activities</w:t>
            </w:r>
          </w:p>
        </w:tc>
        <w:tc>
          <w:tcPr>
            <w:tcW w:w="2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(5,510)</w:t>
            </w:r>
          </w:p>
        </w:tc>
        <w:tc>
          <w:tcPr>
            <w:tcW w:w="1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1,653,038</w:t>
            </w:r>
          </w:p>
        </w:tc>
        <w:tc>
          <w:tcPr>
            <w:tcW w:w="0" w:type="dxa"/>
            <w:vAlign w:val="bottom"/>
          </w:tcPr>
          <w:p>
            <w:pPr>
              <w:spacing w:after="0"/>
              <w:rPr>
                <w:sz w:val="1"/>
                <w:szCs w:val="1"/>
                <w:color w:val="auto"/>
              </w:rPr>
            </w:pPr>
          </w:p>
        </w:tc>
      </w:tr>
      <w:tr>
        <w:trPr>
          <w:trHeight w:val="156"/>
        </w:trPr>
        <w:tc>
          <w:tcPr>
            <w:tcW w:w="828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Net change in cash and cash equivalents</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3,577</w:t>
            </w: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(1,861,695)</w:t>
            </w:r>
          </w:p>
        </w:tc>
        <w:tc>
          <w:tcPr>
            <w:tcW w:w="0" w:type="dxa"/>
            <w:vAlign w:val="bottom"/>
          </w:tcPr>
          <w:p>
            <w:pPr>
              <w:spacing w:after="0"/>
              <w:rPr>
                <w:sz w:val="1"/>
                <w:szCs w:val="1"/>
                <w:color w:val="auto"/>
              </w:rPr>
            </w:pPr>
          </w:p>
        </w:tc>
      </w:tr>
      <w:tr>
        <w:trPr>
          <w:trHeight w:val="162"/>
        </w:trPr>
        <w:tc>
          <w:tcPr>
            <w:tcW w:w="8280" w:type="dxa"/>
            <w:vAlign w:val="bottom"/>
            <w:tcBorders>
              <w:bottom w:val="single" w:sz="8" w:color="CCEEFF"/>
            </w:tcBorders>
          </w:tcPr>
          <w:p>
            <w:pPr>
              <w:spacing w:after="0" w:line="162" w:lineRule="exact"/>
              <w:rPr>
                <w:sz w:val="20"/>
                <w:szCs w:val="20"/>
                <w:color w:val="auto"/>
              </w:rPr>
            </w:pPr>
            <w:r>
              <w:rPr>
                <w:rFonts w:ascii="Arial" w:cs="Arial" w:eastAsia="Arial" w:hAnsi="Arial"/>
                <w:sz w:val="16"/>
                <w:szCs w:val="16"/>
                <w:color w:val="auto"/>
              </w:rPr>
              <w:t>Cash and cash equivalents at beginning of period</w:t>
            </w:r>
          </w:p>
        </w:tc>
        <w:tc>
          <w:tcPr>
            <w:tcW w:w="2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4,827</w:t>
            </w: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1,868,922</w:t>
            </w:r>
          </w:p>
        </w:tc>
        <w:tc>
          <w:tcPr>
            <w:tcW w:w="0" w:type="dxa"/>
            <w:vAlign w:val="bottom"/>
          </w:tcPr>
          <w:p>
            <w:pPr>
              <w:spacing w:after="0"/>
              <w:rPr>
                <w:sz w:val="1"/>
                <w:szCs w:val="1"/>
                <w:color w:val="auto"/>
              </w:rPr>
            </w:pPr>
          </w:p>
        </w:tc>
      </w:tr>
      <w:tr>
        <w:trPr>
          <w:trHeight w:val="155"/>
        </w:trPr>
        <w:tc>
          <w:tcPr>
            <w:tcW w:w="828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Cash and cash equivalents at end of period</w:t>
            </w:r>
          </w:p>
        </w:tc>
        <w:tc>
          <w:tcPr>
            <w:tcW w:w="24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24"/>
              <w:spacing w:after="0" w:line="156"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8,404</w:t>
            </w:r>
          </w:p>
        </w:tc>
        <w:tc>
          <w:tcPr>
            <w:tcW w:w="1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04"/>
              <w:spacing w:after="0" w:line="156"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7,227</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6"/>
                <w:szCs w:val="16"/>
                <w:color w:val="auto"/>
              </w:rPr>
              <w:t>Non-cash investing activities:</w:t>
            </w: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2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2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Property, plant and equipment additions purchased at the period end, but not yet paid for</w:t>
            </w:r>
          </w:p>
        </w:tc>
        <w:tc>
          <w:tcPr>
            <w:tcW w:w="520" w:type="dxa"/>
            <w:vAlign w:val="bottom"/>
            <w:gridSpan w:val="2"/>
            <w:shd w:val="clear" w:color="auto" w:fill="CCEEFF"/>
          </w:tcPr>
          <w:p>
            <w:pPr>
              <w:jc w:val="right"/>
              <w:ind w:right="124"/>
              <w:spacing w:after="0" w:line="162" w:lineRule="exact"/>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74,752</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4"/>
              <w:spacing w:after="0" w:line="162" w:lineRule="exact"/>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78,384</w:t>
            </w:r>
          </w:p>
        </w:tc>
        <w:tc>
          <w:tcPr>
            <w:tcW w:w="0" w:type="dxa"/>
            <w:vAlign w:val="bottom"/>
          </w:tcPr>
          <w:p>
            <w:pPr>
              <w:spacing w:after="0"/>
              <w:rPr>
                <w:sz w:val="1"/>
                <w:szCs w:val="1"/>
                <w:color w:val="auto"/>
              </w:rPr>
            </w:pPr>
          </w:p>
        </w:tc>
      </w:tr>
      <w:tr>
        <w:trPr>
          <w:trHeight w:val="206"/>
        </w:trPr>
        <w:tc>
          <w:tcPr>
            <w:tcW w:w="8280" w:type="dxa"/>
            <w:vAlign w:val="bottom"/>
          </w:tcPr>
          <w:p>
            <w:pPr>
              <w:ind w:left="120"/>
              <w:spacing w:after="0"/>
              <w:rPr>
                <w:sz w:val="20"/>
                <w:szCs w:val="20"/>
                <w:color w:val="auto"/>
              </w:rPr>
            </w:pPr>
            <w:r>
              <w:rPr>
                <w:rFonts w:ascii="Arial" w:cs="Arial" w:eastAsia="Arial" w:hAnsi="Arial"/>
                <w:sz w:val="16"/>
                <w:szCs w:val="16"/>
                <w:color w:val="auto"/>
              </w:rPr>
              <w:t>Non-cash customer advances and contributions in aid of construction</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17,651</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18,883</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0" w:name="page11"/>
    <w:bookmarkEnd w:id="10"/>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right="40"/>
        <w:spacing w:after="0" w:line="217" w:lineRule="auto"/>
        <w:rPr>
          <w:sz w:val="20"/>
          <w:szCs w:val="20"/>
          <w:color w:val="auto"/>
        </w:rPr>
      </w:pPr>
      <w:r>
        <w:rPr>
          <w:rFonts w:ascii="Arial" w:cs="Arial" w:eastAsia="Arial" w:hAnsi="Arial"/>
          <w:sz w:val="22"/>
          <w:szCs w:val="22"/>
          <w:color w:val="auto"/>
        </w:rPr>
        <w:t>ESSENTIAL UTILITIES, INC. AND SUBSIDIARIES</w:t>
      </w:r>
    </w:p>
    <w:p>
      <w:pPr>
        <w:jc w:val="center"/>
        <w:ind w:right="-39"/>
        <w:spacing w:after="0" w:line="218" w:lineRule="auto"/>
        <w:rPr>
          <w:sz w:val="20"/>
          <w:szCs w:val="20"/>
          <w:color w:val="auto"/>
        </w:rPr>
      </w:pPr>
      <w:r>
        <w:rPr>
          <w:rFonts w:ascii="Arial" w:cs="Arial" w:eastAsia="Arial" w:hAnsi="Arial"/>
          <w:sz w:val="22"/>
          <w:szCs w:val="22"/>
          <w:color w:val="auto"/>
        </w:rPr>
        <w:t>NOTES TO CONSOLIDATED FINANCIAL STATEMENTS</w:t>
      </w:r>
    </w:p>
    <w:p>
      <w:pPr>
        <w:jc w:val="center"/>
        <w:ind w:right="-39"/>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ind w:right="-39"/>
        <w:spacing w:after="0"/>
        <w:rPr>
          <w:sz w:val="20"/>
          <w:szCs w:val="20"/>
          <w:color w:val="auto"/>
        </w:rPr>
      </w:pPr>
      <w:r>
        <w:rPr>
          <w:rFonts w:ascii="Arial" w:cs="Arial" w:eastAsia="Arial" w:hAnsi="Arial"/>
          <w:sz w:val="22"/>
          <w:szCs w:val="22"/>
          <w:color w:val="auto"/>
        </w:rPr>
        <w:t>(UNAUDITED)</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 </w:t>
      </w:r>
      <w:r>
        <w:rPr>
          <w:rFonts w:ascii="Arial" w:cs="Arial" w:eastAsia="Arial" w:hAnsi="Arial"/>
          <w:sz w:val="22"/>
          <w:szCs w:val="22"/>
          <w:b w:val="1"/>
          <w:bCs w:val="1"/>
          <w:i w:val="1"/>
          <w:iCs w:val="1"/>
          <w:color w:val="auto"/>
        </w:rPr>
        <w:t>Basis of Presentation</w:t>
      </w:r>
    </w:p>
    <w:p>
      <w:pPr>
        <w:spacing w:after="0" w:line="185"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The accompanying unaudited consolidated balance sheets and statements of capitalization of Essential Utilities, Inc. and subsidiaries (collectively, the “Company”, “we”, “us” or “our”) at June 30, 2021, the consolidated statements of operations and comprehensive income for the three and six months ended June 30, 2021 and 2020, and the consolidated statements of cash flows and consolidated statements of equity for the six months ended June 30, 2021 and 2020, have been prepared in accordance with accounting principles generally accepted in the United States (“GAAP”) for interim reporting and the rules and regulations for reporting on Quarterly Reports on Form 10-Q. Because they cover interim periods, the statements and related notes to the financial statements do not include all disclosures and notes normally provided in annual financial statements and, therefore, should be read in conjunction with the Company’s Annual Report on Form 10-K for the year ended December 31, 2020. Interim results are not necessarily indicative of results for a full year. In the opinion of management, all adjustments, consisting of only recurring accruals, which are necessary to present a fair statement of its consolidated financial position, consolidated changes in equity, consolidated results of operations, and consolidated cash flow for the periods presented, have been made.</w:t>
      </w:r>
    </w:p>
    <w:p>
      <w:pPr>
        <w:spacing w:after="0" w:line="170" w:lineRule="exact"/>
        <w:rPr>
          <w:sz w:val="20"/>
          <w:szCs w:val="20"/>
          <w:color w:val="auto"/>
        </w:rPr>
      </w:pPr>
    </w:p>
    <w:p>
      <w:pPr>
        <w:ind w:right="80"/>
        <w:spacing w:after="0" w:line="260" w:lineRule="auto"/>
        <w:rPr>
          <w:sz w:val="20"/>
          <w:szCs w:val="20"/>
          <w:color w:val="auto"/>
        </w:rPr>
      </w:pPr>
      <w:r>
        <w:rPr>
          <w:rFonts w:ascii="Arial" w:cs="Arial" w:eastAsia="Arial" w:hAnsi="Arial"/>
          <w:sz w:val="19"/>
          <w:szCs w:val="19"/>
          <w:color w:val="auto"/>
        </w:rPr>
        <w:t>The preparation of financial statements often requires the selection of specific accounting methods and policies. Further, significant estimates and judgments may be required in selecting and applying those methods and policies in the recognition of the assets and liabilities in its consolidated balance sheets, the revenues and expenses in its consolidated statements of operations and comprehensive income, and the information that is contained in its summary of significant accounting policies and notes to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the Company includes currently in its consolidated financial statements, summary of significant accounting policies, and notes.</w:t>
      </w:r>
    </w:p>
    <w:p>
      <w:pPr>
        <w:spacing w:after="0" w:line="172" w:lineRule="exact"/>
        <w:rPr>
          <w:sz w:val="20"/>
          <w:szCs w:val="20"/>
          <w:color w:val="auto"/>
        </w:rPr>
      </w:pPr>
    </w:p>
    <w:p>
      <w:pPr>
        <w:ind w:right="180"/>
        <w:spacing w:after="0" w:line="264" w:lineRule="auto"/>
        <w:rPr>
          <w:sz w:val="20"/>
          <w:szCs w:val="20"/>
          <w:color w:val="auto"/>
        </w:rPr>
      </w:pPr>
      <w:r>
        <w:rPr>
          <w:rFonts w:ascii="Arial" w:cs="Arial" w:eastAsia="Arial" w:hAnsi="Arial"/>
          <w:sz w:val="19"/>
          <w:szCs w:val="19"/>
          <w:color w:val="auto"/>
        </w:rPr>
        <w:t>In the preparation of these financial statements and related disclosures, we have assessed the impact that the COVID-19 pandemic has had on our estimates, assumptions, forecasts, and accounting policies. Because of the essential nature of our business, we do not believe the COVID-19 pandemic had a material impact on our estimates, assumptions and forecasts used in the preparation of our financial statements, although we continue to monitor this closely. As the COVID-19 pandemic is continuing to evolve, future events and effects related to the COVID-19 pandemic cannot be determined with precision, and actual results could significantly differ from our estimates or forecasts.</w:t>
      </w:r>
    </w:p>
    <w:p>
      <w:pPr>
        <w:spacing w:after="0" w:line="164" w:lineRule="exact"/>
        <w:rPr>
          <w:sz w:val="20"/>
          <w:szCs w:val="20"/>
          <w:color w:val="auto"/>
        </w:rPr>
      </w:pPr>
    </w:p>
    <w:p>
      <w:pPr>
        <w:ind w:right="320"/>
        <w:spacing w:after="0" w:line="239" w:lineRule="auto"/>
        <w:rPr>
          <w:sz w:val="20"/>
          <w:szCs w:val="20"/>
          <w:color w:val="auto"/>
        </w:rPr>
      </w:pPr>
      <w:r>
        <w:rPr>
          <w:rFonts w:ascii="Arial" w:cs="Arial" w:eastAsia="Arial" w:hAnsi="Arial"/>
          <w:sz w:val="22"/>
          <w:szCs w:val="22"/>
          <w:color w:val="auto"/>
        </w:rPr>
        <w:t>There have been no changes to the summary of significant accounting policies previously identified in the Company’s Annual Report on Form 10-K for the year ended December 31, 2020.</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 w:right="359" w:bottom="1440" w:gutter="0" w:footer="0" w:header="0"/>
        </w:sectPr>
      </w:pPr>
    </w:p>
    <w:bookmarkStart w:id="11" w:name="page12"/>
    <w:bookmarkEnd w:id="11"/>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2 – </w:t>
      </w:r>
      <w:r>
        <w:rPr>
          <w:rFonts w:ascii="Arial" w:cs="Arial" w:eastAsia="Arial" w:hAnsi="Arial"/>
          <w:sz w:val="22"/>
          <w:szCs w:val="22"/>
          <w:b w:val="1"/>
          <w:bCs w:val="1"/>
          <w:i w:val="1"/>
          <w:iCs w:val="1"/>
          <w:color w:val="auto"/>
        </w:rPr>
        <w:t>Revenue Recognition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presents our revenues disaggregated by major source and customer class: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gridSpan w:val="6"/>
          </w:tcPr>
          <w:p>
            <w:pPr>
              <w:jc w:val="center"/>
              <w:ind w:right="140"/>
              <w:spacing w:after="0"/>
              <w:rPr>
                <w:sz w:val="20"/>
                <w:szCs w:val="20"/>
                <w:color w:val="auto"/>
              </w:rPr>
            </w:pPr>
            <w:r>
              <w:rPr>
                <w:rFonts w:ascii="Arial" w:cs="Arial" w:eastAsia="Arial" w:hAnsi="Arial"/>
                <w:sz w:val="14"/>
                <w:szCs w:val="14"/>
                <w:color w:val="auto"/>
                <w:w w:val="91"/>
              </w:rPr>
              <w:t>Three Months Ended</w:t>
            </w: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60" w:type="dxa"/>
            <w:vAlign w:val="bottom"/>
            <w:gridSpan w:val="5"/>
          </w:tcPr>
          <w:p>
            <w:pPr>
              <w:jc w:val="center"/>
              <w:ind w:right="160"/>
              <w:spacing w:after="0"/>
              <w:rPr>
                <w:sz w:val="20"/>
                <w:szCs w:val="20"/>
                <w:color w:val="auto"/>
              </w:rPr>
            </w:pPr>
            <w:r>
              <w:rPr>
                <w:rFonts w:ascii="Arial" w:cs="Arial" w:eastAsia="Arial" w:hAnsi="Arial"/>
                <w:sz w:val="14"/>
                <w:szCs w:val="14"/>
                <w:color w:val="auto"/>
                <w:w w:val="93"/>
              </w:rPr>
              <w:t>Three Months Ended</w:t>
            </w: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8"/>
        </w:trPr>
        <w:tc>
          <w:tcPr>
            <w:tcW w:w="2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4"/>
                <w:szCs w:val="14"/>
                <w:color w:val="auto"/>
                <w:w w:val="90"/>
              </w:rPr>
              <w:t>June 30, 2021</w:t>
            </w: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color w:val="auto"/>
                <w:w w:val="90"/>
              </w:rPr>
              <w:t>June 30, 2020</w:t>
            </w: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23"/>
        </w:trPr>
        <w:tc>
          <w:tcPr>
            <w:tcW w:w="2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240"/>
              <w:spacing w:after="0" w:line="123" w:lineRule="exact"/>
              <w:rPr>
                <w:sz w:val="20"/>
                <w:szCs w:val="20"/>
                <w:color w:val="auto"/>
              </w:rPr>
            </w:pPr>
            <w:r>
              <w:rPr>
                <w:rFonts w:ascii="Arial" w:cs="Arial" w:eastAsia="Arial" w:hAnsi="Arial"/>
                <w:sz w:val="14"/>
                <w:szCs w:val="14"/>
                <w:color w:val="auto"/>
                <w:w w:val="90"/>
              </w:rPr>
              <w:t>Water</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200"/>
              <w:spacing w:after="0" w:line="123" w:lineRule="exact"/>
              <w:rPr>
                <w:sz w:val="20"/>
                <w:szCs w:val="20"/>
                <w:color w:val="auto"/>
              </w:rPr>
            </w:pPr>
            <w:r>
              <w:rPr>
                <w:rFonts w:ascii="Arial" w:cs="Arial" w:eastAsia="Arial" w:hAnsi="Arial"/>
                <w:sz w:val="14"/>
                <w:szCs w:val="14"/>
                <w:color w:val="auto"/>
                <w:w w:val="89"/>
              </w:rPr>
              <w:t>Wastewater</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right"/>
              <w:ind w:right="240"/>
              <w:spacing w:after="0" w:line="123" w:lineRule="exact"/>
              <w:rPr>
                <w:sz w:val="20"/>
                <w:szCs w:val="20"/>
                <w:color w:val="auto"/>
              </w:rPr>
            </w:pPr>
            <w:r>
              <w:rPr>
                <w:rFonts w:ascii="Arial" w:cs="Arial" w:eastAsia="Arial" w:hAnsi="Arial"/>
                <w:sz w:val="14"/>
                <w:szCs w:val="14"/>
                <w:color w:val="auto"/>
                <w:w w:val="90"/>
              </w:rPr>
              <w:t>Natural Gas</w:t>
            </w: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240"/>
              <w:spacing w:after="0" w:line="123" w:lineRule="exact"/>
              <w:rPr>
                <w:sz w:val="20"/>
                <w:szCs w:val="20"/>
                <w:color w:val="auto"/>
              </w:rPr>
            </w:pPr>
            <w:r>
              <w:rPr>
                <w:rFonts w:ascii="Arial" w:cs="Arial" w:eastAsia="Arial" w:hAnsi="Arial"/>
                <w:sz w:val="14"/>
                <w:szCs w:val="14"/>
                <w:color w:val="auto"/>
                <w:w w:val="90"/>
              </w:rPr>
              <w:t>Water</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280"/>
              <w:spacing w:after="0" w:line="123" w:lineRule="exact"/>
              <w:rPr>
                <w:sz w:val="20"/>
                <w:szCs w:val="20"/>
                <w:color w:val="auto"/>
              </w:rPr>
            </w:pPr>
            <w:r>
              <w:rPr>
                <w:rFonts w:ascii="Arial" w:cs="Arial" w:eastAsia="Arial" w:hAnsi="Arial"/>
                <w:sz w:val="14"/>
                <w:szCs w:val="14"/>
                <w:color w:val="auto"/>
                <w:w w:val="89"/>
              </w:rPr>
              <w:t>Wastewater</w:t>
            </w:r>
          </w:p>
        </w:tc>
        <w:tc>
          <w:tcPr>
            <w:tcW w:w="100" w:type="dxa"/>
            <w:vAlign w:val="bottom"/>
          </w:tcPr>
          <w:p>
            <w:pPr>
              <w:spacing w:after="0"/>
              <w:rPr>
                <w:sz w:val="10"/>
                <w:szCs w:val="10"/>
                <w:color w:val="auto"/>
              </w:rPr>
            </w:pPr>
          </w:p>
        </w:tc>
        <w:tc>
          <w:tcPr>
            <w:tcW w:w="1020" w:type="dxa"/>
            <w:vAlign w:val="bottom"/>
            <w:gridSpan w:val="2"/>
          </w:tcPr>
          <w:p>
            <w:pPr>
              <w:jc w:val="center"/>
              <w:ind w:right="280"/>
              <w:spacing w:after="0" w:line="123" w:lineRule="exact"/>
              <w:rPr>
                <w:sz w:val="20"/>
                <w:szCs w:val="20"/>
                <w:color w:val="auto"/>
              </w:rPr>
            </w:pPr>
            <w:r>
              <w:rPr>
                <w:rFonts w:ascii="Arial" w:cs="Arial" w:eastAsia="Arial" w:hAnsi="Arial"/>
                <w:sz w:val="14"/>
                <w:szCs w:val="14"/>
                <w:color w:val="auto"/>
                <w:w w:val="93"/>
              </w:rPr>
              <w:t>Natural Gas</w:t>
            </w: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67"/>
        </w:trPr>
        <w:tc>
          <w:tcPr>
            <w:tcW w:w="2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Revenues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color w:val="auto"/>
                <w:w w:val="88"/>
              </w:rPr>
              <w:t>Revenues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Revenues</w:t>
            </w:r>
          </w:p>
        </w:tc>
        <w:tc>
          <w:tcPr>
            <w:tcW w:w="1120" w:type="dxa"/>
            <w:vAlign w:val="bottom"/>
            <w:gridSpan w:val="3"/>
          </w:tcPr>
          <w:p>
            <w:pPr>
              <w:ind w:left="40"/>
              <w:spacing w:after="0"/>
              <w:rPr>
                <w:sz w:val="20"/>
                <w:szCs w:val="20"/>
                <w:color w:val="auto"/>
              </w:rPr>
            </w:pPr>
            <w:r>
              <w:rPr>
                <w:rFonts w:ascii="Arial" w:cs="Arial" w:eastAsia="Arial" w:hAnsi="Arial"/>
                <w:sz w:val="14"/>
                <w:szCs w:val="14"/>
                <w:color w:val="auto"/>
              </w:rPr>
              <w:t>Other Revenues</w:t>
            </w: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Revenues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Revenues</w:t>
            </w:r>
          </w:p>
        </w:tc>
        <w:tc>
          <w:tcPr>
            <w:tcW w:w="10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w w:val="88"/>
              </w:rPr>
              <w:t>Revenues</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w w:val="92"/>
              </w:rPr>
              <w:t>Other Revenues</w:t>
            </w:r>
          </w:p>
        </w:tc>
      </w:tr>
      <w:tr>
        <w:trPr>
          <w:trHeight w:val="183"/>
        </w:trPr>
        <w:tc>
          <w:tcPr>
            <w:tcW w:w="2600" w:type="dxa"/>
            <w:vAlign w:val="bottom"/>
          </w:tcPr>
          <w:p>
            <w:pPr>
              <w:spacing w:after="0"/>
              <w:rPr>
                <w:sz w:val="20"/>
                <w:szCs w:val="20"/>
                <w:color w:val="auto"/>
              </w:rPr>
            </w:pPr>
            <w:r>
              <w:rPr>
                <w:rFonts w:ascii="Arial" w:cs="Arial" w:eastAsia="Arial" w:hAnsi="Arial"/>
                <w:sz w:val="14"/>
                <w:szCs w:val="14"/>
                <w:color w:val="auto"/>
              </w:rPr>
              <w:t>Revenues from contracts with customers:</w:t>
            </w: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r>
      <w:tr>
        <w:trPr>
          <w:trHeight w:val="203"/>
        </w:trPr>
        <w:tc>
          <w:tcPr>
            <w:tcW w:w="2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144,415</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24,312</w:t>
            </w: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83,760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146,621</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23,631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86,191</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600" w:type="dxa"/>
            <w:vAlign w:val="bottom"/>
          </w:tcPr>
          <w:p>
            <w:pPr>
              <w:ind w:left="120"/>
              <w:spacing w:after="0"/>
              <w:rPr>
                <w:sz w:val="20"/>
                <w:szCs w:val="20"/>
                <w:color w:val="auto"/>
              </w:rPr>
            </w:pPr>
            <w:r>
              <w:rPr>
                <w:rFonts w:ascii="Arial" w:cs="Arial" w:eastAsia="Arial" w:hAnsi="Arial"/>
                <w:sz w:val="14"/>
                <w:szCs w:val="14"/>
                <w:color w:val="auto"/>
              </w:rPr>
              <w:t>Commercial</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37,967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5,268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14,850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31,318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4,942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11,964</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Fire protection</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8,919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600" w:type="dxa"/>
            <w:vAlign w:val="bottom"/>
          </w:tcPr>
          <w:p>
            <w:pPr>
              <w:ind w:left="120"/>
              <w:spacing w:after="0"/>
              <w:rPr>
                <w:sz w:val="20"/>
                <w:szCs w:val="20"/>
                <w:color w:val="auto"/>
              </w:rPr>
            </w:pPr>
            <w:r>
              <w:rPr>
                <w:rFonts w:ascii="Arial" w:cs="Arial" w:eastAsia="Arial" w:hAnsi="Arial"/>
                <w:sz w:val="14"/>
                <w:szCs w:val="14"/>
                <w:color w:val="auto"/>
              </w:rPr>
              <w:t>Industrial</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7,747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7,120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1,880</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Gas transportation &amp; storage</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37,789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40,235</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600" w:type="dxa"/>
            <w:vAlign w:val="bottom"/>
          </w:tcPr>
          <w:p>
            <w:pPr>
              <w:ind w:left="120"/>
              <w:spacing w:after="0"/>
              <w:rPr>
                <w:sz w:val="20"/>
                <w:szCs w:val="20"/>
                <w:color w:val="auto"/>
              </w:rPr>
            </w:pPr>
            <w:r>
              <w:rPr>
                <w:rFonts w:ascii="Arial" w:cs="Arial" w:eastAsia="Arial" w:hAnsi="Arial"/>
                <w:sz w:val="14"/>
                <w:szCs w:val="14"/>
                <w:color w:val="auto"/>
              </w:rPr>
              <w:t>Other water</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12,714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6,695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wastewater</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600" w:type="dxa"/>
            <w:vAlign w:val="bottom"/>
          </w:tcPr>
          <w:p>
            <w:pPr>
              <w:ind w:left="120"/>
              <w:spacing w:after="0"/>
              <w:rPr>
                <w:sz w:val="20"/>
                <w:szCs w:val="20"/>
                <w:color w:val="auto"/>
              </w:rPr>
            </w:pPr>
            <w:r>
              <w:rPr>
                <w:rFonts w:ascii="Arial" w:cs="Arial" w:eastAsia="Arial" w:hAnsi="Arial"/>
                <w:sz w:val="14"/>
                <w:szCs w:val="14"/>
                <w:color w:val="auto"/>
              </w:rPr>
              <w:t>Other utility</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5,971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3,489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5,684</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5,831</w:t>
            </w:r>
          </w:p>
        </w:tc>
      </w:tr>
      <w:tr>
        <w:trPr>
          <w:trHeight w:val="183"/>
        </w:trPr>
        <w:tc>
          <w:tcPr>
            <w:tcW w:w="2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Revenues from contracts with customers</w:t>
            </w: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211,762</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32,554</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142,891</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200,523</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30,232</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145,954</w:t>
            </w:r>
          </w:p>
        </w:tc>
        <w:tc>
          <w:tcPr>
            <w:tcW w:w="1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5,831</w:t>
            </w:r>
          </w:p>
        </w:tc>
      </w:tr>
      <w:tr>
        <w:trPr>
          <w:trHeight w:val="203"/>
        </w:trPr>
        <w:tc>
          <w:tcPr>
            <w:tcW w:w="2600" w:type="dxa"/>
            <w:vAlign w:val="bottom"/>
          </w:tcPr>
          <w:p>
            <w:pPr>
              <w:spacing w:after="0"/>
              <w:rPr>
                <w:sz w:val="20"/>
                <w:szCs w:val="20"/>
                <w:color w:val="auto"/>
              </w:rPr>
            </w:pPr>
            <w:r>
              <w:rPr>
                <w:rFonts w:ascii="Arial" w:cs="Arial" w:eastAsia="Arial" w:hAnsi="Arial"/>
                <w:sz w:val="14"/>
                <w:szCs w:val="14"/>
                <w:color w:val="auto"/>
              </w:rPr>
              <w:t>Alternative revenue program</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(5)</w:t>
            </w:r>
          </w:p>
        </w:tc>
        <w:tc>
          <w:tcPr>
            <w:tcW w:w="3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72</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600" w:type="dxa"/>
            <w:vAlign w:val="bottom"/>
            <w:shd w:val="clear" w:color="auto" w:fill="CCEEFF"/>
          </w:tcPr>
          <w:p>
            <w:pPr>
              <w:spacing w:after="0"/>
              <w:rPr>
                <w:sz w:val="20"/>
                <w:szCs w:val="20"/>
                <w:color w:val="auto"/>
              </w:rPr>
            </w:pPr>
            <w:r>
              <w:rPr>
                <w:rFonts w:ascii="Arial" w:cs="Arial" w:eastAsia="Arial" w:hAnsi="Arial"/>
                <w:sz w:val="14"/>
                <w:szCs w:val="14"/>
                <w:color w:val="auto"/>
              </w:rPr>
              <w:t>Other and eliminations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w:t>
            </w:r>
          </w:p>
        </w:tc>
      </w:tr>
      <w:tr>
        <w:trPr>
          <w:trHeight w:val="169"/>
        </w:trPr>
        <w:tc>
          <w:tcPr>
            <w:tcW w:w="2600" w:type="dxa"/>
            <w:vAlign w:val="bottom"/>
          </w:tcPr>
          <w:p>
            <w:pPr>
              <w:spacing w:after="0"/>
              <w:rPr>
                <w:sz w:val="20"/>
                <w:szCs w:val="20"/>
                <w:color w:val="auto"/>
              </w:rPr>
            </w:pPr>
            <w:r>
              <w:rPr>
                <w:rFonts w:ascii="Arial" w:cs="Arial" w:eastAsia="Arial" w:hAnsi="Arial"/>
                <w:sz w:val="14"/>
                <w:szCs w:val="14"/>
                <w:color w:val="auto"/>
              </w:rPr>
              <w:t>Consolidated</w:t>
            </w: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212,183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32,504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142,886</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9,459</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200,863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30,149</w:t>
            </w:r>
          </w:p>
        </w:tc>
        <w:tc>
          <w:tcPr>
            <w:tcW w:w="1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146,880</w:t>
            </w:r>
          </w:p>
        </w:tc>
        <w:tc>
          <w:tcPr>
            <w:tcW w:w="14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6,576</w:t>
            </w:r>
          </w:p>
        </w:tc>
      </w:tr>
      <w:tr>
        <w:trPr>
          <w:trHeight w:val="20"/>
        </w:trPr>
        <w:tc>
          <w:tcPr>
            <w:tcW w:w="2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373"/>
        </w:trPr>
        <w:tc>
          <w:tcPr>
            <w:tcW w:w="2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gridSpan w:val="6"/>
          </w:tcPr>
          <w:p>
            <w:pPr>
              <w:jc w:val="center"/>
              <w:ind w:right="140"/>
              <w:spacing w:after="0"/>
              <w:rPr>
                <w:sz w:val="20"/>
                <w:szCs w:val="20"/>
                <w:color w:val="auto"/>
              </w:rPr>
            </w:pPr>
            <w:r>
              <w:rPr>
                <w:rFonts w:ascii="Arial" w:cs="Arial" w:eastAsia="Arial" w:hAnsi="Arial"/>
                <w:sz w:val="14"/>
                <w:szCs w:val="14"/>
                <w:color w:val="auto"/>
                <w:w w:val="95"/>
              </w:rPr>
              <w:t>Six Months Ended</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gridSpan w:val="5"/>
          </w:tcPr>
          <w:p>
            <w:pPr>
              <w:jc w:val="center"/>
              <w:ind w:right="160"/>
              <w:spacing w:after="0"/>
              <w:rPr>
                <w:sz w:val="20"/>
                <w:szCs w:val="20"/>
                <w:color w:val="auto"/>
              </w:rPr>
            </w:pPr>
            <w:r>
              <w:rPr>
                <w:rFonts w:ascii="Arial" w:cs="Arial" w:eastAsia="Arial" w:hAnsi="Arial"/>
                <w:sz w:val="14"/>
                <w:szCs w:val="14"/>
                <w:color w:val="auto"/>
                <w:w w:val="93"/>
              </w:rPr>
              <w:t>Six Months Ended</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8"/>
        </w:trPr>
        <w:tc>
          <w:tcPr>
            <w:tcW w:w="2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4"/>
                <w:szCs w:val="14"/>
                <w:color w:val="auto"/>
                <w:w w:val="90"/>
              </w:rPr>
              <w:t>June 30, 2021</w:t>
            </w: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color w:val="auto"/>
                <w:w w:val="90"/>
              </w:rPr>
              <w:t>June 30, 2020</w:t>
            </w: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23"/>
        </w:trPr>
        <w:tc>
          <w:tcPr>
            <w:tcW w:w="2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240"/>
              <w:spacing w:after="0" w:line="123" w:lineRule="exact"/>
              <w:rPr>
                <w:sz w:val="20"/>
                <w:szCs w:val="20"/>
                <w:color w:val="auto"/>
              </w:rPr>
            </w:pPr>
            <w:r>
              <w:rPr>
                <w:rFonts w:ascii="Arial" w:cs="Arial" w:eastAsia="Arial" w:hAnsi="Arial"/>
                <w:sz w:val="14"/>
                <w:szCs w:val="14"/>
                <w:color w:val="auto"/>
                <w:w w:val="90"/>
              </w:rPr>
              <w:t>Water</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200"/>
              <w:spacing w:after="0" w:line="123" w:lineRule="exact"/>
              <w:rPr>
                <w:sz w:val="20"/>
                <w:szCs w:val="20"/>
                <w:color w:val="auto"/>
              </w:rPr>
            </w:pPr>
            <w:r>
              <w:rPr>
                <w:rFonts w:ascii="Arial" w:cs="Arial" w:eastAsia="Arial" w:hAnsi="Arial"/>
                <w:sz w:val="14"/>
                <w:szCs w:val="14"/>
                <w:color w:val="auto"/>
                <w:w w:val="89"/>
              </w:rPr>
              <w:t>Wastewater</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right"/>
              <w:ind w:right="120"/>
              <w:spacing w:after="0" w:line="123" w:lineRule="exact"/>
              <w:rPr>
                <w:sz w:val="20"/>
                <w:szCs w:val="20"/>
                <w:color w:val="auto"/>
              </w:rPr>
            </w:pPr>
            <w:r>
              <w:rPr>
                <w:rFonts w:ascii="Arial" w:cs="Arial" w:eastAsia="Arial" w:hAnsi="Arial"/>
                <w:sz w:val="14"/>
                <w:szCs w:val="14"/>
                <w:color w:val="auto"/>
              </w:rPr>
              <w:t>Natural Gas</w:t>
            </w: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240"/>
              <w:spacing w:after="0" w:line="123" w:lineRule="exact"/>
              <w:rPr>
                <w:sz w:val="20"/>
                <w:szCs w:val="20"/>
                <w:color w:val="auto"/>
              </w:rPr>
            </w:pPr>
            <w:r>
              <w:rPr>
                <w:rFonts w:ascii="Arial" w:cs="Arial" w:eastAsia="Arial" w:hAnsi="Arial"/>
                <w:sz w:val="14"/>
                <w:szCs w:val="14"/>
                <w:color w:val="auto"/>
                <w:w w:val="90"/>
              </w:rPr>
              <w:t>Water</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280"/>
              <w:spacing w:after="0" w:line="123" w:lineRule="exact"/>
              <w:rPr>
                <w:sz w:val="20"/>
                <w:szCs w:val="20"/>
                <w:color w:val="auto"/>
              </w:rPr>
            </w:pPr>
            <w:r>
              <w:rPr>
                <w:rFonts w:ascii="Arial" w:cs="Arial" w:eastAsia="Arial" w:hAnsi="Arial"/>
                <w:sz w:val="14"/>
                <w:szCs w:val="14"/>
                <w:color w:val="auto"/>
                <w:w w:val="89"/>
              </w:rPr>
              <w:t>Wastewater</w:t>
            </w:r>
          </w:p>
        </w:tc>
        <w:tc>
          <w:tcPr>
            <w:tcW w:w="100" w:type="dxa"/>
            <w:vAlign w:val="bottom"/>
          </w:tcPr>
          <w:p>
            <w:pPr>
              <w:spacing w:after="0"/>
              <w:rPr>
                <w:sz w:val="10"/>
                <w:szCs w:val="10"/>
                <w:color w:val="auto"/>
              </w:rPr>
            </w:pPr>
          </w:p>
        </w:tc>
        <w:tc>
          <w:tcPr>
            <w:tcW w:w="1020" w:type="dxa"/>
            <w:vAlign w:val="bottom"/>
            <w:gridSpan w:val="2"/>
          </w:tcPr>
          <w:p>
            <w:pPr>
              <w:jc w:val="center"/>
              <w:ind w:right="280"/>
              <w:spacing w:after="0" w:line="123" w:lineRule="exact"/>
              <w:rPr>
                <w:sz w:val="20"/>
                <w:szCs w:val="20"/>
                <w:color w:val="auto"/>
              </w:rPr>
            </w:pPr>
            <w:r>
              <w:rPr>
                <w:rFonts w:ascii="Arial" w:cs="Arial" w:eastAsia="Arial" w:hAnsi="Arial"/>
                <w:sz w:val="14"/>
                <w:szCs w:val="14"/>
                <w:color w:val="auto"/>
                <w:w w:val="93"/>
              </w:rPr>
              <w:t>Natural Gas</w:t>
            </w: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67"/>
        </w:trPr>
        <w:tc>
          <w:tcPr>
            <w:tcW w:w="2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Revenues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color w:val="auto"/>
                <w:w w:val="88"/>
              </w:rPr>
              <w:t>Revenues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Revenues</w:t>
            </w:r>
          </w:p>
        </w:tc>
        <w:tc>
          <w:tcPr>
            <w:tcW w:w="1120" w:type="dxa"/>
            <w:vAlign w:val="bottom"/>
            <w:gridSpan w:val="3"/>
          </w:tcPr>
          <w:p>
            <w:pPr>
              <w:ind w:left="40"/>
              <w:spacing w:after="0"/>
              <w:rPr>
                <w:sz w:val="20"/>
                <w:szCs w:val="20"/>
                <w:color w:val="auto"/>
              </w:rPr>
            </w:pPr>
            <w:r>
              <w:rPr>
                <w:rFonts w:ascii="Arial" w:cs="Arial" w:eastAsia="Arial" w:hAnsi="Arial"/>
                <w:sz w:val="14"/>
                <w:szCs w:val="14"/>
                <w:color w:val="auto"/>
              </w:rPr>
              <w:t>Other Revenues</w:t>
            </w: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Revenues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Revenues</w:t>
            </w:r>
          </w:p>
        </w:tc>
        <w:tc>
          <w:tcPr>
            <w:tcW w:w="10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w w:val="88"/>
              </w:rPr>
              <w:t>Revenues</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w w:val="92"/>
              </w:rPr>
              <w:t>Other Revenues</w:t>
            </w:r>
          </w:p>
        </w:tc>
      </w:tr>
      <w:tr>
        <w:trPr>
          <w:trHeight w:val="183"/>
        </w:trPr>
        <w:tc>
          <w:tcPr>
            <w:tcW w:w="2600" w:type="dxa"/>
            <w:vAlign w:val="bottom"/>
          </w:tcPr>
          <w:p>
            <w:pPr>
              <w:spacing w:after="0"/>
              <w:rPr>
                <w:sz w:val="20"/>
                <w:szCs w:val="20"/>
                <w:color w:val="auto"/>
              </w:rPr>
            </w:pPr>
            <w:r>
              <w:rPr>
                <w:rFonts w:ascii="Arial" w:cs="Arial" w:eastAsia="Arial" w:hAnsi="Arial"/>
                <w:sz w:val="14"/>
                <w:szCs w:val="14"/>
                <w:color w:val="auto"/>
              </w:rPr>
              <w:t>Revenues from contracts with customers:</w:t>
            </w: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r>
      <w:tr>
        <w:trPr>
          <w:trHeight w:val="203"/>
        </w:trPr>
        <w:tc>
          <w:tcPr>
            <w:tcW w:w="2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277,272</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48,673</w:t>
            </w: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297,953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273,635</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46,246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109,091</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600" w:type="dxa"/>
            <w:vAlign w:val="bottom"/>
          </w:tcPr>
          <w:p>
            <w:pPr>
              <w:ind w:left="120"/>
              <w:spacing w:after="0"/>
              <w:rPr>
                <w:sz w:val="20"/>
                <w:szCs w:val="20"/>
                <w:color w:val="auto"/>
              </w:rPr>
            </w:pPr>
            <w:r>
              <w:rPr>
                <w:rFonts w:ascii="Arial" w:cs="Arial" w:eastAsia="Arial" w:hAnsi="Arial"/>
                <w:sz w:val="14"/>
                <w:szCs w:val="14"/>
                <w:color w:val="auto"/>
              </w:rPr>
              <w:t>Commercial</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71,155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10,263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55,871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66,618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9,393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15,893</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Fire protection</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17,964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17,414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600" w:type="dxa"/>
            <w:vAlign w:val="bottom"/>
          </w:tcPr>
          <w:p>
            <w:pPr>
              <w:ind w:left="120"/>
              <w:spacing w:after="0"/>
              <w:rPr>
                <w:sz w:val="20"/>
                <w:szCs w:val="20"/>
                <w:color w:val="auto"/>
              </w:rPr>
            </w:pPr>
            <w:r>
              <w:rPr>
                <w:rFonts w:ascii="Arial" w:cs="Arial" w:eastAsia="Arial" w:hAnsi="Arial"/>
                <w:sz w:val="14"/>
                <w:szCs w:val="14"/>
                <w:color w:val="auto"/>
              </w:rPr>
              <w:t>Industrial</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14,736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854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1,478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14,062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842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2,314</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Gas transportation &amp; storage</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115,593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49,704</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600" w:type="dxa"/>
            <w:vAlign w:val="bottom"/>
          </w:tcPr>
          <w:p>
            <w:pPr>
              <w:ind w:left="120"/>
              <w:spacing w:after="0"/>
              <w:rPr>
                <w:sz w:val="20"/>
                <w:szCs w:val="20"/>
                <w:color w:val="auto"/>
              </w:rPr>
            </w:pPr>
            <w:r>
              <w:rPr>
                <w:rFonts w:ascii="Arial" w:cs="Arial" w:eastAsia="Arial" w:hAnsi="Arial"/>
                <w:sz w:val="14"/>
                <w:szCs w:val="14"/>
                <w:color w:val="auto"/>
              </w:rPr>
              <w:t>Other water</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23,157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13,855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2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wastewater</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600" w:type="dxa"/>
            <w:vAlign w:val="bottom"/>
          </w:tcPr>
          <w:p>
            <w:pPr>
              <w:ind w:left="120"/>
              <w:spacing w:after="0"/>
              <w:rPr>
                <w:sz w:val="20"/>
                <w:szCs w:val="20"/>
                <w:color w:val="auto"/>
              </w:rPr>
            </w:pPr>
            <w:r>
              <w:rPr>
                <w:rFonts w:ascii="Arial" w:cs="Arial" w:eastAsia="Arial" w:hAnsi="Arial"/>
                <w:sz w:val="14"/>
                <w:szCs w:val="14"/>
                <w:color w:val="auto"/>
              </w:rPr>
              <w:t>Other utility</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15,151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7,315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6,905</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9,544</w:t>
            </w:r>
          </w:p>
        </w:tc>
      </w:tr>
      <w:tr>
        <w:trPr>
          <w:trHeight w:val="183"/>
        </w:trPr>
        <w:tc>
          <w:tcPr>
            <w:tcW w:w="2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Revenues from contracts with customers</w:t>
            </w: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404,284</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64,104</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486,046</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7,315</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385,584</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58,468</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183,907</w:t>
            </w:r>
          </w:p>
        </w:tc>
        <w:tc>
          <w:tcPr>
            <w:tcW w:w="1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9,544</w:t>
            </w:r>
          </w:p>
        </w:tc>
      </w:tr>
      <w:tr>
        <w:trPr>
          <w:trHeight w:val="203"/>
        </w:trPr>
        <w:tc>
          <w:tcPr>
            <w:tcW w:w="2600" w:type="dxa"/>
            <w:vAlign w:val="bottom"/>
          </w:tcPr>
          <w:p>
            <w:pPr>
              <w:spacing w:after="0"/>
              <w:rPr>
                <w:sz w:val="20"/>
                <w:szCs w:val="20"/>
                <w:color w:val="auto"/>
              </w:rPr>
            </w:pPr>
            <w:r>
              <w:rPr>
                <w:rFonts w:ascii="Arial" w:cs="Arial" w:eastAsia="Arial" w:hAnsi="Arial"/>
                <w:sz w:val="14"/>
                <w:szCs w:val="14"/>
                <w:color w:val="auto"/>
              </w:rPr>
              <w:t>Alternative revenue program</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830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154</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600" w:type="dxa"/>
            <w:vAlign w:val="bottom"/>
            <w:shd w:val="clear" w:color="auto" w:fill="CCEEFF"/>
          </w:tcPr>
          <w:p>
            <w:pPr>
              <w:spacing w:after="0"/>
              <w:rPr>
                <w:sz w:val="20"/>
                <w:szCs w:val="20"/>
                <w:color w:val="auto"/>
              </w:rPr>
            </w:pPr>
            <w:r>
              <w:rPr>
                <w:rFonts w:ascii="Arial" w:cs="Arial" w:eastAsia="Arial" w:hAnsi="Arial"/>
                <w:sz w:val="14"/>
                <w:szCs w:val="14"/>
                <w:color w:val="auto"/>
              </w:rPr>
              <w:t>Other and eliminations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17,816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1,588</w:t>
            </w:r>
          </w:p>
        </w:tc>
      </w:tr>
      <w:tr>
        <w:trPr>
          <w:trHeight w:val="169"/>
        </w:trPr>
        <w:tc>
          <w:tcPr>
            <w:tcW w:w="2600" w:type="dxa"/>
            <w:vAlign w:val="bottom"/>
          </w:tcPr>
          <w:p>
            <w:pPr>
              <w:spacing w:after="0"/>
              <w:rPr>
                <w:sz w:val="20"/>
                <w:szCs w:val="20"/>
                <w:color w:val="auto"/>
              </w:rPr>
            </w:pPr>
            <w:r>
              <w:rPr>
                <w:rFonts w:ascii="Arial" w:cs="Arial" w:eastAsia="Arial" w:hAnsi="Arial"/>
                <w:sz w:val="14"/>
                <w:szCs w:val="14"/>
                <w:color w:val="auto"/>
              </w:rPr>
              <w:t>Consolidated</w:t>
            </w: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405,114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64,100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486,252</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25,131</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385,643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58,363</w:t>
            </w:r>
          </w:p>
        </w:tc>
        <w:tc>
          <w:tcPr>
            <w:tcW w:w="1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184,915</w:t>
            </w:r>
          </w:p>
        </w:tc>
        <w:tc>
          <w:tcPr>
            <w:tcW w:w="14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11,132</w:t>
            </w:r>
          </w:p>
        </w:tc>
      </w:tr>
      <w:tr>
        <w:trPr>
          <w:trHeight w:val="20"/>
        </w:trPr>
        <w:tc>
          <w:tcPr>
            <w:tcW w:w="2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84" w:lineRule="exact"/>
        <w:rPr>
          <w:sz w:val="20"/>
          <w:szCs w:val="20"/>
          <w:color w:val="auto"/>
        </w:rPr>
      </w:pPr>
    </w:p>
    <w:p>
      <w:pPr>
        <w:ind w:right="140"/>
        <w:spacing w:after="0" w:line="231" w:lineRule="auto"/>
        <w:rPr>
          <w:sz w:val="20"/>
          <w:szCs w:val="20"/>
          <w:color w:val="auto"/>
        </w:rPr>
      </w:pPr>
      <w:r>
        <w:rPr>
          <w:rFonts w:ascii="Arial" w:cs="Arial" w:eastAsia="Arial" w:hAnsi="Arial"/>
          <w:sz w:val="22"/>
          <w:szCs w:val="22"/>
          <w:color w:val="auto"/>
        </w:rPr>
        <w:t>On March 16, 2020, the Company completed the Peoples Gas Acquisition, which expanded the Company’s regulated utility business, to include natural gas distribution. The natural gas revenues of Peoples are included for the period since the date of the acquisition.</w:t>
      </w:r>
    </w:p>
    <w:p>
      <w:pPr>
        <w:spacing w:after="0" w:line="188" w:lineRule="exact"/>
        <w:rPr>
          <w:sz w:val="20"/>
          <w:szCs w:val="20"/>
          <w:color w:val="auto"/>
        </w:rPr>
      </w:pPr>
    </w:p>
    <w:p>
      <w:pPr>
        <w:ind w:right="80"/>
        <w:spacing w:after="0" w:line="264" w:lineRule="auto"/>
        <w:rPr>
          <w:sz w:val="20"/>
          <w:szCs w:val="20"/>
          <w:color w:val="auto"/>
        </w:rPr>
      </w:pPr>
      <w:r>
        <w:rPr>
          <w:rFonts w:ascii="Arial" w:cs="Arial" w:eastAsia="Arial" w:hAnsi="Arial"/>
          <w:sz w:val="19"/>
          <w:szCs w:val="19"/>
          <w:b w:val="1"/>
          <w:bCs w:val="1"/>
          <w:i w:val="1"/>
          <w:iCs w:val="1"/>
          <w:color w:val="auto"/>
        </w:rPr>
        <w:t xml:space="preserve">Revenues from Contracts with Customers – </w:t>
      </w:r>
      <w:r>
        <w:rPr>
          <w:rFonts w:ascii="Arial" w:cs="Arial" w:eastAsia="Arial" w:hAnsi="Arial"/>
          <w:sz w:val="19"/>
          <w:szCs w:val="19"/>
          <w:color w:val="auto"/>
        </w:rPr>
        <w:t>These revenues are composed of four main categories: water, wastewater, natural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gas, and other. Water revenues represent revenues earned for supplying customers with water service. Wastewater revenues represent revenues earned for treating wastewater and releasing it into the environment. Natural gas revenues represent revenues earned for the gas commodity and delivery of natural gas to customers. Other revenues are associated fees that relate to our utility businesses but are not water, wastewater, or natural gas revenues. Refer to the description below for a discussion of the performance obligation for each of these revenue streams.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2" w:name="page13"/>
    <w:bookmarkEnd w:id="12"/>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60" w:right="238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ind w:right="120"/>
        <w:spacing w:after="0" w:line="258" w:lineRule="auto"/>
        <w:rPr>
          <w:sz w:val="20"/>
          <w:szCs w:val="20"/>
          <w:color w:val="auto"/>
        </w:rPr>
      </w:pPr>
      <w:r>
        <w:rPr>
          <w:rFonts w:ascii="Arial" w:cs="Arial" w:eastAsia="Arial" w:hAnsi="Arial"/>
          <w:sz w:val="19"/>
          <w:szCs w:val="19"/>
          <w:b w:val="1"/>
          <w:bCs w:val="1"/>
          <w:i w:val="1"/>
          <w:iCs w:val="1"/>
          <w:color w:val="auto"/>
        </w:rPr>
        <w:t xml:space="preserve">Tariff Revenues – </w:t>
      </w:r>
      <w:r>
        <w:rPr>
          <w:rFonts w:ascii="Arial" w:cs="Arial" w:eastAsia="Arial" w:hAnsi="Arial"/>
          <w:sz w:val="19"/>
          <w:szCs w:val="19"/>
          <w:color w:val="auto"/>
        </w:rPr>
        <w:t>These revenues are categorized by customer class: residential, commercial, fire protection, industrial, gas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transportation, other water and other wastewater. The rates that generate these revenues are approved by the respective state utility commission, and revenues are billed cyclically and accrued for when unbilled. The regulated natural gas rates are set and adjusted for increases or decreases in our purchased gas costs through purchased gas adjustment mechanisms. Purchased gas adjustment mechanisms provide us with a means to recover purchased gas costs on an ongoing basis without filing a rate case. Other water and other wastewater revenues consist primarily of fines, penalties, surcharges, and availability lot fees. Our performance obligation for tariff revenues is to provide potable water, wastewater treatment service, or delivery and sale of natural gas to customers. This performance obligation is satisfied over time as the services are rendered. The amounts that the Company has a right to invoice for tariff revenues reflect the right to consideration from the customers in an amount that corresponds directly with the value transferred to the customer for the performance completed to date.</w:t>
      </w:r>
    </w:p>
    <w:p>
      <w:pPr>
        <w:spacing w:after="0" w:line="176" w:lineRule="exact"/>
        <w:rPr>
          <w:sz w:val="20"/>
          <w:szCs w:val="20"/>
          <w:color w:val="auto"/>
        </w:rPr>
      </w:pPr>
    </w:p>
    <w:p>
      <w:pPr>
        <w:ind w:right="140"/>
        <w:spacing w:after="0" w:line="262" w:lineRule="auto"/>
        <w:rPr>
          <w:sz w:val="20"/>
          <w:szCs w:val="20"/>
          <w:color w:val="auto"/>
        </w:rPr>
      </w:pPr>
      <w:r>
        <w:rPr>
          <w:rFonts w:ascii="Arial" w:cs="Arial" w:eastAsia="Arial" w:hAnsi="Arial"/>
          <w:sz w:val="19"/>
          <w:szCs w:val="19"/>
          <w:b w:val="1"/>
          <w:bCs w:val="1"/>
          <w:i w:val="1"/>
          <w:iCs w:val="1"/>
          <w:color w:val="auto"/>
        </w:rPr>
        <w:t xml:space="preserve">Other Utility Revenues – </w:t>
      </w:r>
      <w:r>
        <w:rPr>
          <w:rFonts w:ascii="Arial" w:cs="Arial" w:eastAsia="Arial" w:hAnsi="Arial"/>
          <w:sz w:val="19"/>
          <w:szCs w:val="19"/>
          <w:color w:val="auto"/>
        </w:rPr>
        <w:t>Other utility revenues represent revenues earned primarily from: antenna revenues, which represent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fees received from telecommunication operators that have put cellular antennas on our water towers; operation and maintenance and billing contracts, which represent fees earned from municipalities for our operation of their water or wastewater treatment services or performing billing services; fees earned from developers for accessing our water mains; miscellaneous service revenue from gas distribution operations; gas processing and handling revenue; sales of natural gas at market-based rates and contracted fixed prices; sales of gas purchased from third parties; and other gas marketing activities. The performance obligations vary for these revenues, but all are primarily recognized over time as the service is delivered.</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Alternative Revenue Program:</w:t>
      </w:r>
    </w:p>
    <w:p>
      <w:pPr>
        <w:spacing w:after="0" w:line="206" w:lineRule="exact"/>
        <w:rPr>
          <w:sz w:val="20"/>
          <w:szCs w:val="20"/>
          <w:color w:val="auto"/>
        </w:rPr>
      </w:pPr>
    </w:p>
    <w:p>
      <w:pPr>
        <w:ind w:left="660" w:right="100"/>
        <w:spacing w:after="0" w:line="255" w:lineRule="auto"/>
        <w:rPr>
          <w:sz w:val="20"/>
          <w:szCs w:val="20"/>
          <w:color w:val="auto"/>
        </w:rPr>
      </w:pPr>
      <w:r>
        <w:rPr>
          <w:rFonts w:ascii="Arial" w:cs="Arial" w:eastAsia="Arial" w:hAnsi="Arial"/>
          <w:sz w:val="19"/>
          <w:szCs w:val="19"/>
          <w:color w:val="auto"/>
        </w:rPr>
        <w:t>Water / Wastewater Revenues: These revenues represent the difference between the actual billed utility volumetric water and wastewater revenues for Aqua Illinois and the revenues set in the last Aqua Illinois rate case. In accordance with the Illinois Commerce Commission, we recognize revenues based on the target amount established in the last rate case, and then record either a regulatory asset or liability based on the cumulative annual difference between the target and actual, which results in either a payment from customers or a refund due to customers. The cumulative annual difference is either refunded to customers or collected from customers over a nine-month period.</w:t>
      </w:r>
    </w:p>
    <w:p>
      <w:pPr>
        <w:spacing w:after="0" w:line="2" w:lineRule="exact"/>
        <w:rPr>
          <w:sz w:val="20"/>
          <w:szCs w:val="20"/>
          <w:color w:val="auto"/>
        </w:rPr>
      </w:pPr>
    </w:p>
    <w:p>
      <w:pPr>
        <w:ind w:left="660" w:right="40"/>
        <w:spacing w:after="0" w:line="221" w:lineRule="auto"/>
        <w:rPr>
          <w:sz w:val="20"/>
          <w:szCs w:val="20"/>
          <w:color w:val="auto"/>
        </w:rPr>
      </w:pPr>
      <w:r>
        <w:rPr>
          <w:rFonts w:ascii="Arial" w:cs="Arial" w:eastAsia="Arial" w:hAnsi="Arial"/>
          <w:sz w:val="22"/>
          <w:szCs w:val="22"/>
          <w:color w:val="auto"/>
        </w:rPr>
        <w:t>Natural Gas Revenues: These revenues represent the weather-normalization adjustment (“WNA”) mechanism in place for our natural gas customers served in Kentucky. The WNA serves to minimize the effects of weather on the Company’s results for its residential and small commercial natural gas customers. This regulatory mechanism adjusts revenues earned for the variance between actual and normal weather and can have either positive (warmer than normal) or negative (colder than normal) effects on revenues. Customer bills are adjusted in the December through April billing months, with rates adjusted for the difference between actual revenues and revenues calculated under this mechanism billed to the customers.</w:t>
      </w:r>
    </w:p>
    <w:p>
      <w:pPr>
        <w:spacing w:after="0" w:line="187"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These revenue programs represent a contract between the utility and its regulators, not customers, and therefore are not within the scope of the Financial Accounting Standards Board’s (“FASB”) accounting guidance for recognizing revenue from contracts with customers.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 w:right="359" w:bottom="1440" w:gutter="0" w:footer="0" w:header="0"/>
        </w:sectPr>
      </w:pPr>
    </w:p>
    <w:bookmarkStart w:id="13" w:name="page14"/>
    <w:bookmarkEnd w:id="13"/>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ind w:right="220"/>
        <w:spacing w:after="0" w:line="237" w:lineRule="auto"/>
        <w:rPr>
          <w:sz w:val="20"/>
          <w:szCs w:val="20"/>
          <w:color w:val="auto"/>
        </w:rPr>
      </w:pPr>
      <w:r>
        <w:rPr>
          <w:rFonts w:ascii="Arial" w:cs="Arial" w:eastAsia="Arial" w:hAnsi="Arial"/>
          <w:sz w:val="21"/>
          <w:szCs w:val="21"/>
          <w:b w:val="1"/>
          <w:bCs w:val="1"/>
          <w:i w:val="1"/>
          <w:iCs w:val="1"/>
          <w:color w:val="auto"/>
        </w:rPr>
        <w:t xml:space="preserve">Other and Eliminations – </w:t>
      </w:r>
      <w:r>
        <w:rPr>
          <w:rFonts w:ascii="Arial" w:cs="Arial" w:eastAsia="Arial" w:hAnsi="Arial"/>
          <w:sz w:val="21"/>
          <w:szCs w:val="21"/>
          <w:color w:val="auto"/>
        </w:rPr>
        <w:t>Other and eliminations consist of our market-based revenues, which comprises: our non-regulated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natural gas operations, Aqua Infrastructure and Aqua Resources (described below) and intercompany eliminations for revenue billed between our subsidiaries. Our non-regulated natural gas operations consist of utility service line protection solutions and repair services to households and the operations of gas marketing and production entities. Revenue is recognized and the performance obligation is satisfied over time as the service is delivered.</w:t>
      </w:r>
    </w:p>
    <w:p>
      <w:pPr>
        <w:spacing w:after="0" w:line="185" w:lineRule="exact"/>
        <w:rPr>
          <w:sz w:val="20"/>
          <w:szCs w:val="20"/>
          <w:color w:val="auto"/>
        </w:rPr>
      </w:pPr>
    </w:p>
    <w:p>
      <w:pPr>
        <w:ind w:right="80"/>
        <w:spacing w:after="0" w:line="258" w:lineRule="auto"/>
        <w:rPr>
          <w:sz w:val="20"/>
          <w:szCs w:val="20"/>
          <w:color w:val="auto"/>
        </w:rPr>
      </w:pPr>
      <w:r>
        <w:rPr>
          <w:rFonts w:ascii="Arial" w:cs="Arial" w:eastAsia="Arial" w:hAnsi="Arial"/>
          <w:sz w:val="19"/>
          <w:szCs w:val="19"/>
          <w:color w:val="auto"/>
        </w:rPr>
        <w:t>Aqua Infrastructure is the holding company for our former 49% investment in a joint venture that operated a private pipeline system to supply raw water to natural gas well drilling operations in the Marcellus Shale of north central Pennsylvania. Prior to our October 30, 2020 sale of our investment in the joint venture, the joint venture earned revenues through providing non-utility raw water supply services to natural gas drilling companies which enter into water supply contracts. The performance obligation was to deliver non-potable water to the joint venture’s customers. Aqua Infrastructure’s share of the revenues recognized by the joint venture was reflected, net, in equity earnings in joint venture on our consolidated statements of operations and comprehensive income. Aqua Resources earned revenues by providing non-regulated water and wastewater services through an operating and maintenance contract which concluded in 2020, and continues to earn revenue through third party water and sewer service line protection and repair services. The performance obligations were performing agreed upon contract services to operate the water and wastewater system or allowing the use of our logo to a third-party water and sewer service line repair. Revenues are primarily recognized over time as service is delivered.</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3 – </w:t>
      </w:r>
      <w:r>
        <w:rPr>
          <w:rFonts w:ascii="Arial" w:cs="Arial" w:eastAsia="Arial" w:hAnsi="Arial"/>
          <w:sz w:val="22"/>
          <w:szCs w:val="22"/>
          <w:b w:val="1"/>
          <w:bCs w:val="1"/>
          <w:i w:val="1"/>
          <w:iCs w:val="1"/>
          <w:color w:val="auto"/>
        </w:rPr>
        <w:t>Acquisitions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Peoples Gas Acquisition</w:t>
      </w:r>
    </w:p>
    <w:p>
      <w:pPr>
        <w:spacing w:after="0" w:line="206" w:lineRule="exact"/>
        <w:rPr>
          <w:sz w:val="20"/>
          <w:szCs w:val="20"/>
          <w:color w:val="auto"/>
        </w:rPr>
      </w:pPr>
    </w:p>
    <w:p>
      <w:pPr>
        <w:spacing w:after="0" w:line="233" w:lineRule="auto"/>
        <w:rPr>
          <w:sz w:val="20"/>
          <w:szCs w:val="20"/>
          <w:color w:val="auto"/>
        </w:rPr>
      </w:pPr>
      <w:r>
        <w:rPr>
          <w:rFonts w:ascii="Arial" w:cs="Arial" w:eastAsia="Arial" w:hAnsi="Arial"/>
          <w:sz w:val="21"/>
          <w:szCs w:val="21"/>
          <w:color w:val="auto"/>
        </w:rPr>
        <w:t>On March 16, 2020 (the “Closing Date”), the Company completed the acquisition of Peoples Natural Gas (the “Peoples Gas Acquisition”), which expanded the Company’s regulated utility business to include natural gas distribution, serving approximately 750,000 natural gas utility customers in western Pennsylvania, West Virginia and Kentucky. The Company paid cash consideration of $3,465,344, which is subject to adjustment based upon the terms of the purchase agreement. Purchase price adjustments include the completion of a closing balance sheet, which was provided to the seller, and the finalization of an adjustment for utility capital expenditures made by the seller during the period between November 1, 2018 and closing. There is a dispute between the parties regarding this adjustment for utility capital expenditures. It is expected the matter will be resolved in accordance with the provisions of the purchase agreement. The estimated purchase price paid by the Company was determined as follows: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4" w:name="page15"/>
    <w:bookmarkEnd w:id="14"/>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120" w:type="dxa"/>
            <w:vAlign w:val="bottom"/>
            <w:shd w:val="clear" w:color="auto" w:fill="CCEEFF"/>
          </w:tcPr>
          <w:p>
            <w:pPr>
              <w:spacing w:after="0"/>
              <w:rPr>
                <w:sz w:val="20"/>
                <w:szCs w:val="20"/>
                <w:color w:val="auto"/>
              </w:rPr>
            </w:pPr>
            <w:r>
              <w:rPr>
                <w:rFonts w:ascii="Arial" w:cs="Arial" w:eastAsia="Arial" w:hAnsi="Arial"/>
                <w:sz w:val="20"/>
                <w:szCs w:val="20"/>
                <w:color w:val="auto"/>
              </w:rPr>
              <w:t>Base purchase price</w:t>
            </w:r>
          </w:p>
        </w:tc>
        <w:tc>
          <w:tcPr>
            <w:tcW w:w="1140" w:type="dxa"/>
            <w:vAlign w:val="bottom"/>
            <w:gridSpan w:val="2"/>
            <w:shd w:val="clear" w:color="auto" w:fill="CCEEFF"/>
          </w:tcPr>
          <w:p>
            <w:pPr>
              <w:jc w:val="right"/>
              <w:ind w:right="963"/>
              <w:spacing w:after="0"/>
              <w:rPr>
                <w:sz w:val="20"/>
                <w:szCs w:val="20"/>
                <w:color w:val="auto"/>
              </w:rPr>
            </w:pPr>
            <w:r>
              <w:rPr>
                <w:rFonts w:ascii="Arial" w:cs="Arial" w:eastAsia="Arial" w:hAnsi="Arial"/>
                <w:sz w:val="20"/>
                <w:szCs w:val="20"/>
                <w:color w:val="auto"/>
                <w:w w:val="71"/>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4,275,000</w:t>
            </w:r>
          </w:p>
        </w:tc>
      </w:tr>
      <w:tr>
        <w:trPr>
          <w:trHeight w:val="243"/>
        </w:trPr>
        <w:tc>
          <w:tcPr>
            <w:tcW w:w="8120" w:type="dxa"/>
            <w:vAlign w:val="bottom"/>
          </w:tcPr>
          <w:p>
            <w:pPr>
              <w:spacing w:after="0"/>
              <w:rPr>
                <w:sz w:val="20"/>
                <w:szCs w:val="20"/>
                <w:color w:val="auto"/>
              </w:rPr>
            </w:pPr>
            <w:r>
              <w:rPr>
                <w:rFonts w:ascii="Arial" w:cs="Arial" w:eastAsia="Arial" w:hAnsi="Arial"/>
                <w:sz w:val="20"/>
                <w:szCs w:val="20"/>
                <w:color w:val="auto"/>
              </w:rPr>
              <w:t>Adjustments:</w:t>
            </w: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43"/>
        </w:trPr>
        <w:tc>
          <w:tcPr>
            <w:tcW w:w="8120" w:type="dxa"/>
            <w:vAlign w:val="bottom"/>
            <w:shd w:val="clear" w:color="auto" w:fill="CCEEFF"/>
          </w:tcPr>
          <w:p>
            <w:pPr>
              <w:ind w:left="120"/>
              <w:spacing w:after="0"/>
              <w:rPr>
                <w:sz w:val="20"/>
                <w:szCs w:val="20"/>
                <w:color w:val="auto"/>
              </w:rPr>
            </w:pPr>
            <w:r>
              <w:rPr>
                <w:rFonts w:ascii="Arial" w:cs="Arial" w:eastAsia="Arial" w:hAnsi="Arial"/>
                <w:sz w:val="20"/>
                <w:szCs w:val="20"/>
                <w:color w:val="auto"/>
              </w:rPr>
              <w:t>Estimated change in working capital</w:t>
            </w:r>
          </w:p>
        </w:tc>
        <w:tc>
          <w:tcPr>
            <w:tcW w:w="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43,935</w:t>
            </w:r>
          </w:p>
        </w:tc>
      </w:tr>
      <w:tr>
        <w:trPr>
          <w:trHeight w:val="243"/>
        </w:trPr>
        <w:tc>
          <w:tcPr>
            <w:tcW w:w="8120" w:type="dxa"/>
            <w:vAlign w:val="bottom"/>
          </w:tcPr>
          <w:p>
            <w:pPr>
              <w:ind w:left="120"/>
              <w:spacing w:after="0"/>
              <w:rPr>
                <w:sz w:val="20"/>
                <w:szCs w:val="20"/>
                <w:color w:val="auto"/>
              </w:rPr>
            </w:pPr>
            <w:r>
              <w:rPr>
                <w:rFonts w:ascii="Arial" w:cs="Arial" w:eastAsia="Arial" w:hAnsi="Arial"/>
                <w:sz w:val="20"/>
                <w:szCs w:val="20"/>
                <w:color w:val="auto"/>
              </w:rPr>
              <w:t>Certain estimated capital expenditures</w:t>
            </w: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20"/>
                <w:szCs w:val="20"/>
                <w:color w:val="auto"/>
              </w:rPr>
              <w:t>247,500</w:t>
            </w:r>
          </w:p>
        </w:tc>
      </w:tr>
      <w:tr>
        <w:trPr>
          <w:trHeight w:val="243"/>
        </w:trPr>
        <w:tc>
          <w:tcPr>
            <w:tcW w:w="8120" w:type="dxa"/>
            <w:vAlign w:val="bottom"/>
            <w:shd w:val="clear" w:color="auto" w:fill="CCEEFF"/>
          </w:tcPr>
          <w:p>
            <w:pPr>
              <w:ind w:left="120"/>
              <w:spacing w:after="0"/>
              <w:rPr>
                <w:sz w:val="20"/>
                <w:szCs w:val="20"/>
                <w:color w:val="auto"/>
              </w:rPr>
            </w:pPr>
            <w:r>
              <w:rPr>
                <w:rFonts w:ascii="Arial" w:cs="Arial" w:eastAsia="Arial" w:hAnsi="Arial"/>
                <w:sz w:val="20"/>
                <w:szCs w:val="20"/>
                <w:color w:val="auto"/>
              </w:rPr>
              <w:t>Assumption of indebtedness</w:t>
            </w:r>
          </w:p>
        </w:tc>
        <w:tc>
          <w:tcPr>
            <w:tcW w:w="20" w:type="dxa"/>
            <w:vAlign w:val="bottom"/>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(1,101,091)</w:t>
            </w:r>
          </w:p>
        </w:tc>
      </w:tr>
      <w:tr>
        <w:trPr>
          <w:trHeight w:val="209"/>
        </w:trPr>
        <w:tc>
          <w:tcPr>
            <w:tcW w:w="8120" w:type="dxa"/>
            <w:vAlign w:val="bottom"/>
          </w:tcPr>
          <w:p>
            <w:pPr>
              <w:spacing w:after="0" w:line="209" w:lineRule="exact"/>
              <w:rPr>
                <w:sz w:val="20"/>
                <w:szCs w:val="20"/>
                <w:color w:val="auto"/>
              </w:rPr>
            </w:pPr>
            <w:r>
              <w:rPr>
                <w:rFonts w:ascii="Arial" w:cs="Arial" w:eastAsia="Arial" w:hAnsi="Arial"/>
                <w:sz w:val="20"/>
                <w:szCs w:val="20"/>
                <w:color w:val="auto"/>
              </w:rPr>
              <w:t>Cash consideration</w:t>
            </w:r>
          </w:p>
        </w:tc>
        <w:tc>
          <w:tcPr>
            <w:tcW w:w="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963"/>
              <w:spacing w:after="0"/>
              <w:rPr>
                <w:sz w:val="20"/>
                <w:szCs w:val="20"/>
                <w:color w:val="auto"/>
              </w:rPr>
            </w:pPr>
            <w:r>
              <w:rPr>
                <w:rFonts w:ascii="Arial" w:cs="Arial" w:eastAsia="Arial" w:hAnsi="Arial"/>
                <w:sz w:val="15"/>
                <w:szCs w:val="15"/>
                <w:color w:val="auto"/>
                <w:w w:val="71"/>
              </w:rPr>
              <w:t>$</w:t>
            </w:r>
          </w:p>
        </w:tc>
        <w:tc>
          <w:tcPr>
            <w:tcW w:w="198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3,465,344</w:t>
            </w:r>
          </w:p>
        </w:tc>
      </w:tr>
      <w:tr>
        <w:trPr>
          <w:trHeight w:val="20"/>
        </w:trPr>
        <w:tc>
          <w:tcPr>
            <w:tcW w:w="8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color w:val="auto"/>
        </w:rPr>
        <w:t>The assumption of $1,101,091 of indebtedness as of the Closing Date, consisted of $920,091 of senior notes and $181,000 of short-term debt. The acquisition was financed through a series of financing transactions which included the issuance of common stock from a public offering and a private placement, a tangible equity unit offering, and short and long-term debt.</w:t>
      </w:r>
    </w:p>
    <w:p>
      <w:pPr>
        <w:spacing w:after="0" w:line="148" w:lineRule="exact"/>
        <w:rPr>
          <w:sz w:val="20"/>
          <w:szCs w:val="20"/>
          <w:color w:val="auto"/>
        </w:rPr>
      </w:pPr>
    </w:p>
    <w:p>
      <w:pPr>
        <w:ind w:right="140"/>
        <w:spacing w:after="0" w:line="262" w:lineRule="auto"/>
        <w:rPr>
          <w:sz w:val="20"/>
          <w:szCs w:val="20"/>
          <w:color w:val="auto"/>
        </w:rPr>
      </w:pPr>
      <w:r>
        <w:rPr>
          <w:rFonts w:ascii="Arial" w:cs="Arial" w:eastAsia="Arial" w:hAnsi="Arial"/>
          <w:sz w:val="19"/>
          <w:szCs w:val="19"/>
          <w:color w:val="auto"/>
        </w:rPr>
        <w:t>The Company accounted for the Peoples Gas Acquisition as a business combination using the acquisition method of accounting. The estimated purchase price was allocated to the net tangible and intangible assets based upon their estimated fair values at the date of the acquisition. The purchase price allocation was preliminary and was subject to revision through the end of the measurement period on March 15, 2021. During the first quarter of 2021, the Company recorded an adjustment to increase goodwill by $16,400 primarily reflecting an adjustment to deferred income taxes and the valuation of accounts receivable. Goodwill recorded for the Peoples Gas Acquisition is not expected to be deductible for tax purposes. The following table summarizes the purchase price allocation as of the acquisition date and measurement period adjustments as of March 15,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gridSpan w:val="2"/>
          </w:tcPr>
          <w:p>
            <w:pPr>
              <w:jc w:val="center"/>
              <w:ind w:right="300"/>
              <w:spacing w:after="0"/>
              <w:rPr>
                <w:sz w:val="20"/>
                <w:szCs w:val="20"/>
                <w:color w:val="auto"/>
              </w:rPr>
            </w:pPr>
            <w:r>
              <w:rPr>
                <w:rFonts w:ascii="Arial" w:cs="Arial" w:eastAsia="Arial" w:hAnsi="Arial"/>
                <w:sz w:val="20"/>
                <w:szCs w:val="20"/>
                <w:color w:val="auto"/>
                <w:w w:val="91"/>
              </w:rPr>
              <w:t>Amounts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center"/>
              <w:ind w:right="121"/>
              <w:spacing w:after="0"/>
              <w:rPr>
                <w:sz w:val="20"/>
                <w:szCs w:val="20"/>
                <w:color w:val="auto"/>
              </w:rPr>
            </w:pPr>
            <w:r>
              <w:rPr>
                <w:rFonts w:ascii="Arial" w:cs="Arial" w:eastAsia="Arial" w:hAnsi="Arial"/>
                <w:sz w:val="20"/>
                <w:szCs w:val="20"/>
                <w:color w:val="auto"/>
                <w:w w:val="91"/>
              </w:rPr>
              <w:t>Amounts</w:t>
            </w:r>
          </w:p>
        </w:tc>
      </w:tr>
      <w:tr>
        <w:trPr>
          <w:trHeight w:val="203"/>
        </w:trPr>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gridSpan w:val="2"/>
          </w:tcPr>
          <w:p>
            <w:pPr>
              <w:jc w:val="center"/>
              <w:ind w:right="300"/>
              <w:spacing w:after="0" w:line="203" w:lineRule="exact"/>
              <w:rPr>
                <w:sz w:val="20"/>
                <w:szCs w:val="20"/>
                <w:color w:val="auto"/>
              </w:rPr>
            </w:pPr>
            <w:r>
              <w:rPr>
                <w:rFonts w:ascii="Arial" w:cs="Arial" w:eastAsia="Arial" w:hAnsi="Arial"/>
                <w:sz w:val="20"/>
                <w:szCs w:val="20"/>
                <w:color w:val="auto"/>
                <w:w w:val="91"/>
              </w:rPr>
              <w:t>Previously</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jc w:val="center"/>
              <w:ind w:right="360"/>
              <w:spacing w:after="0" w:line="203" w:lineRule="exact"/>
              <w:rPr>
                <w:sz w:val="20"/>
                <w:szCs w:val="20"/>
                <w:color w:val="auto"/>
              </w:rPr>
            </w:pPr>
            <w:r>
              <w:rPr>
                <w:rFonts w:ascii="Arial" w:cs="Arial" w:eastAsia="Arial" w:hAnsi="Arial"/>
                <w:sz w:val="20"/>
                <w:szCs w:val="20"/>
                <w:color w:val="auto"/>
                <w:w w:val="88"/>
              </w:rPr>
              <w:t>Measurement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jc w:val="center"/>
              <w:ind w:right="121"/>
              <w:spacing w:after="0" w:line="203" w:lineRule="exact"/>
              <w:rPr>
                <w:sz w:val="20"/>
                <w:szCs w:val="20"/>
                <w:color w:val="auto"/>
              </w:rPr>
            </w:pPr>
            <w:r>
              <w:rPr>
                <w:rFonts w:ascii="Arial" w:cs="Arial" w:eastAsia="Arial" w:hAnsi="Arial"/>
                <w:sz w:val="20"/>
                <w:szCs w:val="20"/>
                <w:color w:val="auto"/>
                <w:w w:val="87"/>
              </w:rPr>
              <w:t>Recognized as of</w:t>
            </w:r>
          </w:p>
        </w:tc>
      </w:tr>
      <w:tr>
        <w:trPr>
          <w:trHeight w:val="203"/>
        </w:trPr>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gridSpan w:val="2"/>
          </w:tcPr>
          <w:p>
            <w:pPr>
              <w:jc w:val="center"/>
              <w:ind w:right="300"/>
              <w:spacing w:after="0" w:line="203" w:lineRule="exact"/>
              <w:rPr>
                <w:sz w:val="20"/>
                <w:szCs w:val="20"/>
                <w:color w:val="auto"/>
              </w:rPr>
            </w:pPr>
            <w:r>
              <w:rPr>
                <w:rFonts w:ascii="Arial" w:cs="Arial" w:eastAsia="Arial" w:hAnsi="Arial"/>
                <w:sz w:val="20"/>
                <w:szCs w:val="20"/>
                <w:color w:val="auto"/>
                <w:w w:val="87"/>
              </w:rPr>
              <w:t>Recognized as of</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jc w:val="center"/>
              <w:ind w:right="360"/>
              <w:spacing w:after="0" w:line="203" w:lineRule="exact"/>
              <w:rPr>
                <w:sz w:val="20"/>
                <w:szCs w:val="20"/>
                <w:color w:val="auto"/>
              </w:rPr>
            </w:pPr>
            <w:r>
              <w:rPr>
                <w:rFonts w:ascii="Arial" w:cs="Arial" w:eastAsia="Arial" w:hAnsi="Arial"/>
                <w:sz w:val="20"/>
                <w:szCs w:val="20"/>
                <w:color w:val="auto"/>
                <w:w w:val="89"/>
              </w:rPr>
              <w:t>Period</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jc w:val="center"/>
              <w:ind w:right="121"/>
              <w:spacing w:after="0" w:line="203" w:lineRule="exact"/>
              <w:rPr>
                <w:sz w:val="20"/>
                <w:szCs w:val="20"/>
                <w:color w:val="auto"/>
              </w:rPr>
            </w:pPr>
            <w:r>
              <w:rPr>
                <w:rFonts w:ascii="Arial" w:cs="Arial" w:eastAsia="Arial" w:hAnsi="Arial"/>
                <w:sz w:val="20"/>
                <w:szCs w:val="20"/>
                <w:color w:val="auto"/>
                <w:w w:val="94"/>
              </w:rPr>
              <w:t>Acquisition Date</w:t>
            </w:r>
          </w:p>
        </w:tc>
      </w:tr>
      <w:tr>
        <w:trPr>
          <w:trHeight w:val="233"/>
        </w:trPr>
        <w:tc>
          <w:tcPr>
            <w:tcW w:w="4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2"/>
          </w:tcPr>
          <w:p>
            <w:pPr>
              <w:jc w:val="center"/>
              <w:ind w:right="320"/>
              <w:spacing w:after="0"/>
              <w:rPr>
                <w:sz w:val="20"/>
                <w:szCs w:val="20"/>
                <w:color w:val="auto"/>
              </w:rPr>
            </w:pPr>
            <w:r>
              <w:rPr>
                <w:rFonts w:ascii="Arial" w:cs="Arial" w:eastAsia="Arial" w:hAnsi="Arial"/>
                <w:sz w:val="20"/>
                <w:szCs w:val="20"/>
                <w:color w:val="auto"/>
                <w:w w:val="92"/>
              </w:rPr>
              <w:t>Acquisition Date (a)</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20"/>
                <w:szCs w:val="20"/>
                <w:color w:val="auto"/>
                <w:w w:val="90"/>
              </w:rPr>
              <w:t>Adjustments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jc w:val="center"/>
              <w:ind w:right="101"/>
              <w:spacing w:after="0"/>
              <w:rPr>
                <w:sz w:val="20"/>
                <w:szCs w:val="20"/>
                <w:color w:val="auto"/>
              </w:rPr>
            </w:pPr>
            <w:r>
              <w:rPr>
                <w:rFonts w:ascii="Arial" w:cs="Arial" w:eastAsia="Arial" w:hAnsi="Arial"/>
                <w:sz w:val="20"/>
                <w:szCs w:val="20"/>
                <w:color w:val="auto"/>
                <w:w w:val="89"/>
              </w:rPr>
              <w:t>(as Adjusted)</w:t>
            </w:r>
          </w:p>
        </w:tc>
      </w:tr>
      <w:tr>
        <w:trPr>
          <w:trHeight w:val="196"/>
        </w:trPr>
        <w:tc>
          <w:tcPr>
            <w:tcW w:w="4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rPr>
              <w:t>Property, plant and equipment, net</w:t>
            </w:r>
          </w:p>
        </w:tc>
        <w:tc>
          <w:tcPr>
            <w:tcW w:w="200" w:type="dxa"/>
            <w:vAlign w:val="bottom"/>
            <w:tcBorders>
              <w:top w:val="single" w:sz="8" w:color="auto"/>
            </w:tcBorders>
            <w:shd w:val="clear" w:color="auto" w:fill="CCEEFF"/>
          </w:tcPr>
          <w:p>
            <w:pPr>
              <w:jc w:val="right"/>
              <w:ind w:right="1"/>
              <w:spacing w:after="0" w:line="196" w:lineRule="exact"/>
              <w:rPr>
                <w:sz w:val="20"/>
                <w:szCs w:val="20"/>
                <w:color w:val="auto"/>
              </w:rPr>
            </w:pPr>
            <w:r>
              <w:rPr>
                <w:rFonts w:ascii="Arial" w:cs="Arial" w:eastAsia="Arial" w:hAnsi="Arial"/>
                <w:sz w:val="20"/>
                <w:szCs w:val="20"/>
                <w:color w:val="auto"/>
                <w:w w:val="71"/>
              </w:rPr>
              <w:t>$</w:t>
            </w:r>
          </w:p>
        </w:tc>
        <w:tc>
          <w:tcPr>
            <w:tcW w:w="2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2,476,551</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
              <w:spacing w:after="0" w:line="196" w:lineRule="exact"/>
              <w:rPr>
                <w:sz w:val="20"/>
                <w:szCs w:val="20"/>
                <w:color w:val="auto"/>
              </w:rPr>
            </w:pPr>
            <w:r>
              <w:rPr>
                <w:rFonts w:ascii="Arial" w:cs="Arial" w:eastAsia="Arial" w:hAnsi="Arial"/>
                <w:sz w:val="20"/>
                <w:szCs w:val="20"/>
                <w:color w:val="auto"/>
                <w:w w:val="71"/>
              </w:rPr>
              <w:t>$</w:t>
            </w:r>
          </w:p>
        </w:tc>
        <w:tc>
          <w:tcPr>
            <w:tcW w:w="1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2,476,551</w:t>
            </w:r>
          </w:p>
        </w:tc>
      </w:tr>
      <w:tr>
        <w:trPr>
          <w:trHeight w:val="203"/>
        </w:trPr>
        <w:tc>
          <w:tcPr>
            <w:tcW w:w="4980" w:type="dxa"/>
            <w:vAlign w:val="bottom"/>
          </w:tcPr>
          <w:p>
            <w:pPr>
              <w:spacing w:after="0" w:line="203" w:lineRule="exact"/>
              <w:rPr>
                <w:sz w:val="20"/>
                <w:szCs w:val="20"/>
                <w:color w:val="auto"/>
              </w:rPr>
            </w:pPr>
            <w:r>
              <w:rPr>
                <w:rFonts w:ascii="Arial" w:cs="Arial" w:eastAsia="Arial" w:hAnsi="Arial"/>
                <w:sz w:val="20"/>
                <w:szCs w:val="20"/>
                <w:color w:val="auto"/>
              </w:rPr>
              <w:t>Current assets</w:t>
            </w:r>
          </w:p>
        </w:tc>
        <w:tc>
          <w:tcPr>
            <w:tcW w:w="200" w:type="dxa"/>
            <w:vAlign w:val="bottom"/>
          </w:tcPr>
          <w:p>
            <w:pPr>
              <w:spacing w:after="0"/>
              <w:rPr>
                <w:sz w:val="17"/>
                <w:szCs w:val="17"/>
                <w:color w:val="auto"/>
              </w:rPr>
            </w:pPr>
          </w:p>
        </w:tc>
        <w:tc>
          <w:tcPr>
            <w:tcW w:w="2000" w:type="dxa"/>
            <w:vAlign w:val="bottom"/>
          </w:tcPr>
          <w:p>
            <w:pPr>
              <w:jc w:val="right"/>
              <w:spacing w:after="0" w:line="203" w:lineRule="exact"/>
              <w:rPr>
                <w:sz w:val="20"/>
                <w:szCs w:val="20"/>
                <w:color w:val="auto"/>
              </w:rPr>
            </w:pPr>
            <w:r>
              <w:rPr>
                <w:rFonts w:ascii="Arial" w:cs="Arial" w:eastAsia="Arial" w:hAnsi="Arial"/>
                <w:sz w:val="20"/>
                <w:szCs w:val="20"/>
                <w:color w:val="auto"/>
              </w:rPr>
              <w:t>242,531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jc w:val="right"/>
              <w:ind w:right="160"/>
              <w:spacing w:after="0" w:line="203" w:lineRule="exact"/>
              <w:rPr>
                <w:sz w:val="20"/>
                <w:szCs w:val="20"/>
                <w:color w:val="auto"/>
              </w:rPr>
            </w:pPr>
            <w:r>
              <w:rPr>
                <w:rFonts w:ascii="Arial" w:cs="Arial" w:eastAsia="Arial" w:hAnsi="Arial"/>
                <w:sz w:val="20"/>
                <w:szCs w:val="20"/>
                <w:color w:val="auto"/>
              </w:rPr>
              <w:t>(9,197)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jc w:val="right"/>
              <w:spacing w:after="0" w:line="203" w:lineRule="exact"/>
              <w:rPr>
                <w:sz w:val="20"/>
                <w:szCs w:val="20"/>
                <w:color w:val="auto"/>
              </w:rPr>
            </w:pPr>
            <w:r>
              <w:rPr>
                <w:rFonts w:ascii="Arial" w:cs="Arial" w:eastAsia="Arial" w:hAnsi="Arial"/>
                <w:sz w:val="20"/>
                <w:szCs w:val="20"/>
                <w:color w:val="auto"/>
              </w:rPr>
              <w:t>233,334</w:t>
            </w:r>
          </w:p>
        </w:tc>
      </w:tr>
      <w:tr>
        <w:trPr>
          <w:trHeight w:val="203"/>
        </w:trPr>
        <w:tc>
          <w:tcPr>
            <w:tcW w:w="498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Regulatory assets</w:t>
            </w:r>
          </w:p>
        </w:tc>
        <w:tc>
          <w:tcPr>
            <w:tcW w:w="20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286,751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20"/>
                <w:szCs w:val="20"/>
                <w:color w:val="auto"/>
              </w:rPr>
              <w:t>(22,293)</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264,458</w:t>
            </w:r>
          </w:p>
        </w:tc>
      </w:tr>
      <w:tr>
        <w:trPr>
          <w:trHeight w:val="203"/>
        </w:trPr>
        <w:tc>
          <w:tcPr>
            <w:tcW w:w="4980" w:type="dxa"/>
            <w:vAlign w:val="bottom"/>
          </w:tcPr>
          <w:p>
            <w:pPr>
              <w:spacing w:after="0" w:line="203" w:lineRule="exact"/>
              <w:rPr>
                <w:sz w:val="20"/>
                <w:szCs w:val="20"/>
                <w:color w:val="auto"/>
              </w:rPr>
            </w:pPr>
            <w:r>
              <w:rPr>
                <w:rFonts w:ascii="Arial" w:cs="Arial" w:eastAsia="Arial" w:hAnsi="Arial"/>
                <w:sz w:val="20"/>
                <w:szCs w:val="20"/>
                <w:color w:val="auto"/>
              </w:rPr>
              <w:t>Goodwill</w:t>
            </w:r>
          </w:p>
        </w:tc>
        <w:tc>
          <w:tcPr>
            <w:tcW w:w="200" w:type="dxa"/>
            <w:vAlign w:val="bottom"/>
          </w:tcPr>
          <w:p>
            <w:pPr>
              <w:spacing w:after="0"/>
              <w:rPr>
                <w:sz w:val="17"/>
                <w:szCs w:val="17"/>
                <w:color w:val="auto"/>
              </w:rPr>
            </w:pPr>
          </w:p>
        </w:tc>
        <w:tc>
          <w:tcPr>
            <w:tcW w:w="2000" w:type="dxa"/>
            <w:vAlign w:val="bottom"/>
          </w:tcPr>
          <w:p>
            <w:pPr>
              <w:jc w:val="right"/>
              <w:spacing w:after="0" w:line="203" w:lineRule="exact"/>
              <w:rPr>
                <w:sz w:val="20"/>
                <w:szCs w:val="20"/>
                <w:color w:val="auto"/>
              </w:rPr>
            </w:pPr>
            <w:r>
              <w:rPr>
                <w:rFonts w:ascii="Arial" w:cs="Arial" w:eastAsia="Arial" w:hAnsi="Arial"/>
                <w:sz w:val="20"/>
                <w:szCs w:val="20"/>
                <w:color w:val="auto"/>
              </w:rPr>
              <w:t>2,261,047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Arial" w:cs="Arial" w:eastAsia="Arial" w:hAnsi="Arial"/>
                <w:sz w:val="20"/>
                <w:szCs w:val="20"/>
                <w:color w:val="auto"/>
              </w:rPr>
              <w:t>16,400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jc w:val="right"/>
              <w:spacing w:after="0" w:line="203" w:lineRule="exact"/>
              <w:rPr>
                <w:sz w:val="20"/>
                <w:szCs w:val="20"/>
                <w:color w:val="auto"/>
              </w:rPr>
            </w:pPr>
            <w:r>
              <w:rPr>
                <w:rFonts w:ascii="Arial" w:cs="Arial" w:eastAsia="Arial" w:hAnsi="Arial"/>
                <w:sz w:val="20"/>
                <w:szCs w:val="20"/>
                <w:color w:val="auto"/>
              </w:rPr>
              <w:t>2,277,447</w:t>
            </w:r>
          </w:p>
        </w:tc>
      </w:tr>
      <w:tr>
        <w:trPr>
          <w:trHeight w:val="203"/>
        </w:trPr>
        <w:tc>
          <w:tcPr>
            <w:tcW w:w="498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Other long-term assets</w:t>
            </w:r>
          </w:p>
        </w:tc>
        <w:tc>
          <w:tcPr>
            <w:tcW w:w="20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75,071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20"/>
                <w:szCs w:val="20"/>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75,071</w:t>
            </w:r>
          </w:p>
        </w:tc>
      </w:tr>
      <w:tr>
        <w:trPr>
          <w:trHeight w:val="196"/>
        </w:trPr>
        <w:tc>
          <w:tcPr>
            <w:tcW w:w="4980" w:type="dxa"/>
            <w:vAlign w:val="bottom"/>
            <w:tcBorders>
              <w:bottom w:val="single" w:sz="8" w:color="CCEEFF"/>
            </w:tcBorders>
          </w:tcPr>
          <w:p>
            <w:pPr>
              <w:spacing w:after="0" w:line="196" w:lineRule="exact"/>
              <w:rPr>
                <w:sz w:val="20"/>
                <w:szCs w:val="20"/>
                <w:color w:val="auto"/>
              </w:rPr>
            </w:pPr>
            <w:r>
              <w:rPr>
                <w:rFonts w:ascii="Arial" w:cs="Arial" w:eastAsia="Arial" w:hAnsi="Arial"/>
                <w:sz w:val="20"/>
                <w:szCs w:val="20"/>
                <w:color w:val="auto"/>
              </w:rPr>
              <w:t>Total assets acquired</w:t>
            </w:r>
          </w:p>
        </w:tc>
        <w:tc>
          <w:tcPr>
            <w:tcW w:w="200" w:type="dxa"/>
            <w:vAlign w:val="bottom"/>
            <w:tcBorders>
              <w:top w:val="single" w:sz="8" w:color="auto"/>
              <w:bottom w:val="single" w:sz="8" w:color="auto"/>
            </w:tcBorders>
          </w:tcPr>
          <w:p>
            <w:pPr>
              <w:spacing w:after="0"/>
              <w:rPr>
                <w:sz w:val="17"/>
                <w:szCs w:val="17"/>
                <w:color w:val="auto"/>
              </w:rPr>
            </w:pPr>
          </w:p>
        </w:tc>
        <w:tc>
          <w:tcPr>
            <w:tcW w:w="2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5,341,951</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(15,090)</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5,326,861</w:t>
            </w:r>
          </w:p>
        </w:tc>
      </w:tr>
      <w:tr>
        <w:trPr>
          <w:trHeight w:val="196"/>
        </w:trPr>
        <w:tc>
          <w:tcPr>
            <w:tcW w:w="4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r>
      <w:tr>
        <w:trPr>
          <w:trHeight w:val="203"/>
        </w:trPr>
        <w:tc>
          <w:tcPr>
            <w:tcW w:w="4980" w:type="dxa"/>
            <w:vAlign w:val="bottom"/>
          </w:tcPr>
          <w:p>
            <w:pPr>
              <w:spacing w:after="0" w:line="203" w:lineRule="exact"/>
              <w:rPr>
                <w:sz w:val="20"/>
                <w:szCs w:val="20"/>
                <w:color w:val="auto"/>
              </w:rPr>
            </w:pPr>
            <w:r>
              <w:rPr>
                <w:rFonts w:ascii="Arial" w:cs="Arial" w:eastAsia="Arial" w:hAnsi="Arial"/>
                <w:sz w:val="20"/>
                <w:szCs w:val="20"/>
                <w:color w:val="auto"/>
              </w:rPr>
              <w:t>Current portion of long-term debt</w:t>
            </w:r>
          </w:p>
        </w:tc>
        <w:tc>
          <w:tcPr>
            <w:tcW w:w="200" w:type="dxa"/>
            <w:vAlign w:val="bottom"/>
          </w:tcPr>
          <w:p>
            <w:pPr>
              <w:spacing w:after="0"/>
              <w:rPr>
                <w:sz w:val="17"/>
                <w:szCs w:val="17"/>
                <w:color w:val="auto"/>
              </w:rPr>
            </w:pPr>
          </w:p>
        </w:tc>
        <w:tc>
          <w:tcPr>
            <w:tcW w:w="2000" w:type="dxa"/>
            <w:vAlign w:val="bottom"/>
          </w:tcPr>
          <w:p>
            <w:pPr>
              <w:jc w:val="right"/>
              <w:spacing w:after="0" w:line="203" w:lineRule="exact"/>
              <w:rPr>
                <w:sz w:val="20"/>
                <w:szCs w:val="20"/>
                <w:color w:val="auto"/>
              </w:rPr>
            </w:pPr>
            <w:r>
              <w:rPr>
                <w:rFonts w:ascii="Arial" w:cs="Arial" w:eastAsia="Arial" w:hAnsi="Arial"/>
                <w:sz w:val="20"/>
                <w:szCs w:val="20"/>
                <w:color w:val="auto"/>
              </w:rPr>
              <w:t>5,136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jc w:val="right"/>
              <w:ind w:right="160"/>
              <w:spacing w:after="0" w:line="203"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jc w:val="right"/>
              <w:spacing w:after="0" w:line="203" w:lineRule="exact"/>
              <w:rPr>
                <w:sz w:val="20"/>
                <w:szCs w:val="20"/>
                <w:color w:val="auto"/>
              </w:rPr>
            </w:pPr>
            <w:r>
              <w:rPr>
                <w:rFonts w:ascii="Arial" w:cs="Arial" w:eastAsia="Arial" w:hAnsi="Arial"/>
                <w:sz w:val="20"/>
                <w:szCs w:val="20"/>
                <w:color w:val="auto"/>
              </w:rPr>
              <w:t>5,136</w:t>
            </w:r>
          </w:p>
        </w:tc>
      </w:tr>
      <w:tr>
        <w:trPr>
          <w:trHeight w:val="203"/>
        </w:trPr>
        <w:tc>
          <w:tcPr>
            <w:tcW w:w="498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Loans payable</w:t>
            </w:r>
          </w:p>
        </w:tc>
        <w:tc>
          <w:tcPr>
            <w:tcW w:w="20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181,000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20"/>
                <w:szCs w:val="20"/>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181,000</w:t>
            </w:r>
          </w:p>
        </w:tc>
      </w:tr>
      <w:tr>
        <w:trPr>
          <w:trHeight w:val="203"/>
        </w:trPr>
        <w:tc>
          <w:tcPr>
            <w:tcW w:w="4980" w:type="dxa"/>
            <w:vAlign w:val="bottom"/>
          </w:tcPr>
          <w:p>
            <w:pPr>
              <w:spacing w:after="0" w:line="203" w:lineRule="exact"/>
              <w:rPr>
                <w:sz w:val="20"/>
                <w:szCs w:val="20"/>
                <w:color w:val="auto"/>
              </w:rPr>
            </w:pPr>
            <w:r>
              <w:rPr>
                <w:rFonts w:ascii="Arial" w:cs="Arial" w:eastAsia="Arial" w:hAnsi="Arial"/>
                <w:sz w:val="20"/>
                <w:szCs w:val="20"/>
                <w:color w:val="auto"/>
              </w:rPr>
              <w:t>Other current liabilities</w:t>
            </w:r>
          </w:p>
        </w:tc>
        <w:tc>
          <w:tcPr>
            <w:tcW w:w="200" w:type="dxa"/>
            <w:vAlign w:val="bottom"/>
          </w:tcPr>
          <w:p>
            <w:pPr>
              <w:spacing w:after="0"/>
              <w:rPr>
                <w:sz w:val="17"/>
                <w:szCs w:val="17"/>
                <w:color w:val="auto"/>
              </w:rPr>
            </w:pPr>
          </w:p>
        </w:tc>
        <w:tc>
          <w:tcPr>
            <w:tcW w:w="2000" w:type="dxa"/>
            <w:vAlign w:val="bottom"/>
          </w:tcPr>
          <w:p>
            <w:pPr>
              <w:jc w:val="right"/>
              <w:spacing w:after="0" w:line="203" w:lineRule="exact"/>
              <w:rPr>
                <w:sz w:val="20"/>
                <w:szCs w:val="20"/>
                <w:color w:val="auto"/>
              </w:rPr>
            </w:pPr>
            <w:r>
              <w:rPr>
                <w:rFonts w:ascii="Arial" w:cs="Arial" w:eastAsia="Arial" w:hAnsi="Arial"/>
                <w:sz w:val="20"/>
                <w:szCs w:val="20"/>
                <w:color w:val="auto"/>
              </w:rPr>
              <w:t>186,120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jc w:val="right"/>
              <w:ind w:right="160"/>
              <w:spacing w:after="0" w:line="203" w:lineRule="exact"/>
              <w:rPr>
                <w:sz w:val="20"/>
                <w:szCs w:val="20"/>
                <w:color w:val="auto"/>
              </w:rPr>
            </w:pPr>
            <w:r>
              <w:rPr>
                <w:rFonts w:ascii="Arial" w:cs="Arial" w:eastAsia="Arial" w:hAnsi="Arial"/>
                <w:sz w:val="20"/>
                <w:szCs w:val="20"/>
                <w:color w:val="auto"/>
              </w:rPr>
              <w:t>(200)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jc w:val="right"/>
              <w:spacing w:after="0" w:line="203" w:lineRule="exact"/>
              <w:rPr>
                <w:sz w:val="20"/>
                <w:szCs w:val="20"/>
                <w:color w:val="auto"/>
              </w:rPr>
            </w:pPr>
            <w:r>
              <w:rPr>
                <w:rFonts w:ascii="Arial" w:cs="Arial" w:eastAsia="Arial" w:hAnsi="Arial"/>
                <w:sz w:val="20"/>
                <w:szCs w:val="20"/>
                <w:color w:val="auto"/>
              </w:rPr>
              <w:t>185,920</w:t>
            </w:r>
          </w:p>
        </w:tc>
      </w:tr>
      <w:tr>
        <w:trPr>
          <w:trHeight w:val="203"/>
        </w:trPr>
        <w:tc>
          <w:tcPr>
            <w:tcW w:w="498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Long-term debt</w:t>
            </w:r>
          </w:p>
        </w:tc>
        <w:tc>
          <w:tcPr>
            <w:tcW w:w="20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999,460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20"/>
                <w:szCs w:val="20"/>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999,460</w:t>
            </w:r>
          </w:p>
        </w:tc>
      </w:tr>
      <w:tr>
        <w:trPr>
          <w:trHeight w:val="203"/>
        </w:trPr>
        <w:tc>
          <w:tcPr>
            <w:tcW w:w="4980" w:type="dxa"/>
            <w:vAlign w:val="bottom"/>
          </w:tcPr>
          <w:p>
            <w:pPr>
              <w:spacing w:after="0" w:line="203" w:lineRule="exact"/>
              <w:rPr>
                <w:sz w:val="20"/>
                <w:szCs w:val="20"/>
                <w:color w:val="auto"/>
              </w:rPr>
            </w:pPr>
            <w:r>
              <w:rPr>
                <w:rFonts w:ascii="Arial" w:cs="Arial" w:eastAsia="Arial" w:hAnsi="Arial"/>
                <w:sz w:val="20"/>
                <w:szCs w:val="20"/>
                <w:color w:val="auto"/>
              </w:rPr>
              <w:t>Deferred income taxes</w:t>
            </w:r>
          </w:p>
        </w:tc>
        <w:tc>
          <w:tcPr>
            <w:tcW w:w="200" w:type="dxa"/>
            <w:vAlign w:val="bottom"/>
          </w:tcPr>
          <w:p>
            <w:pPr>
              <w:spacing w:after="0"/>
              <w:rPr>
                <w:sz w:val="17"/>
                <w:szCs w:val="17"/>
                <w:color w:val="auto"/>
              </w:rPr>
            </w:pPr>
          </w:p>
        </w:tc>
        <w:tc>
          <w:tcPr>
            <w:tcW w:w="2000" w:type="dxa"/>
            <w:vAlign w:val="bottom"/>
          </w:tcPr>
          <w:p>
            <w:pPr>
              <w:jc w:val="right"/>
              <w:spacing w:after="0" w:line="203" w:lineRule="exact"/>
              <w:rPr>
                <w:sz w:val="20"/>
                <w:szCs w:val="20"/>
                <w:color w:val="auto"/>
              </w:rPr>
            </w:pPr>
            <w:r>
              <w:rPr>
                <w:rFonts w:ascii="Arial" w:cs="Arial" w:eastAsia="Arial" w:hAnsi="Arial"/>
                <w:sz w:val="20"/>
                <w:szCs w:val="20"/>
                <w:color w:val="auto"/>
              </w:rPr>
              <w:t>213,647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jc w:val="right"/>
              <w:ind w:right="160"/>
              <w:spacing w:after="0" w:line="203" w:lineRule="exact"/>
              <w:rPr>
                <w:sz w:val="20"/>
                <w:szCs w:val="20"/>
                <w:color w:val="auto"/>
              </w:rPr>
            </w:pPr>
            <w:r>
              <w:rPr>
                <w:rFonts w:ascii="Arial" w:cs="Arial" w:eastAsia="Arial" w:hAnsi="Arial"/>
                <w:sz w:val="20"/>
                <w:szCs w:val="20"/>
                <w:color w:val="auto"/>
              </w:rPr>
              <w:t>(20,522)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jc w:val="right"/>
              <w:spacing w:after="0" w:line="203" w:lineRule="exact"/>
              <w:rPr>
                <w:sz w:val="20"/>
                <w:szCs w:val="20"/>
                <w:color w:val="auto"/>
              </w:rPr>
            </w:pPr>
            <w:r>
              <w:rPr>
                <w:rFonts w:ascii="Arial" w:cs="Arial" w:eastAsia="Arial" w:hAnsi="Arial"/>
                <w:sz w:val="20"/>
                <w:szCs w:val="20"/>
                <w:color w:val="auto"/>
              </w:rPr>
              <w:t>193,125</w:t>
            </w:r>
          </w:p>
        </w:tc>
      </w:tr>
      <w:tr>
        <w:trPr>
          <w:trHeight w:val="203"/>
        </w:trPr>
        <w:tc>
          <w:tcPr>
            <w:tcW w:w="498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Regulatory liabilities</w:t>
            </w:r>
          </w:p>
        </w:tc>
        <w:tc>
          <w:tcPr>
            <w:tcW w:w="20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123,029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6,389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129,418</w:t>
            </w:r>
          </w:p>
        </w:tc>
      </w:tr>
      <w:tr>
        <w:trPr>
          <w:trHeight w:val="203"/>
        </w:trPr>
        <w:tc>
          <w:tcPr>
            <w:tcW w:w="4980" w:type="dxa"/>
            <w:vAlign w:val="bottom"/>
          </w:tcPr>
          <w:p>
            <w:pPr>
              <w:spacing w:after="0" w:line="203" w:lineRule="exact"/>
              <w:rPr>
                <w:sz w:val="20"/>
                <w:szCs w:val="20"/>
                <w:color w:val="auto"/>
              </w:rPr>
            </w:pPr>
            <w:r>
              <w:rPr>
                <w:rFonts w:ascii="Arial" w:cs="Arial" w:eastAsia="Arial" w:hAnsi="Arial"/>
                <w:sz w:val="20"/>
                <w:szCs w:val="20"/>
                <w:color w:val="auto"/>
              </w:rPr>
              <w:t>Other long-term liabilities</w:t>
            </w:r>
          </w:p>
        </w:tc>
        <w:tc>
          <w:tcPr>
            <w:tcW w:w="200" w:type="dxa"/>
            <w:vAlign w:val="bottom"/>
          </w:tcPr>
          <w:p>
            <w:pPr>
              <w:spacing w:after="0"/>
              <w:rPr>
                <w:sz w:val="17"/>
                <w:szCs w:val="17"/>
                <w:color w:val="auto"/>
              </w:rPr>
            </w:pPr>
          </w:p>
        </w:tc>
        <w:tc>
          <w:tcPr>
            <w:tcW w:w="2000" w:type="dxa"/>
            <w:vAlign w:val="bottom"/>
          </w:tcPr>
          <w:p>
            <w:pPr>
              <w:jc w:val="right"/>
              <w:spacing w:after="0" w:line="203" w:lineRule="exact"/>
              <w:rPr>
                <w:sz w:val="20"/>
                <w:szCs w:val="20"/>
                <w:color w:val="auto"/>
              </w:rPr>
            </w:pPr>
            <w:r>
              <w:rPr>
                <w:rFonts w:ascii="Arial" w:cs="Arial" w:eastAsia="Arial" w:hAnsi="Arial"/>
                <w:sz w:val="20"/>
                <w:szCs w:val="20"/>
                <w:color w:val="auto"/>
              </w:rPr>
              <w:t>168,215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jc w:val="right"/>
              <w:ind w:right="160"/>
              <w:spacing w:after="0" w:line="203" w:lineRule="exact"/>
              <w:rPr>
                <w:sz w:val="20"/>
                <w:szCs w:val="20"/>
                <w:color w:val="auto"/>
              </w:rPr>
            </w:pPr>
            <w:r>
              <w:rPr>
                <w:rFonts w:ascii="Arial" w:cs="Arial" w:eastAsia="Arial" w:hAnsi="Arial"/>
                <w:sz w:val="20"/>
                <w:szCs w:val="20"/>
                <w:color w:val="auto"/>
              </w:rPr>
              <w:t>(757)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jc w:val="right"/>
              <w:spacing w:after="0" w:line="203" w:lineRule="exact"/>
              <w:rPr>
                <w:sz w:val="20"/>
                <w:szCs w:val="20"/>
                <w:color w:val="auto"/>
              </w:rPr>
            </w:pPr>
            <w:r>
              <w:rPr>
                <w:rFonts w:ascii="Arial" w:cs="Arial" w:eastAsia="Arial" w:hAnsi="Arial"/>
                <w:sz w:val="20"/>
                <w:szCs w:val="20"/>
                <w:color w:val="auto"/>
              </w:rPr>
              <w:t>167,458</w:t>
            </w:r>
          </w:p>
        </w:tc>
      </w:tr>
      <w:tr>
        <w:trPr>
          <w:trHeight w:val="196"/>
        </w:trPr>
        <w:tc>
          <w:tcPr>
            <w:tcW w:w="4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rPr>
              <w:t>Total liabilities assumed</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2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1,876,607</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(15,090)</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1,861,517</w:t>
            </w:r>
          </w:p>
        </w:tc>
      </w:tr>
      <w:tr>
        <w:trPr>
          <w:trHeight w:val="196"/>
        </w:trPr>
        <w:tc>
          <w:tcPr>
            <w:tcW w:w="4980" w:type="dxa"/>
            <w:vAlign w:val="bottom"/>
          </w:tcPr>
          <w:p>
            <w:pPr>
              <w:spacing w:after="0" w:line="196" w:lineRule="exact"/>
              <w:rPr>
                <w:sz w:val="20"/>
                <w:szCs w:val="20"/>
                <w:color w:val="auto"/>
              </w:rPr>
            </w:pPr>
            <w:r>
              <w:rPr>
                <w:rFonts w:ascii="Arial" w:cs="Arial" w:eastAsia="Arial" w:hAnsi="Arial"/>
                <w:sz w:val="20"/>
                <w:szCs w:val="20"/>
                <w:color w:val="auto"/>
              </w:rPr>
              <w:t>Net assets acquired</w:t>
            </w:r>
          </w:p>
        </w:tc>
        <w:tc>
          <w:tcPr>
            <w:tcW w:w="200" w:type="dxa"/>
            <w:vAlign w:val="bottom"/>
            <w:tcBorders>
              <w:bottom w:val="single" w:sz="8" w:color="auto"/>
            </w:tcBorders>
          </w:tcPr>
          <w:p>
            <w:pPr>
              <w:jc w:val="right"/>
              <w:ind w:right="1"/>
              <w:spacing w:after="0" w:line="196" w:lineRule="exact"/>
              <w:rPr>
                <w:sz w:val="20"/>
                <w:szCs w:val="20"/>
                <w:color w:val="auto"/>
              </w:rPr>
            </w:pPr>
            <w:r>
              <w:rPr>
                <w:rFonts w:ascii="Arial" w:cs="Arial" w:eastAsia="Arial" w:hAnsi="Arial"/>
                <w:sz w:val="20"/>
                <w:szCs w:val="20"/>
                <w:color w:val="auto"/>
                <w:w w:val="71"/>
              </w:rPr>
              <w:t>$</w:t>
            </w:r>
          </w:p>
        </w:tc>
        <w:tc>
          <w:tcPr>
            <w:tcW w:w="2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3,465,344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1"/>
              <w:spacing w:after="0" w:line="196" w:lineRule="exact"/>
              <w:rPr>
                <w:sz w:val="20"/>
                <w:szCs w:val="20"/>
                <w:color w:val="auto"/>
              </w:rPr>
            </w:pPr>
            <w:r>
              <w:rPr>
                <w:rFonts w:ascii="Arial" w:cs="Arial" w:eastAsia="Arial" w:hAnsi="Arial"/>
                <w:sz w:val="20"/>
                <w:szCs w:val="20"/>
                <w:color w:val="auto"/>
                <w:w w:val="71"/>
              </w:rPr>
              <w:t>$</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3,465,344</w:t>
            </w:r>
          </w:p>
        </w:tc>
      </w:tr>
      <w:tr>
        <w:trPr>
          <w:trHeight w:val="20"/>
        </w:trPr>
        <w:tc>
          <w:tcPr>
            <w:tcW w:w="4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As reported, the Essential Utilities, Inc. 10-K for the period ended December 31, 2020.</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5" w:name="page16"/>
    <w:bookmarkEnd w:id="15"/>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ind w:right="60"/>
        <w:spacing w:after="0" w:line="226" w:lineRule="auto"/>
        <w:rPr>
          <w:sz w:val="20"/>
          <w:szCs w:val="20"/>
          <w:color w:val="auto"/>
        </w:rPr>
      </w:pPr>
      <w:r>
        <w:rPr>
          <w:rFonts w:ascii="Arial" w:cs="Arial" w:eastAsia="Arial" w:hAnsi="Arial"/>
          <w:sz w:val="22"/>
          <w:szCs w:val="22"/>
          <w:color w:val="auto"/>
        </w:rPr>
        <w:t>The Company incurred transaction-related expenses for the Peoples Gas Acquisition, which consisted of costs recorded as operations and maintenance expenses in the first quarter of 2020 of $25,397 primarily representing expenses associated with investment banking fees, including bridge financing, employee related costs, obtaining regulatory approvals, legal expenses, and integration planning. There were no further transaction-related expenses for the Peoples Gas Acquisition after the first quarter of 2020.</w:t>
      </w:r>
    </w:p>
    <w:p>
      <w:pPr>
        <w:spacing w:after="0" w:line="186" w:lineRule="exact"/>
        <w:rPr>
          <w:sz w:val="20"/>
          <w:szCs w:val="20"/>
          <w:color w:val="auto"/>
        </w:rPr>
      </w:pPr>
    </w:p>
    <w:p>
      <w:pPr>
        <w:jc w:val="both"/>
        <w:ind w:right="220"/>
        <w:spacing w:after="0" w:line="282" w:lineRule="auto"/>
        <w:rPr>
          <w:sz w:val="20"/>
          <w:szCs w:val="20"/>
          <w:color w:val="auto"/>
        </w:rPr>
      </w:pPr>
      <w:r>
        <w:rPr>
          <w:rFonts w:ascii="Arial" w:cs="Arial" w:eastAsia="Arial" w:hAnsi="Arial"/>
          <w:sz w:val="19"/>
          <w:szCs w:val="19"/>
          <w:color w:val="auto"/>
        </w:rPr>
        <w:t>The results of Peoples have been included in our consolidated financial statements as of the Closing Date. Peoples contributed revenues of $188,181 and earnings of $31,753 for the period from the Closing Date to June 30, 2020. The following pro forma summary presents consolidated unaudited information as if the Peoples Gas Acquisition had occurred on January 1, 2019:</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00" w:type="dxa"/>
            <w:vAlign w:val="bottom"/>
          </w:tcPr>
          <w:p>
            <w:pPr>
              <w:jc w:val="right"/>
              <w:ind w:right="112"/>
              <w:spacing w:after="0"/>
              <w:rPr>
                <w:sz w:val="20"/>
                <w:szCs w:val="20"/>
                <w:color w:val="auto"/>
              </w:rPr>
            </w:pPr>
            <w:r>
              <w:rPr>
                <w:rFonts w:ascii="Arial" w:cs="Arial" w:eastAsia="Arial" w:hAnsi="Arial"/>
                <w:sz w:val="22"/>
                <w:szCs w:val="22"/>
                <w:color w:val="auto"/>
                <w:w w:val="90"/>
              </w:rPr>
              <w:t>Three Months Ended</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Pr>
          <w:p>
            <w:pPr>
              <w:jc w:val="right"/>
              <w:ind w:right="232"/>
              <w:spacing w:after="0"/>
              <w:rPr>
                <w:sz w:val="20"/>
                <w:szCs w:val="20"/>
                <w:color w:val="auto"/>
              </w:rPr>
            </w:pPr>
            <w:r>
              <w:rPr>
                <w:rFonts w:ascii="Arial" w:cs="Arial" w:eastAsia="Arial" w:hAnsi="Arial"/>
                <w:sz w:val="22"/>
                <w:szCs w:val="22"/>
                <w:color w:val="auto"/>
                <w:w w:val="95"/>
              </w:rPr>
              <w:t>Six Months Ended</w:t>
            </w:r>
          </w:p>
        </w:tc>
      </w:tr>
      <w:tr>
        <w:trPr>
          <w:trHeight w:val="251"/>
        </w:trPr>
        <w:tc>
          <w:tcPr>
            <w:tcW w:w="64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ind w:right="412"/>
              <w:spacing w:after="0" w:line="251" w:lineRule="exact"/>
              <w:rPr>
                <w:sz w:val="20"/>
                <w:szCs w:val="20"/>
                <w:color w:val="auto"/>
              </w:rPr>
            </w:pPr>
            <w:r>
              <w:rPr>
                <w:rFonts w:ascii="Arial" w:cs="Arial" w:eastAsia="Arial" w:hAnsi="Arial"/>
                <w:sz w:val="22"/>
                <w:szCs w:val="22"/>
                <w:color w:val="auto"/>
              </w:rPr>
              <w:t>June 30, 2020</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jc w:val="right"/>
              <w:ind w:right="432"/>
              <w:spacing w:after="0" w:line="251" w:lineRule="exact"/>
              <w:rPr>
                <w:sz w:val="20"/>
                <w:szCs w:val="20"/>
                <w:color w:val="auto"/>
              </w:rPr>
            </w:pPr>
            <w:r>
              <w:rPr>
                <w:rFonts w:ascii="Arial" w:cs="Arial" w:eastAsia="Arial" w:hAnsi="Arial"/>
                <w:sz w:val="22"/>
                <w:szCs w:val="22"/>
                <w:color w:val="auto"/>
              </w:rPr>
              <w:t>June 30, 2020</w:t>
            </w:r>
          </w:p>
        </w:tc>
      </w:tr>
      <w:tr>
        <w:trPr>
          <w:trHeight w:val="223"/>
        </w:trPr>
        <w:tc>
          <w:tcPr>
            <w:tcW w:w="648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Operating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210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384,468</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23"/>
              <w:spacing w:after="0"/>
              <w:rPr>
                <w:sz w:val="20"/>
                <w:szCs w:val="20"/>
                <w:color w:val="auto"/>
              </w:rPr>
            </w:pPr>
            <w:r>
              <w:rPr>
                <w:rFonts w:ascii="Arial" w:cs="Arial" w:eastAsia="Arial" w:hAnsi="Arial"/>
                <w:sz w:val="19"/>
                <w:szCs w:val="19"/>
                <w:color w:val="auto"/>
                <w:w w:val="75"/>
              </w:rPr>
              <w:t>$</w:t>
            </w:r>
          </w:p>
        </w:tc>
        <w:tc>
          <w:tcPr>
            <w:tcW w:w="20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921,121</w:t>
            </w:r>
          </w:p>
        </w:tc>
      </w:tr>
      <w:tr>
        <w:trPr>
          <w:trHeight w:val="274"/>
        </w:trPr>
        <w:tc>
          <w:tcPr>
            <w:tcW w:w="6480" w:type="dxa"/>
            <w:vAlign w:val="bottom"/>
          </w:tcPr>
          <w:p>
            <w:pPr>
              <w:spacing w:after="0"/>
              <w:rPr>
                <w:sz w:val="20"/>
                <w:szCs w:val="20"/>
                <w:color w:val="auto"/>
              </w:rPr>
            </w:pPr>
            <w:r>
              <w:rPr>
                <w:rFonts w:ascii="Arial" w:cs="Arial" w:eastAsia="Arial" w:hAnsi="Arial"/>
                <w:sz w:val="22"/>
                <w:szCs w:val="22"/>
                <w:color w:val="auto"/>
              </w:rPr>
              <w:t>Net income</w:t>
            </w:r>
          </w:p>
        </w:tc>
        <w:tc>
          <w:tcPr>
            <w:tcW w:w="16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Arial" w:cs="Arial" w:eastAsia="Arial" w:hAnsi="Arial"/>
                <w:sz w:val="22"/>
                <w:szCs w:val="22"/>
                <w:color w:val="auto"/>
              </w:rPr>
              <w:t>74,629</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22"/>
                <w:szCs w:val="22"/>
                <w:color w:val="auto"/>
              </w:rPr>
              <w:t>211,921</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19"/>
          <w:szCs w:val="19"/>
          <w:color w:val="auto"/>
        </w:rPr>
        <w:t>The supplemental pro forma information is not necessarily representative of the actual results that may have occurred for the</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period or of the results that may occur in the future. This supplemental pro forma information is based upon the historical</w:t>
      </w:r>
    </w:p>
    <w:p>
      <w:pPr>
        <w:spacing w:after="0" w:line="228" w:lineRule="auto"/>
        <w:rPr>
          <w:sz w:val="20"/>
          <w:szCs w:val="20"/>
          <w:color w:val="auto"/>
        </w:rPr>
      </w:pPr>
      <w:r>
        <w:rPr>
          <w:rFonts w:ascii="Arial" w:cs="Arial" w:eastAsia="Arial" w:hAnsi="Arial"/>
          <w:sz w:val="21"/>
          <w:szCs w:val="21"/>
          <w:color w:val="auto"/>
        </w:rPr>
        <w:t>operating results of Peoples for the period prior to the Closing Date and is adjusted to reflect the effect of non-recurring</w:t>
      </w:r>
    </w:p>
    <w:p>
      <w:pPr>
        <w:spacing w:after="0"/>
        <w:rPr>
          <w:sz w:val="20"/>
          <w:szCs w:val="20"/>
          <w:color w:val="auto"/>
        </w:rPr>
      </w:pPr>
      <w:r>
        <w:rPr>
          <w:rFonts w:ascii="Arial" w:cs="Arial" w:eastAsia="Arial" w:hAnsi="Arial"/>
          <w:sz w:val="19"/>
          <w:szCs w:val="19"/>
          <w:color w:val="auto"/>
        </w:rPr>
        <w:t>acquisition-related costs, incurred in 2020 as if they occurred on January 1, 2019. The adjustments include $20,628 ($25,197</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pre-tax) of expenses incurred in 2020, primarily associated with investment banking fees, obtaining regulatory approvals, legal</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expenses and other direct costs of the Peoples Gas Acquisition, adjustments to reflect net acquisition financing as of January 1,</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2019 of $10,700 ($14,342 pre-tax), the elimination of interest on debt that was not assumed in the acquisition of $2,448 ($3,442</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pre-tax), and the elimination of a management fee charged quarterly to Peoples by its former parent company of $885 ($1,245</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pre-tax).  Associated with the approval of the Peoples Gas Acquisition from the Pennsylvania Public Utility Commission, the</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Company committed to addressing the replacement of gathering pipe over a seven year timeframe for an estimated cost of</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$120,000, which will be recoverable through customer rates. Additionally, the Company has committed to provide $23,004 of</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one-time customer rate credits to its Pennsylvania natural gas utility customers and water and wastewater customers served by</w:t>
      </w:r>
    </w:p>
    <w:p>
      <w:pPr>
        <w:spacing w:after="0"/>
        <w:rPr>
          <w:sz w:val="20"/>
          <w:szCs w:val="20"/>
          <w:color w:val="auto"/>
        </w:rPr>
      </w:pPr>
      <w:r>
        <w:rPr>
          <w:rFonts w:ascii="Arial" w:cs="Arial" w:eastAsia="Arial" w:hAnsi="Arial"/>
          <w:sz w:val="21"/>
          <w:szCs w:val="21"/>
          <w:color w:val="auto"/>
        </w:rPr>
        <w:t>Aqua Pennsylvania, Inc. (“Aqua Pennsylvania”). The Company granted $4,080 of customer rate credits to its water and</w:t>
      </w:r>
    </w:p>
    <w:p>
      <w:pPr>
        <w:spacing w:after="0"/>
        <w:rPr>
          <w:sz w:val="20"/>
          <w:szCs w:val="20"/>
          <w:color w:val="auto"/>
        </w:rPr>
      </w:pPr>
      <w:r>
        <w:rPr>
          <w:rFonts w:ascii="Arial" w:cs="Arial" w:eastAsia="Arial" w:hAnsi="Arial"/>
          <w:sz w:val="19"/>
          <w:szCs w:val="19"/>
          <w:color w:val="auto"/>
        </w:rPr>
        <w:t>wastewater customers during the third quarter of 2020, and $18,924 to its natural gas utility customers in the fourth quarter of</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2020 to satisfy the $23,004 commitment.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Water and Wastewater Utility Acquisitions - Completed</w:t>
      </w:r>
    </w:p>
    <w:p>
      <w:pPr>
        <w:spacing w:after="0" w:line="206" w:lineRule="exact"/>
        <w:rPr>
          <w:sz w:val="20"/>
          <w:szCs w:val="20"/>
          <w:color w:val="auto"/>
        </w:rPr>
      </w:pPr>
    </w:p>
    <w:p>
      <w:pPr>
        <w:ind w:right="360"/>
        <w:spacing w:after="0" w:line="260" w:lineRule="auto"/>
        <w:rPr>
          <w:sz w:val="20"/>
          <w:szCs w:val="20"/>
          <w:color w:val="auto"/>
        </w:rPr>
      </w:pPr>
      <w:r>
        <w:rPr>
          <w:rFonts w:ascii="Arial" w:cs="Arial" w:eastAsia="Arial" w:hAnsi="Arial"/>
          <w:sz w:val="21"/>
          <w:szCs w:val="21"/>
          <w:color w:val="auto"/>
        </w:rPr>
        <w:t>In August 2021, the Company acquired the water utility system assets of The Commons Water Supply, Inc., which serves 992 customers in Harris County, Texas. The total cash purchase price for the utility system was $4,000.</w:t>
      </w:r>
    </w:p>
    <w:p>
      <w:pPr>
        <w:spacing w:after="0" w:line="165" w:lineRule="exact"/>
        <w:rPr>
          <w:sz w:val="20"/>
          <w:szCs w:val="20"/>
          <w:color w:val="auto"/>
        </w:rPr>
      </w:pPr>
    </w:p>
    <w:p>
      <w:pPr>
        <w:ind w:right="260"/>
        <w:spacing w:after="0" w:line="239" w:lineRule="auto"/>
        <w:rPr>
          <w:sz w:val="20"/>
          <w:szCs w:val="20"/>
          <w:color w:val="auto"/>
        </w:rPr>
      </w:pPr>
      <w:r>
        <w:rPr>
          <w:rFonts w:ascii="Arial" w:cs="Arial" w:eastAsia="Arial" w:hAnsi="Arial"/>
          <w:sz w:val="22"/>
          <w:szCs w:val="22"/>
          <w:color w:val="auto"/>
        </w:rPr>
        <w:t>In December 2020, the Company acquired the wastewater utility system assets of New Garden Township, Pennsylvania, which serves 1,965 customers. The total cash purchase price for the utility system was $29,944.</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6" w:name="page17"/>
    <w:bookmarkEnd w:id="16"/>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80" w:right="236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ind w:right="200"/>
        <w:spacing w:after="0" w:line="313" w:lineRule="auto"/>
        <w:rPr>
          <w:sz w:val="20"/>
          <w:szCs w:val="20"/>
          <w:color w:val="auto"/>
        </w:rPr>
      </w:pPr>
      <w:r>
        <w:rPr>
          <w:rFonts w:ascii="Arial" w:cs="Arial" w:eastAsia="Arial" w:hAnsi="Arial"/>
          <w:sz w:val="19"/>
          <w:szCs w:val="19"/>
          <w:color w:val="auto"/>
        </w:rPr>
        <w:t>In October 2020, the Company acquired the water and wastewater utility system of Rockwell Utilities, which serves 514 customers in the Village of Lakemoor in Lake County, Illinois. The total cash purchase price for the utility system was $4,859.</w:t>
      </w:r>
    </w:p>
    <w:p>
      <w:pPr>
        <w:spacing w:after="0" w:line="119" w:lineRule="exact"/>
        <w:rPr>
          <w:sz w:val="20"/>
          <w:szCs w:val="20"/>
          <w:color w:val="auto"/>
        </w:rPr>
      </w:pPr>
    </w:p>
    <w:p>
      <w:pPr>
        <w:ind w:right="40"/>
        <w:spacing w:after="0" w:line="239" w:lineRule="auto"/>
        <w:rPr>
          <w:sz w:val="20"/>
          <w:szCs w:val="20"/>
          <w:color w:val="auto"/>
        </w:rPr>
      </w:pPr>
      <w:r>
        <w:rPr>
          <w:rFonts w:ascii="Arial" w:cs="Arial" w:eastAsia="Arial" w:hAnsi="Arial"/>
          <w:sz w:val="22"/>
          <w:szCs w:val="22"/>
          <w:color w:val="auto"/>
        </w:rPr>
        <w:t>In June 2020, the Company acquired the wastewater utility system assets of East Norriton Township, Pennsylvania, which serves 4,947 customers. The total cash purchase price for the utility system was $21,000.</w:t>
      </w:r>
    </w:p>
    <w:p>
      <w:pPr>
        <w:spacing w:after="0" w:line="185" w:lineRule="exact"/>
        <w:rPr>
          <w:sz w:val="20"/>
          <w:szCs w:val="20"/>
          <w:color w:val="auto"/>
        </w:rPr>
      </w:pPr>
    </w:p>
    <w:p>
      <w:pPr>
        <w:ind w:right="680"/>
        <w:spacing w:after="0" w:line="239" w:lineRule="auto"/>
        <w:rPr>
          <w:sz w:val="20"/>
          <w:szCs w:val="20"/>
          <w:color w:val="auto"/>
        </w:rPr>
      </w:pPr>
      <w:r>
        <w:rPr>
          <w:rFonts w:ascii="Arial" w:cs="Arial" w:eastAsia="Arial" w:hAnsi="Arial"/>
          <w:sz w:val="22"/>
          <w:szCs w:val="22"/>
          <w:color w:val="auto"/>
        </w:rPr>
        <w:t>In January 2020, the Company acquired the water utility system assets of the City of Campbell, Ohio, which serves 3,126 customers. The total cash purchase price for the utility system was $7,472.</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purchase price allocation for these acquisitions consisted primarily of acquired property, plant and equipment.</w:t>
      </w:r>
    </w:p>
    <w:p>
      <w:pPr>
        <w:spacing w:after="0" w:line="206" w:lineRule="exact"/>
        <w:rPr>
          <w:sz w:val="20"/>
          <w:szCs w:val="20"/>
          <w:color w:val="auto"/>
        </w:rPr>
      </w:pPr>
    </w:p>
    <w:p>
      <w:pPr>
        <w:ind w:right="80"/>
        <w:spacing w:after="0" w:line="239" w:lineRule="auto"/>
        <w:rPr>
          <w:sz w:val="20"/>
          <w:szCs w:val="20"/>
          <w:color w:val="auto"/>
        </w:rPr>
      </w:pPr>
      <w:r>
        <w:rPr>
          <w:rFonts w:ascii="Arial" w:cs="Arial" w:eastAsia="Arial" w:hAnsi="Arial"/>
          <w:sz w:val="22"/>
          <w:szCs w:val="22"/>
          <w:color w:val="auto"/>
        </w:rPr>
        <w:t>The pro forma effect of the utility systems acquired is not material either individually or collectively to the Company’s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Water and Wastewater Utility Acquisitions – Pending Completion</w:t>
      </w:r>
    </w:p>
    <w:p>
      <w:pPr>
        <w:spacing w:after="0" w:line="206"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In July 2021, the Company entered into a purchase agreement to acquire the water utility assets of Shenandoah Borough, Pennsylvania which consists of approximately 2,930 customers for $12,000. In April 2021, the Company entered into a purchase agreement to acquire certain water or wastewater utility assets of Oak Brook, Illinois which consists of approximately 2,121 customers for $12,500. In January 2021, the Company entered into purchase agreements to acquire, in separate transactions, the wastewater utility system assets of East Whiteland Township, Pennsylvania and Willistown Township, Pennsylvania which consist of approximately 10,500 customers for $72,400. In December 2020, the Company entered into a purchase agreement to acquire the wastewater utility system assets of the Village of Bourbonnais, Illinois, which consists of approximately 6,500 customers for $32,100. In September 2020, the Company entered into a purchase agreement to acquire the wastewater utility system assets of Lower Makefield Township, Pennsylvania, which consists of approximately 11,000 customers for $53,000.</w:t>
      </w:r>
    </w:p>
    <w:p>
      <w:pPr>
        <w:spacing w:after="0" w:line="173"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The purchase price for these pending acquisitions are subject to certain adjustments at closing, and are subject to regulatory approval, including the final determination of the fair value of the rate base acquired. We plan to finance the purchase price of these acquisitions by utilizing our revolving credit facility until permanent debt and common equity are secured. The closings of our acquisitions of East Whiteland Township and Willistown Township are expected to occur in the second quarter of 2022, closing for the Village of Bourbonnais is expected to occur before the end of 2021, and closing for the wastewater assets of Lower Makefield Township is expected to occur in the first quarter of 2022. Closing for our utility acquisitions are subject to the timing of the regulatory approval process. The closing of our Shenandoah acquisition is expected to occur in the second half of 2022. The closing of our Oak Brook acquisition is expected to occur in the first quarter of 2023.</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 w:right="379" w:bottom="1440" w:gutter="0" w:footer="0" w:header="0"/>
        </w:sectPr>
      </w:pPr>
    </w:p>
    <w:bookmarkStart w:id="17" w:name="page18"/>
    <w:bookmarkEnd w:id="17"/>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80" w:right="236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In September 2019, the Company entered into a purchase agreement to acquire the wastewater utility system assets of the Delaware County Regional Water Quality Control Authority (“DELCORA”), which consists of approximately 16,000 customers, or the equivalent of 198,000 retail customers, in 42 municipalities in Southeast Pennsylvania for $276,500. In May 2020, Delaware County, Pennsylvania filed a lawsuit alleging that DELCORA does not have the legal authority to establish and fund a customer trust with the net proceeds of the transaction. In December 2020, the judge in the Delaware County Court lawsuit issued an order that (1) the County cannot interfere with the purchase agreement between DELCORA and the Company; (2) the County cannot terminate DELCORA prior to the closing of the transaction; and (3) that the establishment of the customer trust was valid. Delaware County appealed this decision to Commonwealth Court of Pennsylvania, where this case is continuing. The administrative law judges in the regulatory approval process recommended that the Company’s application be denied, and subsequently, the Company provided exceptions to the recommended decision. On March 25, 2021, the Pennsylvania Public Utility Commission ruled that the case be remanded back to the Office of Administrative Law Judge and vacated the original administrative law judges’ decision. On April 16, 2021, the administrative law judge issued an order staying the proceeding until the Delaware County Court lawsuit is final and unappealable. The purchase price for this pending acquisition is subject to certain adjustments at closing, and is subject to regulatory approval, including the final determination of the fair value of the rate base acquired. We plan to finance the purchase price of this acquisition by the issuance of common stock and by utilizing our revolving credit facility until permanent debt is secured. Closing of our acquisition of DELCORA is expected to occur in 2022, subject to the timing of the regulatory approval process and DELCORA’s above-referenced litigation with Delaware County.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 w:right="379" w:bottom="1440" w:gutter="0" w:footer="0" w:header="0"/>
        </w:sectPr>
      </w:pPr>
    </w:p>
    <w:bookmarkStart w:id="18" w:name="page19"/>
    <w:bookmarkEnd w:id="18"/>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4 – </w:t>
      </w:r>
      <w:r>
        <w:rPr>
          <w:rFonts w:ascii="Arial" w:cs="Arial" w:eastAsia="Arial" w:hAnsi="Arial"/>
          <w:sz w:val="22"/>
          <w:szCs w:val="22"/>
          <w:b w:val="1"/>
          <w:bCs w:val="1"/>
          <w:i w:val="1"/>
          <w:iCs w:val="1"/>
          <w:color w:val="auto"/>
        </w:rPr>
        <w:t>Goodwill</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changes in the Company’s goodwill, by business segment:</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Regulated</w:t>
            </w:r>
          </w:p>
        </w:tc>
        <w:tc>
          <w:tcPr>
            <w:tcW w:w="100" w:type="dxa"/>
            <w:vAlign w:val="bottom"/>
          </w:tcPr>
          <w:p>
            <w:pPr>
              <w:spacing w:after="0"/>
              <w:rPr>
                <w:sz w:val="17"/>
                <w:szCs w:val="17"/>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color w:val="auto"/>
              </w:rPr>
              <w:t>Regulated Natural</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7"/>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Water</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ind w:left="260"/>
              <w:spacing w:after="0"/>
              <w:rPr>
                <w:sz w:val="20"/>
                <w:szCs w:val="20"/>
                <w:color w:val="auto"/>
              </w:rPr>
            </w:pPr>
            <w:r>
              <w:rPr>
                <w:rFonts w:ascii="Arial" w:cs="Arial" w:eastAsia="Arial" w:hAnsi="Arial"/>
                <w:sz w:val="18"/>
                <w:szCs w:val="18"/>
                <w:color w:val="auto"/>
              </w:rPr>
              <w:t>Gas</w:t>
            </w:r>
          </w:p>
        </w:tc>
        <w:tc>
          <w:tcPr>
            <w:tcW w:w="200" w:type="dxa"/>
            <w:vAlign w:val="bottom"/>
          </w:tcPr>
          <w:p>
            <w:pPr>
              <w:spacing w:after="0"/>
              <w:rPr>
                <w:sz w:val="18"/>
                <w:szCs w:val="18"/>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w w:val="95"/>
              </w:rPr>
              <w:t>Consolidated</w:t>
            </w:r>
          </w:p>
        </w:tc>
      </w:tr>
      <w:tr>
        <w:trPr>
          <w:trHeight w:val="183"/>
        </w:trPr>
        <w:tc>
          <w:tcPr>
            <w:tcW w:w="56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 at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58,659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2,261,047</w:t>
            </w: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4,841</w:t>
            </w: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2,324,547</w:t>
            </w:r>
          </w:p>
        </w:tc>
      </w:tr>
      <w:tr>
        <w:trPr>
          <w:trHeight w:val="189"/>
        </w:trPr>
        <w:tc>
          <w:tcPr>
            <w:tcW w:w="5620" w:type="dxa"/>
            <w:vAlign w:val="bottom"/>
          </w:tcPr>
          <w:p>
            <w:pPr>
              <w:ind w:left="120"/>
              <w:spacing w:after="0" w:line="189" w:lineRule="exact"/>
              <w:rPr>
                <w:sz w:val="20"/>
                <w:szCs w:val="20"/>
                <w:color w:val="auto"/>
              </w:rPr>
            </w:pPr>
            <w:r>
              <w:rPr>
                <w:rFonts w:ascii="Arial" w:cs="Arial" w:eastAsia="Arial" w:hAnsi="Arial"/>
                <w:sz w:val="18"/>
                <w:szCs w:val="18"/>
                <w:color w:val="auto"/>
              </w:rPr>
              <w:t>Goodwill acquired</w:t>
            </w:r>
          </w:p>
        </w:tc>
        <w:tc>
          <w:tcPr>
            <w:tcW w:w="12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56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Measurement period purchase price allocation adjustments</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16,400</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16,400</w:t>
            </w:r>
          </w:p>
        </w:tc>
      </w:tr>
      <w:tr>
        <w:trPr>
          <w:trHeight w:val="189"/>
        </w:trPr>
        <w:tc>
          <w:tcPr>
            <w:tcW w:w="5620" w:type="dxa"/>
            <w:vAlign w:val="bottom"/>
          </w:tcPr>
          <w:p>
            <w:pPr>
              <w:ind w:left="120"/>
              <w:spacing w:after="0" w:line="189" w:lineRule="exact"/>
              <w:rPr>
                <w:sz w:val="20"/>
                <w:szCs w:val="20"/>
                <w:color w:val="auto"/>
              </w:rPr>
            </w:pPr>
            <w:r>
              <w:rPr>
                <w:rFonts w:ascii="Arial" w:cs="Arial" w:eastAsia="Arial" w:hAnsi="Arial"/>
                <w:sz w:val="18"/>
                <w:szCs w:val="18"/>
                <w:color w:val="auto"/>
              </w:rPr>
              <w:t>Reclassification to utility plant acquisition adjustment</w:t>
            </w:r>
          </w:p>
        </w:tc>
        <w:tc>
          <w:tcPr>
            <w:tcW w:w="120" w:type="dxa"/>
            <w:vAlign w:val="bottom"/>
          </w:tcPr>
          <w:p>
            <w:pPr>
              <w:spacing w:after="0"/>
              <w:rPr>
                <w:sz w:val="16"/>
                <w:szCs w:val="16"/>
                <w:color w:val="auto"/>
              </w:rPr>
            </w:pPr>
          </w:p>
        </w:tc>
        <w:tc>
          <w:tcPr>
            <w:tcW w:w="11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(111)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(111)</w:t>
            </w:r>
          </w:p>
        </w:tc>
      </w:tr>
      <w:tr>
        <w:trPr>
          <w:trHeight w:val="183"/>
        </w:trPr>
        <w:tc>
          <w:tcPr>
            <w:tcW w:w="562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 at June 30,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58,548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2,277,447</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4,841</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2,340,836</w:t>
            </w:r>
          </w:p>
        </w:tc>
      </w:tr>
      <w:tr>
        <w:trPr>
          <w:trHeight w:val="20"/>
        </w:trPr>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right="220"/>
        <w:spacing w:after="0" w:line="228" w:lineRule="auto"/>
        <w:rPr>
          <w:sz w:val="20"/>
          <w:szCs w:val="20"/>
          <w:color w:val="auto"/>
        </w:rPr>
      </w:pPr>
      <w:r>
        <w:rPr>
          <w:rFonts w:ascii="Arial" w:cs="Arial" w:eastAsia="Arial" w:hAnsi="Arial"/>
          <w:sz w:val="22"/>
          <w:szCs w:val="22"/>
          <w:color w:val="auto"/>
        </w:rPr>
        <w:t xml:space="preserve">The measurement period purchase price allocation adjustments resulted from the completion of the Peoples Gas Acquisition on March 16, 2020, which resulted in goodwill of $2,277,447 which was subject to adjustment over the one year measurement period that ended on March 15, 2021. Refer to Note 3 – </w:t>
      </w:r>
      <w:r>
        <w:rPr>
          <w:rFonts w:ascii="Arial" w:cs="Arial" w:eastAsia="Arial" w:hAnsi="Arial"/>
          <w:sz w:val="22"/>
          <w:szCs w:val="22"/>
          <w:i w:val="1"/>
          <w:iCs w:val="1"/>
          <w:color w:val="auto"/>
        </w:rPr>
        <w:t>Acquisitions</w:t>
      </w:r>
      <w:r>
        <w:rPr>
          <w:rFonts w:ascii="Arial" w:cs="Arial" w:eastAsia="Arial" w:hAnsi="Arial"/>
          <w:sz w:val="22"/>
          <w:szCs w:val="22"/>
          <w:color w:val="auto"/>
        </w:rPr>
        <w:t xml:space="preserve"> for information about the goodwill attributed to our Regulated Natural Gas segment.</w:t>
      </w:r>
    </w:p>
    <w:p>
      <w:pPr>
        <w:spacing w:after="0" w:line="186" w:lineRule="exact"/>
        <w:rPr>
          <w:sz w:val="20"/>
          <w:szCs w:val="20"/>
          <w:color w:val="auto"/>
        </w:rPr>
      </w:pPr>
    </w:p>
    <w:p>
      <w:pPr>
        <w:ind w:right="380"/>
        <w:spacing w:after="0" w:line="231" w:lineRule="auto"/>
        <w:rPr>
          <w:sz w:val="20"/>
          <w:szCs w:val="20"/>
          <w:color w:val="auto"/>
        </w:rPr>
      </w:pPr>
      <w:r>
        <w:rPr>
          <w:rFonts w:ascii="Arial" w:cs="Arial" w:eastAsia="Arial" w:hAnsi="Arial"/>
          <w:sz w:val="22"/>
          <w:szCs w:val="22"/>
          <w:color w:val="auto"/>
        </w:rPr>
        <w:t>The reclassification of goodwill to utility plant acquisition adjustment results from a mechanism approved by the applicable utility commission. The mechanism provides for the transfer over time, and the recovery through customer rates, of goodwill associated with some acquisitions upon achieving specific objectives.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w:t>
      </w:r>
      <w:r>
        <w:rPr>
          <w:rFonts w:ascii="Arial" w:cs="Arial" w:eastAsia="Arial" w:hAnsi="Arial"/>
          <w:sz w:val="22"/>
          <w:szCs w:val="22"/>
          <w:b w:val="1"/>
          <w:bCs w:val="1"/>
          <w:i w:val="1"/>
          <w:iCs w:val="1"/>
          <w:color w:val="auto"/>
        </w:rPr>
        <w:t>Disposition</w:t>
      </w:r>
    </w:p>
    <w:p>
      <w:pPr>
        <w:spacing w:after="0" w:line="212" w:lineRule="exact"/>
        <w:rPr>
          <w:sz w:val="20"/>
          <w:szCs w:val="20"/>
          <w:color w:val="auto"/>
        </w:rPr>
      </w:pPr>
    </w:p>
    <w:p>
      <w:pPr>
        <w:ind w:right="40"/>
        <w:spacing w:after="0" w:line="267" w:lineRule="auto"/>
        <w:rPr>
          <w:sz w:val="20"/>
          <w:szCs w:val="20"/>
          <w:color w:val="auto"/>
        </w:rPr>
      </w:pPr>
      <w:r>
        <w:rPr>
          <w:rFonts w:ascii="Arial" w:cs="Arial" w:eastAsia="Arial" w:hAnsi="Arial"/>
          <w:sz w:val="19"/>
          <w:szCs w:val="19"/>
          <w:color w:val="auto"/>
        </w:rPr>
        <w:t>In October 2020, the Company sold its investment in a joint venture. Its investment represented its 49% investment in a joint venture that operates a private pipeline system to supply raw water to natural gas well drilling operations in the Marcellus Shale of north central Pennsylvania. This investment was an unconsolidated affiliate and was accounted for under the equity method of accounting within our Aqua Infrastructure subsidiary. In the third quarter of 2020, we recorded a charge of $3,700 for the write-down of the Company’s investment associated with the sale, which was reported in equity loss in joint venture.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9" w:name="page20"/>
    <w:bookmarkEnd w:id="19"/>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6 – </w:t>
      </w:r>
      <w:r>
        <w:rPr>
          <w:rFonts w:ascii="Arial" w:cs="Arial" w:eastAsia="Arial" w:hAnsi="Arial"/>
          <w:sz w:val="22"/>
          <w:szCs w:val="22"/>
          <w:b w:val="1"/>
          <w:bCs w:val="1"/>
          <w:i w:val="1"/>
          <w:iCs w:val="1"/>
          <w:color w:val="auto"/>
        </w:rPr>
        <w:t>Capitalization</w:t>
      </w:r>
    </w:p>
    <w:p>
      <w:pPr>
        <w:spacing w:after="0" w:line="212" w:lineRule="exact"/>
        <w:rPr>
          <w:sz w:val="20"/>
          <w:szCs w:val="20"/>
          <w:color w:val="auto"/>
        </w:rPr>
      </w:pPr>
    </w:p>
    <w:p>
      <w:pPr>
        <w:ind w:right="20"/>
        <w:spacing w:after="0" w:line="228" w:lineRule="auto"/>
        <w:rPr>
          <w:sz w:val="20"/>
          <w:szCs w:val="20"/>
          <w:color w:val="auto"/>
        </w:rPr>
      </w:pPr>
      <w:r>
        <w:rPr>
          <w:rFonts w:ascii="Arial" w:cs="Arial" w:eastAsia="Arial" w:hAnsi="Arial"/>
          <w:sz w:val="22"/>
          <w:szCs w:val="22"/>
          <w:color w:val="auto"/>
        </w:rPr>
        <w:t>In April 2021, the Company filed a universal shelf registration through a filing with the Securities and Exchange Commission (“SEC”) to allow for the potential future offer and sale by the Company, from time to time, in one or more public offerings, of an indeterminate amount of our common stock, preferred stock, debt securities and other securities specified therein at indeterminate prices.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Stockholders’ Equity</w:t>
      </w:r>
    </w:p>
    <w:p>
      <w:pPr>
        <w:spacing w:after="0" w:line="206" w:lineRule="exact"/>
        <w:rPr>
          <w:sz w:val="20"/>
          <w:szCs w:val="20"/>
          <w:color w:val="auto"/>
        </w:rPr>
      </w:pPr>
    </w:p>
    <w:p>
      <w:pPr>
        <w:ind w:right="60"/>
        <w:spacing w:after="0" w:line="258" w:lineRule="auto"/>
        <w:rPr>
          <w:sz w:val="20"/>
          <w:szCs w:val="20"/>
          <w:color w:val="auto"/>
        </w:rPr>
      </w:pPr>
      <w:r>
        <w:rPr>
          <w:rFonts w:ascii="Arial" w:cs="Arial" w:eastAsia="Arial" w:hAnsi="Arial"/>
          <w:sz w:val="19"/>
          <w:szCs w:val="19"/>
          <w:color w:val="auto"/>
        </w:rPr>
        <w:t>In August 2020, the Company entered into a forward equity sale agreement for 6,700,000 shares of common stock with a third party (the “forward purchaser”). In connection with the forward equity sale agreement, the forward purchaser borrowed an equal number of shares of the Company’s common stock from stock lenders and sold the borrowed shares to the public. The Company will not receive any proceeds from the sale of its common stock by the forward purchaser until settlement of the shares underlying the forward equity sale agreement. The actual proceeds to be received by the Company will vary depending upon the settlement date, the number of shares designated for settlement on that settlement date and the method of settlement. The Company intends to use any proceeds received upon settlement of the forward equity sale agreement to fund general corporate purposes, including for water and wastewater utility acquisitions, working capital and capital expenditures. The forward equity sale agreement is accounted for as an equity instrument and was recorded at a fair value of $0 at inception. The fair value will not be adjusted so long as the Company continues to meet the accounting requirements for equity instruments.</w:t>
      </w:r>
    </w:p>
    <w:p>
      <w:pPr>
        <w:spacing w:after="0" w:line="176"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The Company may elect to settle the forward equity sale agreement by means of a physical share settlement, net cash settlement, or net share settlement, on a settlement date or dates, no later than August 10, 2021. As of June 30, 2021, the Company has not settled any portion of the forward equity sale agreement. The Company expects to settle the forward equity sale agreement in full by physical share settlement on August 9, 2021. The forward equity sale agreement provides that the forward price will be computed based upon the initial forward price of $46.00 per share, and is subsequently adjusted for a floating interest rate factor equal to a specified daily rate less a spread and scheduled dividends during the term of the agreement. As of June 30, 2021, the forward price was $44.77 per share. Under limited circumstances or certain unanticipated events, the forward purchaser also has the ability to require the Company to physically settle the forward equity sale agreement in shares prior to the maturity date.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Private Placement</w:t>
      </w:r>
    </w:p>
    <w:p>
      <w:pPr>
        <w:spacing w:after="0" w:line="206" w:lineRule="exact"/>
        <w:rPr>
          <w:sz w:val="20"/>
          <w:szCs w:val="20"/>
          <w:color w:val="auto"/>
        </w:rPr>
      </w:pPr>
    </w:p>
    <w:p>
      <w:pPr>
        <w:ind w:right="180"/>
        <w:spacing w:after="0" w:line="264" w:lineRule="auto"/>
        <w:rPr>
          <w:sz w:val="20"/>
          <w:szCs w:val="20"/>
          <w:color w:val="auto"/>
        </w:rPr>
      </w:pPr>
      <w:r>
        <w:rPr>
          <w:rFonts w:ascii="Arial" w:cs="Arial" w:eastAsia="Arial" w:hAnsi="Arial"/>
          <w:sz w:val="19"/>
          <w:szCs w:val="19"/>
          <w:color w:val="auto"/>
        </w:rPr>
        <w:t>On March 29, 2019, the Company entered into a Stock Purchase Agreement (the “Stock Purchase Agreement”) with Canada Pension Plan Investment Board (the “Investor”), pursuant to which the Company agreed to issue and sell to the Investor in a private placement (the “Private Placement”) 21,661,095 newly issued shares of common stock, par value $0.50 per share (the “Common Stock”). On March 16, 2020, in connection with the closing of the Peoples Gas Acquisition, the Company closed on the Private Placement and received gross proceeds of $749,907, less expenses of $20,606. In June 2021, the Company filed a registration statement on Form S-3 ASR registering the Private Placement shares for resale.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0" w:name="page21"/>
    <w:bookmarkEnd w:id="20"/>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400" w:right="234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ind w:right="160"/>
        <w:spacing w:after="0" w:line="239" w:lineRule="auto"/>
        <w:rPr>
          <w:sz w:val="20"/>
          <w:szCs w:val="20"/>
          <w:color w:val="auto"/>
        </w:rPr>
      </w:pPr>
      <w:r>
        <w:rPr>
          <w:rFonts w:ascii="Arial" w:cs="Arial" w:eastAsia="Arial" w:hAnsi="Arial"/>
          <w:sz w:val="21"/>
          <w:szCs w:val="21"/>
          <w:color w:val="auto"/>
        </w:rPr>
        <w:t>The shares issued and sold to the Investor pursuant to the Private Placement were to be priced at the lower of (1) $34.62, which represents a 4.5% discount to the trailing 20 consecutive trading day volume weighted average price of the Common Stock ending on, and including, March 28, 2019, and (2) the volume weighted average price per share in the Company’s subsequent public offering of Common Stock to fund a portion of the Peoples Gas Acquisition.</w:t>
      </w:r>
    </w:p>
    <w:p>
      <w:pPr>
        <w:spacing w:after="0" w:line="186" w:lineRule="exact"/>
        <w:rPr>
          <w:sz w:val="20"/>
          <w:szCs w:val="20"/>
          <w:color w:val="auto"/>
        </w:rPr>
      </w:pPr>
    </w:p>
    <w:p>
      <w:pPr>
        <w:spacing w:after="0" w:line="228" w:lineRule="auto"/>
        <w:rPr>
          <w:sz w:val="20"/>
          <w:szCs w:val="20"/>
          <w:color w:val="auto"/>
        </w:rPr>
      </w:pPr>
      <w:r>
        <w:rPr>
          <w:rFonts w:ascii="Arial" w:cs="Arial" w:eastAsia="Arial" w:hAnsi="Arial"/>
          <w:sz w:val="22"/>
          <w:szCs w:val="22"/>
          <w:color w:val="auto"/>
        </w:rPr>
        <w:t>The Stock Purchase Agreement contains customary representations, warranties and covenants of the Company and the Investor, and the parties have agreed to indemnify each other for losses related to breaches of their respective representations and warranties. At the closing of the Private Placement, the Company reimbursed the Investor for reasonable out-of-pocket diligence expenses of $4,000.</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Tangible Equity Unit Issuances</w:t>
      </w:r>
    </w:p>
    <w:p>
      <w:pPr>
        <w:spacing w:after="0" w:line="206" w:lineRule="exact"/>
        <w:rPr>
          <w:sz w:val="20"/>
          <w:szCs w:val="20"/>
          <w:color w:val="auto"/>
        </w:rPr>
      </w:pPr>
    </w:p>
    <w:p>
      <w:pPr>
        <w:ind w:right="420"/>
        <w:spacing w:after="0" w:line="313" w:lineRule="auto"/>
        <w:rPr>
          <w:sz w:val="20"/>
          <w:szCs w:val="20"/>
          <w:color w:val="auto"/>
        </w:rPr>
      </w:pPr>
      <w:r>
        <w:rPr>
          <w:rFonts w:ascii="Arial" w:cs="Arial" w:eastAsia="Arial" w:hAnsi="Arial"/>
          <w:sz w:val="19"/>
          <w:szCs w:val="19"/>
          <w:color w:val="auto"/>
        </w:rPr>
        <w:t>On April 23, 2019, the Company issued $690,000, less expenses of $16,358, of its tangible equity units (the “Units”), with a stated amount of $50 per unit. This issuance was part of the permanent financing to close the Peoples Gas Acquisition.</w:t>
      </w:r>
    </w:p>
    <w:p>
      <w:pPr>
        <w:spacing w:after="0" w:line="119"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Each Unit consists of a prepaid stock purchase contract and an amortizing note due April 30, 2022, each issued by the Company. Unless earlier settled or redeemed, each stock purchase contract will automatically settle on April 30, 2022 (subject to postponement in limited circumstances) for between 1.1790 and 1.4442 shares of the Company’s common stock, subject to adjustment, based upon the applicable market value of the common stock, as described in the final prospectus supplement relating to the Units. There were no stock purchase contracts early settled by the holders of the contracts during the six months ended June 30, 2021. As of June 30, 2021, 6,088,862 stock purchase contracts have been early settled by the holders of the contracts, resulting in the issuance of 7,182,255 shares of the Company’s common stock. The balance of stock purchase contracts is 7,711,138. The amortizing notes have an initial principal amount of $8.62909, or $119,081 in aggregate, and bear interest at a rate of 3.00% per year, and pay equal quarterly cash installments of $0.75000 per amortizing note (except for the July 30, 2019 installment payment, which was $0.80833 per amortizing note), that will constitute a payment of interest and a partial repayment of principal, and which cash payment in the aggregate will be equivalent to 6.00% per year with respect to each $50 stated amount of the Units. The amortizing notes represent unsecured senior obligations of the Company.</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 w:right="399" w:bottom="1440" w:gutter="0" w:footer="0" w:header="0"/>
        </w:sectPr>
      </w:pPr>
    </w:p>
    <w:bookmarkStart w:id="21" w:name="page22"/>
    <w:bookmarkEnd w:id="21"/>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Long-term Debt and Loans Payable</w:t>
      </w:r>
    </w:p>
    <w:p>
      <w:pPr>
        <w:spacing w:after="0" w:line="206" w:lineRule="exact"/>
        <w:rPr>
          <w:sz w:val="20"/>
          <w:szCs w:val="20"/>
          <w:color w:val="auto"/>
        </w:rPr>
      </w:pPr>
    </w:p>
    <w:p>
      <w:pPr>
        <w:ind w:right="200"/>
        <w:spacing w:after="0" w:line="223" w:lineRule="auto"/>
        <w:rPr>
          <w:sz w:val="20"/>
          <w:szCs w:val="20"/>
          <w:color w:val="auto"/>
        </w:rPr>
      </w:pPr>
      <w:r>
        <w:rPr>
          <w:rFonts w:ascii="Arial" w:cs="Arial" w:eastAsia="Arial" w:hAnsi="Arial"/>
          <w:sz w:val="22"/>
          <w:szCs w:val="22"/>
          <w:color w:val="auto"/>
        </w:rPr>
        <w:t>On April 15, 2021, the Company’s operating subsidiary, Aqua Ohio, Inc., issued $100,000 of first mortgage bonds, of which $50,000 is due in 2031 and $50,000 is due in 2051, with interest rates of 2.37% and 3.35%, respectively. The proceeds from these bonds were used for general corporate purposes and to repay existing indebtedness. Further, on April 19, 2021, the Company issued $400,000 of long-term debt, less expenses of $4,010, which is due in 2031 with an interest rate of 2.40%. The Company used the proceeds from this issuance to repay $50,000 of borrowings under the Aqua Pennsylvania revolving credit facility, and the balance was used to repay in full the borrowings under its existing five year unsecured revolving credit agreement.</w:t>
      </w:r>
    </w:p>
    <w:p>
      <w:pPr>
        <w:spacing w:after="0" w:line="191" w:lineRule="exact"/>
        <w:rPr>
          <w:sz w:val="20"/>
          <w:szCs w:val="20"/>
          <w:color w:val="auto"/>
        </w:rPr>
      </w:pPr>
    </w:p>
    <w:p>
      <w:pPr>
        <w:spacing w:after="0" w:line="239" w:lineRule="auto"/>
        <w:rPr>
          <w:sz w:val="20"/>
          <w:szCs w:val="20"/>
          <w:color w:val="auto"/>
        </w:rPr>
      </w:pPr>
      <w:r>
        <w:rPr>
          <w:rFonts w:ascii="Arial" w:cs="Arial" w:eastAsia="Arial" w:hAnsi="Arial"/>
          <w:sz w:val="21"/>
          <w:szCs w:val="21"/>
          <w:color w:val="auto"/>
        </w:rPr>
        <w:t>The Company completed the Peoples Gas Acquisition on March 16, 2020, which resulted in the assumption of $1,101,091 of indebtedness, which includes $920,091 of senior notes and $181,000 of short-term debt. The senior notes have maturities ranging from 2020 to 2032 and interest rates that range from 2.90% to 6.42%. The short-term debt assumed at closing was repaid with the proceeds from the Company’s subsequent April 2020 long-term debt issuance.</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2" w:name="page23"/>
    <w:bookmarkEnd w:id="22"/>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60" w:right="238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7 – </w:t>
      </w:r>
      <w:r>
        <w:rPr>
          <w:rFonts w:ascii="Arial" w:cs="Arial" w:eastAsia="Arial" w:hAnsi="Arial"/>
          <w:sz w:val="22"/>
          <w:szCs w:val="22"/>
          <w:b w:val="1"/>
          <w:bCs w:val="1"/>
          <w:i w:val="1"/>
          <w:iCs w:val="1"/>
          <w:color w:val="auto"/>
        </w:rPr>
        <w:t>Financial Instruments</w:t>
      </w:r>
    </w:p>
    <w:p>
      <w:pPr>
        <w:spacing w:after="0" w:line="212" w:lineRule="exact"/>
        <w:rPr>
          <w:sz w:val="20"/>
          <w:szCs w:val="20"/>
          <w:color w:val="auto"/>
        </w:rPr>
      </w:pPr>
    </w:p>
    <w:p>
      <w:pPr>
        <w:spacing w:after="0" w:line="237" w:lineRule="auto"/>
        <w:rPr>
          <w:sz w:val="20"/>
          <w:szCs w:val="20"/>
          <w:color w:val="auto"/>
        </w:rPr>
      </w:pPr>
      <w:r>
        <w:rPr>
          <w:rFonts w:ascii="Arial" w:cs="Arial" w:eastAsia="Arial" w:hAnsi="Arial"/>
          <w:sz w:val="21"/>
          <w:szCs w:val="21"/>
          <w:color w:val="auto"/>
        </w:rPr>
        <w:t>The Company follows the FASB’s accounting guidance for fair value measurements and disclosures, which defines fair value and establishes a framework for using fair value to measure assets and liabilities. That framework provides a fair value hierarchy that prioritizes the inputs to valuation techniques used to measure fair value. The hierarchy gives highest priority to unadjusted quoted prices in active markets for identical assets or liabilities (Level 1 measurements) and the lowest priority to unobservable inputs (Level 3 measurements). The three levels of the fair value hierarchy are as follows:</w:t>
      </w:r>
    </w:p>
    <w:p>
      <w:pPr>
        <w:spacing w:after="0" w:line="185" w:lineRule="exact"/>
        <w:rPr>
          <w:sz w:val="20"/>
          <w:szCs w:val="20"/>
          <w:color w:val="auto"/>
        </w:rPr>
      </w:pPr>
    </w:p>
    <w:p>
      <w:pPr>
        <w:ind w:left="640" w:right="2620" w:hanging="632"/>
        <w:spacing w:after="0" w:line="239" w:lineRule="auto"/>
        <w:tabs>
          <w:tab w:leader="none" w:pos="640" w:val="left"/>
        </w:tabs>
        <w:numPr>
          <w:ilvl w:val="0"/>
          <w:numId w:val="3"/>
        </w:numPr>
        <w:rPr>
          <w:rFonts w:ascii="Arial" w:cs="Arial" w:eastAsia="Arial" w:hAnsi="Arial"/>
          <w:sz w:val="22"/>
          <w:szCs w:val="22"/>
          <w:color w:val="auto"/>
        </w:rPr>
      </w:pPr>
      <w:r>
        <w:rPr>
          <w:rFonts w:ascii="Arial" w:cs="Arial" w:eastAsia="Arial" w:hAnsi="Arial"/>
          <w:sz w:val="22"/>
          <w:szCs w:val="22"/>
          <w:color w:val="auto"/>
        </w:rPr>
        <w:t>Level 1: unadjusted quoted prices in active markets for identical assets or liabilities that the Company has the ability to access;</w:t>
      </w:r>
    </w:p>
    <w:p>
      <w:pPr>
        <w:spacing w:after="0" w:line="184" w:lineRule="exact"/>
        <w:rPr>
          <w:rFonts w:ascii="Arial" w:cs="Arial" w:eastAsia="Arial" w:hAnsi="Arial"/>
          <w:sz w:val="22"/>
          <w:szCs w:val="22"/>
          <w:color w:val="auto"/>
        </w:rPr>
      </w:pPr>
    </w:p>
    <w:p>
      <w:pPr>
        <w:ind w:left="640" w:right="2120" w:hanging="632"/>
        <w:spacing w:after="0" w:line="226" w:lineRule="auto"/>
        <w:tabs>
          <w:tab w:leader="none" w:pos="640" w:val="left"/>
        </w:tabs>
        <w:numPr>
          <w:ilvl w:val="0"/>
          <w:numId w:val="3"/>
        </w:numPr>
        <w:rPr>
          <w:rFonts w:ascii="Arial" w:cs="Arial" w:eastAsia="Arial" w:hAnsi="Arial"/>
          <w:sz w:val="22"/>
          <w:szCs w:val="22"/>
          <w:color w:val="auto"/>
        </w:rPr>
      </w:pPr>
      <w:r>
        <w:rPr>
          <w:rFonts w:ascii="Arial" w:cs="Arial" w:eastAsia="Arial" w:hAnsi="Arial"/>
          <w:sz w:val="22"/>
          <w:szCs w:val="22"/>
          <w:color w:val="auto"/>
        </w:rPr>
        <w:t>Level 2: inputs other than Level 1 that are observable, either directly or indirectly, such as quoted market prices in active markets for similar assets or liabilities, quoted prices for identical or similar assets or liabilities in non-active markets, or other inputs that are observable or can be corroborated by observable market data for substantially the full term of the assets or liabilities; or</w:t>
      </w:r>
    </w:p>
    <w:p>
      <w:pPr>
        <w:spacing w:after="0" w:line="185" w:lineRule="exact"/>
        <w:rPr>
          <w:rFonts w:ascii="Arial" w:cs="Arial" w:eastAsia="Arial" w:hAnsi="Arial"/>
          <w:sz w:val="22"/>
          <w:szCs w:val="22"/>
          <w:color w:val="auto"/>
        </w:rPr>
      </w:pPr>
    </w:p>
    <w:p>
      <w:pPr>
        <w:ind w:left="640" w:hanging="632"/>
        <w:spacing w:after="0"/>
        <w:tabs>
          <w:tab w:leader="none" w:pos="640" w:val="left"/>
        </w:tabs>
        <w:numPr>
          <w:ilvl w:val="0"/>
          <w:numId w:val="3"/>
        </w:numPr>
        <w:rPr>
          <w:rFonts w:ascii="Arial" w:cs="Arial" w:eastAsia="Arial" w:hAnsi="Arial"/>
          <w:sz w:val="22"/>
          <w:szCs w:val="22"/>
          <w:color w:val="auto"/>
        </w:rPr>
      </w:pPr>
      <w:r>
        <w:rPr>
          <w:rFonts w:ascii="Arial" w:cs="Arial" w:eastAsia="Arial" w:hAnsi="Arial"/>
          <w:sz w:val="22"/>
          <w:szCs w:val="22"/>
          <w:color w:val="auto"/>
        </w:rPr>
        <w:t>Level 3: inputs that are unobservable and significant to the fair value measurement.</w:t>
      </w:r>
    </w:p>
    <w:p>
      <w:pPr>
        <w:spacing w:after="0" w:line="206"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There have been no changes in the valuation techniques used to measure fair value, or asset or liability transfers between the levels of the fair value hierarchy for the quarter ended June 30, 2021.</w:t>
      </w:r>
    </w:p>
    <w:p>
      <w:pPr>
        <w:spacing w:after="0" w:line="157" w:lineRule="exact"/>
        <w:rPr>
          <w:sz w:val="20"/>
          <w:szCs w:val="20"/>
          <w:color w:val="auto"/>
        </w:rPr>
      </w:pPr>
    </w:p>
    <w:p>
      <w:pPr>
        <w:ind w:right="540"/>
        <w:spacing w:after="0" w:line="231" w:lineRule="auto"/>
        <w:rPr>
          <w:sz w:val="20"/>
          <w:szCs w:val="20"/>
          <w:color w:val="auto"/>
        </w:rPr>
      </w:pPr>
      <w:r>
        <w:rPr>
          <w:rFonts w:ascii="Arial" w:cs="Arial" w:eastAsia="Arial" w:hAnsi="Arial"/>
          <w:sz w:val="22"/>
          <w:szCs w:val="22"/>
          <w:color w:val="auto"/>
        </w:rPr>
        <w:t>Financial instruments are recorded at carrying value in the financial statements and approximate fair value as of the dates presented. The fair value of these instruments is disclosed below in accordance with current accounting guidance related to financial instruments.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The fair value of loans payable is determined based on its carrying amount and utilizing Level 1 methods and assumptions. As of June 30, 2021 and December 31, 2020, the carrying amount of the Company’s loans payable was $71,849 and $78,198, respectively, which equates to their estimated fair value. The fair value of cash and cash equivalents, is determined based on Level 1 methods and assumptions. As of June 30, 2021 and December 31, 2020, the carrying amounts of the Company's cash and cash equivalents was $8,404 and $4,827, respectively, which equates to their fair value. The Company’s assets underlying the deferred compensation and non-qualified pension plans are determined by the fair value of mutual funds, which are based on quoted market prices from active markets utilizing Level 1 methods and assumptions. As of June 30, 2021 and December 31, 2020, the carrying amount of these securities was $27,975 and $25,780, respectively, which equates to their fair value, and is reported in the consolidated balance sheet in deferred charges and other assets.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 w:right="359" w:bottom="1440" w:gutter="0" w:footer="0" w:header="0"/>
        </w:sectPr>
      </w:pPr>
    </w:p>
    <w:bookmarkStart w:id="23" w:name="page24"/>
    <w:bookmarkEnd w:id="23"/>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Unrealized gain and losses on equity securities held in conjunction with our non-qualified pension plan is as follows: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40" w:type="dxa"/>
            <w:vAlign w:val="bottom"/>
          </w:tcPr>
          <w:p>
            <w:pPr>
              <w:spacing w:after="0"/>
              <w:rPr>
                <w:sz w:val="17"/>
                <w:szCs w:val="17"/>
                <w:color w:val="auto"/>
              </w:rPr>
            </w:pPr>
          </w:p>
        </w:tc>
        <w:tc>
          <w:tcPr>
            <w:tcW w:w="1980" w:type="dxa"/>
            <w:vAlign w:val="bottom"/>
            <w:gridSpan w:val="4"/>
          </w:tcPr>
          <w:p>
            <w:pPr>
              <w:jc w:val="right"/>
              <w:ind w:right="3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4"/>
          </w:tcPr>
          <w:p>
            <w:pPr>
              <w:ind w:left="10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17"/>
        </w:trPr>
        <w:tc>
          <w:tcPr>
            <w:tcW w:w="69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color w:val="auto"/>
                <w:w w:val="89"/>
              </w:rPr>
              <w:t>June 30,</w:t>
            </w:r>
          </w:p>
        </w:tc>
        <w:tc>
          <w:tcPr>
            <w:tcW w:w="2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color w:val="auto"/>
                <w:w w:val="89"/>
              </w:rPr>
              <w:t>June 30,</w:t>
            </w: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9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2021</w:t>
            </w:r>
          </w:p>
        </w:tc>
        <w:tc>
          <w:tcPr>
            <w:tcW w:w="36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100"/>
              <w:spacing w:after="0" w:line="182" w:lineRule="exact"/>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94"/>
              </w:rPr>
              <w:t>2020</w:t>
            </w:r>
          </w:p>
        </w:tc>
        <w:tc>
          <w:tcPr>
            <w:tcW w:w="0" w:type="dxa"/>
            <w:vAlign w:val="bottom"/>
          </w:tcPr>
          <w:p>
            <w:pPr>
              <w:spacing w:after="0"/>
              <w:rPr>
                <w:sz w:val="1"/>
                <w:szCs w:val="1"/>
                <w:color w:val="auto"/>
              </w:rPr>
            </w:pPr>
          </w:p>
        </w:tc>
      </w:tr>
      <w:tr>
        <w:trPr>
          <w:trHeight w:val="183"/>
        </w:trPr>
        <w:tc>
          <w:tcPr>
            <w:tcW w:w="69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gain (loss) recognized during the period on equity securities</w:t>
            </w:r>
          </w:p>
        </w:tc>
        <w:tc>
          <w:tcPr>
            <w:tcW w:w="760" w:type="dxa"/>
            <w:vAlign w:val="bottom"/>
            <w:shd w:val="clear" w:color="auto" w:fill="CCEEFF"/>
          </w:tcPr>
          <w:p>
            <w:pPr>
              <w:jc w:val="right"/>
              <w:ind w:right="570"/>
              <w:spacing w:after="0" w:line="182"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86"/>
              </w:rPr>
              <w:t>251</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70"/>
              <w:spacing w:after="0" w:line="182" w:lineRule="exact"/>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90"/>
              </w:rPr>
              <w:t>(7)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460"/>
              <w:spacing w:after="0" w:line="182" w:lineRule="exact"/>
              <w:rPr>
                <w:sz w:val="20"/>
                <w:szCs w:val="20"/>
                <w:color w:val="auto"/>
              </w:rPr>
            </w:pPr>
            <w:r>
              <w:rPr>
                <w:rFonts w:ascii="Arial" w:cs="Arial" w:eastAsia="Arial" w:hAnsi="Arial"/>
                <w:sz w:val="18"/>
                <w:szCs w:val="18"/>
                <w:color w:val="auto"/>
                <w:w w:val="79"/>
              </w:rPr>
              <w:t>499</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89"/>
        </w:trPr>
        <w:tc>
          <w:tcPr>
            <w:tcW w:w="694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w w:val="94"/>
              </w:rPr>
              <w:t>Less: net gain / loss recognized during the period on equity securities sold during the period</w:t>
            </w:r>
          </w:p>
        </w:tc>
        <w:tc>
          <w:tcPr>
            <w:tcW w:w="7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1"/>
        </w:trPr>
        <w:tc>
          <w:tcPr>
            <w:tcW w:w="6940" w:type="dxa"/>
            <w:vAlign w:val="bottom"/>
            <w:shd w:val="clear" w:color="auto" w:fill="CCEEFF"/>
          </w:tcPr>
          <w:p>
            <w:pPr>
              <w:spacing w:after="0" w:line="142" w:lineRule="exact"/>
              <w:rPr>
                <w:sz w:val="20"/>
                <w:szCs w:val="20"/>
                <w:color w:val="auto"/>
              </w:rPr>
            </w:pPr>
            <w:r>
              <w:rPr>
                <w:rFonts w:ascii="Arial" w:cs="Arial" w:eastAsia="Arial" w:hAnsi="Arial"/>
                <w:sz w:val="16"/>
                <w:szCs w:val="16"/>
                <w:color w:val="auto"/>
              </w:rPr>
              <w:t>Unrealized gain (loss) recognized during the reporting period on equity securities still held at</w:t>
            </w:r>
          </w:p>
        </w:tc>
        <w:tc>
          <w:tcPr>
            <w:tcW w:w="760" w:type="dxa"/>
            <w:vAlign w:val="bottom"/>
            <w:vMerge w:val="restart"/>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6"/>
              </w:rPr>
              <w:t>251</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90"/>
              </w:rPr>
              <w:t>(7)</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the reporting date</w:t>
            </w:r>
          </w:p>
        </w:tc>
        <w:tc>
          <w:tcPr>
            <w:tcW w:w="76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80"/>
        <w:spacing w:after="0" w:line="239" w:lineRule="auto"/>
        <w:rPr>
          <w:sz w:val="20"/>
          <w:szCs w:val="20"/>
          <w:color w:val="auto"/>
        </w:rPr>
      </w:pPr>
      <w:r>
        <w:rPr>
          <w:rFonts w:ascii="Arial" w:cs="Arial" w:eastAsia="Arial" w:hAnsi="Arial"/>
          <w:sz w:val="22"/>
          <w:szCs w:val="22"/>
          <w:color w:val="auto"/>
        </w:rPr>
        <w:t>The net gain (loss) recognized on equity securities is presented on the consolidated statements of operations and comprehensive income on the line item “Other.”</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carrying amounts and estimated fair values of the Company’s long-term debt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80" w:type="dxa"/>
            <w:vAlign w:val="bottom"/>
          </w:tcPr>
          <w:p>
            <w:pPr>
              <w:spacing w:after="0"/>
              <w:rPr>
                <w:sz w:val="21"/>
                <w:szCs w:val="21"/>
                <w:color w:val="auto"/>
              </w:rPr>
            </w:pPr>
          </w:p>
        </w:tc>
        <w:tc>
          <w:tcPr>
            <w:tcW w:w="2020" w:type="dxa"/>
            <w:vAlign w:val="bottom"/>
          </w:tcPr>
          <w:p>
            <w:pPr>
              <w:jc w:val="center"/>
              <w:ind w:left="952"/>
              <w:spacing w:after="0"/>
              <w:rPr>
                <w:sz w:val="20"/>
                <w:szCs w:val="20"/>
                <w:color w:val="auto"/>
              </w:rPr>
            </w:pPr>
            <w:r>
              <w:rPr>
                <w:rFonts w:ascii="Arial" w:cs="Arial" w:eastAsia="Arial" w:hAnsi="Arial"/>
                <w:sz w:val="22"/>
                <w:szCs w:val="22"/>
                <w:color w:val="auto"/>
                <w:w w:val="85"/>
              </w:rPr>
              <w:t>June 30,</w:t>
            </w: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500" w:type="dxa"/>
            <w:vAlign w:val="bottom"/>
          </w:tcPr>
          <w:p>
            <w:pPr>
              <w:jc w:val="right"/>
              <w:ind w:right="792"/>
              <w:spacing w:after="0"/>
              <w:rPr>
                <w:sz w:val="20"/>
                <w:szCs w:val="20"/>
                <w:color w:val="auto"/>
              </w:rPr>
            </w:pPr>
            <w:r>
              <w:rPr>
                <w:rFonts w:ascii="Arial" w:cs="Arial" w:eastAsia="Arial" w:hAnsi="Arial"/>
                <w:sz w:val="22"/>
                <w:szCs w:val="22"/>
                <w:color w:val="auto"/>
              </w:rPr>
              <w:t>December 31,</w:t>
            </w:r>
          </w:p>
        </w:tc>
      </w:tr>
      <w:tr>
        <w:trPr>
          <w:trHeight w:val="251"/>
        </w:trPr>
        <w:tc>
          <w:tcPr>
            <w:tcW w:w="4780" w:type="dxa"/>
            <w:vAlign w:val="bottom"/>
            <w:tcBorders>
              <w:bottom w:val="single" w:sz="8" w:color="CCEEFF"/>
            </w:tcBorders>
          </w:tcPr>
          <w:p>
            <w:pPr>
              <w:spacing w:after="0"/>
              <w:rPr>
                <w:sz w:val="21"/>
                <w:szCs w:val="21"/>
                <w:color w:val="auto"/>
              </w:rPr>
            </w:pPr>
          </w:p>
        </w:tc>
        <w:tc>
          <w:tcPr>
            <w:tcW w:w="2020" w:type="dxa"/>
            <w:vAlign w:val="bottom"/>
            <w:tcBorders>
              <w:bottom w:val="single" w:sz="8" w:color="auto"/>
            </w:tcBorders>
          </w:tcPr>
          <w:p>
            <w:pPr>
              <w:jc w:val="right"/>
              <w:ind w:right="172"/>
              <w:spacing w:after="0" w:line="251" w:lineRule="exact"/>
              <w:rPr>
                <w:sz w:val="20"/>
                <w:szCs w:val="20"/>
                <w:color w:val="auto"/>
              </w:rPr>
            </w:pPr>
            <w:r>
              <w:rPr>
                <w:rFonts w:ascii="Arial" w:cs="Arial" w:eastAsia="Arial" w:hAnsi="Arial"/>
                <w:sz w:val="22"/>
                <w:szCs w:val="22"/>
                <w:color w:val="auto"/>
              </w:rPr>
              <w:t>2021</w:t>
            </w:r>
          </w:p>
        </w:tc>
        <w:tc>
          <w:tcPr>
            <w:tcW w:w="1040" w:type="dxa"/>
            <w:vAlign w:val="bottom"/>
            <w:tcBorders>
              <w:bottom w:val="single" w:sz="8" w:color="auto"/>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jc w:val="right"/>
              <w:ind w:right="1172"/>
              <w:spacing w:after="0" w:line="251" w:lineRule="exact"/>
              <w:rPr>
                <w:sz w:val="20"/>
                <w:szCs w:val="20"/>
                <w:color w:val="auto"/>
              </w:rPr>
            </w:pPr>
            <w:r>
              <w:rPr>
                <w:rFonts w:ascii="Arial" w:cs="Arial" w:eastAsia="Arial" w:hAnsi="Arial"/>
                <w:sz w:val="22"/>
                <w:szCs w:val="22"/>
                <w:color w:val="auto"/>
              </w:rPr>
              <w:t>2020</w:t>
            </w:r>
          </w:p>
        </w:tc>
      </w:tr>
      <w:tr>
        <w:trPr>
          <w:trHeight w:val="223"/>
        </w:trPr>
        <w:tc>
          <w:tcPr>
            <w:tcW w:w="478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Carrying amount</w:t>
            </w:r>
          </w:p>
        </w:tc>
        <w:tc>
          <w:tcPr>
            <w:tcW w:w="2020" w:type="dxa"/>
            <w:vAlign w:val="bottom"/>
            <w:shd w:val="clear" w:color="auto" w:fill="CCEEFF"/>
          </w:tcPr>
          <w:p>
            <w:pPr>
              <w:jc w:val="right"/>
              <w:ind w:right="1792"/>
              <w:spacing w:after="0" w:line="223" w:lineRule="exact"/>
              <w:rPr>
                <w:sz w:val="20"/>
                <w:szCs w:val="20"/>
                <w:color w:val="auto"/>
              </w:rPr>
            </w:pPr>
            <w:r>
              <w:rPr>
                <w:rFonts w:ascii="Arial" w:cs="Arial" w:eastAsia="Arial" w:hAnsi="Arial"/>
                <w:sz w:val="22"/>
                <w:szCs w:val="22"/>
                <w:color w:val="auto"/>
                <w:w w:val="81"/>
              </w:rPr>
              <w:t>$</w:t>
            </w:r>
          </w:p>
        </w:tc>
        <w:tc>
          <w:tcPr>
            <w:tcW w:w="10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w w:val="98"/>
              </w:rPr>
              <w:t>5,769,090</w:t>
            </w:r>
          </w:p>
        </w:tc>
        <w:tc>
          <w:tcPr>
            <w:tcW w:w="3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292"/>
              <w:spacing w:after="0" w:line="223" w:lineRule="exact"/>
              <w:rPr>
                <w:sz w:val="20"/>
                <w:szCs w:val="20"/>
                <w:color w:val="auto"/>
              </w:rPr>
            </w:pPr>
            <w:r>
              <w:rPr>
                <w:rFonts w:ascii="Arial" w:cs="Arial" w:eastAsia="Arial" w:hAnsi="Arial"/>
                <w:sz w:val="22"/>
                <w:szCs w:val="22"/>
                <w:color w:val="auto"/>
                <w:w w:val="81"/>
              </w:rPr>
              <w:t>$</w:t>
            </w:r>
          </w:p>
        </w:tc>
        <w:tc>
          <w:tcPr>
            <w:tcW w:w="250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5,630,243</w:t>
            </w:r>
          </w:p>
        </w:tc>
      </w:tr>
      <w:tr>
        <w:trPr>
          <w:trHeight w:val="274"/>
        </w:trPr>
        <w:tc>
          <w:tcPr>
            <w:tcW w:w="4780" w:type="dxa"/>
            <w:vAlign w:val="bottom"/>
          </w:tcPr>
          <w:p>
            <w:pPr>
              <w:spacing w:after="0"/>
              <w:rPr>
                <w:sz w:val="20"/>
                <w:szCs w:val="20"/>
                <w:color w:val="auto"/>
              </w:rPr>
            </w:pPr>
            <w:r>
              <w:rPr>
                <w:rFonts w:ascii="Arial" w:cs="Arial" w:eastAsia="Arial" w:hAnsi="Arial"/>
                <w:sz w:val="22"/>
                <w:szCs w:val="22"/>
                <w:color w:val="auto"/>
              </w:rPr>
              <w:t>Estimated fair value</w:t>
            </w:r>
          </w:p>
        </w:tc>
        <w:tc>
          <w:tcPr>
            <w:tcW w:w="20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w w:val="98"/>
              </w:rPr>
              <w:t>6,254,857</w:t>
            </w: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500" w:type="dxa"/>
            <w:vAlign w:val="bottom"/>
          </w:tcPr>
          <w:p>
            <w:pPr>
              <w:jc w:val="right"/>
              <w:spacing w:after="0"/>
              <w:rPr>
                <w:sz w:val="20"/>
                <w:szCs w:val="20"/>
                <w:color w:val="auto"/>
              </w:rPr>
            </w:pPr>
            <w:r>
              <w:rPr>
                <w:rFonts w:ascii="Arial" w:cs="Arial" w:eastAsia="Arial" w:hAnsi="Arial"/>
                <w:sz w:val="22"/>
                <w:szCs w:val="22"/>
                <w:color w:val="auto"/>
              </w:rPr>
              <w:t>6,366,030</w:t>
            </w:r>
          </w:p>
        </w:tc>
      </w:tr>
    </w:tbl>
    <w:p>
      <w:pPr>
        <w:spacing w:after="0" w:line="177" w:lineRule="exact"/>
        <w:rPr>
          <w:sz w:val="20"/>
          <w:szCs w:val="20"/>
          <w:color w:val="auto"/>
        </w:rPr>
      </w:pPr>
    </w:p>
    <w:p>
      <w:pPr>
        <w:ind w:right="140"/>
        <w:spacing w:after="0" w:line="239" w:lineRule="auto"/>
        <w:rPr>
          <w:sz w:val="20"/>
          <w:szCs w:val="20"/>
          <w:color w:val="auto"/>
        </w:rPr>
      </w:pPr>
      <w:r>
        <w:rPr>
          <w:rFonts w:ascii="Arial" w:cs="Arial" w:eastAsia="Arial" w:hAnsi="Arial"/>
          <w:sz w:val="22"/>
          <w:szCs w:val="22"/>
          <w:color w:val="auto"/>
        </w:rPr>
        <w:t>The fair value of long-term debt has been determined by discounting the future cash flows using current market interest rates for similar financial instruments of the same duration utilizing Level 2 methods and assumptions.</w:t>
      </w:r>
    </w:p>
    <w:p>
      <w:pPr>
        <w:spacing w:after="0" w:line="185" w:lineRule="exact"/>
        <w:rPr>
          <w:sz w:val="20"/>
          <w:szCs w:val="20"/>
          <w:color w:val="auto"/>
        </w:rPr>
      </w:pPr>
    </w:p>
    <w:p>
      <w:pPr>
        <w:ind w:right="20"/>
        <w:spacing w:after="0" w:line="224" w:lineRule="auto"/>
        <w:rPr>
          <w:sz w:val="20"/>
          <w:szCs w:val="20"/>
          <w:color w:val="auto"/>
        </w:rPr>
      </w:pPr>
      <w:r>
        <w:rPr>
          <w:rFonts w:ascii="Arial" w:cs="Arial" w:eastAsia="Arial" w:hAnsi="Arial"/>
          <w:sz w:val="22"/>
          <w:szCs w:val="22"/>
          <w:color w:val="auto"/>
        </w:rPr>
        <w:t>The Company’s customers’ advances for construction have a carrying value of $108,605 as of June 30, 2021, and $99,014 as of December 31, 2020. Their relative fair values cannot be accurately estimated because future refund payments depend on several variables, including new customer connections, customer consumption levels, and future rates. Portions of these non-interest-bearing instruments are payable annually through 2031, and amounts not paid by the respective contract expiration dates become non-refundable. The fair value of these amounts would, however, be less than their carrying value due to the non-interest-bearing feature.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4" w:name="page25"/>
    <w:bookmarkEnd w:id="24"/>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8 – </w:t>
      </w:r>
      <w:r>
        <w:rPr>
          <w:rFonts w:ascii="Arial" w:cs="Arial" w:eastAsia="Arial" w:hAnsi="Arial"/>
          <w:sz w:val="22"/>
          <w:szCs w:val="22"/>
          <w:b w:val="1"/>
          <w:bCs w:val="1"/>
          <w:i w:val="1"/>
          <w:iCs w:val="1"/>
          <w:color w:val="auto"/>
        </w:rPr>
        <w:t>Net Income per Common Share</w:t>
      </w:r>
    </w:p>
    <w:p>
      <w:pPr>
        <w:spacing w:after="0" w:line="212"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color w:val="auto"/>
        </w:rPr>
        <w:t>Basic net income per common share is based on the weighted average number of common shares outstanding and the minimum number of shares to be issued upon settlement of the stock purchase contracts issued under the tangible equity units. Diluted net income per common share is based on the weighted average number of common shares outstanding, potentially dilutive shares, and the expected number of shares to be issued upon settlement of the stock purchase contracts issued under the tangible equity units, based on the applicable market value of our common stock. The dilutive effect of employee stock-based compensation and shares issuable under the forward equity sale agreement (from the date the Company entered into the forward equity sale agreement to the settlement date) are included in the computation of diluted net income per common share. The dilutive effect of stock-based compensation and shares issuable under the forward equity sale agreement are calculated using the treasury stock method and expected proceeds upon exercise or issuance of the stock-based compensation and settlement of the forward equity sale agreement. The treasury stock method assumes that the proceeds from stock-based compensation and settlement of the forward equity sale agreement are used to purchase the Company’s common stock at the average market price during the period. The following table summarizes the shares, in thousands, used in computing basic and diluted net income per common share:</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20" w:type="dxa"/>
            <w:vAlign w:val="bottom"/>
          </w:tcPr>
          <w:p>
            <w:pPr>
              <w:spacing w:after="0"/>
              <w:rPr>
                <w:sz w:val="21"/>
                <w:szCs w:val="21"/>
                <w:color w:val="auto"/>
              </w:rPr>
            </w:pPr>
          </w:p>
        </w:tc>
        <w:tc>
          <w:tcPr>
            <w:tcW w:w="2740" w:type="dxa"/>
            <w:vAlign w:val="bottom"/>
            <w:gridSpan w:val="5"/>
          </w:tcPr>
          <w:p>
            <w:pPr>
              <w:jc w:val="center"/>
              <w:ind w:right="160"/>
              <w:spacing w:after="0"/>
              <w:rPr>
                <w:sz w:val="20"/>
                <w:szCs w:val="20"/>
                <w:color w:val="auto"/>
              </w:rPr>
            </w:pPr>
            <w:r>
              <w:rPr>
                <w:rFonts w:ascii="Arial" w:cs="Arial" w:eastAsia="Arial" w:hAnsi="Arial"/>
                <w:sz w:val="22"/>
                <w:szCs w:val="22"/>
                <w:color w:val="auto"/>
                <w:w w:val="88"/>
              </w:rPr>
              <w:t>Three Months Ended</w:t>
            </w:r>
          </w:p>
        </w:tc>
        <w:tc>
          <w:tcPr>
            <w:tcW w:w="2480" w:type="dxa"/>
            <w:vAlign w:val="bottom"/>
            <w:gridSpan w:val="4"/>
          </w:tcPr>
          <w:p>
            <w:pPr>
              <w:jc w:val="center"/>
              <w:spacing w:after="0"/>
              <w:rPr>
                <w:sz w:val="20"/>
                <w:szCs w:val="20"/>
                <w:color w:val="auto"/>
              </w:rPr>
            </w:pPr>
            <w:r>
              <w:rPr>
                <w:rFonts w:ascii="Arial" w:cs="Arial" w:eastAsia="Arial" w:hAnsi="Arial"/>
                <w:sz w:val="22"/>
                <w:szCs w:val="22"/>
                <w:color w:val="auto"/>
                <w:w w:val="89"/>
              </w:rPr>
              <w:t>Six Months Ended</w:t>
            </w:r>
          </w:p>
        </w:tc>
        <w:tc>
          <w:tcPr>
            <w:tcW w:w="0" w:type="dxa"/>
            <w:vAlign w:val="bottom"/>
          </w:tcPr>
          <w:p>
            <w:pPr>
              <w:spacing w:after="0"/>
              <w:rPr>
                <w:sz w:val="1"/>
                <w:szCs w:val="1"/>
                <w:color w:val="auto"/>
              </w:rPr>
            </w:pPr>
          </w:p>
        </w:tc>
      </w:tr>
      <w:tr>
        <w:trPr>
          <w:trHeight w:val="251"/>
        </w:trPr>
        <w:tc>
          <w:tcPr>
            <w:tcW w:w="6020" w:type="dxa"/>
            <w:vAlign w:val="bottom"/>
          </w:tcPr>
          <w:p>
            <w:pPr>
              <w:spacing w:after="0"/>
              <w:rPr>
                <w:sz w:val="21"/>
                <w:szCs w:val="21"/>
                <w:color w:val="auto"/>
              </w:rPr>
            </w:pPr>
          </w:p>
        </w:tc>
        <w:tc>
          <w:tcPr>
            <w:tcW w:w="1680" w:type="dxa"/>
            <w:vAlign w:val="bottom"/>
            <w:tcBorders>
              <w:bottom w:val="single" w:sz="8" w:color="auto"/>
            </w:tcBorders>
            <w:gridSpan w:val="3"/>
          </w:tcPr>
          <w:p>
            <w:pPr>
              <w:jc w:val="center"/>
              <w:ind w:left="772"/>
              <w:spacing w:after="0" w:line="251" w:lineRule="exact"/>
              <w:rPr>
                <w:sz w:val="20"/>
                <w:szCs w:val="20"/>
                <w:color w:val="auto"/>
              </w:rPr>
            </w:pPr>
            <w:r>
              <w:rPr>
                <w:rFonts w:ascii="Arial" w:cs="Arial" w:eastAsia="Arial" w:hAnsi="Arial"/>
                <w:sz w:val="22"/>
                <w:szCs w:val="22"/>
                <w:color w:val="auto"/>
                <w:w w:val="85"/>
              </w:rPr>
              <w:t>June 30,</w:t>
            </w:r>
          </w:p>
        </w:tc>
        <w:tc>
          <w:tcPr>
            <w:tcW w:w="8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Borders>
              <w:bottom w:val="single" w:sz="8" w:color="auto"/>
            </w:tcBorders>
            <w:gridSpan w:val="3"/>
          </w:tcPr>
          <w:p>
            <w:pPr>
              <w:jc w:val="center"/>
              <w:ind w:left="732"/>
              <w:spacing w:after="0" w:line="251" w:lineRule="exact"/>
              <w:rPr>
                <w:sz w:val="20"/>
                <w:szCs w:val="20"/>
                <w:color w:val="auto"/>
              </w:rPr>
            </w:pPr>
            <w:r>
              <w:rPr>
                <w:rFonts w:ascii="Arial" w:cs="Arial" w:eastAsia="Arial" w:hAnsi="Arial"/>
                <w:sz w:val="22"/>
                <w:szCs w:val="22"/>
                <w:color w:val="auto"/>
                <w:w w:val="85"/>
              </w:rPr>
              <w:t>June 30,</w:t>
            </w:r>
          </w:p>
        </w:tc>
        <w:tc>
          <w:tcPr>
            <w:tcW w:w="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232"/>
              <w:spacing w:after="0" w:line="223" w:lineRule="exact"/>
              <w:rPr>
                <w:sz w:val="20"/>
                <w:szCs w:val="20"/>
                <w:color w:val="auto"/>
              </w:rPr>
            </w:pPr>
            <w:r>
              <w:rPr>
                <w:rFonts w:ascii="Arial" w:cs="Arial" w:eastAsia="Arial" w:hAnsi="Arial"/>
                <w:sz w:val="22"/>
                <w:szCs w:val="22"/>
                <w:color w:val="auto"/>
              </w:rPr>
              <w:t>2021</w:t>
            </w:r>
          </w:p>
        </w:tc>
        <w:tc>
          <w:tcPr>
            <w:tcW w:w="1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2"/>
              <w:spacing w:after="0" w:line="223" w:lineRule="exact"/>
              <w:rPr>
                <w:sz w:val="20"/>
                <w:szCs w:val="20"/>
                <w:color w:val="auto"/>
              </w:rPr>
            </w:pPr>
            <w:r>
              <w:rPr>
                <w:rFonts w:ascii="Arial" w:cs="Arial" w:eastAsia="Arial" w:hAnsi="Arial"/>
                <w:sz w:val="22"/>
                <w:szCs w:val="22"/>
                <w:color w:val="auto"/>
                <w:w w:val="89"/>
              </w:rPr>
              <w:t>2020</w:t>
            </w:r>
          </w:p>
        </w:tc>
        <w:tc>
          <w:tcPr>
            <w:tcW w:w="1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212"/>
              <w:spacing w:after="0" w:line="223" w:lineRule="exact"/>
              <w:rPr>
                <w:sz w:val="20"/>
                <w:szCs w:val="20"/>
                <w:color w:val="auto"/>
              </w:rPr>
            </w:pPr>
            <w:r>
              <w:rPr>
                <w:rFonts w:ascii="Arial" w:cs="Arial" w:eastAsia="Arial" w:hAnsi="Arial"/>
                <w:sz w:val="22"/>
                <w:szCs w:val="22"/>
                <w:color w:val="auto"/>
              </w:rPr>
              <w:t>2021</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2"/>
              <w:spacing w:after="0" w:line="223" w:lineRule="exact"/>
              <w:rPr>
                <w:sz w:val="20"/>
                <w:szCs w:val="20"/>
                <w:color w:val="auto"/>
              </w:rPr>
            </w:pPr>
            <w:r>
              <w:rPr>
                <w:rFonts w:ascii="Arial" w:cs="Arial" w:eastAsia="Arial" w:hAnsi="Arial"/>
                <w:sz w:val="22"/>
                <w:szCs w:val="22"/>
                <w:color w:val="auto"/>
                <w:w w:val="89"/>
              </w:rPr>
              <w:t>2020</w:t>
            </w:r>
          </w:p>
        </w:tc>
        <w:tc>
          <w:tcPr>
            <w:tcW w:w="0" w:type="dxa"/>
            <w:vAlign w:val="bottom"/>
          </w:tcPr>
          <w:p>
            <w:pPr>
              <w:spacing w:after="0"/>
              <w:rPr>
                <w:sz w:val="1"/>
                <w:szCs w:val="1"/>
                <w:color w:val="auto"/>
              </w:rPr>
            </w:pPr>
          </w:p>
        </w:tc>
      </w:tr>
      <w:tr>
        <w:trPr>
          <w:trHeight w:val="188"/>
        </w:trPr>
        <w:tc>
          <w:tcPr>
            <w:tcW w:w="6020" w:type="dxa"/>
            <w:vAlign w:val="bottom"/>
            <w:shd w:val="clear" w:color="auto" w:fill="CCEEFF"/>
          </w:tcPr>
          <w:p>
            <w:pPr>
              <w:spacing w:after="0" w:line="188" w:lineRule="exact"/>
              <w:rPr>
                <w:sz w:val="20"/>
                <w:szCs w:val="20"/>
                <w:color w:val="auto"/>
              </w:rPr>
            </w:pPr>
            <w:r>
              <w:rPr>
                <w:rFonts w:ascii="Arial" w:cs="Arial" w:eastAsia="Arial" w:hAnsi="Arial"/>
                <w:sz w:val="21"/>
                <w:szCs w:val="21"/>
                <w:color w:val="auto"/>
              </w:rPr>
              <w:t>Average common shares outstanding during the period for basic</w:t>
            </w: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6020" w:type="dxa"/>
            <w:vAlign w:val="bottom"/>
            <w:shd w:val="clear" w:color="auto" w:fill="CCEEFF"/>
          </w:tcPr>
          <w:p>
            <w:pPr>
              <w:spacing w:after="0" w:line="251" w:lineRule="exact"/>
              <w:rPr>
                <w:sz w:val="20"/>
                <w:szCs w:val="20"/>
                <w:color w:val="auto"/>
              </w:rPr>
            </w:pPr>
            <w:r>
              <w:rPr>
                <w:rFonts w:ascii="Arial" w:cs="Arial" w:eastAsia="Arial" w:hAnsi="Arial"/>
                <w:sz w:val="22"/>
                <w:szCs w:val="22"/>
                <w:color w:val="auto"/>
              </w:rPr>
              <w:t>computation</w:t>
            </w:r>
          </w:p>
        </w:tc>
        <w:tc>
          <w:tcPr>
            <w:tcW w:w="112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254,769</w:t>
            </w:r>
          </w:p>
        </w:tc>
        <w:tc>
          <w:tcPr>
            <w:tcW w:w="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254,167</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254,667</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w w:val="95"/>
              </w:rPr>
              <w:t>245,144</w:t>
            </w:r>
          </w:p>
        </w:tc>
        <w:tc>
          <w:tcPr>
            <w:tcW w:w="0" w:type="dxa"/>
            <w:vAlign w:val="bottom"/>
          </w:tcPr>
          <w:p>
            <w:pPr>
              <w:spacing w:after="0"/>
              <w:rPr>
                <w:sz w:val="1"/>
                <w:szCs w:val="1"/>
                <w:color w:val="auto"/>
              </w:rPr>
            </w:pPr>
          </w:p>
        </w:tc>
      </w:tr>
      <w:tr>
        <w:trPr>
          <w:trHeight w:val="230"/>
        </w:trPr>
        <w:tc>
          <w:tcPr>
            <w:tcW w:w="6020" w:type="dxa"/>
            <w:vAlign w:val="bottom"/>
          </w:tcPr>
          <w:p>
            <w:pPr>
              <w:spacing w:after="0" w:line="229" w:lineRule="exact"/>
              <w:rPr>
                <w:sz w:val="20"/>
                <w:szCs w:val="20"/>
                <w:color w:val="auto"/>
              </w:rPr>
            </w:pPr>
            <w:r>
              <w:rPr>
                <w:rFonts w:ascii="Arial" w:cs="Arial" w:eastAsia="Arial" w:hAnsi="Arial"/>
                <w:sz w:val="22"/>
                <w:szCs w:val="22"/>
                <w:color w:val="auto"/>
              </w:rPr>
              <w:t>Effect of dilutive securities:</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Forward equity sale agreement</w:t>
            </w:r>
          </w:p>
        </w:tc>
        <w:tc>
          <w:tcPr>
            <w:tcW w:w="11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285</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147</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29"/>
        </w:trPr>
        <w:tc>
          <w:tcPr>
            <w:tcW w:w="6020" w:type="dxa"/>
            <w:vAlign w:val="bottom"/>
          </w:tcPr>
          <w:p>
            <w:pPr>
              <w:ind w:left="120"/>
              <w:spacing w:after="0" w:line="229" w:lineRule="exact"/>
              <w:rPr>
                <w:sz w:val="20"/>
                <w:szCs w:val="20"/>
                <w:color w:val="auto"/>
              </w:rPr>
            </w:pPr>
            <w:r>
              <w:rPr>
                <w:rFonts w:ascii="Arial" w:cs="Arial" w:eastAsia="Arial" w:hAnsi="Arial"/>
                <w:sz w:val="22"/>
                <w:szCs w:val="22"/>
                <w:color w:val="auto"/>
              </w:rPr>
              <w:t>Issuance of common stock from private placement</w:t>
            </w:r>
          </w:p>
        </w:tc>
        <w:tc>
          <w:tcPr>
            <w:tcW w:w="112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180" w:type="dxa"/>
            <w:vAlign w:val="bottom"/>
          </w:tcPr>
          <w:p>
            <w:pPr>
              <w:spacing w:after="0"/>
              <w:rPr>
                <w:sz w:val="19"/>
                <w:szCs w:val="19"/>
                <w:color w:val="auto"/>
              </w:rPr>
            </w:pPr>
          </w:p>
        </w:tc>
        <w:tc>
          <w:tcPr>
            <w:tcW w:w="110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line="229" w:lineRule="exact"/>
              <w:rPr>
                <w:sz w:val="20"/>
                <w:szCs w:val="20"/>
                <w:color w:val="auto"/>
              </w:rPr>
            </w:pPr>
            <w:r>
              <w:rPr>
                <w:rFonts w:ascii="Arial" w:cs="Arial" w:eastAsia="Arial" w:hAnsi="Arial"/>
                <w:sz w:val="22"/>
                <w:szCs w:val="22"/>
                <w:color w:val="auto"/>
              </w:rPr>
              <w:t>8,926</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Employee stock-based compensation</w:t>
            </w:r>
          </w:p>
        </w:tc>
        <w:tc>
          <w:tcPr>
            <w:tcW w:w="112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387</w:t>
            </w:r>
          </w:p>
        </w:tc>
        <w:tc>
          <w:tcPr>
            <w:tcW w:w="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267</w:t>
            </w:r>
          </w:p>
        </w:tc>
        <w:tc>
          <w:tcPr>
            <w:tcW w:w="1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454</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382</w:t>
            </w:r>
          </w:p>
        </w:tc>
        <w:tc>
          <w:tcPr>
            <w:tcW w:w="0" w:type="dxa"/>
            <w:vAlign w:val="bottom"/>
          </w:tcPr>
          <w:p>
            <w:pPr>
              <w:spacing w:after="0"/>
              <w:rPr>
                <w:sz w:val="1"/>
                <w:szCs w:val="1"/>
                <w:color w:val="auto"/>
              </w:rPr>
            </w:pPr>
          </w:p>
        </w:tc>
      </w:tr>
      <w:tr>
        <w:trPr>
          <w:trHeight w:val="188"/>
        </w:trPr>
        <w:tc>
          <w:tcPr>
            <w:tcW w:w="6020" w:type="dxa"/>
            <w:vAlign w:val="bottom"/>
          </w:tcPr>
          <w:p>
            <w:pPr>
              <w:spacing w:after="0" w:line="188" w:lineRule="exact"/>
              <w:rPr>
                <w:sz w:val="20"/>
                <w:szCs w:val="20"/>
                <w:color w:val="auto"/>
              </w:rPr>
            </w:pPr>
            <w:r>
              <w:rPr>
                <w:rFonts w:ascii="Arial" w:cs="Arial" w:eastAsia="Arial" w:hAnsi="Arial"/>
                <w:sz w:val="21"/>
                <w:szCs w:val="21"/>
                <w:color w:val="auto"/>
                <w:w w:val="98"/>
              </w:rPr>
              <w:t>Average common shares outstanding during the period for diluted</w:t>
            </w:r>
          </w:p>
        </w:tc>
        <w:tc>
          <w:tcPr>
            <w:tcW w:w="1120" w:type="dxa"/>
            <w:vAlign w:val="bottom"/>
            <w:vMerge w:val="restart"/>
          </w:tcPr>
          <w:p>
            <w:pPr>
              <w:jc w:val="right"/>
              <w:spacing w:after="0"/>
              <w:rPr>
                <w:sz w:val="20"/>
                <w:szCs w:val="20"/>
                <w:color w:val="auto"/>
              </w:rPr>
            </w:pPr>
            <w:r>
              <w:rPr>
                <w:rFonts w:ascii="Arial" w:cs="Arial" w:eastAsia="Arial" w:hAnsi="Arial"/>
                <w:sz w:val="22"/>
                <w:szCs w:val="22"/>
                <w:color w:val="auto"/>
              </w:rPr>
              <w:t>255,441</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22"/>
                <w:szCs w:val="22"/>
                <w:color w:val="auto"/>
              </w:rPr>
              <w:t>254,434</w:t>
            </w:r>
          </w:p>
        </w:tc>
        <w:tc>
          <w:tcPr>
            <w:tcW w:w="18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22"/>
                <w:szCs w:val="22"/>
                <w:color w:val="auto"/>
              </w:rPr>
              <w:t>255,268</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22"/>
                <w:szCs w:val="22"/>
                <w:color w:val="auto"/>
                <w:w w:val="95"/>
              </w:rPr>
              <w:t>254,452</w:t>
            </w:r>
          </w:p>
        </w:tc>
        <w:tc>
          <w:tcPr>
            <w:tcW w:w="0" w:type="dxa"/>
            <w:vAlign w:val="bottom"/>
          </w:tcPr>
          <w:p>
            <w:pPr>
              <w:spacing w:after="0"/>
              <w:rPr>
                <w:sz w:val="1"/>
                <w:szCs w:val="1"/>
                <w:color w:val="auto"/>
              </w:rPr>
            </w:pPr>
          </w:p>
        </w:tc>
      </w:tr>
      <w:tr>
        <w:trPr>
          <w:trHeight w:val="237"/>
        </w:trPr>
        <w:tc>
          <w:tcPr>
            <w:tcW w:w="6020" w:type="dxa"/>
            <w:vAlign w:val="bottom"/>
          </w:tcPr>
          <w:p>
            <w:pPr>
              <w:spacing w:after="0" w:line="238" w:lineRule="exact"/>
              <w:rPr>
                <w:sz w:val="20"/>
                <w:szCs w:val="20"/>
                <w:color w:val="auto"/>
              </w:rPr>
            </w:pPr>
            <w:r>
              <w:rPr>
                <w:rFonts w:ascii="Arial" w:cs="Arial" w:eastAsia="Arial" w:hAnsi="Arial"/>
                <w:sz w:val="22"/>
                <w:szCs w:val="22"/>
                <w:color w:val="auto"/>
              </w:rPr>
              <w:t>computation</w:t>
            </w:r>
          </w:p>
        </w:tc>
        <w:tc>
          <w:tcPr>
            <w:tcW w:w="1120" w:type="dxa"/>
            <w:vAlign w:val="bottom"/>
            <w:tcBorders>
              <w:bottom w:val="single" w:sz="8" w:color="auto"/>
            </w:tcBorders>
            <w:vMerge w:val="continue"/>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60"/>
        <w:spacing w:after="0" w:line="231" w:lineRule="auto"/>
        <w:rPr>
          <w:sz w:val="20"/>
          <w:szCs w:val="20"/>
          <w:color w:val="auto"/>
        </w:rPr>
      </w:pPr>
      <w:r>
        <w:rPr>
          <w:rFonts w:ascii="Arial" w:cs="Arial" w:eastAsia="Arial" w:hAnsi="Arial"/>
          <w:sz w:val="22"/>
          <w:szCs w:val="22"/>
          <w:color w:val="auto"/>
        </w:rPr>
        <w:t>For the three and six months ended June 30, 2020, the average common shares outstanding during the period for diluted computation reflects the impact of the issuance of common stock from the March 16, 2020 private placement as if the shares were issued on January 1, 2020.</w:t>
      </w:r>
    </w:p>
    <w:p>
      <w:pPr>
        <w:spacing w:after="0" w:line="188"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The average common shares outstanding during the period for basic computation includes the weighted-average impact of 9,091,179 shares for both the three and six months ended June 30, 2021, and 9,091,179 and 9,653,184 shares for the three and six months ended June 30, 2020, respectively, based on the minimum number of shares of 9,091,179 to be issued in April 2022 upon settlement of the stock purchase contracts issued in April 2019 under the tangible equity units.</w:t>
      </w:r>
    </w:p>
    <w:p>
      <w:pPr>
        <w:spacing w:after="0" w:line="157" w:lineRule="exact"/>
        <w:rPr>
          <w:sz w:val="20"/>
          <w:szCs w:val="20"/>
          <w:color w:val="auto"/>
        </w:rPr>
      </w:pPr>
    </w:p>
    <w:p>
      <w:pPr>
        <w:jc w:val="both"/>
        <w:ind w:right="200"/>
        <w:spacing w:after="0" w:line="272" w:lineRule="auto"/>
        <w:rPr>
          <w:sz w:val="20"/>
          <w:szCs w:val="20"/>
          <w:color w:val="auto"/>
        </w:rPr>
      </w:pPr>
      <w:r>
        <w:rPr>
          <w:rFonts w:ascii="Arial" w:cs="Arial" w:eastAsia="Arial" w:hAnsi="Arial"/>
          <w:sz w:val="19"/>
          <w:szCs w:val="19"/>
          <w:color w:val="auto"/>
        </w:rPr>
        <w:t>For the three and six months ended June 30, 2021 and 2020, all of the Company’s employee stock options were included in the calculations of diluted net income per share as the calculated cost to exercise employee stock options was less than the average market price of the Company’s common stock during these periods. Additionally, the dilutive effect of performance share units and restricted share units granted are included in the Company’s calculation of diluted net income per share.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5" w:name="page26"/>
    <w:bookmarkEnd w:id="25"/>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9 – </w:t>
      </w:r>
      <w:r>
        <w:rPr>
          <w:rFonts w:ascii="Arial" w:cs="Arial" w:eastAsia="Arial" w:hAnsi="Arial"/>
          <w:sz w:val="22"/>
          <w:szCs w:val="22"/>
          <w:b w:val="1"/>
          <w:bCs w:val="1"/>
          <w:i w:val="1"/>
          <w:iCs w:val="1"/>
          <w:color w:val="auto"/>
        </w:rPr>
        <w:t>Stock-based Compensation</w:t>
      </w:r>
    </w:p>
    <w:p>
      <w:pPr>
        <w:spacing w:after="0" w:line="212" w:lineRule="exact"/>
        <w:rPr>
          <w:sz w:val="20"/>
          <w:szCs w:val="20"/>
          <w:color w:val="auto"/>
        </w:rPr>
      </w:pPr>
    </w:p>
    <w:p>
      <w:pPr>
        <w:ind w:right="60"/>
        <w:spacing w:after="0" w:line="257" w:lineRule="auto"/>
        <w:rPr>
          <w:sz w:val="20"/>
          <w:szCs w:val="20"/>
          <w:color w:val="auto"/>
        </w:rPr>
      </w:pPr>
      <w:r>
        <w:rPr>
          <w:rFonts w:ascii="Arial" w:cs="Arial" w:eastAsia="Arial" w:hAnsi="Arial"/>
          <w:sz w:val="19"/>
          <w:szCs w:val="19"/>
          <w:color w:val="auto"/>
        </w:rPr>
        <w:t>Under the Company’s Amended and Restated Equity Compensation Plan (the “Plan”) approved by the Company’s shareholders on May 2, 2019, to replace the 2004 Equity Compensation Plan, stock options, stock units, stock awards, stock appreciation rights, dividend equivalents, and other stock-based awards may be granted to employees, non-employee directors, and consultants and advisors. The Plan authorizes 6,250,000 shares for issuance under the Plan. A maximum of 3,125,000 shares under the Plan may be issued pursuant to stock awards, stock units and other stock-based awards, subject to adjustment as provided in the Plan. During any calendar year, no individual may be granted (i) stock options and stock appreciation rights under the Plan for more than 500,000 shares of Company stock in the aggregate or (ii) stock awards, stock units or other stock-based awards under the Plan for more than 500,000 shares of Company stock in the aggregate, subject to adjustment as provided in the Plan. Awards to employees and consultants under the Plan are made by a committee of the Board of Directors of the Company, except that with respect to awards to the Chief Executive Officer, the committee recommends those awards for approval by the non-employee directors of the Board of Directors. In the case of awards to non-employee directors, the Board of Directors makes such awards. At June 30, 2021, 2,133,751 shares were still available for issuance under the Plan. No further grants may be made under the Company’s 2004 Equity Compensation Plan.</w:t>
      </w:r>
    </w:p>
    <w:p>
      <w:pPr>
        <w:spacing w:after="0" w:line="171" w:lineRule="exact"/>
        <w:rPr>
          <w:sz w:val="20"/>
          <w:szCs w:val="20"/>
          <w:color w:val="auto"/>
        </w:rPr>
      </w:pPr>
    </w:p>
    <w:p>
      <w:pPr>
        <w:ind w:right="80"/>
        <w:spacing w:after="0" w:line="267" w:lineRule="auto"/>
        <w:rPr>
          <w:sz w:val="20"/>
          <w:szCs w:val="20"/>
          <w:color w:val="auto"/>
        </w:rPr>
      </w:pPr>
      <w:r>
        <w:rPr>
          <w:rFonts w:ascii="Arial" w:cs="Arial" w:eastAsia="Arial" w:hAnsi="Arial"/>
          <w:sz w:val="19"/>
          <w:szCs w:val="19"/>
          <w:b w:val="1"/>
          <w:bCs w:val="1"/>
          <w:i w:val="1"/>
          <w:iCs w:val="1"/>
          <w:color w:val="auto"/>
        </w:rPr>
        <w:t xml:space="preserve">Performance Share Units </w:t>
      </w:r>
      <w:r>
        <w:rPr>
          <w:rFonts w:ascii="Arial" w:cs="Arial" w:eastAsia="Arial" w:hAnsi="Arial"/>
          <w:sz w:val="19"/>
          <w:szCs w:val="19"/>
          <w:color w:val="auto"/>
        </w:rPr>
        <w:t>– A performance share unit (“PSU”) represents the right to receive a share of the Company’s common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stock if specified performance goals are met over the three year performance period specified in the grant, subject to exceptions through the respective vesting period, which is generally three years. Each grantee is granted a target award of PSUs and may earn between 0% and 200% of the target amount depending on the Company’s performance against the performance goals. The following table provides compensation costs for stock-based compensation related to PSUs: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80" w:type="dxa"/>
            <w:vAlign w:val="bottom"/>
            <w:gridSpan w:val="4"/>
          </w:tcPr>
          <w:p>
            <w:pPr>
              <w:jc w:val="center"/>
              <w:ind w:right="192"/>
              <w:spacing w:after="0"/>
              <w:rPr>
                <w:sz w:val="20"/>
                <w:szCs w:val="20"/>
                <w:color w:val="auto"/>
              </w:rPr>
            </w:pPr>
            <w:r>
              <w:rPr>
                <w:rFonts w:ascii="Arial" w:cs="Arial" w:eastAsia="Arial" w:hAnsi="Arial"/>
                <w:sz w:val="22"/>
                <w:szCs w:val="22"/>
                <w:color w:val="auto"/>
                <w:w w:val="88"/>
              </w:rPr>
              <w:t>Three Months Ended</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40" w:type="dxa"/>
            <w:vAlign w:val="bottom"/>
            <w:gridSpan w:val="4"/>
          </w:tcPr>
          <w:p>
            <w:pPr>
              <w:jc w:val="center"/>
              <w:ind w:right="192"/>
              <w:spacing w:after="0"/>
              <w:rPr>
                <w:sz w:val="20"/>
                <w:szCs w:val="20"/>
                <w:color w:val="auto"/>
              </w:rPr>
            </w:pPr>
            <w:r>
              <w:rPr>
                <w:rFonts w:ascii="Arial" w:cs="Arial" w:eastAsia="Arial" w:hAnsi="Arial"/>
                <w:sz w:val="22"/>
                <w:szCs w:val="22"/>
                <w:color w:val="auto"/>
                <w:w w:val="89"/>
              </w:rPr>
              <w:t>Six Months Ended</w:t>
            </w:r>
          </w:p>
        </w:tc>
      </w:tr>
      <w:tr>
        <w:trPr>
          <w:trHeight w:val="251"/>
        </w:trPr>
        <w:tc>
          <w:tcPr>
            <w:tcW w:w="4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center"/>
              <w:ind w:left="672"/>
              <w:spacing w:after="0" w:line="251" w:lineRule="exact"/>
              <w:rPr>
                <w:sz w:val="20"/>
                <w:szCs w:val="20"/>
                <w:color w:val="auto"/>
              </w:rPr>
            </w:pPr>
            <w:r>
              <w:rPr>
                <w:rFonts w:ascii="Arial" w:cs="Arial" w:eastAsia="Arial" w:hAnsi="Arial"/>
                <w:sz w:val="22"/>
                <w:szCs w:val="22"/>
                <w:color w:val="auto"/>
                <w:w w:val="85"/>
              </w:rPr>
              <w:t>June 30,</w:t>
            </w:r>
          </w:p>
        </w:tc>
        <w:tc>
          <w:tcPr>
            <w:tcW w:w="11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center"/>
              <w:ind w:left="632"/>
              <w:spacing w:after="0" w:line="251" w:lineRule="exact"/>
              <w:rPr>
                <w:sz w:val="20"/>
                <w:szCs w:val="20"/>
                <w:color w:val="auto"/>
              </w:rPr>
            </w:pPr>
            <w:r>
              <w:rPr>
                <w:rFonts w:ascii="Arial" w:cs="Arial" w:eastAsia="Arial" w:hAnsi="Arial"/>
                <w:sz w:val="22"/>
                <w:szCs w:val="22"/>
                <w:color w:val="auto"/>
                <w:w w:val="85"/>
              </w:rPr>
              <w:t>June 30,</w:t>
            </w:r>
          </w:p>
        </w:tc>
        <w:tc>
          <w:tcPr>
            <w:tcW w:w="1040" w:type="dxa"/>
            <w:vAlign w:val="bottom"/>
            <w:tcBorders>
              <w:bottom w:val="single" w:sz="8" w:color="auto"/>
            </w:tcBorders>
          </w:tcPr>
          <w:p>
            <w:pPr>
              <w:spacing w:after="0"/>
              <w:rPr>
                <w:sz w:val="21"/>
                <w:szCs w:val="21"/>
                <w:color w:val="auto"/>
              </w:rPr>
            </w:pPr>
          </w:p>
        </w:tc>
      </w:tr>
      <w:tr>
        <w:trPr>
          <w:trHeight w:val="223"/>
        </w:trPr>
        <w:tc>
          <w:tcPr>
            <w:tcW w:w="45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2"/>
              <w:spacing w:after="0" w:line="223" w:lineRule="exact"/>
              <w:rPr>
                <w:sz w:val="20"/>
                <w:szCs w:val="20"/>
                <w:color w:val="auto"/>
              </w:rPr>
            </w:pPr>
            <w:r>
              <w:rPr>
                <w:rFonts w:ascii="Arial" w:cs="Arial" w:eastAsia="Arial" w:hAnsi="Arial"/>
                <w:sz w:val="22"/>
                <w:szCs w:val="22"/>
                <w:color w:val="auto"/>
              </w:rPr>
              <w:t>2021</w:t>
            </w: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2"/>
              <w:spacing w:after="0" w:line="223" w:lineRule="exact"/>
              <w:rPr>
                <w:sz w:val="20"/>
                <w:szCs w:val="20"/>
                <w:color w:val="auto"/>
              </w:rPr>
            </w:pPr>
            <w:r>
              <w:rPr>
                <w:rFonts w:ascii="Arial" w:cs="Arial" w:eastAsia="Arial" w:hAnsi="Arial"/>
                <w:sz w:val="22"/>
                <w:szCs w:val="22"/>
                <w:color w:val="auto"/>
              </w:rPr>
              <w:t>2020</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2"/>
              <w:spacing w:after="0" w:line="223" w:lineRule="exact"/>
              <w:rPr>
                <w:sz w:val="20"/>
                <w:szCs w:val="20"/>
                <w:color w:val="auto"/>
              </w:rPr>
            </w:pPr>
            <w:r>
              <w:rPr>
                <w:rFonts w:ascii="Arial" w:cs="Arial" w:eastAsia="Arial" w:hAnsi="Arial"/>
                <w:sz w:val="22"/>
                <w:szCs w:val="22"/>
                <w:color w:val="auto"/>
              </w:rPr>
              <w:t>2021</w:t>
            </w:r>
          </w:p>
        </w:tc>
        <w:tc>
          <w:tcPr>
            <w:tcW w:w="1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2"/>
              <w:spacing w:after="0" w:line="223" w:lineRule="exact"/>
              <w:rPr>
                <w:sz w:val="20"/>
                <w:szCs w:val="20"/>
                <w:color w:val="auto"/>
              </w:rPr>
            </w:pPr>
            <w:r>
              <w:rPr>
                <w:rFonts w:ascii="Arial" w:cs="Arial" w:eastAsia="Arial" w:hAnsi="Arial"/>
                <w:sz w:val="22"/>
                <w:szCs w:val="22"/>
                <w:color w:val="auto"/>
              </w:rPr>
              <w:t>2020</w:t>
            </w:r>
          </w:p>
        </w:tc>
      </w:tr>
      <w:tr>
        <w:trPr>
          <w:trHeight w:val="188"/>
        </w:trPr>
        <w:tc>
          <w:tcPr>
            <w:tcW w:w="4500" w:type="dxa"/>
            <w:vAlign w:val="bottom"/>
            <w:shd w:val="clear" w:color="auto" w:fill="CCEEFF"/>
          </w:tcPr>
          <w:p>
            <w:pPr>
              <w:spacing w:after="0" w:line="188" w:lineRule="exact"/>
              <w:rPr>
                <w:sz w:val="20"/>
                <w:szCs w:val="20"/>
                <w:color w:val="auto"/>
              </w:rPr>
            </w:pPr>
            <w:r>
              <w:rPr>
                <w:rFonts w:ascii="Arial" w:cs="Arial" w:eastAsia="Arial" w:hAnsi="Arial"/>
                <w:sz w:val="21"/>
                <w:szCs w:val="21"/>
                <w:color w:val="auto"/>
                <w:w w:val="97"/>
              </w:rPr>
              <w:t>Stock-based compensation within operations and</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51"/>
        </w:trPr>
        <w:tc>
          <w:tcPr>
            <w:tcW w:w="4500" w:type="dxa"/>
            <w:vAlign w:val="bottom"/>
            <w:shd w:val="clear" w:color="auto" w:fill="CCEEFF"/>
          </w:tcPr>
          <w:p>
            <w:pPr>
              <w:spacing w:after="0" w:line="251" w:lineRule="exact"/>
              <w:rPr>
                <w:sz w:val="20"/>
                <w:szCs w:val="20"/>
                <w:color w:val="auto"/>
              </w:rPr>
            </w:pPr>
            <w:r>
              <w:rPr>
                <w:rFonts w:ascii="Arial" w:cs="Arial" w:eastAsia="Arial" w:hAnsi="Arial"/>
                <w:sz w:val="22"/>
                <w:szCs w:val="22"/>
                <w:color w:val="auto"/>
              </w:rPr>
              <w:t>maintenance expenses</w:t>
            </w:r>
          </w:p>
        </w:tc>
        <w:tc>
          <w:tcPr>
            <w:tcW w:w="580" w:type="dxa"/>
            <w:vAlign w:val="bottom"/>
            <w:gridSpan w:val="2"/>
            <w:shd w:val="clear" w:color="auto" w:fill="CCEEFF"/>
          </w:tcPr>
          <w:p>
            <w:pPr>
              <w:jc w:val="right"/>
              <w:ind w:right="200"/>
              <w:spacing w:after="0" w:line="251" w:lineRule="exact"/>
              <w:rPr>
                <w:sz w:val="20"/>
                <w:szCs w:val="20"/>
                <w:color w:val="auto"/>
              </w:rPr>
            </w:pPr>
            <w:r>
              <w:rPr>
                <w:rFonts w:ascii="Arial" w:cs="Arial" w:eastAsia="Arial" w:hAnsi="Arial"/>
                <w:sz w:val="22"/>
                <w:szCs w:val="22"/>
                <w:color w:val="auto"/>
              </w:rPr>
              <w:t>$</w:t>
            </w:r>
          </w:p>
        </w:tc>
        <w:tc>
          <w:tcPr>
            <w:tcW w:w="116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1,290</w:t>
            </w:r>
          </w:p>
        </w:tc>
        <w:tc>
          <w:tcPr>
            <w:tcW w:w="620" w:type="dxa"/>
            <w:vAlign w:val="bottom"/>
            <w:gridSpan w:val="2"/>
            <w:shd w:val="clear" w:color="auto" w:fill="CCEEFF"/>
          </w:tcPr>
          <w:p>
            <w:pPr>
              <w:jc w:val="right"/>
              <w:ind w:right="300"/>
              <w:spacing w:after="0" w:line="251" w:lineRule="exact"/>
              <w:rPr>
                <w:sz w:val="20"/>
                <w:szCs w:val="20"/>
                <w:color w:val="auto"/>
              </w:rPr>
            </w:pPr>
            <w:r>
              <w:rPr>
                <w:rFonts w:ascii="Arial" w:cs="Arial" w:eastAsia="Arial" w:hAnsi="Arial"/>
                <w:sz w:val="22"/>
                <w:szCs w:val="22"/>
                <w:color w:val="auto"/>
              </w:rPr>
              <w:t>$</w:t>
            </w:r>
          </w:p>
        </w:tc>
        <w:tc>
          <w:tcPr>
            <w:tcW w:w="110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966</w:t>
            </w:r>
          </w:p>
        </w:tc>
        <w:tc>
          <w:tcPr>
            <w:tcW w:w="540" w:type="dxa"/>
            <w:vAlign w:val="bottom"/>
            <w:gridSpan w:val="2"/>
            <w:shd w:val="clear" w:color="auto" w:fill="CCEEFF"/>
          </w:tcPr>
          <w:p>
            <w:pPr>
              <w:jc w:val="right"/>
              <w:ind w:right="180"/>
              <w:spacing w:after="0" w:line="251" w:lineRule="exact"/>
              <w:rPr>
                <w:sz w:val="20"/>
                <w:szCs w:val="20"/>
                <w:color w:val="auto"/>
              </w:rPr>
            </w:pPr>
            <w:r>
              <w:rPr>
                <w:rFonts w:ascii="Arial" w:cs="Arial" w:eastAsia="Arial" w:hAnsi="Arial"/>
                <w:sz w:val="22"/>
                <w:szCs w:val="22"/>
                <w:color w:val="auto"/>
              </w:rPr>
              <w:t>$</w:t>
            </w:r>
          </w:p>
        </w:tc>
        <w:tc>
          <w:tcPr>
            <w:tcW w:w="114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2,931</w:t>
            </w:r>
          </w:p>
        </w:tc>
        <w:tc>
          <w:tcPr>
            <w:tcW w:w="560" w:type="dxa"/>
            <w:vAlign w:val="bottom"/>
            <w:gridSpan w:val="2"/>
            <w:shd w:val="clear" w:color="auto" w:fill="CCEEFF"/>
          </w:tcPr>
          <w:p>
            <w:pPr>
              <w:jc w:val="right"/>
              <w:ind w:right="260"/>
              <w:spacing w:after="0" w:line="251" w:lineRule="exact"/>
              <w:rPr>
                <w:sz w:val="20"/>
                <w:szCs w:val="20"/>
                <w:color w:val="auto"/>
              </w:rPr>
            </w:pPr>
            <w:r>
              <w:rPr>
                <w:rFonts w:ascii="Arial" w:cs="Arial" w:eastAsia="Arial" w:hAnsi="Arial"/>
                <w:sz w:val="22"/>
                <w:szCs w:val="22"/>
                <w:color w:val="auto"/>
              </w:rPr>
              <w:t>$</w:t>
            </w:r>
          </w:p>
        </w:tc>
        <w:tc>
          <w:tcPr>
            <w:tcW w:w="104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1,447</w:t>
            </w:r>
          </w:p>
        </w:tc>
      </w:tr>
      <w:tr>
        <w:trPr>
          <w:trHeight w:val="274"/>
        </w:trPr>
        <w:tc>
          <w:tcPr>
            <w:tcW w:w="4500" w:type="dxa"/>
            <w:vAlign w:val="bottom"/>
          </w:tcPr>
          <w:p>
            <w:pPr>
              <w:spacing w:after="0"/>
              <w:rPr>
                <w:sz w:val="20"/>
                <w:szCs w:val="20"/>
                <w:color w:val="auto"/>
              </w:rPr>
            </w:pPr>
            <w:r>
              <w:rPr>
                <w:rFonts w:ascii="Arial" w:cs="Arial" w:eastAsia="Arial" w:hAnsi="Arial"/>
                <w:sz w:val="22"/>
                <w:szCs w:val="22"/>
                <w:color w:val="auto"/>
              </w:rPr>
              <w:t>Income tax benefit</w:t>
            </w: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364</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265</w:t>
            </w: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826</w:t>
            </w: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408</w:t>
            </w:r>
          </w:p>
        </w:tc>
      </w:tr>
      <w:tr>
        <w:trPr>
          <w:trHeight w:val="438"/>
        </w:trPr>
        <w:tc>
          <w:tcPr>
            <w:tcW w:w="4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392"/>
              <w:spacing w:after="0"/>
              <w:rPr>
                <w:sz w:val="20"/>
                <w:szCs w:val="20"/>
                <w:color w:val="auto"/>
              </w:rPr>
            </w:pPr>
            <w:r>
              <w:rPr>
                <w:rFonts w:ascii="Arial" w:cs="Arial" w:eastAsia="Arial" w:hAnsi="Arial"/>
                <w:sz w:val="22"/>
                <w:szCs w:val="22"/>
                <w:color w:val="auto"/>
              </w:rPr>
              <w:t>25</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07"/>
        </w:trPr>
        <w:tc>
          <w:tcPr>
            <w:tcW w:w="4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6" w:name="page27"/>
    <w:bookmarkEnd w:id="26"/>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PSU transactions for the six months ended June 30, 2021:</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06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Arial" w:cs="Arial" w:eastAsia="Arial" w:hAnsi="Arial"/>
                <w:sz w:val="22"/>
                <w:szCs w:val="22"/>
                <w:color w:val="auto"/>
                <w:w w:val="91"/>
              </w:rPr>
              <w:t>Number</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center"/>
              <w:ind w:right="92"/>
              <w:spacing w:after="0"/>
              <w:rPr>
                <w:sz w:val="20"/>
                <w:szCs w:val="20"/>
                <w:color w:val="auto"/>
              </w:rPr>
            </w:pPr>
            <w:r>
              <w:rPr>
                <w:rFonts w:ascii="Arial" w:cs="Arial" w:eastAsia="Arial" w:hAnsi="Arial"/>
                <w:sz w:val="22"/>
                <w:szCs w:val="22"/>
                <w:color w:val="auto"/>
                <w:w w:val="88"/>
              </w:rPr>
              <w:t>Weighted</w:t>
            </w:r>
          </w:p>
        </w:tc>
      </w:tr>
      <w:tr>
        <w:trPr>
          <w:trHeight w:val="229"/>
        </w:trPr>
        <w:tc>
          <w:tcPr>
            <w:tcW w:w="8060" w:type="dxa"/>
            <w:vAlign w:val="bottom"/>
          </w:tcPr>
          <w:p>
            <w:pPr>
              <w:spacing w:after="0"/>
              <w:rPr>
                <w:sz w:val="19"/>
                <w:szCs w:val="19"/>
                <w:color w:val="auto"/>
              </w:rPr>
            </w:pPr>
          </w:p>
        </w:tc>
        <w:tc>
          <w:tcPr>
            <w:tcW w:w="1520" w:type="dxa"/>
            <w:vAlign w:val="bottom"/>
          </w:tcPr>
          <w:p>
            <w:pPr>
              <w:jc w:val="center"/>
              <w:spacing w:after="0" w:line="229" w:lineRule="exact"/>
              <w:rPr>
                <w:sz w:val="20"/>
                <w:szCs w:val="20"/>
                <w:color w:val="auto"/>
              </w:rPr>
            </w:pPr>
            <w:r>
              <w:rPr>
                <w:rFonts w:ascii="Arial" w:cs="Arial" w:eastAsia="Arial" w:hAnsi="Arial"/>
                <w:sz w:val="22"/>
                <w:szCs w:val="22"/>
                <w:color w:val="auto"/>
                <w:w w:val="97"/>
              </w:rPr>
              <w:t>of</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72"/>
              <w:spacing w:after="0" w:line="229" w:lineRule="exact"/>
              <w:rPr>
                <w:sz w:val="20"/>
                <w:szCs w:val="20"/>
                <w:color w:val="auto"/>
              </w:rPr>
            </w:pPr>
            <w:r>
              <w:rPr>
                <w:rFonts w:ascii="Arial" w:cs="Arial" w:eastAsia="Arial" w:hAnsi="Arial"/>
                <w:sz w:val="22"/>
                <w:szCs w:val="22"/>
                <w:color w:val="auto"/>
                <w:w w:val="87"/>
              </w:rPr>
              <w:t>Average</w:t>
            </w:r>
          </w:p>
        </w:tc>
      </w:tr>
      <w:tr>
        <w:trPr>
          <w:trHeight w:val="251"/>
        </w:trPr>
        <w:tc>
          <w:tcPr>
            <w:tcW w:w="806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center"/>
              <w:spacing w:after="0" w:line="251" w:lineRule="exact"/>
              <w:rPr>
                <w:sz w:val="20"/>
                <w:szCs w:val="20"/>
                <w:color w:val="auto"/>
              </w:rPr>
            </w:pPr>
            <w:r>
              <w:rPr>
                <w:rFonts w:ascii="Arial" w:cs="Arial" w:eastAsia="Arial" w:hAnsi="Arial"/>
                <w:sz w:val="22"/>
                <w:szCs w:val="22"/>
                <w:color w:val="auto"/>
                <w:w w:val="88"/>
              </w:rPr>
              <w:t>Share Units</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72"/>
              <w:spacing w:after="0" w:line="251" w:lineRule="exact"/>
              <w:rPr>
                <w:sz w:val="20"/>
                <w:szCs w:val="20"/>
                <w:color w:val="auto"/>
              </w:rPr>
            </w:pPr>
            <w:r>
              <w:rPr>
                <w:rFonts w:ascii="Arial" w:cs="Arial" w:eastAsia="Arial" w:hAnsi="Arial"/>
                <w:sz w:val="22"/>
                <w:szCs w:val="22"/>
                <w:color w:val="auto"/>
                <w:w w:val="87"/>
              </w:rPr>
              <w:t>Fair Value</w:t>
            </w:r>
          </w:p>
        </w:tc>
      </w:tr>
      <w:tr>
        <w:trPr>
          <w:trHeight w:val="223"/>
        </w:trPr>
        <w:tc>
          <w:tcPr>
            <w:tcW w:w="806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Nonvested share units at beginning of period</w:t>
            </w:r>
          </w:p>
        </w:tc>
        <w:tc>
          <w:tcPr>
            <w:tcW w:w="152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283,007</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2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34.57</w:t>
            </w:r>
          </w:p>
        </w:tc>
      </w:tr>
      <w:tr>
        <w:trPr>
          <w:trHeight w:val="230"/>
        </w:trPr>
        <w:tc>
          <w:tcPr>
            <w:tcW w:w="8060" w:type="dxa"/>
            <w:vAlign w:val="bottom"/>
          </w:tcPr>
          <w:p>
            <w:pPr>
              <w:ind w:left="120"/>
              <w:spacing w:after="0" w:line="229" w:lineRule="exact"/>
              <w:rPr>
                <w:sz w:val="20"/>
                <w:szCs w:val="20"/>
                <w:color w:val="auto"/>
              </w:rPr>
            </w:pPr>
            <w:r>
              <w:rPr>
                <w:rFonts w:ascii="Arial" w:cs="Arial" w:eastAsia="Arial" w:hAnsi="Arial"/>
                <w:sz w:val="22"/>
                <w:szCs w:val="22"/>
                <w:color w:val="auto"/>
              </w:rPr>
              <w:t>Granted</w:t>
            </w:r>
          </w:p>
        </w:tc>
        <w:tc>
          <w:tcPr>
            <w:tcW w:w="1520" w:type="dxa"/>
            <w:vAlign w:val="bottom"/>
          </w:tcPr>
          <w:p>
            <w:pPr>
              <w:jc w:val="right"/>
              <w:spacing w:after="0" w:line="229" w:lineRule="exact"/>
              <w:rPr>
                <w:sz w:val="20"/>
                <w:szCs w:val="20"/>
                <w:color w:val="auto"/>
              </w:rPr>
            </w:pPr>
            <w:r>
              <w:rPr>
                <w:rFonts w:ascii="Arial" w:cs="Arial" w:eastAsia="Arial" w:hAnsi="Arial"/>
                <w:sz w:val="22"/>
                <w:szCs w:val="22"/>
                <w:color w:val="auto"/>
              </w:rPr>
              <w:t>152,142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line="229" w:lineRule="exact"/>
              <w:rPr>
                <w:sz w:val="20"/>
                <w:szCs w:val="20"/>
                <w:color w:val="auto"/>
              </w:rPr>
            </w:pPr>
            <w:r>
              <w:rPr>
                <w:rFonts w:ascii="Arial" w:cs="Arial" w:eastAsia="Arial" w:hAnsi="Arial"/>
                <w:sz w:val="22"/>
                <w:szCs w:val="22"/>
                <w:color w:val="auto"/>
              </w:rPr>
              <w:t>43.18</w:t>
            </w:r>
          </w:p>
        </w:tc>
      </w:tr>
      <w:tr>
        <w:trPr>
          <w:trHeight w:val="229"/>
        </w:trPr>
        <w:tc>
          <w:tcPr>
            <w:tcW w:w="806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Performance criteria adjustment</w:t>
            </w:r>
          </w:p>
        </w:tc>
        <w:tc>
          <w:tcPr>
            <w:tcW w:w="15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28,057</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53.63</w:t>
            </w:r>
          </w:p>
        </w:tc>
      </w:tr>
      <w:tr>
        <w:trPr>
          <w:trHeight w:val="229"/>
        </w:trPr>
        <w:tc>
          <w:tcPr>
            <w:tcW w:w="8060" w:type="dxa"/>
            <w:vAlign w:val="bottom"/>
          </w:tcPr>
          <w:p>
            <w:pPr>
              <w:ind w:left="120"/>
              <w:spacing w:after="0" w:line="229" w:lineRule="exact"/>
              <w:rPr>
                <w:sz w:val="20"/>
                <w:szCs w:val="20"/>
                <w:color w:val="auto"/>
              </w:rPr>
            </w:pPr>
            <w:r>
              <w:rPr>
                <w:rFonts w:ascii="Arial" w:cs="Arial" w:eastAsia="Arial" w:hAnsi="Arial"/>
                <w:sz w:val="22"/>
                <w:szCs w:val="22"/>
                <w:color w:val="auto"/>
              </w:rPr>
              <w:t>Forfeited</w:t>
            </w:r>
          </w:p>
        </w:tc>
        <w:tc>
          <w:tcPr>
            <w:tcW w:w="1520" w:type="dxa"/>
            <w:vAlign w:val="bottom"/>
          </w:tcPr>
          <w:p>
            <w:pPr>
              <w:jc w:val="right"/>
              <w:spacing w:after="0" w:line="229" w:lineRule="exact"/>
              <w:rPr>
                <w:sz w:val="20"/>
                <w:szCs w:val="20"/>
                <w:color w:val="auto"/>
              </w:rPr>
            </w:pPr>
            <w:r>
              <w:rPr>
                <w:rFonts w:ascii="Arial" w:cs="Arial" w:eastAsia="Arial" w:hAnsi="Arial"/>
                <w:sz w:val="22"/>
                <w:szCs w:val="22"/>
                <w:color w:val="auto"/>
              </w:rPr>
              <w:t>(3,584)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line="229" w:lineRule="exact"/>
              <w:rPr>
                <w:sz w:val="20"/>
                <w:szCs w:val="20"/>
                <w:color w:val="auto"/>
              </w:rPr>
            </w:pPr>
            <w:r>
              <w:rPr>
                <w:rFonts w:ascii="Arial" w:cs="Arial" w:eastAsia="Arial" w:hAnsi="Arial"/>
                <w:sz w:val="22"/>
                <w:szCs w:val="22"/>
                <w:color w:val="auto"/>
              </w:rPr>
              <w:t>46.81</w:t>
            </w:r>
          </w:p>
        </w:tc>
      </w:tr>
      <w:tr>
        <w:trPr>
          <w:trHeight w:val="230"/>
        </w:trPr>
        <w:tc>
          <w:tcPr>
            <w:tcW w:w="806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Share units issued</w:t>
            </w:r>
          </w:p>
        </w:tc>
        <w:tc>
          <w:tcPr>
            <w:tcW w:w="152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(141,328)</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31.36</w:t>
            </w:r>
          </w:p>
        </w:tc>
      </w:tr>
      <w:tr>
        <w:trPr>
          <w:trHeight w:val="223"/>
        </w:trPr>
        <w:tc>
          <w:tcPr>
            <w:tcW w:w="8060" w:type="dxa"/>
            <w:vAlign w:val="bottom"/>
          </w:tcPr>
          <w:p>
            <w:pPr>
              <w:spacing w:after="0" w:line="223" w:lineRule="exact"/>
              <w:rPr>
                <w:sz w:val="20"/>
                <w:szCs w:val="20"/>
                <w:color w:val="auto"/>
              </w:rPr>
            </w:pPr>
            <w:r>
              <w:rPr>
                <w:rFonts w:ascii="Arial" w:cs="Arial" w:eastAsia="Arial" w:hAnsi="Arial"/>
                <w:sz w:val="22"/>
                <w:szCs w:val="22"/>
                <w:color w:val="auto"/>
              </w:rPr>
              <w:t>Nonvested share units at end of period</w:t>
            </w:r>
          </w:p>
        </w:tc>
        <w:tc>
          <w:tcPr>
            <w:tcW w:w="15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318,294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line="223" w:lineRule="exact"/>
              <w:rPr>
                <w:sz w:val="20"/>
                <w:szCs w:val="20"/>
                <w:color w:val="auto"/>
              </w:rPr>
            </w:pPr>
            <w:r>
              <w:rPr>
                <w:rFonts w:ascii="Arial" w:cs="Arial" w:eastAsia="Arial" w:hAnsi="Arial"/>
                <w:sz w:val="22"/>
                <w:szCs w:val="22"/>
                <w:color w:val="auto"/>
              </w:rPr>
              <w:t>41.54</w:t>
            </w:r>
          </w:p>
        </w:tc>
      </w:tr>
      <w:tr>
        <w:trPr>
          <w:trHeight w:val="20"/>
        </w:trPr>
        <w:tc>
          <w:tcPr>
            <w:tcW w:w="80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35"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color w:val="auto"/>
        </w:rPr>
        <w:t>A portion of the fair value of PSUs was estimated at the grant date based on the probability of satisfying the market-based conditions using the Monte Carlo valuation method, which assesses probabilities of various outcomes of market conditions. The other portion of the fair value of the PSUs is based on the fair market value of the Company’s stock at the grant date, regardless of whether the market-based condition is satisfied. The per unit weighted-average fair value at the date of grant for PSUs granted during the six months ended June 30, 2021 and 2020 was $43.18 and $55.65, respectively. The fair value of each PSU grant is amortized monthly into compensation expense on a straight-line basis over their respective vesting periods, generally 36 months. The accrual of compensation costs is based on the Company’s estimate of the final expected value of the award and is adjusted as required for the portion based on the performance-based condition. The Company assumes that forfeitures will be minimal, and recognizes forfeitures as they occur, which results in a reduction in compensation expense. As the payout of the PSUs includes dividend equivalents, no separate dividend yield assumption is required in calculating the fair value of the PSUs. The recording of compensation expense for PSUs has no impact on net cash flows.</w:t>
      </w:r>
    </w:p>
    <w:p>
      <w:pPr>
        <w:spacing w:after="0" w:line="170" w:lineRule="exact"/>
        <w:rPr>
          <w:sz w:val="20"/>
          <w:szCs w:val="20"/>
          <w:color w:val="auto"/>
        </w:rPr>
      </w:pPr>
    </w:p>
    <w:p>
      <w:pPr>
        <w:ind w:right="60"/>
        <w:spacing w:after="0" w:line="235" w:lineRule="auto"/>
        <w:rPr>
          <w:sz w:val="20"/>
          <w:szCs w:val="20"/>
          <w:color w:val="auto"/>
        </w:rPr>
      </w:pPr>
      <w:r>
        <w:rPr>
          <w:rFonts w:ascii="Arial" w:cs="Arial" w:eastAsia="Arial" w:hAnsi="Arial"/>
          <w:sz w:val="21"/>
          <w:szCs w:val="21"/>
          <w:b w:val="1"/>
          <w:bCs w:val="1"/>
          <w:i w:val="1"/>
          <w:iCs w:val="1"/>
          <w:color w:val="auto"/>
        </w:rPr>
        <w:t xml:space="preserve">Restricted Stock Units </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 restricted stock unit (“RSU”) represents the right to receive a share of the Company’s common stock.</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RSUs are eligible to be earned at the end of a specified restricted period, which is generally three years, beginning on the date of grant. The Company assumes that forfeitures will be minimal and recognizes forfeitures as they occur, which results in a reduction in compensation expense. As the payout of the RSUs includes dividend equivalents, no separate dividend yield assumption is required in calculating the fair value of the RSUs. The following table provides the compensation cost and income tax benefit for stock-based compensation related to RSUs: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0" w:type="dxa"/>
            <w:vAlign w:val="bottom"/>
            <w:gridSpan w:val="4"/>
          </w:tcPr>
          <w:p>
            <w:pPr>
              <w:jc w:val="center"/>
              <w:ind w:left="312"/>
              <w:spacing w:after="0"/>
              <w:rPr>
                <w:sz w:val="20"/>
                <w:szCs w:val="20"/>
                <w:color w:val="auto"/>
              </w:rPr>
            </w:pPr>
            <w:r>
              <w:rPr>
                <w:rFonts w:ascii="Arial" w:cs="Arial" w:eastAsia="Arial" w:hAnsi="Arial"/>
                <w:sz w:val="22"/>
                <w:szCs w:val="22"/>
                <w:color w:val="auto"/>
                <w:w w:val="88"/>
              </w:rPr>
              <w:t>Three Months Ended</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0" w:type="dxa"/>
            <w:vAlign w:val="bottom"/>
            <w:gridSpan w:val="4"/>
          </w:tcPr>
          <w:p>
            <w:pPr>
              <w:jc w:val="center"/>
              <w:ind w:right="232"/>
              <w:spacing w:after="0"/>
              <w:rPr>
                <w:sz w:val="20"/>
                <w:szCs w:val="20"/>
                <w:color w:val="auto"/>
              </w:rPr>
            </w:pPr>
            <w:r>
              <w:rPr>
                <w:rFonts w:ascii="Arial" w:cs="Arial" w:eastAsia="Arial" w:hAnsi="Arial"/>
                <w:sz w:val="22"/>
                <w:szCs w:val="22"/>
                <w:color w:val="auto"/>
                <w:w w:val="90"/>
              </w:rPr>
              <w:t>Six Months Ended</w:t>
            </w:r>
          </w:p>
        </w:tc>
      </w:tr>
      <w:tr>
        <w:trPr>
          <w:trHeight w:val="251"/>
        </w:trPr>
        <w:tc>
          <w:tcPr>
            <w:tcW w:w="4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center"/>
              <w:ind w:right="480"/>
              <w:spacing w:after="0" w:line="251" w:lineRule="exact"/>
              <w:rPr>
                <w:sz w:val="20"/>
                <w:szCs w:val="20"/>
                <w:color w:val="auto"/>
              </w:rPr>
            </w:pPr>
            <w:r>
              <w:rPr>
                <w:rFonts w:ascii="Arial" w:cs="Arial" w:eastAsia="Arial" w:hAnsi="Arial"/>
                <w:sz w:val="22"/>
                <w:szCs w:val="22"/>
                <w:color w:val="auto"/>
                <w:w w:val="85"/>
              </w:rPr>
              <w:t>June 30,</w:t>
            </w:r>
          </w:p>
        </w:tc>
        <w:tc>
          <w:tcPr>
            <w:tcW w:w="4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center"/>
              <w:ind w:left="732"/>
              <w:spacing w:after="0" w:line="251" w:lineRule="exact"/>
              <w:rPr>
                <w:sz w:val="20"/>
                <w:szCs w:val="20"/>
                <w:color w:val="auto"/>
              </w:rPr>
            </w:pPr>
            <w:r>
              <w:rPr>
                <w:rFonts w:ascii="Arial" w:cs="Arial" w:eastAsia="Arial" w:hAnsi="Arial"/>
                <w:sz w:val="22"/>
                <w:szCs w:val="22"/>
                <w:color w:val="auto"/>
                <w:w w:val="85"/>
              </w:rPr>
              <w:t>June 30,</w:t>
            </w:r>
          </w:p>
        </w:tc>
        <w:tc>
          <w:tcPr>
            <w:tcW w:w="1160" w:type="dxa"/>
            <w:vAlign w:val="bottom"/>
            <w:tcBorders>
              <w:bottom w:val="single" w:sz="8" w:color="auto"/>
            </w:tcBorders>
          </w:tcPr>
          <w:p>
            <w:pPr>
              <w:spacing w:after="0"/>
              <w:rPr>
                <w:sz w:val="21"/>
                <w:szCs w:val="21"/>
                <w:color w:val="auto"/>
              </w:rPr>
            </w:pPr>
          </w:p>
        </w:tc>
      </w:tr>
      <w:tr>
        <w:trPr>
          <w:trHeight w:val="223"/>
        </w:trPr>
        <w:tc>
          <w:tcPr>
            <w:tcW w:w="4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Arial" w:cs="Arial" w:eastAsia="Arial" w:hAnsi="Arial"/>
                <w:sz w:val="22"/>
                <w:szCs w:val="22"/>
                <w:color w:val="auto"/>
              </w:rPr>
              <w:t>2021</w:t>
            </w:r>
          </w:p>
        </w:tc>
        <w:tc>
          <w:tcPr>
            <w:tcW w:w="400" w:type="dxa"/>
            <w:vAlign w:val="bottom"/>
          </w:tcPr>
          <w:p>
            <w:pPr>
              <w:spacing w:after="0"/>
              <w:rPr>
                <w:sz w:val="19"/>
                <w:szCs w:val="19"/>
                <w:color w:val="auto"/>
              </w:rPr>
            </w:pPr>
          </w:p>
        </w:tc>
        <w:tc>
          <w:tcPr>
            <w:tcW w:w="1120" w:type="dxa"/>
            <w:vAlign w:val="bottom"/>
            <w:gridSpan w:val="2"/>
          </w:tcPr>
          <w:p>
            <w:pPr>
              <w:jc w:val="right"/>
              <w:ind w:right="40"/>
              <w:spacing w:after="0" w:line="223" w:lineRule="exact"/>
              <w:rPr>
                <w:sz w:val="20"/>
                <w:szCs w:val="20"/>
                <w:color w:val="auto"/>
              </w:rPr>
            </w:pPr>
            <w:r>
              <w:rPr>
                <w:rFonts w:ascii="Arial" w:cs="Arial" w:eastAsia="Arial" w:hAnsi="Arial"/>
                <w:sz w:val="22"/>
                <w:szCs w:val="22"/>
                <w:color w:val="auto"/>
              </w:rPr>
              <w:t>2020</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472"/>
              <w:spacing w:after="0" w:line="223" w:lineRule="exact"/>
              <w:rPr>
                <w:sz w:val="20"/>
                <w:szCs w:val="20"/>
                <w:color w:val="auto"/>
              </w:rPr>
            </w:pPr>
            <w:r>
              <w:rPr>
                <w:rFonts w:ascii="Arial" w:cs="Arial" w:eastAsia="Arial" w:hAnsi="Arial"/>
                <w:sz w:val="22"/>
                <w:szCs w:val="22"/>
                <w:color w:val="auto"/>
              </w:rPr>
              <w:t>2021</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ind w:right="452"/>
              <w:spacing w:after="0" w:line="223" w:lineRule="exact"/>
              <w:rPr>
                <w:sz w:val="20"/>
                <w:szCs w:val="20"/>
                <w:color w:val="auto"/>
              </w:rPr>
            </w:pPr>
            <w:r>
              <w:rPr>
                <w:rFonts w:ascii="Arial" w:cs="Arial" w:eastAsia="Arial" w:hAnsi="Arial"/>
                <w:sz w:val="22"/>
                <w:szCs w:val="22"/>
                <w:color w:val="auto"/>
              </w:rPr>
              <w:t>2020</w:t>
            </w:r>
          </w:p>
        </w:tc>
      </w:tr>
      <w:tr>
        <w:trPr>
          <w:trHeight w:val="188"/>
        </w:trPr>
        <w:tc>
          <w:tcPr>
            <w:tcW w:w="454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21"/>
                <w:szCs w:val="21"/>
                <w:color w:val="auto"/>
                <w:w w:val="98"/>
              </w:rPr>
              <w:t>Stock-based compensation within operations and</w:t>
            </w:r>
          </w:p>
        </w:tc>
        <w:tc>
          <w:tcPr>
            <w:tcW w:w="3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r>
      <w:tr>
        <w:trPr>
          <w:trHeight w:val="251"/>
        </w:trPr>
        <w:tc>
          <w:tcPr>
            <w:tcW w:w="4540" w:type="dxa"/>
            <w:vAlign w:val="bottom"/>
            <w:shd w:val="clear" w:color="auto" w:fill="CCEEFF"/>
          </w:tcPr>
          <w:p>
            <w:pPr>
              <w:spacing w:after="0" w:line="251" w:lineRule="exact"/>
              <w:rPr>
                <w:sz w:val="20"/>
                <w:szCs w:val="20"/>
                <w:color w:val="auto"/>
              </w:rPr>
            </w:pPr>
            <w:r>
              <w:rPr>
                <w:rFonts w:ascii="Arial" w:cs="Arial" w:eastAsia="Arial" w:hAnsi="Arial"/>
                <w:sz w:val="22"/>
                <w:szCs w:val="22"/>
                <w:color w:val="auto"/>
              </w:rPr>
              <w:t>maintenance expenses</w:t>
            </w:r>
          </w:p>
        </w:tc>
        <w:tc>
          <w:tcPr>
            <w:tcW w:w="1200" w:type="dxa"/>
            <w:vAlign w:val="bottom"/>
            <w:gridSpan w:val="2"/>
            <w:shd w:val="clear" w:color="auto" w:fill="CCEEFF"/>
          </w:tcPr>
          <w:p>
            <w:pPr>
              <w:jc w:val="right"/>
              <w:ind w:right="672"/>
              <w:spacing w:after="0" w:line="251" w:lineRule="exact"/>
              <w:rPr>
                <w:sz w:val="20"/>
                <w:szCs w:val="20"/>
                <w:color w:val="auto"/>
              </w:rPr>
            </w:pPr>
            <w:r>
              <w:rPr>
                <w:rFonts w:ascii="Arial" w:cs="Arial" w:eastAsia="Arial" w:hAnsi="Arial"/>
                <w:sz w:val="22"/>
                <w:szCs w:val="22"/>
                <w:color w:val="auto"/>
              </w:rPr>
              <w:t>$</w:t>
            </w:r>
          </w:p>
        </w:tc>
        <w:tc>
          <w:tcPr>
            <w:tcW w:w="40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w w:val="87"/>
              </w:rPr>
              <w:t>761</w:t>
            </w:r>
          </w:p>
        </w:tc>
        <w:tc>
          <w:tcPr>
            <w:tcW w:w="1120" w:type="dxa"/>
            <w:vAlign w:val="bottom"/>
            <w:gridSpan w:val="2"/>
            <w:shd w:val="clear" w:color="auto" w:fill="CCEEFF"/>
          </w:tcPr>
          <w:p>
            <w:pPr>
              <w:jc w:val="right"/>
              <w:ind w:right="820"/>
              <w:spacing w:after="0" w:line="251" w:lineRule="exact"/>
              <w:rPr>
                <w:sz w:val="20"/>
                <w:szCs w:val="20"/>
                <w:color w:val="auto"/>
              </w:rPr>
            </w:pPr>
            <w:r>
              <w:rPr>
                <w:rFonts w:ascii="Arial" w:cs="Arial" w:eastAsia="Arial" w:hAnsi="Arial"/>
                <w:sz w:val="22"/>
                <w:szCs w:val="22"/>
                <w:color w:val="auto"/>
              </w:rPr>
              <w:t>$</w:t>
            </w:r>
          </w:p>
        </w:tc>
        <w:tc>
          <w:tcPr>
            <w:tcW w:w="42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w w:val="92"/>
              </w:rPr>
              <w:t>554</w:t>
            </w:r>
          </w:p>
        </w:tc>
        <w:tc>
          <w:tcPr>
            <w:tcW w:w="560" w:type="dxa"/>
            <w:vAlign w:val="bottom"/>
            <w:gridSpan w:val="2"/>
            <w:shd w:val="clear" w:color="auto" w:fill="CCEEFF"/>
          </w:tcPr>
          <w:p>
            <w:pPr>
              <w:jc w:val="right"/>
              <w:ind w:right="220"/>
              <w:spacing w:after="0" w:line="251" w:lineRule="exact"/>
              <w:rPr>
                <w:sz w:val="20"/>
                <w:szCs w:val="20"/>
                <w:color w:val="auto"/>
              </w:rPr>
            </w:pPr>
            <w:r>
              <w:rPr>
                <w:rFonts w:ascii="Arial" w:cs="Arial" w:eastAsia="Arial" w:hAnsi="Arial"/>
                <w:sz w:val="22"/>
                <w:szCs w:val="22"/>
                <w:color w:val="auto"/>
              </w:rPr>
              <w:t>$</w:t>
            </w:r>
          </w:p>
        </w:tc>
        <w:tc>
          <w:tcPr>
            <w:tcW w:w="124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1,365</w:t>
            </w:r>
          </w:p>
        </w:tc>
        <w:tc>
          <w:tcPr>
            <w:tcW w:w="2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03"/>
              <w:spacing w:after="0"/>
              <w:rPr>
                <w:sz w:val="20"/>
                <w:szCs w:val="20"/>
                <w:color w:val="auto"/>
              </w:rPr>
            </w:pPr>
            <w:r>
              <w:rPr>
                <w:rFonts w:ascii="Arial" w:cs="Arial" w:eastAsia="Arial" w:hAnsi="Arial"/>
                <w:sz w:val="19"/>
                <w:szCs w:val="19"/>
                <w:color w:val="auto"/>
                <w:w w:val="75"/>
              </w:rPr>
              <w:t>$</w:t>
            </w:r>
          </w:p>
        </w:tc>
        <w:tc>
          <w:tcPr>
            <w:tcW w:w="116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1,032</w:t>
            </w:r>
          </w:p>
        </w:tc>
      </w:tr>
      <w:tr>
        <w:trPr>
          <w:trHeight w:val="274"/>
        </w:trPr>
        <w:tc>
          <w:tcPr>
            <w:tcW w:w="4540" w:type="dxa"/>
            <w:vAlign w:val="bottom"/>
          </w:tcPr>
          <w:p>
            <w:pPr>
              <w:spacing w:after="0"/>
              <w:rPr>
                <w:sz w:val="20"/>
                <w:szCs w:val="20"/>
                <w:color w:val="auto"/>
              </w:rPr>
            </w:pPr>
            <w:r>
              <w:rPr>
                <w:rFonts w:ascii="Arial" w:cs="Arial" w:eastAsia="Arial" w:hAnsi="Arial"/>
                <w:sz w:val="22"/>
                <w:szCs w:val="22"/>
                <w:color w:val="auto"/>
              </w:rPr>
              <w:t>Income tax benefit</w:t>
            </w: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22"/>
                <w:szCs w:val="22"/>
                <w:color w:val="auto"/>
                <w:w w:val="87"/>
              </w:rPr>
              <w:t>212</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22"/>
                <w:szCs w:val="22"/>
                <w:color w:val="auto"/>
                <w:w w:val="92"/>
              </w:rPr>
              <w:t>154</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381</w:t>
            </w: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290</w:t>
            </w:r>
          </w:p>
        </w:tc>
      </w:tr>
      <w:tr>
        <w:trPr>
          <w:trHeight w:val="451"/>
        </w:trPr>
        <w:tc>
          <w:tcPr>
            <w:tcW w:w="454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22"/>
                <w:szCs w:val="22"/>
                <w:color w:val="auto"/>
              </w:rPr>
              <w:t>26</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07"/>
        </w:trPr>
        <w:tc>
          <w:tcPr>
            <w:tcW w:w="4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7" w:name="page28"/>
    <w:bookmarkEnd w:id="27"/>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RSU transactions for the six months ended June 30, 2021:</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940" w:type="dxa"/>
            <w:vAlign w:val="bottom"/>
          </w:tcPr>
          <w:p>
            <w:pPr>
              <w:spacing w:after="0"/>
              <w:rPr>
                <w:sz w:val="21"/>
                <w:szCs w:val="21"/>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22"/>
                <w:szCs w:val="22"/>
                <w:color w:val="auto"/>
                <w:w w:val="89"/>
              </w:rPr>
              <w:t>Number</w:t>
            </w:r>
          </w:p>
        </w:tc>
        <w:tc>
          <w:tcPr>
            <w:tcW w:w="240" w:type="dxa"/>
            <w:vAlign w:val="bottom"/>
          </w:tcPr>
          <w:p>
            <w:pPr>
              <w:spacing w:after="0"/>
              <w:rPr>
                <w:sz w:val="21"/>
                <w:szCs w:val="21"/>
                <w:color w:val="auto"/>
              </w:rPr>
            </w:pPr>
          </w:p>
        </w:tc>
        <w:tc>
          <w:tcPr>
            <w:tcW w:w="1380" w:type="dxa"/>
            <w:vAlign w:val="bottom"/>
          </w:tcPr>
          <w:p>
            <w:pPr>
              <w:jc w:val="center"/>
              <w:ind w:right="132"/>
              <w:spacing w:after="0"/>
              <w:rPr>
                <w:sz w:val="20"/>
                <w:szCs w:val="20"/>
                <w:color w:val="auto"/>
              </w:rPr>
            </w:pPr>
            <w:r>
              <w:rPr>
                <w:rFonts w:ascii="Arial" w:cs="Arial" w:eastAsia="Arial" w:hAnsi="Arial"/>
                <w:sz w:val="22"/>
                <w:szCs w:val="22"/>
                <w:color w:val="auto"/>
                <w:w w:val="88"/>
              </w:rPr>
              <w:t>Weighted</w:t>
            </w:r>
          </w:p>
        </w:tc>
      </w:tr>
      <w:tr>
        <w:trPr>
          <w:trHeight w:val="229"/>
        </w:trPr>
        <w:tc>
          <w:tcPr>
            <w:tcW w:w="7940" w:type="dxa"/>
            <w:vAlign w:val="bottom"/>
          </w:tcPr>
          <w:p>
            <w:pPr>
              <w:spacing w:after="0"/>
              <w:rPr>
                <w:sz w:val="19"/>
                <w:szCs w:val="19"/>
                <w:color w:val="auto"/>
              </w:rPr>
            </w:pPr>
          </w:p>
        </w:tc>
        <w:tc>
          <w:tcPr>
            <w:tcW w:w="1680" w:type="dxa"/>
            <w:vAlign w:val="bottom"/>
            <w:gridSpan w:val="2"/>
          </w:tcPr>
          <w:p>
            <w:pPr>
              <w:jc w:val="center"/>
              <w:ind w:right="220"/>
              <w:spacing w:after="0" w:line="229" w:lineRule="exact"/>
              <w:rPr>
                <w:sz w:val="20"/>
                <w:szCs w:val="20"/>
                <w:color w:val="auto"/>
              </w:rPr>
            </w:pPr>
            <w:r>
              <w:rPr>
                <w:rFonts w:ascii="Arial" w:cs="Arial" w:eastAsia="Arial" w:hAnsi="Arial"/>
                <w:sz w:val="22"/>
                <w:szCs w:val="22"/>
                <w:color w:val="auto"/>
                <w:w w:val="97"/>
              </w:rPr>
              <w:t>of</w:t>
            </w:r>
          </w:p>
        </w:tc>
        <w:tc>
          <w:tcPr>
            <w:tcW w:w="240" w:type="dxa"/>
            <w:vAlign w:val="bottom"/>
          </w:tcPr>
          <w:p>
            <w:pPr>
              <w:spacing w:after="0"/>
              <w:rPr>
                <w:sz w:val="19"/>
                <w:szCs w:val="19"/>
                <w:color w:val="auto"/>
              </w:rPr>
            </w:pPr>
          </w:p>
        </w:tc>
        <w:tc>
          <w:tcPr>
            <w:tcW w:w="1380" w:type="dxa"/>
            <w:vAlign w:val="bottom"/>
          </w:tcPr>
          <w:p>
            <w:pPr>
              <w:jc w:val="center"/>
              <w:ind w:right="132"/>
              <w:spacing w:after="0" w:line="229" w:lineRule="exact"/>
              <w:rPr>
                <w:sz w:val="20"/>
                <w:szCs w:val="20"/>
                <w:color w:val="auto"/>
              </w:rPr>
            </w:pPr>
            <w:r>
              <w:rPr>
                <w:rFonts w:ascii="Arial" w:cs="Arial" w:eastAsia="Arial" w:hAnsi="Arial"/>
                <w:sz w:val="22"/>
                <w:szCs w:val="22"/>
                <w:color w:val="auto"/>
                <w:w w:val="85"/>
              </w:rPr>
              <w:t>Average</w:t>
            </w:r>
          </w:p>
        </w:tc>
      </w:tr>
      <w:tr>
        <w:trPr>
          <w:trHeight w:val="251"/>
        </w:trPr>
        <w:tc>
          <w:tcPr>
            <w:tcW w:w="7940" w:type="dxa"/>
            <w:vAlign w:val="bottom"/>
          </w:tcPr>
          <w:p>
            <w:pPr>
              <w:spacing w:after="0"/>
              <w:rPr>
                <w:sz w:val="21"/>
                <w:szCs w:val="21"/>
                <w:color w:val="auto"/>
              </w:rPr>
            </w:pPr>
          </w:p>
        </w:tc>
        <w:tc>
          <w:tcPr>
            <w:tcW w:w="1680" w:type="dxa"/>
            <w:vAlign w:val="bottom"/>
            <w:gridSpan w:val="2"/>
          </w:tcPr>
          <w:p>
            <w:pPr>
              <w:jc w:val="center"/>
              <w:ind w:right="220"/>
              <w:spacing w:after="0" w:line="251" w:lineRule="exact"/>
              <w:rPr>
                <w:sz w:val="20"/>
                <w:szCs w:val="20"/>
                <w:color w:val="auto"/>
              </w:rPr>
            </w:pPr>
            <w:r>
              <w:rPr>
                <w:rFonts w:ascii="Arial" w:cs="Arial" w:eastAsia="Arial" w:hAnsi="Arial"/>
                <w:sz w:val="22"/>
                <w:szCs w:val="22"/>
                <w:color w:val="auto"/>
                <w:w w:val="91"/>
              </w:rPr>
              <w:t>Stock Units</w:t>
            </w:r>
          </w:p>
        </w:tc>
        <w:tc>
          <w:tcPr>
            <w:tcW w:w="240" w:type="dxa"/>
            <w:vAlign w:val="bottom"/>
          </w:tcPr>
          <w:p>
            <w:pPr>
              <w:spacing w:after="0"/>
              <w:rPr>
                <w:sz w:val="21"/>
                <w:szCs w:val="21"/>
                <w:color w:val="auto"/>
              </w:rPr>
            </w:pPr>
          </w:p>
        </w:tc>
        <w:tc>
          <w:tcPr>
            <w:tcW w:w="1380" w:type="dxa"/>
            <w:vAlign w:val="bottom"/>
          </w:tcPr>
          <w:p>
            <w:pPr>
              <w:jc w:val="center"/>
              <w:ind w:right="132"/>
              <w:spacing w:after="0" w:line="251" w:lineRule="exact"/>
              <w:rPr>
                <w:sz w:val="20"/>
                <w:szCs w:val="20"/>
                <w:color w:val="auto"/>
              </w:rPr>
            </w:pPr>
            <w:r>
              <w:rPr>
                <w:rFonts w:ascii="Arial" w:cs="Arial" w:eastAsia="Arial" w:hAnsi="Arial"/>
                <w:sz w:val="22"/>
                <w:szCs w:val="22"/>
                <w:color w:val="auto"/>
                <w:w w:val="89"/>
              </w:rPr>
              <w:t>Fair Value</w:t>
            </w:r>
          </w:p>
        </w:tc>
      </w:tr>
      <w:tr>
        <w:trPr>
          <w:trHeight w:val="223"/>
        </w:trPr>
        <w:tc>
          <w:tcPr>
            <w:tcW w:w="794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Nonvested stock units at beginning of period</w:t>
            </w:r>
          </w:p>
        </w:tc>
        <w:tc>
          <w:tcPr>
            <w:tcW w:w="14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163,906</w:t>
            </w:r>
          </w:p>
        </w:tc>
        <w:tc>
          <w:tcPr>
            <w:tcW w:w="2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9"/>
                <w:szCs w:val="19"/>
                <w:color w:val="auto"/>
                <w:w w:val="75"/>
              </w:rPr>
              <w:t>$</w:t>
            </w:r>
          </w:p>
        </w:tc>
        <w:tc>
          <w:tcPr>
            <w:tcW w:w="13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40.80</w:t>
            </w:r>
          </w:p>
        </w:tc>
      </w:tr>
      <w:tr>
        <w:trPr>
          <w:trHeight w:val="230"/>
        </w:trPr>
        <w:tc>
          <w:tcPr>
            <w:tcW w:w="7940" w:type="dxa"/>
            <w:vAlign w:val="bottom"/>
          </w:tcPr>
          <w:p>
            <w:pPr>
              <w:ind w:left="120"/>
              <w:spacing w:after="0" w:line="229" w:lineRule="exact"/>
              <w:rPr>
                <w:sz w:val="20"/>
                <w:szCs w:val="20"/>
                <w:color w:val="auto"/>
              </w:rPr>
            </w:pPr>
            <w:r>
              <w:rPr>
                <w:rFonts w:ascii="Arial" w:cs="Arial" w:eastAsia="Arial" w:hAnsi="Arial"/>
                <w:sz w:val="22"/>
                <w:szCs w:val="22"/>
                <w:color w:val="auto"/>
              </w:rPr>
              <w:t>Granted</w:t>
            </w:r>
          </w:p>
        </w:tc>
        <w:tc>
          <w:tcPr>
            <w:tcW w:w="1460" w:type="dxa"/>
            <w:vAlign w:val="bottom"/>
          </w:tcPr>
          <w:p>
            <w:pPr>
              <w:jc w:val="right"/>
              <w:spacing w:after="0" w:line="229" w:lineRule="exact"/>
              <w:rPr>
                <w:sz w:val="20"/>
                <w:szCs w:val="20"/>
                <w:color w:val="auto"/>
              </w:rPr>
            </w:pPr>
            <w:r>
              <w:rPr>
                <w:rFonts w:ascii="Arial" w:cs="Arial" w:eastAsia="Arial" w:hAnsi="Arial"/>
                <w:sz w:val="22"/>
                <w:szCs w:val="22"/>
                <w:color w:val="auto"/>
              </w:rPr>
              <w:t>85,829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line="229" w:lineRule="exact"/>
              <w:rPr>
                <w:sz w:val="20"/>
                <w:szCs w:val="20"/>
                <w:color w:val="auto"/>
              </w:rPr>
            </w:pPr>
            <w:r>
              <w:rPr>
                <w:rFonts w:ascii="Arial" w:cs="Arial" w:eastAsia="Arial" w:hAnsi="Arial"/>
                <w:sz w:val="22"/>
                <w:szCs w:val="22"/>
                <w:color w:val="auto"/>
              </w:rPr>
              <w:t>44.44</w:t>
            </w:r>
          </w:p>
        </w:tc>
      </w:tr>
      <w:tr>
        <w:trPr>
          <w:trHeight w:val="229"/>
        </w:trPr>
        <w:tc>
          <w:tcPr>
            <w:tcW w:w="794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Stock units vested and issued</w:t>
            </w:r>
          </w:p>
        </w:tc>
        <w:tc>
          <w:tcPr>
            <w:tcW w:w="1680" w:type="dxa"/>
            <w:vAlign w:val="bottom"/>
            <w:gridSpan w:val="2"/>
            <w:shd w:val="clear" w:color="auto" w:fill="CCEEFF"/>
          </w:tcPr>
          <w:p>
            <w:pPr>
              <w:jc w:val="right"/>
              <w:ind w:right="220"/>
              <w:spacing w:after="0" w:line="229" w:lineRule="exact"/>
              <w:rPr>
                <w:sz w:val="20"/>
                <w:szCs w:val="20"/>
                <w:color w:val="auto"/>
              </w:rPr>
            </w:pPr>
            <w:r>
              <w:rPr>
                <w:rFonts w:ascii="Arial" w:cs="Arial" w:eastAsia="Arial" w:hAnsi="Arial"/>
                <w:sz w:val="22"/>
                <w:szCs w:val="22"/>
                <w:color w:val="auto"/>
              </w:rPr>
              <w:t>(49,182)</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35.27</w:t>
            </w:r>
          </w:p>
        </w:tc>
      </w:tr>
      <w:tr>
        <w:trPr>
          <w:trHeight w:val="229"/>
        </w:trPr>
        <w:tc>
          <w:tcPr>
            <w:tcW w:w="7940" w:type="dxa"/>
            <w:vAlign w:val="bottom"/>
          </w:tcPr>
          <w:p>
            <w:pPr>
              <w:ind w:left="120"/>
              <w:spacing w:after="0" w:line="229" w:lineRule="exact"/>
              <w:rPr>
                <w:sz w:val="20"/>
                <w:szCs w:val="20"/>
                <w:color w:val="auto"/>
              </w:rPr>
            </w:pPr>
            <w:r>
              <w:rPr>
                <w:rFonts w:ascii="Arial" w:cs="Arial" w:eastAsia="Arial" w:hAnsi="Arial"/>
                <w:sz w:val="22"/>
                <w:szCs w:val="22"/>
                <w:color w:val="auto"/>
              </w:rPr>
              <w:t>Forfeited</w:t>
            </w:r>
          </w:p>
        </w:tc>
        <w:tc>
          <w:tcPr>
            <w:tcW w:w="1680" w:type="dxa"/>
            <w:vAlign w:val="bottom"/>
            <w:gridSpan w:val="2"/>
          </w:tcPr>
          <w:p>
            <w:pPr>
              <w:jc w:val="right"/>
              <w:ind w:right="220"/>
              <w:spacing w:after="0" w:line="229" w:lineRule="exact"/>
              <w:rPr>
                <w:sz w:val="20"/>
                <w:szCs w:val="20"/>
                <w:color w:val="auto"/>
              </w:rPr>
            </w:pPr>
            <w:r>
              <w:rPr>
                <w:rFonts w:ascii="Arial" w:cs="Arial" w:eastAsia="Arial" w:hAnsi="Arial"/>
                <w:sz w:val="22"/>
                <w:szCs w:val="22"/>
                <w:color w:val="auto"/>
              </w:rPr>
              <w:t>(1,742)</w:t>
            </w:r>
          </w:p>
        </w:tc>
        <w:tc>
          <w:tcPr>
            <w:tcW w:w="240" w:type="dxa"/>
            <w:vAlign w:val="bottom"/>
          </w:tcPr>
          <w:p>
            <w:pPr>
              <w:spacing w:after="0"/>
              <w:rPr>
                <w:sz w:val="19"/>
                <w:szCs w:val="19"/>
                <w:color w:val="auto"/>
              </w:rPr>
            </w:pPr>
          </w:p>
        </w:tc>
        <w:tc>
          <w:tcPr>
            <w:tcW w:w="1380" w:type="dxa"/>
            <w:vAlign w:val="bottom"/>
          </w:tcPr>
          <w:p>
            <w:pPr>
              <w:jc w:val="right"/>
              <w:spacing w:after="0" w:line="229" w:lineRule="exact"/>
              <w:rPr>
                <w:sz w:val="20"/>
                <w:szCs w:val="20"/>
                <w:color w:val="auto"/>
              </w:rPr>
            </w:pPr>
            <w:r>
              <w:rPr>
                <w:rFonts w:ascii="Arial" w:cs="Arial" w:eastAsia="Arial" w:hAnsi="Arial"/>
                <w:sz w:val="22"/>
                <w:szCs w:val="22"/>
                <w:color w:val="auto"/>
              </w:rPr>
              <w:t>42.08</w:t>
            </w:r>
          </w:p>
        </w:tc>
      </w:tr>
      <w:tr>
        <w:trPr>
          <w:trHeight w:val="223"/>
        </w:trPr>
        <w:tc>
          <w:tcPr>
            <w:tcW w:w="7940" w:type="dxa"/>
            <w:vAlign w:val="bottom"/>
            <w:tcBorders>
              <w:top w:val="single" w:sz="8" w:color="CCEEFF"/>
              <w:bottom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Nonvested stock units at end of period</w:t>
            </w:r>
          </w:p>
        </w:tc>
        <w:tc>
          <w:tcPr>
            <w:tcW w:w="14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198,811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CCEEFF"/>
              <w:bottom w:val="single" w:sz="8" w:color="CCEEFF"/>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43.72</w:t>
            </w:r>
          </w:p>
        </w:tc>
      </w:tr>
      <w:tr>
        <w:trPr>
          <w:trHeight w:val="20"/>
        </w:trPr>
        <w:tc>
          <w:tcPr>
            <w:tcW w:w="79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22" w:lineRule="exact"/>
        <w:rPr>
          <w:sz w:val="20"/>
          <w:szCs w:val="20"/>
          <w:color w:val="auto"/>
        </w:rPr>
      </w:pPr>
    </w:p>
    <w:p>
      <w:pPr>
        <w:ind w:right="340"/>
        <w:spacing w:after="0" w:line="239" w:lineRule="auto"/>
        <w:rPr>
          <w:sz w:val="20"/>
          <w:szCs w:val="20"/>
          <w:color w:val="auto"/>
        </w:rPr>
      </w:pPr>
      <w:r>
        <w:rPr>
          <w:rFonts w:ascii="Arial" w:cs="Arial" w:eastAsia="Arial" w:hAnsi="Arial"/>
          <w:sz w:val="22"/>
          <w:szCs w:val="22"/>
          <w:color w:val="auto"/>
        </w:rPr>
        <w:t>The per unit weighted-average fair value at the date of grant for RSUs granted during the six months ended June 30, 2021 and 2020 was $44.44 and $49.48, respectively.</w:t>
      </w:r>
    </w:p>
    <w:p>
      <w:pPr>
        <w:spacing w:after="0" w:line="185" w:lineRule="exact"/>
        <w:rPr>
          <w:sz w:val="20"/>
          <w:szCs w:val="20"/>
          <w:color w:val="auto"/>
        </w:rPr>
      </w:pPr>
    </w:p>
    <w:p>
      <w:pPr>
        <w:ind w:right="20"/>
        <w:spacing w:after="0" w:line="233" w:lineRule="auto"/>
        <w:rPr>
          <w:sz w:val="20"/>
          <w:szCs w:val="20"/>
          <w:color w:val="auto"/>
        </w:rPr>
      </w:pPr>
      <w:r>
        <w:rPr>
          <w:rFonts w:ascii="Arial" w:cs="Arial" w:eastAsia="Arial" w:hAnsi="Arial"/>
          <w:sz w:val="21"/>
          <w:szCs w:val="21"/>
          <w:b w:val="1"/>
          <w:bCs w:val="1"/>
          <w:i w:val="1"/>
          <w:iCs w:val="1"/>
          <w:color w:val="auto"/>
        </w:rPr>
        <w:t xml:space="preserve">Stock Options </w:t>
      </w:r>
      <w:r>
        <w:rPr>
          <w:rFonts w:ascii="Arial" w:cs="Arial" w:eastAsia="Arial" w:hAnsi="Arial"/>
          <w:sz w:val="21"/>
          <w:szCs w:val="21"/>
          <w:color w:val="auto"/>
        </w:rPr>
        <w:t>– A stock option represents the option to purchase a number of shares of common stock of the Company as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specified in the stock option grant agreement at the exercise price per share as determined by the closing market price of our common stock on the grant date. Stock options are exercisable in installments of 33% annually, starting one year from the grant date and expire 10 years from the grant date, subject to satisfaction of designated performance goals. The fair value of each stock option is amortized into compensation expense using the graded-vesting method, which results in the recognition of compensation costs over the requisite service period for each separately vesting tranche of the stock options as though the stock options were, in substance, multiple stock option grants. The following table provides the compensation cost and income tax benefit for stock-based compensation related to stock options: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320" w:type="dxa"/>
            <w:vAlign w:val="bottom"/>
          </w:tcPr>
          <w:p>
            <w:pPr>
              <w:spacing w:after="0"/>
              <w:rPr>
                <w:sz w:val="21"/>
                <w:szCs w:val="21"/>
                <w:color w:val="auto"/>
              </w:rPr>
            </w:pPr>
          </w:p>
        </w:tc>
        <w:tc>
          <w:tcPr>
            <w:tcW w:w="2440" w:type="dxa"/>
            <w:vAlign w:val="bottom"/>
            <w:gridSpan w:val="4"/>
          </w:tcPr>
          <w:p>
            <w:pPr>
              <w:jc w:val="right"/>
              <w:ind w:right="100"/>
              <w:spacing w:after="0"/>
              <w:rPr>
                <w:sz w:val="20"/>
                <w:szCs w:val="20"/>
                <w:color w:val="auto"/>
              </w:rPr>
            </w:pPr>
            <w:r>
              <w:rPr>
                <w:rFonts w:ascii="Arial" w:cs="Arial" w:eastAsia="Arial" w:hAnsi="Arial"/>
                <w:sz w:val="22"/>
                <w:szCs w:val="22"/>
                <w:color w:val="auto"/>
              </w:rPr>
              <w:t>Three Months Ended</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60" w:type="dxa"/>
            <w:vAlign w:val="bottom"/>
            <w:gridSpan w:val="4"/>
          </w:tcPr>
          <w:p>
            <w:pPr>
              <w:jc w:val="right"/>
              <w:ind w:right="492"/>
              <w:spacing w:after="0"/>
              <w:rPr>
                <w:sz w:val="20"/>
                <w:szCs w:val="20"/>
                <w:color w:val="auto"/>
              </w:rPr>
            </w:pPr>
            <w:r>
              <w:rPr>
                <w:rFonts w:ascii="Arial" w:cs="Arial" w:eastAsia="Arial" w:hAnsi="Arial"/>
                <w:sz w:val="22"/>
                <w:szCs w:val="22"/>
                <w:color w:val="auto"/>
              </w:rPr>
              <w:t>Six Months Ended</w:t>
            </w:r>
          </w:p>
        </w:tc>
      </w:tr>
      <w:tr>
        <w:trPr>
          <w:trHeight w:val="251"/>
        </w:trPr>
        <w:tc>
          <w:tcPr>
            <w:tcW w:w="532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ind w:left="120"/>
              <w:spacing w:after="0" w:line="251" w:lineRule="exact"/>
              <w:rPr>
                <w:sz w:val="20"/>
                <w:szCs w:val="20"/>
                <w:color w:val="auto"/>
              </w:rPr>
            </w:pPr>
            <w:r>
              <w:rPr>
                <w:rFonts w:ascii="Arial" w:cs="Arial" w:eastAsia="Arial" w:hAnsi="Arial"/>
                <w:sz w:val="22"/>
                <w:szCs w:val="22"/>
                <w:color w:val="auto"/>
              </w:rPr>
              <w:t>June 30,</w:t>
            </w:r>
          </w:p>
        </w:tc>
        <w:tc>
          <w:tcPr>
            <w:tcW w:w="4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spacing w:after="0" w:line="251" w:lineRule="exact"/>
              <w:rPr>
                <w:sz w:val="20"/>
                <w:szCs w:val="20"/>
                <w:color w:val="auto"/>
              </w:rPr>
            </w:pPr>
            <w:r>
              <w:rPr>
                <w:rFonts w:ascii="Arial" w:cs="Arial" w:eastAsia="Arial" w:hAnsi="Arial"/>
                <w:sz w:val="22"/>
                <w:szCs w:val="22"/>
                <w:color w:val="auto"/>
              </w:rPr>
              <w:t>June 30,</w:t>
            </w:r>
          </w:p>
        </w:tc>
        <w:tc>
          <w:tcPr>
            <w:tcW w:w="920" w:type="dxa"/>
            <w:vAlign w:val="bottom"/>
            <w:tcBorders>
              <w:bottom w:val="single" w:sz="8" w:color="auto"/>
            </w:tcBorders>
          </w:tcPr>
          <w:p>
            <w:pPr>
              <w:spacing w:after="0"/>
              <w:rPr>
                <w:sz w:val="21"/>
                <w:szCs w:val="21"/>
                <w:color w:val="auto"/>
              </w:rPr>
            </w:pPr>
          </w:p>
        </w:tc>
      </w:tr>
      <w:tr>
        <w:trPr>
          <w:trHeight w:val="223"/>
        </w:trPr>
        <w:tc>
          <w:tcPr>
            <w:tcW w:w="5320" w:type="dxa"/>
            <w:vAlign w:val="bottom"/>
          </w:tcPr>
          <w:p>
            <w:pPr>
              <w:spacing w:after="0"/>
              <w:rPr>
                <w:sz w:val="19"/>
                <w:szCs w:val="19"/>
                <w:color w:val="auto"/>
              </w:rPr>
            </w:pPr>
          </w:p>
        </w:tc>
        <w:tc>
          <w:tcPr>
            <w:tcW w:w="960" w:type="dxa"/>
            <w:vAlign w:val="bottom"/>
          </w:tcPr>
          <w:p>
            <w:pPr>
              <w:jc w:val="right"/>
              <w:spacing w:after="0" w:line="223" w:lineRule="exact"/>
              <w:rPr>
                <w:sz w:val="20"/>
                <w:szCs w:val="20"/>
                <w:color w:val="auto"/>
              </w:rPr>
            </w:pPr>
            <w:r>
              <w:rPr>
                <w:rFonts w:ascii="Arial" w:cs="Arial" w:eastAsia="Arial" w:hAnsi="Arial"/>
                <w:sz w:val="22"/>
                <w:szCs w:val="22"/>
                <w:color w:val="auto"/>
              </w:rPr>
              <w:t>2021</w:t>
            </w:r>
          </w:p>
        </w:tc>
        <w:tc>
          <w:tcPr>
            <w:tcW w:w="360" w:type="dxa"/>
            <w:vAlign w:val="bottom"/>
          </w:tcPr>
          <w:p>
            <w:pPr>
              <w:spacing w:after="0"/>
              <w:rPr>
                <w:sz w:val="19"/>
                <w:szCs w:val="19"/>
                <w:color w:val="auto"/>
              </w:rPr>
            </w:pPr>
          </w:p>
        </w:tc>
        <w:tc>
          <w:tcPr>
            <w:tcW w:w="1120" w:type="dxa"/>
            <w:vAlign w:val="bottom"/>
            <w:gridSpan w:val="2"/>
          </w:tcPr>
          <w:p>
            <w:pPr>
              <w:jc w:val="right"/>
              <w:ind w:right="20"/>
              <w:spacing w:after="0" w:line="223" w:lineRule="exact"/>
              <w:rPr>
                <w:sz w:val="20"/>
                <w:szCs w:val="20"/>
                <w:color w:val="auto"/>
              </w:rPr>
            </w:pPr>
            <w:r>
              <w:rPr>
                <w:rFonts w:ascii="Arial" w:cs="Arial" w:eastAsia="Arial" w:hAnsi="Arial"/>
                <w:sz w:val="22"/>
                <w:szCs w:val="22"/>
                <w:color w:val="auto"/>
              </w:rPr>
              <w:t>2020</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332"/>
              <w:spacing w:after="0" w:line="223" w:lineRule="exact"/>
              <w:rPr>
                <w:sz w:val="20"/>
                <w:szCs w:val="20"/>
                <w:color w:val="auto"/>
              </w:rPr>
            </w:pPr>
            <w:r>
              <w:rPr>
                <w:rFonts w:ascii="Arial" w:cs="Arial" w:eastAsia="Arial" w:hAnsi="Arial"/>
                <w:sz w:val="22"/>
                <w:szCs w:val="22"/>
                <w:color w:val="auto"/>
              </w:rPr>
              <w:t>2021</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ind w:right="332"/>
              <w:spacing w:after="0" w:line="223" w:lineRule="exact"/>
              <w:rPr>
                <w:sz w:val="20"/>
                <w:szCs w:val="20"/>
                <w:color w:val="auto"/>
              </w:rPr>
            </w:pPr>
            <w:r>
              <w:rPr>
                <w:rFonts w:ascii="Arial" w:cs="Arial" w:eastAsia="Arial" w:hAnsi="Arial"/>
                <w:sz w:val="22"/>
                <w:szCs w:val="22"/>
                <w:color w:val="auto"/>
                <w:w w:val="93"/>
              </w:rPr>
              <w:t>2020</w:t>
            </w:r>
          </w:p>
        </w:tc>
      </w:tr>
      <w:tr>
        <w:trPr>
          <w:trHeight w:val="188"/>
        </w:trPr>
        <w:tc>
          <w:tcPr>
            <w:tcW w:w="532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21"/>
                <w:szCs w:val="21"/>
                <w:color w:val="auto"/>
              </w:rPr>
              <w:t>Stock-based compensation within operations and</w:t>
            </w:r>
          </w:p>
        </w:tc>
        <w:tc>
          <w:tcPr>
            <w:tcW w:w="9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r>
      <w:tr>
        <w:trPr>
          <w:trHeight w:val="251"/>
        </w:trPr>
        <w:tc>
          <w:tcPr>
            <w:tcW w:w="5320" w:type="dxa"/>
            <w:vAlign w:val="bottom"/>
            <w:shd w:val="clear" w:color="auto" w:fill="CCEEFF"/>
          </w:tcPr>
          <w:p>
            <w:pPr>
              <w:spacing w:after="0" w:line="251" w:lineRule="exact"/>
              <w:rPr>
                <w:sz w:val="20"/>
                <w:szCs w:val="20"/>
                <w:color w:val="auto"/>
              </w:rPr>
            </w:pPr>
            <w:r>
              <w:rPr>
                <w:rFonts w:ascii="Arial" w:cs="Arial" w:eastAsia="Arial" w:hAnsi="Arial"/>
                <w:sz w:val="22"/>
                <w:szCs w:val="22"/>
                <w:color w:val="auto"/>
              </w:rPr>
              <w:t>maintenance expenses</w:t>
            </w:r>
          </w:p>
        </w:tc>
        <w:tc>
          <w:tcPr>
            <w:tcW w:w="960" w:type="dxa"/>
            <w:vAlign w:val="bottom"/>
            <w:shd w:val="clear" w:color="auto" w:fill="CCEEFF"/>
          </w:tcPr>
          <w:p>
            <w:pPr>
              <w:jc w:val="right"/>
              <w:ind w:right="732"/>
              <w:spacing w:after="0" w:line="251" w:lineRule="exact"/>
              <w:rPr>
                <w:sz w:val="20"/>
                <w:szCs w:val="20"/>
                <w:color w:val="auto"/>
              </w:rPr>
            </w:pPr>
            <w:r>
              <w:rPr>
                <w:rFonts w:ascii="Arial" w:cs="Arial" w:eastAsia="Arial" w:hAnsi="Arial"/>
                <w:sz w:val="22"/>
                <w:szCs w:val="22"/>
                <w:color w:val="auto"/>
                <w:w w:val="81"/>
              </w:rPr>
              <w:t>$</w:t>
            </w:r>
          </w:p>
        </w:tc>
        <w:tc>
          <w:tcPr>
            <w:tcW w:w="360" w:type="dxa"/>
            <w:vAlign w:val="bottom"/>
            <w:shd w:val="clear" w:color="auto" w:fill="CCEEFF"/>
          </w:tcPr>
          <w:p>
            <w:pPr>
              <w:ind w:left="80"/>
              <w:spacing w:after="0" w:line="251" w:lineRule="exact"/>
              <w:rPr>
                <w:sz w:val="20"/>
                <w:szCs w:val="20"/>
                <w:color w:val="auto"/>
              </w:rPr>
            </w:pPr>
            <w:r>
              <w:rPr>
                <w:rFonts w:ascii="Arial" w:cs="Arial" w:eastAsia="Arial" w:hAnsi="Arial"/>
                <w:sz w:val="22"/>
                <w:szCs w:val="22"/>
                <w:color w:val="auto"/>
              </w:rPr>
              <w:t>90</w:t>
            </w:r>
          </w:p>
        </w:tc>
        <w:tc>
          <w:tcPr>
            <w:tcW w:w="1120" w:type="dxa"/>
            <w:vAlign w:val="bottom"/>
            <w:gridSpan w:val="2"/>
            <w:shd w:val="clear" w:color="auto" w:fill="CCEEFF"/>
          </w:tcPr>
          <w:p>
            <w:pPr>
              <w:jc w:val="right"/>
              <w:ind w:right="800"/>
              <w:spacing w:after="0" w:line="251" w:lineRule="exact"/>
              <w:rPr>
                <w:sz w:val="20"/>
                <w:szCs w:val="20"/>
                <w:color w:val="auto"/>
              </w:rPr>
            </w:pPr>
            <w:r>
              <w:rPr>
                <w:rFonts w:ascii="Arial" w:cs="Arial" w:eastAsia="Arial" w:hAnsi="Arial"/>
                <w:sz w:val="22"/>
                <w:szCs w:val="22"/>
                <w:color w:val="auto"/>
              </w:rPr>
              <w:t>$</w:t>
            </w:r>
          </w:p>
        </w:tc>
        <w:tc>
          <w:tcPr>
            <w:tcW w:w="42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w w:val="92"/>
              </w:rPr>
              <w:t>265</w:t>
            </w:r>
          </w:p>
        </w:tc>
        <w:tc>
          <w:tcPr>
            <w:tcW w:w="500" w:type="dxa"/>
            <w:vAlign w:val="bottom"/>
            <w:gridSpan w:val="2"/>
            <w:shd w:val="clear" w:color="auto" w:fill="CCEEFF"/>
          </w:tcPr>
          <w:p>
            <w:pPr>
              <w:jc w:val="right"/>
              <w:ind w:right="160"/>
              <w:spacing w:after="0" w:line="251" w:lineRule="exact"/>
              <w:rPr>
                <w:sz w:val="20"/>
                <w:szCs w:val="20"/>
                <w:color w:val="auto"/>
              </w:rPr>
            </w:pPr>
            <w:r>
              <w:rPr>
                <w:rFonts w:ascii="Arial" w:cs="Arial" w:eastAsia="Arial" w:hAnsi="Arial"/>
                <w:sz w:val="22"/>
                <w:szCs w:val="22"/>
                <w:color w:val="auto"/>
              </w:rPr>
              <w:t>$</w:t>
            </w:r>
          </w:p>
        </w:tc>
        <w:tc>
          <w:tcPr>
            <w:tcW w:w="104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301</w:t>
            </w:r>
          </w:p>
        </w:tc>
        <w:tc>
          <w:tcPr>
            <w:tcW w:w="2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03"/>
              <w:spacing w:after="0"/>
              <w:rPr>
                <w:sz w:val="20"/>
                <w:szCs w:val="20"/>
                <w:color w:val="auto"/>
              </w:rPr>
            </w:pPr>
            <w:r>
              <w:rPr>
                <w:rFonts w:ascii="Arial" w:cs="Arial" w:eastAsia="Arial" w:hAnsi="Arial"/>
                <w:sz w:val="19"/>
                <w:szCs w:val="19"/>
                <w:color w:val="auto"/>
                <w:w w:val="75"/>
              </w:rPr>
              <w:t>$</w:t>
            </w:r>
          </w:p>
        </w:tc>
        <w:tc>
          <w:tcPr>
            <w:tcW w:w="92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766</w:t>
            </w:r>
          </w:p>
        </w:tc>
      </w:tr>
      <w:tr>
        <w:trPr>
          <w:trHeight w:val="274"/>
        </w:trPr>
        <w:tc>
          <w:tcPr>
            <w:tcW w:w="5320" w:type="dxa"/>
            <w:vAlign w:val="bottom"/>
          </w:tcPr>
          <w:p>
            <w:pPr>
              <w:spacing w:after="0"/>
              <w:rPr>
                <w:sz w:val="20"/>
                <w:szCs w:val="20"/>
                <w:color w:val="auto"/>
              </w:rPr>
            </w:pPr>
            <w:r>
              <w:rPr>
                <w:rFonts w:ascii="Arial" w:cs="Arial" w:eastAsia="Arial" w:hAnsi="Arial"/>
                <w:sz w:val="22"/>
                <w:szCs w:val="22"/>
                <w:color w:val="auto"/>
              </w:rPr>
              <w:t>Income tax benefit</w:t>
            </w:r>
          </w:p>
        </w:tc>
        <w:tc>
          <w:tcPr>
            <w:tcW w:w="960" w:type="dxa"/>
            <w:vAlign w:val="bottom"/>
          </w:tcPr>
          <w:p>
            <w:pPr>
              <w:spacing w:after="0"/>
              <w:rPr>
                <w:sz w:val="23"/>
                <w:szCs w:val="23"/>
                <w:color w:val="auto"/>
              </w:rPr>
            </w:pPr>
          </w:p>
        </w:tc>
        <w:tc>
          <w:tcPr>
            <w:tcW w:w="360" w:type="dxa"/>
            <w:vAlign w:val="bottom"/>
          </w:tcPr>
          <w:p>
            <w:pPr>
              <w:ind w:left="80"/>
              <w:spacing w:after="0"/>
              <w:rPr>
                <w:sz w:val="20"/>
                <w:szCs w:val="20"/>
                <w:color w:val="auto"/>
              </w:rPr>
            </w:pPr>
            <w:r>
              <w:rPr>
                <w:rFonts w:ascii="Arial" w:cs="Arial" w:eastAsia="Arial" w:hAnsi="Arial"/>
                <w:sz w:val="22"/>
                <w:szCs w:val="22"/>
                <w:color w:val="auto"/>
              </w:rPr>
              <w:t>26</w:t>
            </w: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22"/>
                <w:szCs w:val="22"/>
                <w:color w:val="auto"/>
              </w:rPr>
              <w:t>75</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86</w:t>
            </w: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217</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color w:val="auto"/>
        </w:rPr>
        <w:t>The Company did not grant stock options for the six months ended June 30, 2021 and 2020.</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8" w:name="page29"/>
    <w:bookmarkEnd w:id="28"/>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stock option transactions for the six months ended June 30, 2021:</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22"/>
                <w:szCs w:val="22"/>
                <w:color w:val="auto"/>
                <w:w w:val="88"/>
              </w:rPr>
              <w:t>Weighted</w:t>
            </w:r>
          </w:p>
        </w:tc>
        <w:tc>
          <w:tcPr>
            <w:tcW w:w="1280" w:type="dxa"/>
            <w:vAlign w:val="bottom"/>
          </w:tcPr>
          <w:p>
            <w:pPr>
              <w:jc w:val="center"/>
              <w:spacing w:after="0"/>
              <w:rPr>
                <w:sz w:val="20"/>
                <w:szCs w:val="20"/>
                <w:color w:val="auto"/>
              </w:rPr>
            </w:pPr>
            <w:r>
              <w:rPr>
                <w:rFonts w:ascii="Arial" w:cs="Arial" w:eastAsia="Arial" w:hAnsi="Arial"/>
                <w:sz w:val="22"/>
                <w:szCs w:val="22"/>
                <w:color w:val="auto"/>
                <w:w w:val="88"/>
              </w:rPr>
              <w:t>Weighted</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30"/>
        </w:trPr>
        <w:tc>
          <w:tcPr>
            <w:tcW w:w="5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380"/>
              <w:spacing w:after="0" w:line="229" w:lineRule="exact"/>
              <w:rPr>
                <w:sz w:val="20"/>
                <w:szCs w:val="20"/>
                <w:color w:val="auto"/>
              </w:rPr>
            </w:pPr>
            <w:r>
              <w:rPr>
                <w:rFonts w:ascii="Arial" w:cs="Arial" w:eastAsia="Arial" w:hAnsi="Arial"/>
                <w:sz w:val="22"/>
                <w:szCs w:val="22"/>
                <w:color w:val="auto"/>
                <w:w w:val="85"/>
              </w:rPr>
              <w:t>Average</w:t>
            </w:r>
          </w:p>
        </w:tc>
        <w:tc>
          <w:tcPr>
            <w:tcW w:w="1280" w:type="dxa"/>
            <w:vAlign w:val="bottom"/>
          </w:tcPr>
          <w:p>
            <w:pPr>
              <w:jc w:val="center"/>
              <w:spacing w:after="0" w:line="229" w:lineRule="exact"/>
              <w:rPr>
                <w:sz w:val="20"/>
                <w:szCs w:val="20"/>
                <w:color w:val="auto"/>
              </w:rPr>
            </w:pPr>
            <w:r>
              <w:rPr>
                <w:rFonts w:ascii="Arial" w:cs="Arial" w:eastAsia="Arial" w:hAnsi="Arial"/>
                <w:sz w:val="22"/>
                <w:szCs w:val="22"/>
                <w:color w:val="auto"/>
                <w:w w:val="87"/>
              </w:rPr>
              <w:t>Average</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center"/>
              <w:ind w:right="92"/>
              <w:spacing w:after="0" w:line="229" w:lineRule="exact"/>
              <w:rPr>
                <w:sz w:val="20"/>
                <w:szCs w:val="20"/>
                <w:color w:val="auto"/>
              </w:rPr>
            </w:pPr>
            <w:r>
              <w:rPr>
                <w:rFonts w:ascii="Arial" w:cs="Arial" w:eastAsia="Arial" w:hAnsi="Arial"/>
                <w:sz w:val="22"/>
                <w:szCs w:val="22"/>
                <w:color w:val="auto"/>
                <w:w w:val="88"/>
              </w:rPr>
              <w:t>Aggregate</w:t>
            </w:r>
          </w:p>
        </w:tc>
      </w:tr>
      <w:tr>
        <w:trPr>
          <w:trHeight w:val="229"/>
        </w:trPr>
        <w:tc>
          <w:tcPr>
            <w:tcW w:w="5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380"/>
              <w:spacing w:after="0" w:line="229" w:lineRule="exact"/>
              <w:rPr>
                <w:sz w:val="20"/>
                <w:szCs w:val="20"/>
                <w:color w:val="auto"/>
              </w:rPr>
            </w:pPr>
            <w:r>
              <w:rPr>
                <w:rFonts w:ascii="Arial" w:cs="Arial" w:eastAsia="Arial" w:hAnsi="Arial"/>
                <w:sz w:val="22"/>
                <w:szCs w:val="22"/>
                <w:color w:val="auto"/>
                <w:w w:val="87"/>
              </w:rPr>
              <w:t>Exercise</w:t>
            </w:r>
          </w:p>
        </w:tc>
        <w:tc>
          <w:tcPr>
            <w:tcW w:w="1280" w:type="dxa"/>
            <w:vAlign w:val="bottom"/>
          </w:tcPr>
          <w:p>
            <w:pPr>
              <w:jc w:val="center"/>
              <w:spacing w:after="0" w:line="229" w:lineRule="exact"/>
              <w:rPr>
                <w:sz w:val="20"/>
                <w:szCs w:val="20"/>
                <w:color w:val="auto"/>
              </w:rPr>
            </w:pPr>
            <w:r>
              <w:rPr>
                <w:rFonts w:ascii="Arial" w:cs="Arial" w:eastAsia="Arial" w:hAnsi="Arial"/>
                <w:sz w:val="22"/>
                <w:szCs w:val="22"/>
                <w:color w:val="auto"/>
                <w:w w:val="89"/>
              </w:rPr>
              <w:t>Remaining</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center"/>
              <w:ind w:right="112"/>
              <w:spacing w:after="0" w:line="229" w:lineRule="exact"/>
              <w:rPr>
                <w:sz w:val="20"/>
                <w:szCs w:val="20"/>
                <w:color w:val="auto"/>
              </w:rPr>
            </w:pPr>
            <w:r>
              <w:rPr>
                <w:rFonts w:ascii="Arial" w:cs="Arial" w:eastAsia="Arial" w:hAnsi="Arial"/>
                <w:sz w:val="22"/>
                <w:szCs w:val="22"/>
                <w:color w:val="auto"/>
                <w:w w:val="94"/>
              </w:rPr>
              <w:t>Intrinsic</w:t>
            </w:r>
          </w:p>
        </w:tc>
      </w:tr>
      <w:tr>
        <w:trPr>
          <w:trHeight w:val="251"/>
        </w:trPr>
        <w:tc>
          <w:tcPr>
            <w:tcW w:w="5100" w:type="dxa"/>
            <w:vAlign w:val="bottom"/>
          </w:tcPr>
          <w:p>
            <w:pPr>
              <w:spacing w:after="0"/>
              <w:rPr>
                <w:sz w:val="21"/>
                <w:szCs w:val="21"/>
                <w:color w:val="auto"/>
              </w:rPr>
            </w:pPr>
          </w:p>
        </w:tc>
        <w:tc>
          <w:tcPr>
            <w:tcW w:w="1580" w:type="dxa"/>
            <w:vAlign w:val="bottom"/>
            <w:gridSpan w:val="2"/>
          </w:tcPr>
          <w:p>
            <w:pPr>
              <w:ind w:left="400"/>
              <w:spacing w:after="0" w:line="251" w:lineRule="exact"/>
              <w:rPr>
                <w:sz w:val="20"/>
                <w:szCs w:val="20"/>
                <w:color w:val="auto"/>
              </w:rPr>
            </w:pPr>
            <w:r>
              <w:rPr>
                <w:rFonts w:ascii="Arial" w:cs="Arial" w:eastAsia="Arial" w:hAnsi="Arial"/>
                <w:sz w:val="22"/>
                <w:szCs w:val="22"/>
                <w:color w:val="auto"/>
              </w:rPr>
              <w:t>Shares</w:t>
            </w:r>
          </w:p>
        </w:tc>
        <w:tc>
          <w:tcPr>
            <w:tcW w:w="180" w:type="dxa"/>
            <w:vAlign w:val="bottom"/>
          </w:tcPr>
          <w:p>
            <w:pPr>
              <w:spacing w:after="0"/>
              <w:rPr>
                <w:sz w:val="21"/>
                <w:szCs w:val="21"/>
                <w:color w:val="auto"/>
              </w:rPr>
            </w:pPr>
          </w:p>
        </w:tc>
        <w:tc>
          <w:tcPr>
            <w:tcW w:w="1360" w:type="dxa"/>
            <w:vAlign w:val="bottom"/>
            <w:gridSpan w:val="2"/>
          </w:tcPr>
          <w:p>
            <w:pPr>
              <w:jc w:val="center"/>
              <w:ind w:right="360"/>
              <w:spacing w:after="0" w:line="251" w:lineRule="exact"/>
              <w:rPr>
                <w:sz w:val="20"/>
                <w:szCs w:val="20"/>
                <w:color w:val="auto"/>
              </w:rPr>
            </w:pPr>
            <w:r>
              <w:rPr>
                <w:rFonts w:ascii="Arial" w:cs="Arial" w:eastAsia="Arial" w:hAnsi="Arial"/>
                <w:sz w:val="22"/>
                <w:szCs w:val="22"/>
                <w:color w:val="auto"/>
                <w:w w:val="87"/>
              </w:rPr>
              <w:t>Price</w:t>
            </w:r>
          </w:p>
        </w:tc>
        <w:tc>
          <w:tcPr>
            <w:tcW w:w="1280" w:type="dxa"/>
            <w:vAlign w:val="bottom"/>
          </w:tcPr>
          <w:p>
            <w:pPr>
              <w:jc w:val="center"/>
              <w:spacing w:after="0" w:line="251" w:lineRule="exact"/>
              <w:rPr>
                <w:sz w:val="20"/>
                <w:szCs w:val="20"/>
                <w:color w:val="auto"/>
              </w:rPr>
            </w:pPr>
            <w:r>
              <w:rPr>
                <w:rFonts w:ascii="Arial" w:cs="Arial" w:eastAsia="Arial" w:hAnsi="Arial"/>
                <w:sz w:val="22"/>
                <w:szCs w:val="22"/>
                <w:color w:val="auto"/>
                <w:w w:val="92"/>
              </w:rPr>
              <w:t>Life (years)</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center"/>
              <w:ind w:right="112"/>
              <w:spacing w:after="0" w:line="251" w:lineRule="exact"/>
              <w:rPr>
                <w:sz w:val="20"/>
                <w:szCs w:val="20"/>
                <w:color w:val="auto"/>
              </w:rPr>
            </w:pPr>
            <w:r>
              <w:rPr>
                <w:rFonts w:ascii="Arial" w:cs="Arial" w:eastAsia="Arial" w:hAnsi="Arial"/>
                <w:sz w:val="22"/>
                <w:szCs w:val="22"/>
                <w:color w:val="auto"/>
                <w:w w:val="85"/>
              </w:rPr>
              <w:t>Value</w:t>
            </w:r>
          </w:p>
        </w:tc>
      </w:tr>
      <w:tr>
        <w:trPr>
          <w:trHeight w:val="223"/>
        </w:trPr>
        <w:tc>
          <w:tcPr>
            <w:tcW w:w="510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Outstanding at beginning of period</w:t>
            </w:r>
          </w:p>
        </w:tc>
        <w:tc>
          <w:tcPr>
            <w:tcW w:w="13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948,270</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1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35.22</w:t>
            </w:r>
          </w:p>
        </w:tc>
        <w:tc>
          <w:tcPr>
            <w:tcW w:w="2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r>
      <w:tr>
        <w:trPr>
          <w:trHeight w:val="229"/>
        </w:trPr>
        <w:tc>
          <w:tcPr>
            <w:tcW w:w="5100" w:type="dxa"/>
            <w:vAlign w:val="bottom"/>
          </w:tcPr>
          <w:p>
            <w:pPr>
              <w:ind w:left="120"/>
              <w:spacing w:after="0" w:line="229" w:lineRule="exact"/>
              <w:rPr>
                <w:sz w:val="20"/>
                <w:szCs w:val="20"/>
                <w:color w:val="auto"/>
              </w:rPr>
            </w:pPr>
            <w:r>
              <w:rPr>
                <w:rFonts w:ascii="Arial" w:cs="Arial" w:eastAsia="Arial" w:hAnsi="Arial"/>
                <w:sz w:val="22"/>
                <w:szCs w:val="22"/>
                <w:color w:val="auto"/>
              </w:rPr>
              <w:t>Granted</w:t>
            </w:r>
          </w:p>
        </w:tc>
        <w:tc>
          <w:tcPr>
            <w:tcW w:w="138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510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Forfeited</w:t>
            </w:r>
          </w:p>
        </w:tc>
        <w:tc>
          <w:tcPr>
            <w:tcW w:w="13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(4,728)</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35.89</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100" w:type="dxa"/>
            <w:vAlign w:val="bottom"/>
          </w:tcPr>
          <w:p>
            <w:pPr>
              <w:ind w:left="120"/>
              <w:spacing w:after="0" w:line="229" w:lineRule="exact"/>
              <w:rPr>
                <w:sz w:val="20"/>
                <w:szCs w:val="20"/>
                <w:color w:val="auto"/>
              </w:rPr>
            </w:pPr>
            <w:r>
              <w:rPr>
                <w:rFonts w:ascii="Arial" w:cs="Arial" w:eastAsia="Arial" w:hAnsi="Arial"/>
                <w:sz w:val="22"/>
                <w:szCs w:val="22"/>
                <w:color w:val="auto"/>
              </w:rPr>
              <w:t>Expired</w:t>
            </w:r>
          </w:p>
        </w:tc>
        <w:tc>
          <w:tcPr>
            <w:tcW w:w="1380" w:type="dxa"/>
            <w:vAlign w:val="bottom"/>
          </w:tcPr>
          <w:p>
            <w:pPr>
              <w:jc w:val="right"/>
              <w:spacing w:after="0" w:line="229" w:lineRule="exact"/>
              <w:rPr>
                <w:sz w:val="20"/>
                <w:szCs w:val="20"/>
                <w:color w:val="auto"/>
              </w:rPr>
            </w:pPr>
            <w:r>
              <w:rPr>
                <w:rFonts w:ascii="Arial" w:cs="Arial" w:eastAsia="Arial" w:hAnsi="Arial"/>
                <w:sz w:val="22"/>
                <w:szCs w:val="22"/>
                <w:color w:val="auto"/>
              </w:rPr>
              <w:t>(894)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Arial" w:cs="Arial" w:eastAsia="Arial" w:hAnsi="Arial"/>
                <w:sz w:val="22"/>
                <w:szCs w:val="22"/>
                <w:color w:val="auto"/>
              </w:rPr>
              <w:t>34.28</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510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Exercised</w:t>
            </w:r>
          </w:p>
        </w:tc>
        <w:tc>
          <w:tcPr>
            <w:tcW w:w="138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(42,987)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35.04</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3"/>
        </w:trPr>
        <w:tc>
          <w:tcPr>
            <w:tcW w:w="5100" w:type="dxa"/>
            <w:vAlign w:val="bottom"/>
          </w:tcPr>
          <w:p>
            <w:pPr>
              <w:spacing w:after="0" w:line="223" w:lineRule="exact"/>
              <w:rPr>
                <w:sz w:val="20"/>
                <w:szCs w:val="20"/>
                <w:color w:val="auto"/>
              </w:rPr>
            </w:pPr>
            <w:r>
              <w:rPr>
                <w:rFonts w:ascii="Arial" w:cs="Arial" w:eastAsia="Arial" w:hAnsi="Arial"/>
                <w:sz w:val="22"/>
                <w:szCs w:val="22"/>
                <w:color w:val="auto"/>
              </w:rPr>
              <w:t>Outstanding at end of period</w:t>
            </w:r>
          </w:p>
        </w:tc>
        <w:tc>
          <w:tcPr>
            <w:tcW w:w="1380" w:type="dxa"/>
            <w:vAlign w:val="bottom"/>
          </w:tcPr>
          <w:p>
            <w:pPr>
              <w:jc w:val="right"/>
              <w:spacing w:after="0" w:line="223" w:lineRule="exact"/>
              <w:rPr>
                <w:sz w:val="20"/>
                <w:szCs w:val="20"/>
                <w:color w:val="auto"/>
              </w:rPr>
            </w:pPr>
            <w:r>
              <w:rPr>
                <w:rFonts w:ascii="Arial" w:cs="Arial" w:eastAsia="Arial" w:hAnsi="Arial"/>
                <w:sz w:val="22"/>
                <w:szCs w:val="22"/>
                <w:color w:val="auto"/>
              </w:rPr>
              <w:t>899,661</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160" w:type="dxa"/>
            <w:vAlign w:val="bottom"/>
          </w:tcPr>
          <w:p>
            <w:pPr>
              <w:jc w:val="right"/>
              <w:spacing w:after="0" w:line="223" w:lineRule="exact"/>
              <w:rPr>
                <w:sz w:val="20"/>
                <w:szCs w:val="20"/>
                <w:color w:val="auto"/>
              </w:rPr>
            </w:pPr>
            <w:r>
              <w:rPr>
                <w:rFonts w:ascii="Arial" w:cs="Arial" w:eastAsia="Arial" w:hAnsi="Arial"/>
                <w:sz w:val="22"/>
                <w:szCs w:val="22"/>
                <w:color w:val="auto"/>
              </w:rPr>
              <w:t>35.22</w:t>
            </w:r>
          </w:p>
        </w:tc>
        <w:tc>
          <w:tcPr>
            <w:tcW w:w="200" w:type="dxa"/>
            <w:vAlign w:val="bottom"/>
          </w:tcPr>
          <w:p>
            <w:pPr>
              <w:spacing w:after="0"/>
              <w:rPr>
                <w:sz w:val="19"/>
                <w:szCs w:val="19"/>
                <w:color w:val="auto"/>
              </w:rPr>
            </w:pPr>
          </w:p>
        </w:tc>
        <w:tc>
          <w:tcPr>
            <w:tcW w:w="1280" w:type="dxa"/>
            <w:vAlign w:val="bottom"/>
          </w:tcPr>
          <w:p>
            <w:pPr>
              <w:jc w:val="right"/>
              <w:spacing w:after="0" w:line="223" w:lineRule="exact"/>
              <w:rPr>
                <w:sz w:val="20"/>
                <w:szCs w:val="20"/>
                <w:color w:val="auto"/>
              </w:rPr>
            </w:pPr>
            <w:r>
              <w:rPr>
                <w:rFonts w:ascii="Arial" w:cs="Arial" w:eastAsia="Arial" w:hAnsi="Arial"/>
                <w:sz w:val="22"/>
                <w:szCs w:val="22"/>
                <w:color w:val="auto"/>
              </w:rPr>
              <w:t>7.3</w:t>
            </w:r>
          </w:p>
        </w:tc>
        <w:tc>
          <w:tcPr>
            <w:tcW w:w="400" w:type="dxa"/>
            <w:vAlign w:val="bottom"/>
            <w:gridSpan w:val="2"/>
          </w:tcPr>
          <w:p>
            <w:pPr>
              <w:jc w:val="right"/>
              <w:ind w:right="100"/>
              <w:spacing w:after="0" w:line="223" w:lineRule="exact"/>
              <w:rPr>
                <w:sz w:val="20"/>
                <w:szCs w:val="20"/>
                <w:color w:val="auto"/>
              </w:rPr>
            </w:pPr>
            <w:r>
              <w:rPr>
                <w:rFonts w:ascii="Arial" w:cs="Arial" w:eastAsia="Arial" w:hAnsi="Arial"/>
                <w:sz w:val="22"/>
                <w:szCs w:val="22"/>
                <w:color w:val="auto"/>
              </w:rPr>
              <w:t>$</w:t>
            </w:r>
          </w:p>
        </w:tc>
        <w:tc>
          <w:tcPr>
            <w:tcW w:w="1340" w:type="dxa"/>
            <w:vAlign w:val="bottom"/>
          </w:tcPr>
          <w:p>
            <w:pPr>
              <w:jc w:val="right"/>
              <w:spacing w:after="0" w:line="223" w:lineRule="exact"/>
              <w:rPr>
                <w:sz w:val="20"/>
                <w:szCs w:val="20"/>
                <w:color w:val="auto"/>
              </w:rPr>
            </w:pPr>
            <w:r>
              <w:rPr>
                <w:rFonts w:ascii="Arial" w:cs="Arial" w:eastAsia="Arial" w:hAnsi="Arial"/>
                <w:sz w:val="22"/>
                <w:szCs w:val="22"/>
                <w:color w:val="auto"/>
              </w:rPr>
              <w:t>9,426,549</w:t>
            </w:r>
          </w:p>
        </w:tc>
      </w:tr>
      <w:tr>
        <w:trPr>
          <w:trHeight w:val="20"/>
        </w:trPr>
        <w:tc>
          <w:tcPr>
            <w:tcW w:w="5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510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Exercisable at end of period</w:t>
            </w:r>
          </w:p>
        </w:tc>
        <w:tc>
          <w:tcPr>
            <w:tcW w:w="13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663,450</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1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34.95</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7.2</w:t>
            </w:r>
          </w:p>
        </w:tc>
        <w:tc>
          <w:tcPr>
            <w:tcW w:w="400" w:type="dxa"/>
            <w:vAlign w:val="bottom"/>
            <w:gridSpan w:val="2"/>
            <w:shd w:val="clear" w:color="auto" w:fill="CCEEFF"/>
          </w:tcPr>
          <w:p>
            <w:pPr>
              <w:jc w:val="right"/>
              <w:ind w:right="100"/>
              <w:spacing w:after="0" w:line="229" w:lineRule="exact"/>
              <w:rPr>
                <w:sz w:val="20"/>
                <w:szCs w:val="20"/>
                <w:color w:val="auto"/>
              </w:rPr>
            </w:pPr>
            <w:r>
              <w:rPr>
                <w:rFonts w:ascii="Arial" w:cs="Arial" w:eastAsia="Arial" w:hAnsi="Arial"/>
                <w:sz w:val="22"/>
                <w:szCs w:val="22"/>
                <w:color w:val="auto"/>
              </w:rPr>
              <w:t>$</w:t>
            </w:r>
          </w:p>
        </w:tc>
        <w:tc>
          <w:tcPr>
            <w:tcW w:w="13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7,125,309</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spacing w:after="0" w:line="267" w:lineRule="auto"/>
        <w:rPr>
          <w:sz w:val="20"/>
          <w:szCs w:val="20"/>
          <w:color w:val="auto"/>
        </w:rPr>
      </w:pPr>
      <w:r>
        <w:rPr>
          <w:rFonts w:ascii="Arial" w:cs="Arial" w:eastAsia="Arial" w:hAnsi="Arial"/>
          <w:sz w:val="19"/>
          <w:szCs w:val="19"/>
          <w:b w:val="1"/>
          <w:bCs w:val="1"/>
          <w:i w:val="1"/>
          <w:iCs w:val="1"/>
          <w:color w:val="auto"/>
        </w:rPr>
        <w:t xml:space="preserve">Restricted Stock – </w:t>
      </w:r>
      <w:r>
        <w:rPr>
          <w:rFonts w:ascii="Arial" w:cs="Arial" w:eastAsia="Arial" w:hAnsi="Arial"/>
          <w:sz w:val="19"/>
          <w:szCs w:val="19"/>
          <w:color w:val="auto"/>
        </w:rPr>
        <w:t>Restricted stock awards provide the grantee with the rights of a shareholder, including the right to receive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dividends and to vote such shares, but not the right to sell or otherwise transfer the shares during the restriction period. Restricted stock awards result in compensation expense that is equal to the fair market value of the stock on the date of the grant and is amortized ratably over the restriction period. The Company expects forfeitures of restricted stock to be de minimis. The following table provides the compensation cost and income tax benefit for stock-based compensation related to restricted stock:</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80" w:type="dxa"/>
            <w:vAlign w:val="bottom"/>
          </w:tcPr>
          <w:p>
            <w:pPr>
              <w:spacing w:after="0"/>
              <w:rPr>
                <w:sz w:val="21"/>
                <w:szCs w:val="21"/>
                <w:color w:val="auto"/>
              </w:rPr>
            </w:pPr>
          </w:p>
        </w:tc>
        <w:tc>
          <w:tcPr>
            <w:tcW w:w="2400" w:type="dxa"/>
            <w:vAlign w:val="bottom"/>
            <w:gridSpan w:val="4"/>
          </w:tcPr>
          <w:p>
            <w:pPr>
              <w:ind w:left="440"/>
              <w:spacing w:after="0"/>
              <w:rPr>
                <w:sz w:val="20"/>
                <w:szCs w:val="20"/>
                <w:color w:val="auto"/>
              </w:rPr>
            </w:pPr>
            <w:r>
              <w:rPr>
                <w:rFonts w:ascii="Arial" w:cs="Arial" w:eastAsia="Arial" w:hAnsi="Arial"/>
                <w:sz w:val="22"/>
                <w:szCs w:val="22"/>
                <w:color w:val="auto"/>
                <w:w w:val="94"/>
              </w:rPr>
              <w:t>Three Months Ended</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60" w:type="dxa"/>
            <w:vAlign w:val="bottom"/>
            <w:gridSpan w:val="4"/>
          </w:tcPr>
          <w:p>
            <w:pPr>
              <w:jc w:val="center"/>
              <w:ind w:right="212"/>
              <w:spacing w:after="0"/>
              <w:rPr>
                <w:sz w:val="20"/>
                <w:szCs w:val="20"/>
                <w:color w:val="auto"/>
              </w:rPr>
            </w:pPr>
            <w:r>
              <w:rPr>
                <w:rFonts w:ascii="Arial" w:cs="Arial" w:eastAsia="Arial" w:hAnsi="Arial"/>
                <w:sz w:val="22"/>
                <w:szCs w:val="22"/>
                <w:color w:val="auto"/>
                <w:w w:val="90"/>
              </w:rPr>
              <w:t>Six Months Ended</w:t>
            </w:r>
          </w:p>
        </w:tc>
      </w:tr>
      <w:tr>
        <w:trPr>
          <w:trHeight w:val="251"/>
        </w:trPr>
        <w:tc>
          <w:tcPr>
            <w:tcW w:w="508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ind w:right="577"/>
              <w:spacing w:after="0" w:line="251" w:lineRule="exact"/>
              <w:rPr>
                <w:sz w:val="20"/>
                <w:szCs w:val="20"/>
                <w:color w:val="auto"/>
              </w:rPr>
            </w:pPr>
            <w:r>
              <w:rPr>
                <w:rFonts w:ascii="Arial" w:cs="Arial" w:eastAsia="Arial" w:hAnsi="Arial"/>
                <w:sz w:val="22"/>
                <w:szCs w:val="22"/>
                <w:color w:val="auto"/>
                <w:w w:val="89"/>
              </w:rPr>
              <w:t>June 30,</w:t>
            </w:r>
          </w:p>
        </w:tc>
        <w:tc>
          <w:tcPr>
            <w:tcW w:w="3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center"/>
              <w:ind w:left="672"/>
              <w:spacing w:after="0" w:line="251" w:lineRule="exact"/>
              <w:rPr>
                <w:sz w:val="20"/>
                <w:szCs w:val="20"/>
                <w:color w:val="auto"/>
              </w:rPr>
            </w:pPr>
            <w:r>
              <w:rPr>
                <w:rFonts w:ascii="Arial" w:cs="Arial" w:eastAsia="Arial" w:hAnsi="Arial"/>
                <w:sz w:val="22"/>
                <w:szCs w:val="22"/>
                <w:color w:val="auto"/>
                <w:w w:val="85"/>
              </w:rPr>
              <w:t>June 30,</w:t>
            </w:r>
          </w:p>
        </w:tc>
        <w:tc>
          <w:tcPr>
            <w:tcW w:w="1080" w:type="dxa"/>
            <w:vAlign w:val="bottom"/>
            <w:tcBorders>
              <w:bottom w:val="single" w:sz="8" w:color="auto"/>
            </w:tcBorders>
          </w:tcPr>
          <w:p>
            <w:pPr>
              <w:spacing w:after="0"/>
              <w:rPr>
                <w:sz w:val="21"/>
                <w:szCs w:val="21"/>
                <w:color w:val="auto"/>
              </w:rPr>
            </w:pPr>
          </w:p>
        </w:tc>
      </w:tr>
      <w:tr>
        <w:trPr>
          <w:trHeight w:val="223"/>
        </w:trPr>
        <w:tc>
          <w:tcPr>
            <w:tcW w:w="50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ind w:left="440"/>
              <w:spacing w:after="0" w:line="223" w:lineRule="exact"/>
              <w:rPr>
                <w:sz w:val="20"/>
                <w:szCs w:val="20"/>
                <w:color w:val="auto"/>
              </w:rPr>
            </w:pPr>
            <w:r>
              <w:rPr>
                <w:rFonts w:ascii="Arial" w:cs="Arial" w:eastAsia="Arial" w:hAnsi="Arial"/>
                <w:sz w:val="22"/>
                <w:szCs w:val="22"/>
                <w:color w:val="auto"/>
                <w:w w:val="98"/>
              </w:rPr>
              <w:t>2021</w:t>
            </w:r>
          </w:p>
        </w:tc>
        <w:tc>
          <w:tcPr>
            <w:tcW w:w="38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2020</w:t>
            </w: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2"/>
              <w:spacing w:after="0" w:line="223" w:lineRule="exact"/>
              <w:rPr>
                <w:sz w:val="20"/>
                <w:szCs w:val="20"/>
                <w:color w:val="auto"/>
              </w:rPr>
            </w:pPr>
            <w:r>
              <w:rPr>
                <w:rFonts w:ascii="Arial" w:cs="Arial" w:eastAsia="Arial" w:hAnsi="Arial"/>
                <w:sz w:val="22"/>
                <w:szCs w:val="22"/>
                <w:color w:val="auto"/>
              </w:rPr>
              <w:t>2021</w:t>
            </w:r>
          </w:p>
        </w:tc>
        <w:tc>
          <w:tcPr>
            <w:tcW w:w="2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2"/>
              <w:spacing w:after="0" w:line="223" w:lineRule="exact"/>
              <w:rPr>
                <w:sz w:val="20"/>
                <w:szCs w:val="20"/>
                <w:color w:val="auto"/>
              </w:rPr>
            </w:pPr>
            <w:r>
              <w:rPr>
                <w:rFonts w:ascii="Arial" w:cs="Arial" w:eastAsia="Arial" w:hAnsi="Arial"/>
                <w:sz w:val="22"/>
                <w:szCs w:val="22"/>
                <w:color w:val="auto"/>
              </w:rPr>
              <w:t>2020</w:t>
            </w:r>
          </w:p>
        </w:tc>
      </w:tr>
      <w:tr>
        <w:trPr>
          <w:trHeight w:val="188"/>
        </w:trPr>
        <w:tc>
          <w:tcPr>
            <w:tcW w:w="5080" w:type="dxa"/>
            <w:vAlign w:val="bottom"/>
            <w:shd w:val="clear" w:color="auto" w:fill="CCEEFF"/>
          </w:tcPr>
          <w:p>
            <w:pPr>
              <w:spacing w:after="0" w:line="188" w:lineRule="exact"/>
              <w:rPr>
                <w:sz w:val="20"/>
                <w:szCs w:val="20"/>
                <w:color w:val="auto"/>
              </w:rPr>
            </w:pPr>
            <w:r>
              <w:rPr>
                <w:rFonts w:ascii="Arial" w:cs="Arial" w:eastAsia="Arial" w:hAnsi="Arial"/>
                <w:sz w:val="21"/>
                <w:szCs w:val="21"/>
                <w:color w:val="auto"/>
              </w:rPr>
              <w:t>Stock-based compensation within operations and</w:t>
            </w:r>
          </w:p>
        </w:tc>
        <w:tc>
          <w:tcPr>
            <w:tcW w:w="9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51"/>
        </w:trPr>
        <w:tc>
          <w:tcPr>
            <w:tcW w:w="5080" w:type="dxa"/>
            <w:vAlign w:val="bottom"/>
            <w:shd w:val="clear" w:color="auto" w:fill="CCEEFF"/>
          </w:tcPr>
          <w:p>
            <w:pPr>
              <w:spacing w:after="0" w:line="251" w:lineRule="exact"/>
              <w:rPr>
                <w:sz w:val="20"/>
                <w:szCs w:val="20"/>
                <w:color w:val="auto"/>
              </w:rPr>
            </w:pPr>
            <w:r>
              <w:rPr>
                <w:rFonts w:ascii="Arial" w:cs="Arial" w:eastAsia="Arial" w:hAnsi="Arial"/>
                <w:sz w:val="22"/>
                <w:szCs w:val="22"/>
                <w:color w:val="auto"/>
              </w:rPr>
              <w:t>maintenance expenses</w:t>
            </w:r>
          </w:p>
        </w:tc>
        <w:tc>
          <w:tcPr>
            <w:tcW w:w="940" w:type="dxa"/>
            <w:vAlign w:val="bottom"/>
            <w:shd w:val="clear" w:color="auto" w:fill="CCEEFF"/>
          </w:tcPr>
          <w:p>
            <w:pPr>
              <w:jc w:val="right"/>
              <w:ind w:right="712"/>
              <w:spacing w:after="0" w:line="251" w:lineRule="exact"/>
              <w:rPr>
                <w:sz w:val="20"/>
                <w:szCs w:val="20"/>
                <w:color w:val="auto"/>
              </w:rPr>
            </w:pPr>
            <w:r>
              <w:rPr>
                <w:rFonts w:ascii="Arial" w:cs="Arial" w:eastAsia="Arial" w:hAnsi="Arial"/>
                <w:sz w:val="22"/>
                <w:szCs w:val="22"/>
                <w:color w:val="auto"/>
                <w:w w:val="81"/>
              </w:rPr>
              <w:t>$</w:t>
            </w:r>
          </w:p>
        </w:tc>
        <w:tc>
          <w:tcPr>
            <w:tcW w:w="38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12</w:t>
            </w: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97"/>
              <w:spacing w:after="0"/>
              <w:rPr>
                <w:sz w:val="20"/>
                <w:szCs w:val="20"/>
                <w:color w:val="auto"/>
              </w:rPr>
            </w:pPr>
            <w:r>
              <w:rPr>
                <w:rFonts w:ascii="Arial" w:cs="Arial" w:eastAsia="Arial" w:hAnsi="Arial"/>
                <w:sz w:val="19"/>
                <w:szCs w:val="19"/>
                <w:color w:val="auto"/>
                <w:w w:val="75"/>
              </w:rPr>
              <w:t>$</w:t>
            </w:r>
          </w:p>
        </w:tc>
        <w:tc>
          <w:tcPr>
            <w:tcW w:w="32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w w:val="97"/>
              </w:rPr>
              <w:t>99</w:t>
            </w:r>
          </w:p>
        </w:tc>
        <w:tc>
          <w:tcPr>
            <w:tcW w:w="580" w:type="dxa"/>
            <w:vAlign w:val="bottom"/>
            <w:gridSpan w:val="2"/>
            <w:shd w:val="clear" w:color="auto" w:fill="CCEEFF"/>
          </w:tcPr>
          <w:p>
            <w:pPr>
              <w:jc w:val="right"/>
              <w:ind w:right="200"/>
              <w:spacing w:after="0" w:line="251" w:lineRule="exact"/>
              <w:rPr>
                <w:sz w:val="20"/>
                <w:szCs w:val="20"/>
                <w:color w:val="auto"/>
              </w:rPr>
            </w:pPr>
            <w:r>
              <w:rPr>
                <w:rFonts w:ascii="Arial" w:cs="Arial" w:eastAsia="Arial" w:hAnsi="Arial"/>
                <w:sz w:val="22"/>
                <w:szCs w:val="22"/>
                <w:color w:val="auto"/>
              </w:rPr>
              <w:t>$</w:t>
            </w:r>
          </w:p>
        </w:tc>
        <w:tc>
          <w:tcPr>
            <w:tcW w:w="116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106</w:t>
            </w:r>
          </w:p>
        </w:tc>
        <w:tc>
          <w:tcPr>
            <w:tcW w:w="24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52"/>
              <w:spacing w:after="0" w:line="251" w:lineRule="exact"/>
              <w:rPr>
                <w:sz w:val="20"/>
                <w:szCs w:val="20"/>
                <w:color w:val="auto"/>
              </w:rPr>
            </w:pPr>
            <w:r>
              <w:rPr>
                <w:rFonts w:ascii="Arial" w:cs="Arial" w:eastAsia="Arial" w:hAnsi="Arial"/>
                <w:sz w:val="22"/>
                <w:szCs w:val="22"/>
                <w:color w:val="auto"/>
                <w:w w:val="81"/>
              </w:rPr>
              <w:t>$</w:t>
            </w:r>
          </w:p>
        </w:tc>
        <w:tc>
          <w:tcPr>
            <w:tcW w:w="108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117</w:t>
            </w:r>
          </w:p>
        </w:tc>
      </w:tr>
      <w:tr>
        <w:trPr>
          <w:trHeight w:val="274"/>
        </w:trPr>
        <w:tc>
          <w:tcPr>
            <w:tcW w:w="5080" w:type="dxa"/>
            <w:vAlign w:val="bottom"/>
          </w:tcPr>
          <w:p>
            <w:pPr>
              <w:spacing w:after="0"/>
              <w:rPr>
                <w:sz w:val="20"/>
                <w:szCs w:val="20"/>
                <w:color w:val="auto"/>
              </w:rPr>
            </w:pPr>
            <w:r>
              <w:rPr>
                <w:rFonts w:ascii="Arial" w:cs="Arial" w:eastAsia="Arial" w:hAnsi="Arial"/>
                <w:sz w:val="22"/>
                <w:szCs w:val="22"/>
                <w:color w:val="auto"/>
              </w:rPr>
              <w:t>Income tax benefit</w:t>
            </w:r>
          </w:p>
        </w:tc>
        <w:tc>
          <w:tcPr>
            <w:tcW w:w="94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22"/>
                <w:szCs w:val="22"/>
                <w:color w:val="auto"/>
              </w:rPr>
              <w:t>4</w:t>
            </w: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22"/>
                <w:szCs w:val="22"/>
                <w:color w:val="auto"/>
                <w:w w:val="97"/>
              </w:rPr>
              <w:t>29</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31</w:t>
            </w: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34</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restricted stock transactions for the six months ended June 30, 2021:</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26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22"/>
                <w:szCs w:val="22"/>
                <w:color w:val="auto"/>
                <w:w w:val="91"/>
              </w:rPr>
              <w:t>Number</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60" w:type="dxa"/>
            <w:vAlign w:val="bottom"/>
          </w:tcPr>
          <w:p>
            <w:pPr>
              <w:jc w:val="center"/>
              <w:ind w:right="212"/>
              <w:spacing w:after="0"/>
              <w:rPr>
                <w:sz w:val="20"/>
                <w:szCs w:val="20"/>
                <w:color w:val="auto"/>
              </w:rPr>
            </w:pPr>
            <w:r>
              <w:rPr>
                <w:rFonts w:ascii="Arial" w:cs="Arial" w:eastAsia="Arial" w:hAnsi="Arial"/>
                <w:sz w:val="22"/>
                <w:szCs w:val="22"/>
                <w:color w:val="auto"/>
                <w:w w:val="88"/>
              </w:rPr>
              <w:t>Weighted</w:t>
            </w:r>
          </w:p>
        </w:tc>
      </w:tr>
      <w:tr>
        <w:trPr>
          <w:trHeight w:val="230"/>
        </w:trPr>
        <w:tc>
          <w:tcPr>
            <w:tcW w:w="7260" w:type="dxa"/>
            <w:vAlign w:val="bottom"/>
          </w:tcPr>
          <w:p>
            <w:pPr>
              <w:spacing w:after="0"/>
              <w:rPr>
                <w:sz w:val="19"/>
                <w:szCs w:val="19"/>
                <w:color w:val="auto"/>
              </w:rPr>
            </w:pPr>
          </w:p>
        </w:tc>
        <w:tc>
          <w:tcPr>
            <w:tcW w:w="1720" w:type="dxa"/>
            <w:vAlign w:val="bottom"/>
          </w:tcPr>
          <w:p>
            <w:pPr>
              <w:jc w:val="center"/>
              <w:spacing w:after="0" w:line="229" w:lineRule="exact"/>
              <w:rPr>
                <w:sz w:val="20"/>
                <w:szCs w:val="20"/>
                <w:color w:val="auto"/>
              </w:rPr>
            </w:pPr>
            <w:r>
              <w:rPr>
                <w:rFonts w:ascii="Arial" w:cs="Arial" w:eastAsia="Arial" w:hAnsi="Arial"/>
                <w:sz w:val="22"/>
                <w:szCs w:val="22"/>
                <w:color w:val="auto"/>
                <w:w w:val="97"/>
              </w:rPr>
              <w:t>of</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center"/>
              <w:ind w:right="212"/>
              <w:spacing w:after="0" w:line="229" w:lineRule="exact"/>
              <w:rPr>
                <w:sz w:val="20"/>
                <w:szCs w:val="20"/>
                <w:color w:val="auto"/>
              </w:rPr>
            </w:pPr>
            <w:r>
              <w:rPr>
                <w:rFonts w:ascii="Arial" w:cs="Arial" w:eastAsia="Arial" w:hAnsi="Arial"/>
                <w:sz w:val="22"/>
                <w:szCs w:val="22"/>
                <w:color w:val="auto"/>
                <w:w w:val="85"/>
              </w:rPr>
              <w:t>Average</w:t>
            </w:r>
          </w:p>
        </w:tc>
      </w:tr>
      <w:tr>
        <w:trPr>
          <w:trHeight w:val="251"/>
        </w:trPr>
        <w:tc>
          <w:tcPr>
            <w:tcW w:w="7260" w:type="dxa"/>
            <w:vAlign w:val="bottom"/>
            <w:tcBorders>
              <w:bottom w:val="single" w:sz="8" w:color="CCEEFF"/>
            </w:tcBorders>
          </w:tcPr>
          <w:p>
            <w:pPr>
              <w:spacing w:after="0"/>
              <w:rPr>
                <w:sz w:val="21"/>
                <w:szCs w:val="21"/>
                <w:color w:val="auto"/>
              </w:rPr>
            </w:pPr>
          </w:p>
        </w:tc>
        <w:tc>
          <w:tcPr>
            <w:tcW w:w="1720" w:type="dxa"/>
            <w:vAlign w:val="bottom"/>
            <w:tcBorders>
              <w:bottom w:val="single" w:sz="8" w:color="auto"/>
            </w:tcBorders>
          </w:tcPr>
          <w:p>
            <w:pPr>
              <w:jc w:val="center"/>
              <w:spacing w:after="0" w:line="251" w:lineRule="exact"/>
              <w:rPr>
                <w:sz w:val="20"/>
                <w:szCs w:val="20"/>
                <w:color w:val="auto"/>
              </w:rPr>
            </w:pPr>
            <w:r>
              <w:rPr>
                <w:rFonts w:ascii="Arial" w:cs="Arial" w:eastAsia="Arial" w:hAnsi="Arial"/>
                <w:sz w:val="22"/>
                <w:szCs w:val="22"/>
                <w:color w:val="auto"/>
                <w:w w:val="80"/>
              </w:rPr>
              <w:t>Shares</w:t>
            </w:r>
          </w:p>
        </w:tc>
        <w:tc>
          <w:tcPr>
            <w:tcW w:w="2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212"/>
              <w:spacing w:after="0" w:line="251" w:lineRule="exact"/>
              <w:rPr>
                <w:sz w:val="20"/>
                <w:szCs w:val="20"/>
                <w:color w:val="auto"/>
              </w:rPr>
            </w:pPr>
            <w:r>
              <w:rPr>
                <w:rFonts w:ascii="Arial" w:cs="Arial" w:eastAsia="Arial" w:hAnsi="Arial"/>
                <w:sz w:val="22"/>
                <w:szCs w:val="22"/>
                <w:color w:val="auto"/>
                <w:w w:val="89"/>
              </w:rPr>
              <w:t>Fair Value</w:t>
            </w:r>
          </w:p>
        </w:tc>
      </w:tr>
      <w:tr>
        <w:trPr>
          <w:trHeight w:val="223"/>
        </w:trPr>
        <w:tc>
          <w:tcPr>
            <w:tcW w:w="726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Nonvested restricted stock at beginning of period</w:t>
            </w:r>
          </w:p>
        </w:tc>
        <w:tc>
          <w:tcPr>
            <w:tcW w:w="172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13,228</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23"/>
              <w:spacing w:after="0"/>
              <w:rPr>
                <w:sz w:val="20"/>
                <w:szCs w:val="20"/>
                <w:color w:val="auto"/>
              </w:rPr>
            </w:pPr>
            <w:r>
              <w:rPr>
                <w:rFonts w:ascii="Arial" w:cs="Arial" w:eastAsia="Arial" w:hAnsi="Arial"/>
                <w:sz w:val="19"/>
                <w:szCs w:val="19"/>
                <w:color w:val="auto"/>
                <w:w w:val="75"/>
              </w:rPr>
              <w:t>$</w:t>
            </w:r>
          </w:p>
        </w:tc>
        <w:tc>
          <w:tcPr>
            <w:tcW w:w="16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34.02</w:t>
            </w:r>
          </w:p>
        </w:tc>
      </w:tr>
      <w:tr>
        <w:trPr>
          <w:trHeight w:val="230"/>
        </w:trPr>
        <w:tc>
          <w:tcPr>
            <w:tcW w:w="7260" w:type="dxa"/>
            <w:vAlign w:val="bottom"/>
          </w:tcPr>
          <w:p>
            <w:pPr>
              <w:ind w:left="120"/>
              <w:spacing w:after="0" w:line="229" w:lineRule="exact"/>
              <w:rPr>
                <w:sz w:val="20"/>
                <w:szCs w:val="20"/>
                <w:color w:val="auto"/>
              </w:rPr>
            </w:pPr>
            <w:r>
              <w:rPr>
                <w:rFonts w:ascii="Arial" w:cs="Arial" w:eastAsia="Arial" w:hAnsi="Arial"/>
                <w:sz w:val="22"/>
                <w:szCs w:val="22"/>
                <w:color w:val="auto"/>
              </w:rPr>
              <w:t>Granted</w:t>
            </w:r>
          </w:p>
        </w:tc>
        <w:tc>
          <w:tcPr>
            <w:tcW w:w="172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r>
      <w:tr>
        <w:trPr>
          <w:trHeight w:val="230"/>
        </w:trPr>
        <w:tc>
          <w:tcPr>
            <w:tcW w:w="726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Vested</w:t>
            </w:r>
          </w:p>
        </w:tc>
        <w:tc>
          <w:tcPr>
            <w:tcW w:w="172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(11,952)</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33.47</w:t>
            </w:r>
          </w:p>
        </w:tc>
      </w:tr>
      <w:tr>
        <w:trPr>
          <w:trHeight w:val="223"/>
        </w:trPr>
        <w:tc>
          <w:tcPr>
            <w:tcW w:w="7260" w:type="dxa"/>
            <w:vAlign w:val="bottom"/>
          </w:tcPr>
          <w:p>
            <w:pPr>
              <w:spacing w:after="0" w:line="223" w:lineRule="exact"/>
              <w:rPr>
                <w:sz w:val="20"/>
                <w:szCs w:val="20"/>
                <w:color w:val="auto"/>
              </w:rPr>
            </w:pPr>
            <w:r>
              <w:rPr>
                <w:rFonts w:ascii="Arial" w:cs="Arial" w:eastAsia="Arial" w:hAnsi="Arial"/>
                <w:sz w:val="22"/>
                <w:szCs w:val="22"/>
                <w:color w:val="auto"/>
              </w:rPr>
              <w:t>Nonvested restricted stock at end of period</w:t>
            </w:r>
          </w:p>
        </w:tc>
        <w:tc>
          <w:tcPr>
            <w:tcW w:w="17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1,276</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line="223" w:lineRule="exact"/>
              <w:rPr>
                <w:sz w:val="20"/>
                <w:szCs w:val="20"/>
                <w:color w:val="auto"/>
              </w:rPr>
            </w:pPr>
            <w:r>
              <w:rPr>
                <w:rFonts w:ascii="Arial" w:cs="Arial" w:eastAsia="Arial" w:hAnsi="Arial"/>
                <w:sz w:val="22"/>
                <w:szCs w:val="22"/>
                <w:color w:val="auto"/>
              </w:rPr>
              <w:t>39.19</w:t>
            </w:r>
          </w:p>
        </w:tc>
      </w:tr>
      <w:tr>
        <w:trPr>
          <w:trHeight w:val="20"/>
        </w:trPr>
        <w:tc>
          <w:tcPr>
            <w:tcW w:w="72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80"/>
        <w:spacing w:after="0" w:line="260" w:lineRule="auto"/>
        <w:rPr>
          <w:sz w:val="20"/>
          <w:szCs w:val="20"/>
          <w:color w:val="auto"/>
        </w:rPr>
      </w:pPr>
      <w:r>
        <w:rPr>
          <w:rFonts w:ascii="Arial" w:cs="Arial" w:eastAsia="Arial" w:hAnsi="Arial"/>
          <w:sz w:val="21"/>
          <w:szCs w:val="21"/>
          <w:color w:val="auto"/>
        </w:rPr>
        <w:t>The Company did not grant restricted stock for the six months ended June 30, 2021. The weighted-average fair value at the date of grant for restricted stock awards granted during the six months ended June 30, 2020 was $33.47.</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9" w:name="page30"/>
    <w:bookmarkEnd w:id="29"/>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ind w:right="120"/>
        <w:spacing w:after="0" w:line="228" w:lineRule="auto"/>
        <w:rPr>
          <w:sz w:val="20"/>
          <w:szCs w:val="20"/>
          <w:color w:val="auto"/>
        </w:rPr>
      </w:pPr>
      <w:r>
        <w:rPr>
          <w:rFonts w:ascii="Arial" w:cs="Arial" w:eastAsia="Arial" w:hAnsi="Arial"/>
          <w:sz w:val="22"/>
          <w:szCs w:val="22"/>
          <w:b w:val="1"/>
          <w:bCs w:val="1"/>
          <w:i w:val="1"/>
          <w:iCs w:val="1"/>
          <w:color w:val="auto"/>
        </w:rPr>
        <w:t xml:space="preserve">Stock Awards </w:t>
      </w:r>
      <w:r>
        <w:rPr>
          <w:rFonts w:ascii="Arial" w:cs="Arial" w:eastAsia="Arial" w:hAnsi="Arial"/>
          <w:sz w:val="22"/>
          <w:szCs w:val="22"/>
          <w:color w:val="auto"/>
        </w:rPr>
        <w:t>– Stock awards represent the issuance of the Company’s common stock, without restriction. The issuance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stock awards results in compensation expense that is equal to the fair market value of the stock on the grant date and is expensed immediately upon grant. The following table provides the compensation cost and income tax benefit for stock-based compensation related to stock awards: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00" w:type="dxa"/>
            <w:vAlign w:val="bottom"/>
            <w:gridSpan w:val="4"/>
          </w:tcPr>
          <w:p>
            <w:pPr>
              <w:jc w:val="center"/>
              <w:ind w:left="332"/>
              <w:spacing w:after="0"/>
              <w:rPr>
                <w:sz w:val="20"/>
                <w:szCs w:val="20"/>
                <w:color w:val="auto"/>
              </w:rPr>
            </w:pPr>
            <w:r>
              <w:rPr>
                <w:rFonts w:ascii="Arial" w:cs="Arial" w:eastAsia="Arial" w:hAnsi="Arial"/>
                <w:sz w:val="22"/>
                <w:szCs w:val="22"/>
                <w:color w:val="auto"/>
                <w:w w:val="88"/>
              </w:rPr>
              <w:t>Three Months Ended</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60" w:type="dxa"/>
            <w:vAlign w:val="bottom"/>
            <w:gridSpan w:val="4"/>
          </w:tcPr>
          <w:p>
            <w:pPr>
              <w:jc w:val="center"/>
              <w:ind w:right="252"/>
              <w:spacing w:after="0"/>
              <w:rPr>
                <w:sz w:val="20"/>
                <w:szCs w:val="20"/>
                <w:color w:val="auto"/>
              </w:rPr>
            </w:pPr>
            <w:r>
              <w:rPr>
                <w:rFonts w:ascii="Arial" w:cs="Arial" w:eastAsia="Arial" w:hAnsi="Arial"/>
                <w:sz w:val="22"/>
                <w:szCs w:val="22"/>
                <w:color w:val="auto"/>
                <w:w w:val="90"/>
              </w:rPr>
              <w:t>Six Months Ended</w:t>
            </w:r>
          </w:p>
        </w:tc>
      </w:tr>
      <w:tr>
        <w:trPr>
          <w:trHeight w:val="251"/>
        </w:trPr>
        <w:tc>
          <w:tcPr>
            <w:tcW w:w="4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center"/>
              <w:ind w:right="357"/>
              <w:spacing w:after="0" w:line="251" w:lineRule="exact"/>
              <w:rPr>
                <w:sz w:val="20"/>
                <w:szCs w:val="20"/>
                <w:color w:val="auto"/>
              </w:rPr>
            </w:pPr>
            <w:r>
              <w:rPr>
                <w:rFonts w:ascii="Arial" w:cs="Arial" w:eastAsia="Arial" w:hAnsi="Arial"/>
                <w:sz w:val="22"/>
                <w:szCs w:val="22"/>
                <w:color w:val="auto"/>
                <w:w w:val="85"/>
              </w:rPr>
              <w:t>June 30,</w:t>
            </w:r>
          </w:p>
        </w:tc>
        <w:tc>
          <w:tcPr>
            <w:tcW w:w="4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center"/>
              <w:ind w:left="732"/>
              <w:spacing w:after="0" w:line="251" w:lineRule="exact"/>
              <w:rPr>
                <w:sz w:val="20"/>
                <w:szCs w:val="20"/>
                <w:color w:val="auto"/>
              </w:rPr>
            </w:pPr>
            <w:r>
              <w:rPr>
                <w:rFonts w:ascii="Arial" w:cs="Arial" w:eastAsia="Arial" w:hAnsi="Arial"/>
                <w:sz w:val="22"/>
                <w:szCs w:val="22"/>
                <w:color w:val="auto"/>
                <w:w w:val="85"/>
              </w:rPr>
              <w:t>June 30,</w:t>
            </w:r>
          </w:p>
        </w:tc>
        <w:tc>
          <w:tcPr>
            <w:tcW w:w="1180" w:type="dxa"/>
            <w:vAlign w:val="bottom"/>
            <w:tcBorders>
              <w:bottom w:val="single" w:sz="8" w:color="auto"/>
            </w:tcBorders>
          </w:tcPr>
          <w:p>
            <w:pPr>
              <w:spacing w:after="0"/>
              <w:rPr>
                <w:sz w:val="21"/>
                <w:szCs w:val="21"/>
                <w:color w:val="auto"/>
              </w:rPr>
            </w:pPr>
          </w:p>
        </w:tc>
      </w:tr>
      <w:tr>
        <w:trPr>
          <w:trHeight w:val="223"/>
        </w:trPr>
        <w:tc>
          <w:tcPr>
            <w:tcW w:w="44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2021</w:t>
            </w:r>
          </w:p>
        </w:tc>
        <w:tc>
          <w:tcPr>
            <w:tcW w:w="40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2020</w:t>
            </w:r>
          </w:p>
        </w:tc>
        <w:tc>
          <w:tcPr>
            <w:tcW w:w="4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2"/>
              <w:spacing w:after="0" w:line="223" w:lineRule="exact"/>
              <w:rPr>
                <w:sz w:val="20"/>
                <w:szCs w:val="20"/>
                <w:color w:val="auto"/>
              </w:rPr>
            </w:pPr>
            <w:r>
              <w:rPr>
                <w:rFonts w:ascii="Arial" w:cs="Arial" w:eastAsia="Arial" w:hAnsi="Arial"/>
                <w:sz w:val="22"/>
                <w:szCs w:val="22"/>
                <w:color w:val="auto"/>
              </w:rPr>
              <w:t>2021</w:t>
            </w: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2"/>
              <w:spacing w:after="0" w:line="223" w:lineRule="exact"/>
              <w:rPr>
                <w:sz w:val="20"/>
                <w:szCs w:val="20"/>
                <w:color w:val="auto"/>
              </w:rPr>
            </w:pPr>
            <w:r>
              <w:rPr>
                <w:rFonts w:ascii="Arial" w:cs="Arial" w:eastAsia="Arial" w:hAnsi="Arial"/>
                <w:sz w:val="22"/>
                <w:szCs w:val="22"/>
                <w:color w:val="auto"/>
              </w:rPr>
              <w:t>2020</w:t>
            </w:r>
          </w:p>
        </w:tc>
      </w:tr>
      <w:tr>
        <w:trPr>
          <w:trHeight w:val="188"/>
        </w:trPr>
        <w:tc>
          <w:tcPr>
            <w:tcW w:w="4460" w:type="dxa"/>
            <w:vAlign w:val="bottom"/>
            <w:shd w:val="clear" w:color="auto" w:fill="CCEEFF"/>
          </w:tcPr>
          <w:p>
            <w:pPr>
              <w:spacing w:after="0" w:line="188" w:lineRule="exact"/>
              <w:rPr>
                <w:sz w:val="20"/>
                <w:szCs w:val="20"/>
                <w:color w:val="auto"/>
              </w:rPr>
            </w:pPr>
            <w:r>
              <w:rPr>
                <w:rFonts w:ascii="Arial" w:cs="Arial" w:eastAsia="Arial" w:hAnsi="Arial"/>
                <w:sz w:val="21"/>
                <w:szCs w:val="21"/>
                <w:color w:val="auto"/>
                <w:w w:val="97"/>
              </w:rPr>
              <w:t>Stock-based compensation within operations and</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51"/>
        </w:trPr>
        <w:tc>
          <w:tcPr>
            <w:tcW w:w="4460" w:type="dxa"/>
            <w:vAlign w:val="bottom"/>
            <w:shd w:val="clear" w:color="auto" w:fill="CCEEFF"/>
          </w:tcPr>
          <w:p>
            <w:pPr>
              <w:spacing w:after="0" w:line="251" w:lineRule="exact"/>
              <w:rPr>
                <w:sz w:val="20"/>
                <w:szCs w:val="20"/>
                <w:color w:val="auto"/>
              </w:rPr>
            </w:pPr>
            <w:r>
              <w:rPr>
                <w:rFonts w:ascii="Arial" w:cs="Arial" w:eastAsia="Arial" w:hAnsi="Arial"/>
                <w:sz w:val="22"/>
                <w:szCs w:val="22"/>
                <w:color w:val="auto"/>
              </w:rPr>
              <w:t>maintenance expenses</w:t>
            </w:r>
          </w:p>
        </w:tc>
        <w:tc>
          <w:tcPr>
            <w:tcW w:w="1120" w:type="dxa"/>
            <w:vAlign w:val="bottom"/>
            <w:gridSpan w:val="2"/>
            <w:shd w:val="clear" w:color="auto" w:fill="CCEEFF"/>
          </w:tcPr>
          <w:p>
            <w:pPr>
              <w:jc w:val="right"/>
              <w:ind w:right="692"/>
              <w:spacing w:after="0" w:line="251" w:lineRule="exact"/>
              <w:rPr>
                <w:sz w:val="20"/>
                <w:szCs w:val="20"/>
                <w:color w:val="auto"/>
              </w:rPr>
            </w:pPr>
            <w:r>
              <w:rPr>
                <w:rFonts w:ascii="Arial" w:cs="Arial" w:eastAsia="Arial" w:hAnsi="Arial"/>
                <w:sz w:val="22"/>
                <w:szCs w:val="22"/>
                <w:color w:val="auto"/>
              </w:rPr>
              <w:t>$</w:t>
            </w:r>
          </w:p>
        </w:tc>
        <w:tc>
          <w:tcPr>
            <w:tcW w:w="40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w w:val="87"/>
              </w:rPr>
              <w:t>175</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37"/>
              <w:spacing w:after="0"/>
              <w:rPr>
                <w:sz w:val="20"/>
                <w:szCs w:val="20"/>
                <w:color w:val="auto"/>
              </w:rPr>
            </w:pPr>
            <w:r>
              <w:rPr>
                <w:rFonts w:ascii="Arial" w:cs="Arial" w:eastAsia="Arial" w:hAnsi="Arial"/>
                <w:sz w:val="19"/>
                <w:szCs w:val="19"/>
                <w:color w:val="auto"/>
                <w:w w:val="75"/>
              </w:rPr>
              <w:t>$</w:t>
            </w:r>
          </w:p>
        </w:tc>
        <w:tc>
          <w:tcPr>
            <w:tcW w:w="44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w w:val="97"/>
              </w:rPr>
              <w:t>170</w:t>
            </w:r>
          </w:p>
        </w:tc>
        <w:tc>
          <w:tcPr>
            <w:tcW w:w="580" w:type="dxa"/>
            <w:vAlign w:val="bottom"/>
            <w:gridSpan w:val="2"/>
            <w:shd w:val="clear" w:color="auto" w:fill="CCEEFF"/>
          </w:tcPr>
          <w:p>
            <w:pPr>
              <w:jc w:val="right"/>
              <w:ind w:right="240"/>
              <w:spacing w:after="0" w:line="251" w:lineRule="exact"/>
              <w:rPr>
                <w:sz w:val="20"/>
                <w:szCs w:val="20"/>
                <w:color w:val="auto"/>
              </w:rPr>
            </w:pPr>
            <w:r>
              <w:rPr>
                <w:rFonts w:ascii="Arial" w:cs="Arial" w:eastAsia="Arial" w:hAnsi="Arial"/>
                <w:sz w:val="22"/>
                <w:szCs w:val="22"/>
                <w:color w:val="auto"/>
              </w:rPr>
              <w:t>$</w:t>
            </w:r>
          </w:p>
        </w:tc>
        <w:tc>
          <w:tcPr>
            <w:tcW w:w="126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350</w:t>
            </w: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192"/>
              <w:spacing w:after="0" w:line="251" w:lineRule="exact"/>
              <w:rPr>
                <w:sz w:val="20"/>
                <w:szCs w:val="20"/>
                <w:color w:val="auto"/>
              </w:rPr>
            </w:pPr>
            <w:r>
              <w:rPr>
                <w:rFonts w:ascii="Arial" w:cs="Arial" w:eastAsia="Arial" w:hAnsi="Arial"/>
                <w:sz w:val="22"/>
                <w:szCs w:val="22"/>
                <w:color w:val="auto"/>
                <w:w w:val="81"/>
              </w:rPr>
              <w:t>$</w:t>
            </w:r>
          </w:p>
        </w:tc>
        <w:tc>
          <w:tcPr>
            <w:tcW w:w="118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345</w:t>
            </w:r>
          </w:p>
        </w:tc>
      </w:tr>
      <w:tr>
        <w:trPr>
          <w:trHeight w:val="274"/>
        </w:trPr>
        <w:tc>
          <w:tcPr>
            <w:tcW w:w="4460" w:type="dxa"/>
            <w:vAlign w:val="bottom"/>
          </w:tcPr>
          <w:p>
            <w:pPr>
              <w:spacing w:after="0"/>
              <w:rPr>
                <w:sz w:val="20"/>
                <w:szCs w:val="20"/>
                <w:color w:val="auto"/>
              </w:rPr>
            </w:pPr>
            <w:r>
              <w:rPr>
                <w:rFonts w:ascii="Arial" w:cs="Arial" w:eastAsia="Arial" w:hAnsi="Arial"/>
                <w:sz w:val="22"/>
                <w:szCs w:val="22"/>
                <w:color w:val="auto"/>
              </w:rPr>
              <w:t>Income tax benefit</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22"/>
                <w:szCs w:val="22"/>
                <w:color w:val="auto"/>
              </w:rPr>
              <w:t>51</w:t>
            </w: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22"/>
                <w:szCs w:val="22"/>
                <w:color w:val="auto"/>
              </w:rPr>
              <w:t>49</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101</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100</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stock award transactions for the six months ended June 30, 2021:</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18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22"/>
                <w:szCs w:val="22"/>
                <w:color w:val="auto"/>
                <w:w w:val="91"/>
              </w:rPr>
              <w:t>Number</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tcPr>
          <w:p>
            <w:pPr>
              <w:jc w:val="center"/>
              <w:ind w:right="232"/>
              <w:spacing w:after="0"/>
              <w:rPr>
                <w:sz w:val="20"/>
                <w:szCs w:val="20"/>
                <w:color w:val="auto"/>
              </w:rPr>
            </w:pPr>
            <w:r>
              <w:rPr>
                <w:rFonts w:ascii="Arial" w:cs="Arial" w:eastAsia="Arial" w:hAnsi="Arial"/>
                <w:sz w:val="22"/>
                <w:szCs w:val="22"/>
                <w:color w:val="auto"/>
                <w:w w:val="90"/>
              </w:rPr>
              <w:t>Weighted</w:t>
            </w:r>
          </w:p>
        </w:tc>
      </w:tr>
      <w:tr>
        <w:trPr>
          <w:trHeight w:val="230"/>
        </w:trPr>
        <w:tc>
          <w:tcPr>
            <w:tcW w:w="7180" w:type="dxa"/>
            <w:vAlign w:val="bottom"/>
          </w:tcPr>
          <w:p>
            <w:pPr>
              <w:spacing w:after="0"/>
              <w:rPr>
                <w:sz w:val="19"/>
                <w:szCs w:val="19"/>
                <w:color w:val="auto"/>
              </w:rPr>
            </w:pPr>
          </w:p>
        </w:tc>
        <w:tc>
          <w:tcPr>
            <w:tcW w:w="1800" w:type="dxa"/>
            <w:vAlign w:val="bottom"/>
          </w:tcPr>
          <w:p>
            <w:pPr>
              <w:jc w:val="center"/>
              <w:spacing w:after="0" w:line="229" w:lineRule="exact"/>
              <w:rPr>
                <w:sz w:val="20"/>
                <w:szCs w:val="20"/>
                <w:color w:val="auto"/>
              </w:rPr>
            </w:pPr>
            <w:r>
              <w:rPr>
                <w:rFonts w:ascii="Arial" w:cs="Arial" w:eastAsia="Arial" w:hAnsi="Arial"/>
                <w:sz w:val="22"/>
                <w:szCs w:val="22"/>
                <w:color w:val="auto"/>
                <w:w w:val="97"/>
              </w:rPr>
              <w:t>of</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center"/>
              <w:ind w:right="232"/>
              <w:spacing w:after="0" w:line="229" w:lineRule="exact"/>
              <w:rPr>
                <w:sz w:val="20"/>
                <w:szCs w:val="20"/>
                <w:color w:val="auto"/>
              </w:rPr>
            </w:pPr>
            <w:r>
              <w:rPr>
                <w:rFonts w:ascii="Arial" w:cs="Arial" w:eastAsia="Arial" w:hAnsi="Arial"/>
                <w:sz w:val="22"/>
                <w:szCs w:val="22"/>
                <w:color w:val="auto"/>
                <w:w w:val="87"/>
              </w:rPr>
              <w:t>Average</w:t>
            </w:r>
          </w:p>
        </w:tc>
      </w:tr>
      <w:tr>
        <w:trPr>
          <w:trHeight w:val="251"/>
        </w:trPr>
        <w:tc>
          <w:tcPr>
            <w:tcW w:w="7180" w:type="dxa"/>
            <w:vAlign w:val="bottom"/>
            <w:tcBorders>
              <w:bottom w:val="single" w:sz="8" w:color="CCEEFF"/>
            </w:tcBorders>
          </w:tcPr>
          <w:p>
            <w:pPr>
              <w:spacing w:after="0"/>
              <w:rPr>
                <w:sz w:val="21"/>
                <w:szCs w:val="21"/>
                <w:color w:val="auto"/>
              </w:rPr>
            </w:pPr>
          </w:p>
        </w:tc>
        <w:tc>
          <w:tcPr>
            <w:tcW w:w="1800" w:type="dxa"/>
            <w:vAlign w:val="bottom"/>
            <w:tcBorders>
              <w:bottom w:val="single" w:sz="8" w:color="auto"/>
            </w:tcBorders>
          </w:tcPr>
          <w:p>
            <w:pPr>
              <w:jc w:val="center"/>
              <w:spacing w:after="0" w:line="251" w:lineRule="exact"/>
              <w:rPr>
                <w:sz w:val="20"/>
                <w:szCs w:val="20"/>
                <w:color w:val="auto"/>
              </w:rPr>
            </w:pPr>
            <w:r>
              <w:rPr>
                <w:rFonts w:ascii="Arial" w:cs="Arial" w:eastAsia="Arial" w:hAnsi="Arial"/>
                <w:sz w:val="22"/>
                <w:szCs w:val="22"/>
                <w:color w:val="auto"/>
                <w:w w:val="89"/>
              </w:rPr>
              <w:t>Stock Awards</w:t>
            </w:r>
          </w:p>
        </w:tc>
        <w:tc>
          <w:tcPr>
            <w:tcW w:w="2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232"/>
              <w:spacing w:after="0" w:line="251" w:lineRule="exact"/>
              <w:rPr>
                <w:sz w:val="20"/>
                <w:szCs w:val="20"/>
                <w:color w:val="auto"/>
              </w:rPr>
            </w:pPr>
            <w:r>
              <w:rPr>
                <w:rFonts w:ascii="Arial" w:cs="Arial" w:eastAsia="Arial" w:hAnsi="Arial"/>
                <w:sz w:val="22"/>
                <w:szCs w:val="22"/>
                <w:color w:val="auto"/>
                <w:w w:val="87"/>
              </w:rPr>
              <w:t>Fair Value</w:t>
            </w:r>
          </w:p>
        </w:tc>
      </w:tr>
      <w:tr>
        <w:trPr>
          <w:trHeight w:val="223"/>
        </w:trPr>
        <w:tc>
          <w:tcPr>
            <w:tcW w:w="718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Nonvested stock awards at beginning of period</w:t>
            </w:r>
          </w:p>
        </w:tc>
        <w:tc>
          <w:tcPr>
            <w:tcW w:w="180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12"/>
              <w:spacing w:after="0" w:line="223" w:lineRule="exact"/>
              <w:rPr>
                <w:sz w:val="20"/>
                <w:szCs w:val="20"/>
                <w:color w:val="auto"/>
              </w:rPr>
            </w:pPr>
            <w:r>
              <w:rPr>
                <w:rFonts w:ascii="Arial" w:cs="Arial" w:eastAsia="Arial" w:hAnsi="Arial"/>
                <w:sz w:val="22"/>
                <w:szCs w:val="22"/>
                <w:color w:val="auto"/>
                <w:w w:val="81"/>
              </w:rPr>
              <w:t>$</w:t>
            </w:r>
          </w:p>
        </w:tc>
        <w:tc>
          <w:tcPr>
            <w:tcW w:w="16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w:t>
            </w:r>
          </w:p>
        </w:tc>
      </w:tr>
      <w:tr>
        <w:trPr>
          <w:trHeight w:val="229"/>
        </w:trPr>
        <w:tc>
          <w:tcPr>
            <w:tcW w:w="7180" w:type="dxa"/>
            <w:vAlign w:val="bottom"/>
          </w:tcPr>
          <w:p>
            <w:pPr>
              <w:ind w:left="120"/>
              <w:spacing w:after="0" w:line="229" w:lineRule="exact"/>
              <w:rPr>
                <w:sz w:val="20"/>
                <w:szCs w:val="20"/>
                <w:color w:val="auto"/>
              </w:rPr>
            </w:pPr>
            <w:r>
              <w:rPr>
                <w:rFonts w:ascii="Arial" w:cs="Arial" w:eastAsia="Arial" w:hAnsi="Arial"/>
                <w:sz w:val="22"/>
                <w:szCs w:val="22"/>
                <w:color w:val="auto"/>
              </w:rPr>
              <w:t>Granted</w:t>
            </w:r>
          </w:p>
        </w:tc>
        <w:tc>
          <w:tcPr>
            <w:tcW w:w="1800" w:type="dxa"/>
            <w:vAlign w:val="bottom"/>
          </w:tcPr>
          <w:p>
            <w:pPr>
              <w:jc w:val="right"/>
              <w:spacing w:after="0" w:line="229" w:lineRule="exact"/>
              <w:rPr>
                <w:sz w:val="20"/>
                <w:szCs w:val="20"/>
                <w:color w:val="auto"/>
              </w:rPr>
            </w:pPr>
            <w:r>
              <w:rPr>
                <w:rFonts w:ascii="Arial" w:cs="Arial" w:eastAsia="Arial" w:hAnsi="Arial"/>
                <w:sz w:val="22"/>
                <w:szCs w:val="22"/>
                <w:color w:val="auto"/>
              </w:rPr>
              <w:t>7,728</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right"/>
              <w:spacing w:after="0" w:line="229" w:lineRule="exact"/>
              <w:rPr>
                <w:sz w:val="20"/>
                <w:szCs w:val="20"/>
                <w:color w:val="auto"/>
              </w:rPr>
            </w:pPr>
            <w:r>
              <w:rPr>
                <w:rFonts w:ascii="Arial" w:cs="Arial" w:eastAsia="Arial" w:hAnsi="Arial"/>
                <w:sz w:val="22"/>
                <w:szCs w:val="22"/>
                <w:color w:val="auto"/>
              </w:rPr>
              <w:t>45.28</w:t>
            </w:r>
          </w:p>
        </w:tc>
      </w:tr>
      <w:tr>
        <w:trPr>
          <w:trHeight w:val="230"/>
        </w:trPr>
        <w:tc>
          <w:tcPr>
            <w:tcW w:w="718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Vested</w:t>
            </w:r>
          </w:p>
        </w:tc>
        <w:tc>
          <w:tcPr>
            <w:tcW w:w="180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(7,728)</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(45.28)</w:t>
            </w:r>
          </w:p>
        </w:tc>
      </w:tr>
      <w:tr>
        <w:trPr>
          <w:trHeight w:val="223"/>
        </w:trPr>
        <w:tc>
          <w:tcPr>
            <w:tcW w:w="7180" w:type="dxa"/>
            <w:vAlign w:val="bottom"/>
          </w:tcPr>
          <w:p>
            <w:pPr>
              <w:spacing w:after="0" w:line="223" w:lineRule="exact"/>
              <w:rPr>
                <w:sz w:val="20"/>
                <w:szCs w:val="20"/>
                <w:color w:val="auto"/>
              </w:rPr>
            </w:pPr>
            <w:r>
              <w:rPr>
                <w:rFonts w:ascii="Arial" w:cs="Arial" w:eastAsia="Arial" w:hAnsi="Arial"/>
                <w:sz w:val="22"/>
                <w:szCs w:val="22"/>
                <w:color w:val="auto"/>
              </w:rPr>
              <w:t>Nonvested stock awards at end of period</w:t>
            </w:r>
          </w:p>
        </w:tc>
        <w:tc>
          <w:tcPr>
            <w:tcW w:w="18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right"/>
              <w:spacing w:after="0" w:line="223" w:lineRule="exact"/>
              <w:rPr>
                <w:sz w:val="20"/>
                <w:szCs w:val="20"/>
                <w:color w:val="auto"/>
              </w:rPr>
            </w:pPr>
            <w:r>
              <w:rPr>
                <w:rFonts w:ascii="Arial" w:cs="Arial" w:eastAsia="Arial" w:hAnsi="Arial"/>
                <w:sz w:val="22"/>
                <w:szCs w:val="22"/>
                <w:color w:val="auto"/>
              </w:rPr>
              <w:t>-</w:t>
            </w:r>
          </w:p>
        </w:tc>
      </w:tr>
      <w:tr>
        <w:trPr>
          <w:trHeight w:val="20"/>
        </w:trPr>
        <w:tc>
          <w:tcPr>
            <w:tcW w:w="71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40"/>
        <w:spacing w:after="0" w:line="239" w:lineRule="auto"/>
        <w:rPr>
          <w:sz w:val="20"/>
          <w:szCs w:val="20"/>
          <w:color w:val="auto"/>
        </w:rPr>
      </w:pPr>
      <w:r>
        <w:rPr>
          <w:rFonts w:ascii="Arial" w:cs="Arial" w:eastAsia="Arial" w:hAnsi="Arial"/>
          <w:sz w:val="22"/>
          <w:szCs w:val="22"/>
          <w:color w:val="auto"/>
        </w:rPr>
        <w:t>The weighted-average fair value at the date of grant for stock awards granted during the six months ended June 30, 2021 and 2020 was $45.28 and $40.80, respectively.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0" w:name="page31"/>
    <w:bookmarkEnd w:id="30"/>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10 – </w:t>
      </w:r>
      <w:r>
        <w:rPr>
          <w:rFonts w:ascii="Arial" w:cs="Arial" w:eastAsia="Arial" w:hAnsi="Arial"/>
          <w:sz w:val="22"/>
          <w:szCs w:val="22"/>
          <w:b w:val="1"/>
          <w:bCs w:val="1"/>
          <w:i w:val="1"/>
          <w:iCs w:val="1"/>
          <w:color w:val="auto"/>
        </w:rPr>
        <w:t>Pension Plans and Other Postretirement Benefits</w:t>
      </w:r>
    </w:p>
    <w:p>
      <w:pPr>
        <w:spacing w:after="0" w:line="212" w:lineRule="exact"/>
        <w:rPr>
          <w:sz w:val="20"/>
          <w:szCs w:val="20"/>
          <w:color w:val="auto"/>
        </w:rPr>
      </w:pPr>
    </w:p>
    <w:p>
      <w:pPr>
        <w:ind w:right="20"/>
        <w:spacing w:after="0" w:line="237" w:lineRule="auto"/>
        <w:rPr>
          <w:sz w:val="20"/>
          <w:szCs w:val="20"/>
          <w:color w:val="auto"/>
        </w:rPr>
      </w:pPr>
      <w:r>
        <w:rPr>
          <w:rFonts w:ascii="Arial" w:cs="Arial" w:eastAsia="Arial" w:hAnsi="Arial"/>
          <w:sz w:val="21"/>
          <w:szCs w:val="21"/>
          <w:color w:val="auto"/>
        </w:rPr>
        <w:t>The Company maintains a qualified defined benefit pension plan (the “Pension Plan”), a nonqualified pension plan, and other postretirement benefit plans for certain of its employees. On March 16, 2020, we completed the Peoples Gas Acquisition and assumed the pension and other postretirement benefit plans for its employees. The operating results of Peoples has been included in our consolidated financial statements since the date of acquisition. On April 1, 2020, the Company merged the pension plans acquired in the Peoples Gas Acquisition into the Company’s legacy Pension Plan.</w:t>
      </w:r>
    </w:p>
    <w:p>
      <w:pPr>
        <w:spacing w:after="0" w:line="185"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color w:val="auto"/>
        </w:rPr>
        <w:t>The following tables provide the components of net periodic benefit cost for the Company’s pension and other postretirement benefit plans: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gridSpan w:val="6"/>
          </w:tcPr>
          <w:p>
            <w:pPr>
              <w:jc w:val="center"/>
              <w:ind w:right="480"/>
              <w:spacing w:after="0"/>
              <w:rPr>
                <w:sz w:val="20"/>
                <w:szCs w:val="20"/>
                <w:color w:val="auto"/>
              </w:rPr>
            </w:pPr>
            <w:r>
              <w:rPr>
                <w:rFonts w:ascii="Arial" w:cs="Arial" w:eastAsia="Arial" w:hAnsi="Arial"/>
                <w:sz w:val="22"/>
                <w:szCs w:val="22"/>
                <w:color w:val="auto"/>
                <w:w w:val="88"/>
              </w:rPr>
              <w:t>Pension Benefits</w:t>
            </w:r>
          </w:p>
        </w:tc>
        <w:tc>
          <w:tcPr>
            <w:tcW w:w="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02"/>
        </w:trPr>
        <w:tc>
          <w:tcPr>
            <w:tcW w:w="4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60" w:type="dxa"/>
            <w:vAlign w:val="bottom"/>
            <w:gridSpan w:val="6"/>
          </w:tcPr>
          <w:p>
            <w:pPr>
              <w:jc w:val="right"/>
              <w:ind w:right="660"/>
              <w:spacing w:after="0" w:line="202" w:lineRule="exact"/>
              <w:rPr>
                <w:sz w:val="20"/>
                <w:szCs w:val="20"/>
                <w:color w:val="auto"/>
              </w:rPr>
            </w:pPr>
            <w:r>
              <w:rPr>
                <w:rFonts w:ascii="Arial" w:cs="Arial" w:eastAsia="Arial" w:hAnsi="Arial"/>
                <w:sz w:val="22"/>
                <w:szCs w:val="22"/>
                <w:color w:val="auto"/>
              </w:rPr>
              <w:t>Three Months Ended</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0" w:type="dxa"/>
            <w:vAlign w:val="bottom"/>
            <w:gridSpan w:val="5"/>
          </w:tcPr>
          <w:p>
            <w:pPr>
              <w:jc w:val="right"/>
              <w:ind w:right="812"/>
              <w:spacing w:after="0" w:line="202" w:lineRule="exact"/>
              <w:rPr>
                <w:sz w:val="20"/>
                <w:szCs w:val="20"/>
                <w:color w:val="auto"/>
              </w:rPr>
            </w:pPr>
            <w:r>
              <w:rPr>
                <w:rFonts w:ascii="Arial" w:cs="Arial" w:eastAsia="Arial" w:hAnsi="Arial"/>
                <w:sz w:val="22"/>
                <w:szCs w:val="22"/>
                <w:color w:val="auto"/>
              </w:rPr>
              <w:t>Six Months Ended</w:t>
            </w:r>
          </w:p>
        </w:tc>
        <w:tc>
          <w:tcPr>
            <w:tcW w:w="20" w:type="dxa"/>
            <w:vAlign w:val="bottom"/>
          </w:tcPr>
          <w:p>
            <w:pPr>
              <w:spacing w:after="0"/>
              <w:rPr>
                <w:sz w:val="17"/>
                <w:szCs w:val="17"/>
                <w:color w:val="auto"/>
              </w:rPr>
            </w:pPr>
          </w:p>
        </w:tc>
      </w:tr>
      <w:tr>
        <w:trPr>
          <w:trHeight w:val="251"/>
        </w:trPr>
        <w:tc>
          <w:tcPr>
            <w:tcW w:w="44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4"/>
          </w:tcPr>
          <w:p>
            <w:pPr>
              <w:jc w:val="right"/>
              <w:ind w:right="123"/>
              <w:spacing w:after="0" w:line="251" w:lineRule="exact"/>
              <w:rPr>
                <w:sz w:val="20"/>
                <w:szCs w:val="20"/>
                <w:color w:val="auto"/>
              </w:rPr>
            </w:pPr>
            <w:r>
              <w:rPr>
                <w:rFonts w:ascii="Arial" w:cs="Arial" w:eastAsia="Arial" w:hAnsi="Arial"/>
                <w:sz w:val="22"/>
                <w:szCs w:val="22"/>
                <w:color w:val="auto"/>
              </w:rPr>
              <w:t>June 30,</w:t>
            </w:r>
          </w:p>
        </w:tc>
        <w:tc>
          <w:tcPr>
            <w:tcW w:w="9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4"/>
          </w:tcPr>
          <w:p>
            <w:pPr>
              <w:jc w:val="right"/>
              <w:ind w:right="144"/>
              <w:spacing w:after="0" w:line="251" w:lineRule="exact"/>
              <w:rPr>
                <w:sz w:val="20"/>
                <w:szCs w:val="20"/>
                <w:color w:val="auto"/>
              </w:rPr>
            </w:pPr>
            <w:r>
              <w:rPr>
                <w:rFonts w:ascii="Arial" w:cs="Arial" w:eastAsia="Arial" w:hAnsi="Arial"/>
                <w:sz w:val="22"/>
                <w:szCs w:val="22"/>
                <w:color w:val="auto"/>
              </w:rPr>
              <w:t>June 30,</w:t>
            </w:r>
          </w:p>
        </w:tc>
        <w:tc>
          <w:tcPr>
            <w:tcW w:w="11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4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2"/>
              <w:spacing w:after="0" w:line="223" w:lineRule="exact"/>
              <w:rPr>
                <w:sz w:val="20"/>
                <w:szCs w:val="20"/>
                <w:color w:val="auto"/>
              </w:rPr>
            </w:pPr>
            <w:r>
              <w:rPr>
                <w:rFonts w:ascii="Arial" w:cs="Arial" w:eastAsia="Arial" w:hAnsi="Arial"/>
                <w:sz w:val="22"/>
                <w:szCs w:val="22"/>
                <w:color w:val="auto"/>
              </w:rPr>
              <w:t>2021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line="223" w:lineRule="exact"/>
              <w:rPr>
                <w:sz w:val="20"/>
                <w:szCs w:val="20"/>
                <w:color w:val="auto"/>
              </w:rPr>
            </w:pPr>
            <w:r>
              <w:rPr>
                <w:rFonts w:ascii="Arial" w:cs="Arial" w:eastAsia="Arial" w:hAnsi="Arial"/>
                <w:sz w:val="22"/>
                <w:szCs w:val="22"/>
                <w:color w:val="auto"/>
                <w:w w:val="98"/>
              </w:rPr>
              <w:t>2020</w:t>
            </w: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2"/>
              <w:spacing w:after="0" w:line="223" w:lineRule="exact"/>
              <w:rPr>
                <w:sz w:val="20"/>
                <w:szCs w:val="20"/>
                <w:color w:val="auto"/>
              </w:rPr>
            </w:pPr>
            <w:r>
              <w:rPr>
                <w:rFonts w:ascii="Arial" w:cs="Arial" w:eastAsia="Arial" w:hAnsi="Arial"/>
                <w:sz w:val="22"/>
                <w:szCs w:val="22"/>
                <w:color w:val="auto"/>
              </w:rPr>
              <w:t>2021</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line="223" w:lineRule="exact"/>
              <w:rPr>
                <w:sz w:val="20"/>
                <w:szCs w:val="20"/>
                <w:color w:val="auto"/>
              </w:rPr>
            </w:pPr>
            <w:r>
              <w:rPr>
                <w:rFonts w:ascii="Arial" w:cs="Arial" w:eastAsia="Arial" w:hAnsi="Arial"/>
                <w:sz w:val="22"/>
                <w:szCs w:val="22"/>
                <w:color w:val="auto"/>
              </w:rPr>
              <w:t>2020</w:t>
            </w:r>
          </w:p>
        </w:tc>
        <w:tc>
          <w:tcPr>
            <w:tcW w:w="20" w:type="dxa"/>
            <w:vAlign w:val="bottom"/>
          </w:tcPr>
          <w:p>
            <w:pPr>
              <w:spacing w:after="0"/>
              <w:rPr>
                <w:sz w:val="19"/>
                <w:szCs w:val="19"/>
                <w:color w:val="auto"/>
              </w:rPr>
            </w:pPr>
          </w:p>
        </w:tc>
      </w:tr>
      <w:tr>
        <w:trPr>
          <w:trHeight w:val="223"/>
        </w:trPr>
        <w:tc>
          <w:tcPr>
            <w:tcW w:w="444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Service cost</w:t>
            </w:r>
          </w:p>
        </w:tc>
        <w:tc>
          <w:tcPr>
            <w:tcW w:w="340" w:type="dxa"/>
            <w:vAlign w:val="bottom"/>
            <w:shd w:val="clear" w:color="auto" w:fill="CCEEFF"/>
          </w:tcPr>
          <w:p>
            <w:pPr>
              <w:jc w:val="right"/>
              <w:ind w:right="112"/>
              <w:spacing w:after="0" w:line="223" w:lineRule="exact"/>
              <w:rPr>
                <w:sz w:val="20"/>
                <w:szCs w:val="20"/>
                <w:color w:val="auto"/>
              </w:rPr>
            </w:pPr>
            <w:r>
              <w:rPr>
                <w:rFonts w:ascii="Arial" w:cs="Arial" w:eastAsia="Arial" w:hAnsi="Arial"/>
                <w:sz w:val="22"/>
                <w:szCs w:val="22"/>
                <w:color w:val="auto"/>
                <w:w w:val="81"/>
              </w:rPr>
              <w:t>$</w:t>
            </w:r>
          </w:p>
        </w:tc>
        <w:tc>
          <w:tcPr>
            <w:tcW w:w="11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876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63"/>
              <w:spacing w:after="0"/>
              <w:rPr>
                <w:sz w:val="20"/>
                <w:szCs w:val="20"/>
                <w:color w:val="auto"/>
              </w:rPr>
            </w:pPr>
            <w:r>
              <w:rPr>
                <w:rFonts w:ascii="Arial" w:cs="Arial" w:eastAsia="Arial" w:hAnsi="Arial"/>
                <w:sz w:val="19"/>
                <w:szCs w:val="19"/>
                <w:color w:val="auto"/>
                <w:w w:val="75"/>
              </w:rPr>
              <w:t>$</w:t>
            </w:r>
          </w:p>
        </w:tc>
        <w:tc>
          <w:tcPr>
            <w:tcW w:w="9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989</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center"/>
              <w:ind w:right="232"/>
              <w:spacing w:after="0" w:line="223" w:lineRule="exact"/>
              <w:rPr>
                <w:sz w:val="20"/>
                <w:szCs w:val="20"/>
                <w:color w:val="auto"/>
              </w:rPr>
            </w:pPr>
            <w:r>
              <w:rPr>
                <w:rFonts w:ascii="Arial" w:cs="Arial" w:eastAsia="Arial" w:hAnsi="Arial"/>
                <w:sz w:val="22"/>
                <w:szCs w:val="22"/>
                <w:color w:val="auto"/>
                <w:w w:val="81"/>
              </w:rPr>
              <w:t>$</w:t>
            </w:r>
          </w:p>
        </w:tc>
        <w:tc>
          <w:tcPr>
            <w:tcW w:w="118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1,953</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1,792</w:t>
            </w:r>
          </w:p>
        </w:tc>
        <w:tc>
          <w:tcPr>
            <w:tcW w:w="20" w:type="dxa"/>
            <w:vAlign w:val="bottom"/>
          </w:tcPr>
          <w:p>
            <w:pPr>
              <w:spacing w:after="0"/>
              <w:rPr>
                <w:sz w:val="19"/>
                <w:szCs w:val="19"/>
                <w:color w:val="auto"/>
              </w:rPr>
            </w:pPr>
          </w:p>
        </w:tc>
      </w:tr>
      <w:tr>
        <w:trPr>
          <w:trHeight w:val="230"/>
        </w:trPr>
        <w:tc>
          <w:tcPr>
            <w:tcW w:w="4440" w:type="dxa"/>
            <w:vAlign w:val="bottom"/>
          </w:tcPr>
          <w:p>
            <w:pPr>
              <w:spacing w:after="0" w:line="229" w:lineRule="exact"/>
              <w:rPr>
                <w:sz w:val="20"/>
                <w:szCs w:val="20"/>
                <w:color w:val="auto"/>
              </w:rPr>
            </w:pPr>
            <w:r>
              <w:rPr>
                <w:rFonts w:ascii="Arial" w:cs="Arial" w:eastAsia="Arial" w:hAnsi="Arial"/>
                <w:sz w:val="22"/>
                <w:szCs w:val="22"/>
                <w:color w:val="auto"/>
              </w:rPr>
              <w:t>Interest cost</w:t>
            </w:r>
          </w:p>
        </w:tc>
        <w:tc>
          <w:tcPr>
            <w:tcW w:w="34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Arial" w:cs="Arial" w:eastAsia="Arial" w:hAnsi="Arial"/>
                <w:sz w:val="22"/>
                <w:szCs w:val="22"/>
                <w:color w:val="auto"/>
              </w:rPr>
              <w:t>3,255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line="229" w:lineRule="exact"/>
              <w:rPr>
                <w:sz w:val="20"/>
                <w:szCs w:val="20"/>
                <w:color w:val="auto"/>
              </w:rPr>
            </w:pPr>
            <w:r>
              <w:rPr>
                <w:rFonts w:ascii="Arial" w:cs="Arial" w:eastAsia="Arial" w:hAnsi="Arial"/>
                <w:sz w:val="22"/>
                <w:szCs w:val="22"/>
                <w:color w:val="auto"/>
              </w:rPr>
              <w:t>3,630</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Arial" w:cs="Arial" w:eastAsia="Arial" w:hAnsi="Arial"/>
                <w:sz w:val="22"/>
                <w:szCs w:val="22"/>
                <w:color w:val="auto"/>
              </w:rPr>
              <w:t>6,316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line="229" w:lineRule="exact"/>
              <w:rPr>
                <w:sz w:val="20"/>
                <w:szCs w:val="20"/>
                <w:color w:val="auto"/>
              </w:rPr>
            </w:pPr>
            <w:r>
              <w:rPr>
                <w:rFonts w:ascii="Arial" w:cs="Arial" w:eastAsia="Arial" w:hAnsi="Arial"/>
                <w:sz w:val="22"/>
                <w:szCs w:val="22"/>
                <w:color w:val="auto"/>
              </w:rPr>
              <w:t>6,361</w:t>
            </w:r>
          </w:p>
        </w:tc>
        <w:tc>
          <w:tcPr>
            <w:tcW w:w="20" w:type="dxa"/>
            <w:vAlign w:val="bottom"/>
          </w:tcPr>
          <w:p>
            <w:pPr>
              <w:spacing w:after="0"/>
              <w:rPr>
                <w:sz w:val="19"/>
                <w:szCs w:val="19"/>
                <w:color w:val="auto"/>
              </w:rPr>
            </w:pPr>
          </w:p>
        </w:tc>
      </w:tr>
      <w:tr>
        <w:trPr>
          <w:trHeight w:val="229"/>
        </w:trPr>
        <w:tc>
          <w:tcPr>
            <w:tcW w:w="444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Expected return on plan assets</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line="229" w:lineRule="exact"/>
              <w:rPr>
                <w:sz w:val="20"/>
                <w:szCs w:val="20"/>
                <w:color w:val="auto"/>
              </w:rPr>
            </w:pPr>
            <w:r>
              <w:rPr>
                <w:rFonts w:ascii="Arial" w:cs="Arial" w:eastAsia="Arial" w:hAnsi="Arial"/>
                <w:sz w:val="22"/>
                <w:szCs w:val="22"/>
                <w:color w:val="auto"/>
              </w:rPr>
              <w:t>(5,791)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line="229" w:lineRule="exact"/>
              <w:rPr>
                <w:sz w:val="20"/>
                <w:szCs w:val="20"/>
                <w:color w:val="auto"/>
              </w:rPr>
            </w:pPr>
            <w:r>
              <w:rPr>
                <w:rFonts w:ascii="Arial" w:cs="Arial" w:eastAsia="Arial" w:hAnsi="Arial"/>
                <w:sz w:val="22"/>
                <w:szCs w:val="22"/>
                <w:color w:val="auto"/>
              </w:rPr>
              <w:t>(5,657)</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(11,698)</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(9,897)</w:t>
            </w:r>
          </w:p>
        </w:tc>
        <w:tc>
          <w:tcPr>
            <w:tcW w:w="20" w:type="dxa"/>
            <w:vAlign w:val="bottom"/>
          </w:tcPr>
          <w:p>
            <w:pPr>
              <w:spacing w:after="0"/>
              <w:rPr>
                <w:sz w:val="19"/>
                <w:szCs w:val="19"/>
                <w:color w:val="auto"/>
              </w:rPr>
            </w:pPr>
          </w:p>
        </w:tc>
      </w:tr>
      <w:tr>
        <w:trPr>
          <w:trHeight w:val="229"/>
        </w:trPr>
        <w:tc>
          <w:tcPr>
            <w:tcW w:w="4440" w:type="dxa"/>
            <w:vAlign w:val="bottom"/>
          </w:tcPr>
          <w:p>
            <w:pPr>
              <w:spacing w:after="0" w:line="229" w:lineRule="exact"/>
              <w:rPr>
                <w:sz w:val="20"/>
                <w:szCs w:val="20"/>
                <w:color w:val="auto"/>
              </w:rPr>
            </w:pPr>
            <w:r>
              <w:rPr>
                <w:rFonts w:ascii="Arial" w:cs="Arial" w:eastAsia="Arial" w:hAnsi="Arial"/>
                <w:sz w:val="22"/>
                <w:szCs w:val="22"/>
                <w:color w:val="auto"/>
              </w:rPr>
              <w:t>Amortization of prior service cost</w:t>
            </w:r>
          </w:p>
        </w:tc>
        <w:tc>
          <w:tcPr>
            <w:tcW w:w="34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Arial" w:cs="Arial" w:eastAsia="Arial" w:hAnsi="Arial"/>
                <w:sz w:val="22"/>
                <w:szCs w:val="22"/>
                <w:color w:val="auto"/>
              </w:rPr>
              <w:t>140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line="229" w:lineRule="exact"/>
              <w:rPr>
                <w:sz w:val="20"/>
                <w:szCs w:val="20"/>
                <w:color w:val="auto"/>
              </w:rPr>
            </w:pPr>
            <w:r>
              <w:rPr>
                <w:rFonts w:ascii="Arial" w:cs="Arial" w:eastAsia="Arial" w:hAnsi="Arial"/>
                <w:sz w:val="22"/>
                <w:szCs w:val="22"/>
                <w:color w:val="auto"/>
              </w:rPr>
              <w:t>148</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Arial" w:cs="Arial" w:eastAsia="Arial" w:hAnsi="Arial"/>
                <w:sz w:val="22"/>
                <w:szCs w:val="22"/>
                <w:color w:val="auto"/>
              </w:rPr>
              <w:t>280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line="229" w:lineRule="exact"/>
              <w:rPr>
                <w:sz w:val="20"/>
                <w:szCs w:val="20"/>
                <w:color w:val="auto"/>
              </w:rPr>
            </w:pPr>
            <w:r>
              <w:rPr>
                <w:rFonts w:ascii="Arial" w:cs="Arial" w:eastAsia="Arial" w:hAnsi="Arial"/>
                <w:sz w:val="22"/>
                <w:szCs w:val="22"/>
                <w:color w:val="auto"/>
              </w:rPr>
              <w:t>296</w:t>
            </w:r>
          </w:p>
        </w:tc>
        <w:tc>
          <w:tcPr>
            <w:tcW w:w="20" w:type="dxa"/>
            <w:vAlign w:val="bottom"/>
          </w:tcPr>
          <w:p>
            <w:pPr>
              <w:spacing w:after="0"/>
              <w:rPr>
                <w:sz w:val="19"/>
                <w:szCs w:val="19"/>
                <w:color w:val="auto"/>
              </w:rPr>
            </w:pPr>
          </w:p>
        </w:tc>
      </w:tr>
      <w:tr>
        <w:trPr>
          <w:trHeight w:val="230"/>
        </w:trPr>
        <w:tc>
          <w:tcPr>
            <w:tcW w:w="444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Amortization of actuarial loss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727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1,992</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1,797</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3,984</w:t>
            </w:r>
          </w:p>
        </w:tc>
        <w:tc>
          <w:tcPr>
            <w:tcW w:w="20" w:type="dxa"/>
            <w:vAlign w:val="bottom"/>
          </w:tcPr>
          <w:p>
            <w:pPr>
              <w:spacing w:after="0"/>
              <w:rPr>
                <w:sz w:val="19"/>
                <w:szCs w:val="19"/>
                <w:color w:val="auto"/>
              </w:rPr>
            </w:pPr>
          </w:p>
        </w:tc>
      </w:tr>
      <w:tr>
        <w:trPr>
          <w:trHeight w:val="223"/>
        </w:trPr>
        <w:tc>
          <w:tcPr>
            <w:tcW w:w="4440" w:type="dxa"/>
            <w:vAlign w:val="bottom"/>
          </w:tcPr>
          <w:p>
            <w:pPr>
              <w:spacing w:after="0" w:line="223" w:lineRule="exact"/>
              <w:rPr>
                <w:sz w:val="20"/>
                <w:szCs w:val="20"/>
                <w:color w:val="auto"/>
              </w:rPr>
            </w:pPr>
            <w:r>
              <w:rPr>
                <w:rFonts w:ascii="Arial" w:cs="Arial" w:eastAsia="Arial" w:hAnsi="Arial"/>
                <w:sz w:val="22"/>
                <w:szCs w:val="22"/>
                <w:color w:val="auto"/>
              </w:rPr>
              <w:t>Net periodic benefit cost</w:t>
            </w:r>
          </w:p>
        </w:tc>
        <w:tc>
          <w:tcPr>
            <w:tcW w:w="340" w:type="dxa"/>
            <w:vAlign w:val="bottom"/>
            <w:tcBorders>
              <w:bottom w:val="single" w:sz="8" w:color="auto"/>
            </w:tcBorders>
          </w:tcPr>
          <w:p>
            <w:pPr>
              <w:jc w:val="right"/>
              <w:ind w:right="112"/>
              <w:spacing w:after="0" w:line="223" w:lineRule="exact"/>
              <w:rPr>
                <w:sz w:val="20"/>
                <w:szCs w:val="20"/>
                <w:color w:val="auto"/>
              </w:rPr>
            </w:pPr>
            <w:r>
              <w:rPr>
                <w:rFonts w:ascii="Arial" w:cs="Arial" w:eastAsia="Arial" w:hAnsi="Arial"/>
                <w:sz w:val="22"/>
                <w:szCs w:val="22"/>
                <w:color w:val="auto"/>
                <w:w w:val="81"/>
              </w:rPr>
              <w:t>$</w:t>
            </w:r>
          </w:p>
        </w:tc>
        <w:tc>
          <w:tcPr>
            <w:tcW w:w="11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(793)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63"/>
              <w:spacing w:after="0"/>
              <w:rPr>
                <w:sz w:val="20"/>
                <w:szCs w:val="20"/>
                <w:color w:val="auto"/>
              </w:rPr>
            </w:pPr>
            <w:r>
              <w:rPr>
                <w:rFonts w:ascii="Arial" w:cs="Arial" w:eastAsia="Arial" w:hAnsi="Arial"/>
                <w:sz w:val="19"/>
                <w:szCs w:val="19"/>
                <w:color w:val="auto"/>
                <w:w w:val="75"/>
              </w:rPr>
              <w:t>$</w:t>
            </w:r>
          </w:p>
        </w:tc>
        <w:tc>
          <w:tcPr>
            <w:tcW w:w="9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1,102</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bottom w:val="single" w:sz="8" w:color="auto"/>
            </w:tcBorders>
          </w:tcPr>
          <w:p>
            <w:pPr>
              <w:jc w:val="center"/>
              <w:ind w:right="232"/>
              <w:spacing w:after="0" w:line="223" w:lineRule="exact"/>
              <w:rPr>
                <w:sz w:val="20"/>
                <w:szCs w:val="20"/>
                <w:color w:val="auto"/>
              </w:rPr>
            </w:pPr>
            <w:r>
              <w:rPr>
                <w:rFonts w:ascii="Arial" w:cs="Arial" w:eastAsia="Arial" w:hAnsi="Arial"/>
                <w:sz w:val="22"/>
                <w:szCs w:val="22"/>
                <w:color w:val="auto"/>
                <w:w w:val="81"/>
              </w:rPr>
              <w:t>$</w:t>
            </w:r>
          </w:p>
        </w:tc>
        <w:tc>
          <w:tcPr>
            <w:tcW w:w="11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(1,352)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2,536</w:t>
            </w:r>
          </w:p>
        </w:tc>
        <w:tc>
          <w:tcPr>
            <w:tcW w:w="2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8"/>
        </w:trPr>
        <w:tc>
          <w:tcPr>
            <w:tcW w:w="4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2"/>
                <w:szCs w:val="22"/>
                <w:color w:val="auto"/>
                <w:w w:val="90"/>
              </w:rPr>
              <w:t>Other</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1"/>
        </w:trPr>
        <w:tc>
          <w:tcPr>
            <w:tcW w:w="44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gridSpan w:val="6"/>
          </w:tcPr>
          <w:p>
            <w:pPr>
              <w:jc w:val="center"/>
              <w:ind w:right="500"/>
              <w:spacing w:after="0" w:line="251" w:lineRule="exact"/>
              <w:rPr>
                <w:sz w:val="20"/>
                <w:szCs w:val="20"/>
                <w:color w:val="auto"/>
              </w:rPr>
            </w:pPr>
            <w:r>
              <w:rPr>
                <w:rFonts w:ascii="Arial" w:cs="Arial" w:eastAsia="Arial" w:hAnsi="Arial"/>
                <w:sz w:val="22"/>
                <w:szCs w:val="22"/>
                <w:color w:val="auto"/>
                <w:w w:val="89"/>
              </w:rPr>
              <w:t>Postretirement Benefits</w:t>
            </w:r>
          </w:p>
        </w:tc>
        <w:tc>
          <w:tcPr>
            <w:tcW w:w="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02"/>
        </w:trPr>
        <w:tc>
          <w:tcPr>
            <w:tcW w:w="4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60" w:type="dxa"/>
            <w:vAlign w:val="bottom"/>
            <w:gridSpan w:val="6"/>
          </w:tcPr>
          <w:p>
            <w:pPr>
              <w:jc w:val="right"/>
              <w:ind w:right="540"/>
              <w:spacing w:after="0" w:line="202" w:lineRule="exact"/>
              <w:rPr>
                <w:sz w:val="20"/>
                <w:szCs w:val="20"/>
                <w:color w:val="auto"/>
              </w:rPr>
            </w:pPr>
            <w:r>
              <w:rPr>
                <w:rFonts w:ascii="Arial" w:cs="Arial" w:eastAsia="Arial" w:hAnsi="Arial"/>
                <w:sz w:val="22"/>
                <w:szCs w:val="22"/>
                <w:color w:val="auto"/>
              </w:rPr>
              <w:t>Three Months Ended</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0" w:type="dxa"/>
            <w:vAlign w:val="bottom"/>
            <w:gridSpan w:val="5"/>
          </w:tcPr>
          <w:p>
            <w:pPr>
              <w:jc w:val="right"/>
              <w:ind w:right="692"/>
              <w:spacing w:after="0" w:line="202" w:lineRule="exact"/>
              <w:rPr>
                <w:sz w:val="20"/>
                <w:szCs w:val="20"/>
                <w:color w:val="auto"/>
              </w:rPr>
            </w:pPr>
            <w:r>
              <w:rPr>
                <w:rFonts w:ascii="Arial" w:cs="Arial" w:eastAsia="Arial" w:hAnsi="Arial"/>
                <w:sz w:val="22"/>
                <w:szCs w:val="22"/>
                <w:color w:val="auto"/>
              </w:rPr>
              <w:t>Six Months Ended</w:t>
            </w:r>
          </w:p>
        </w:tc>
        <w:tc>
          <w:tcPr>
            <w:tcW w:w="20" w:type="dxa"/>
            <w:vAlign w:val="bottom"/>
          </w:tcPr>
          <w:p>
            <w:pPr>
              <w:spacing w:after="0"/>
              <w:rPr>
                <w:sz w:val="17"/>
                <w:szCs w:val="17"/>
                <w:color w:val="auto"/>
              </w:rPr>
            </w:pPr>
          </w:p>
        </w:tc>
      </w:tr>
      <w:tr>
        <w:trPr>
          <w:trHeight w:val="251"/>
        </w:trPr>
        <w:tc>
          <w:tcPr>
            <w:tcW w:w="44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4"/>
          </w:tcPr>
          <w:p>
            <w:pPr>
              <w:jc w:val="right"/>
              <w:spacing w:after="0" w:line="251" w:lineRule="exact"/>
              <w:rPr>
                <w:sz w:val="20"/>
                <w:szCs w:val="20"/>
                <w:color w:val="auto"/>
              </w:rPr>
            </w:pPr>
            <w:r>
              <w:rPr>
                <w:rFonts w:ascii="Arial" w:cs="Arial" w:eastAsia="Arial" w:hAnsi="Arial"/>
                <w:sz w:val="22"/>
                <w:szCs w:val="22"/>
                <w:color w:val="auto"/>
              </w:rPr>
              <w:t>June 30,</w:t>
            </w:r>
          </w:p>
        </w:tc>
        <w:tc>
          <w:tcPr>
            <w:tcW w:w="9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4"/>
          </w:tcPr>
          <w:p>
            <w:pPr>
              <w:jc w:val="right"/>
              <w:ind w:right="44"/>
              <w:spacing w:after="0" w:line="251" w:lineRule="exact"/>
              <w:rPr>
                <w:sz w:val="20"/>
                <w:szCs w:val="20"/>
                <w:color w:val="auto"/>
              </w:rPr>
            </w:pPr>
            <w:r>
              <w:rPr>
                <w:rFonts w:ascii="Arial" w:cs="Arial" w:eastAsia="Arial" w:hAnsi="Arial"/>
                <w:sz w:val="22"/>
                <w:szCs w:val="22"/>
                <w:color w:val="auto"/>
              </w:rPr>
              <w:t>June 30,</w:t>
            </w:r>
          </w:p>
        </w:tc>
        <w:tc>
          <w:tcPr>
            <w:tcW w:w="11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4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2"/>
              <w:spacing w:after="0" w:line="223" w:lineRule="exact"/>
              <w:rPr>
                <w:sz w:val="20"/>
                <w:szCs w:val="20"/>
                <w:color w:val="auto"/>
              </w:rPr>
            </w:pPr>
            <w:r>
              <w:rPr>
                <w:rFonts w:ascii="Arial" w:cs="Arial" w:eastAsia="Arial" w:hAnsi="Arial"/>
                <w:sz w:val="22"/>
                <w:szCs w:val="22"/>
                <w:color w:val="auto"/>
              </w:rPr>
              <w:t>2021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line="223" w:lineRule="exact"/>
              <w:rPr>
                <w:sz w:val="20"/>
                <w:szCs w:val="20"/>
                <w:color w:val="auto"/>
              </w:rPr>
            </w:pPr>
            <w:r>
              <w:rPr>
                <w:rFonts w:ascii="Arial" w:cs="Arial" w:eastAsia="Arial" w:hAnsi="Arial"/>
                <w:sz w:val="22"/>
                <w:szCs w:val="22"/>
                <w:color w:val="auto"/>
                <w:w w:val="98"/>
              </w:rPr>
              <w:t>2020</w:t>
            </w: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2"/>
              <w:spacing w:after="0" w:line="223" w:lineRule="exact"/>
              <w:rPr>
                <w:sz w:val="20"/>
                <w:szCs w:val="20"/>
                <w:color w:val="auto"/>
              </w:rPr>
            </w:pPr>
            <w:r>
              <w:rPr>
                <w:rFonts w:ascii="Arial" w:cs="Arial" w:eastAsia="Arial" w:hAnsi="Arial"/>
                <w:sz w:val="22"/>
                <w:szCs w:val="22"/>
                <w:color w:val="auto"/>
              </w:rPr>
              <w:t>2021</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line="223" w:lineRule="exact"/>
              <w:rPr>
                <w:sz w:val="20"/>
                <w:szCs w:val="20"/>
                <w:color w:val="auto"/>
              </w:rPr>
            </w:pPr>
            <w:r>
              <w:rPr>
                <w:rFonts w:ascii="Arial" w:cs="Arial" w:eastAsia="Arial" w:hAnsi="Arial"/>
                <w:sz w:val="22"/>
                <w:szCs w:val="22"/>
                <w:color w:val="auto"/>
              </w:rPr>
              <w:t>2020</w:t>
            </w:r>
          </w:p>
        </w:tc>
        <w:tc>
          <w:tcPr>
            <w:tcW w:w="20" w:type="dxa"/>
            <w:vAlign w:val="bottom"/>
          </w:tcPr>
          <w:p>
            <w:pPr>
              <w:spacing w:after="0"/>
              <w:rPr>
                <w:sz w:val="19"/>
                <w:szCs w:val="19"/>
                <w:color w:val="auto"/>
              </w:rPr>
            </w:pPr>
          </w:p>
        </w:tc>
      </w:tr>
      <w:tr>
        <w:trPr>
          <w:trHeight w:val="223"/>
        </w:trPr>
        <w:tc>
          <w:tcPr>
            <w:tcW w:w="444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Service cost</w:t>
            </w:r>
          </w:p>
        </w:tc>
        <w:tc>
          <w:tcPr>
            <w:tcW w:w="340" w:type="dxa"/>
            <w:vAlign w:val="bottom"/>
            <w:shd w:val="clear" w:color="auto" w:fill="CCEEFF"/>
          </w:tcPr>
          <w:p>
            <w:pPr>
              <w:jc w:val="right"/>
              <w:ind w:right="112"/>
              <w:spacing w:after="0" w:line="223" w:lineRule="exact"/>
              <w:rPr>
                <w:sz w:val="20"/>
                <w:szCs w:val="20"/>
                <w:color w:val="auto"/>
              </w:rPr>
            </w:pPr>
            <w:r>
              <w:rPr>
                <w:rFonts w:ascii="Arial" w:cs="Arial" w:eastAsia="Arial" w:hAnsi="Arial"/>
                <w:sz w:val="22"/>
                <w:szCs w:val="22"/>
                <w:color w:val="auto"/>
                <w:w w:val="81"/>
              </w:rPr>
              <w:t>$</w:t>
            </w:r>
          </w:p>
        </w:tc>
        <w:tc>
          <w:tcPr>
            <w:tcW w:w="11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699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63"/>
              <w:spacing w:after="0"/>
              <w:rPr>
                <w:sz w:val="20"/>
                <w:szCs w:val="20"/>
                <w:color w:val="auto"/>
              </w:rPr>
            </w:pPr>
            <w:r>
              <w:rPr>
                <w:rFonts w:ascii="Arial" w:cs="Arial" w:eastAsia="Arial" w:hAnsi="Arial"/>
                <w:sz w:val="19"/>
                <w:szCs w:val="19"/>
                <w:color w:val="auto"/>
                <w:w w:val="75"/>
              </w:rPr>
              <w:t>$</w:t>
            </w:r>
          </w:p>
        </w:tc>
        <w:tc>
          <w:tcPr>
            <w:tcW w:w="9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658</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center"/>
              <w:ind w:right="232"/>
              <w:spacing w:after="0" w:line="223" w:lineRule="exact"/>
              <w:rPr>
                <w:sz w:val="20"/>
                <w:szCs w:val="20"/>
                <w:color w:val="auto"/>
              </w:rPr>
            </w:pPr>
            <w:r>
              <w:rPr>
                <w:rFonts w:ascii="Arial" w:cs="Arial" w:eastAsia="Arial" w:hAnsi="Arial"/>
                <w:sz w:val="22"/>
                <w:szCs w:val="22"/>
                <w:color w:val="auto"/>
                <w:w w:val="81"/>
              </w:rPr>
              <w:t>$</w:t>
            </w:r>
          </w:p>
        </w:tc>
        <w:tc>
          <w:tcPr>
            <w:tcW w:w="118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1,398</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952</w:t>
            </w:r>
          </w:p>
        </w:tc>
        <w:tc>
          <w:tcPr>
            <w:tcW w:w="20" w:type="dxa"/>
            <w:vAlign w:val="bottom"/>
          </w:tcPr>
          <w:p>
            <w:pPr>
              <w:spacing w:after="0"/>
              <w:rPr>
                <w:sz w:val="19"/>
                <w:szCs w:val="19"/>
                <w:color w:val="auto"/>
              </w:rPr>
            </w:pPr>
          </w:p>
        </w:tc>
      </w:tr>
      <w:tr>
        <w:trPr>
          <w:trHeight w:val="230"/>
        </w:trPr>
        <w:tc>
          <w:tcPr>
            <w:tcW w:w="4440" w:type="dxa"/>
            <w:vAlign w:val="bottom"/>
          </w:tcPr>
          <w:p>
            <w:pPr>
              <w:spacing w:after="0" w:line="229" w:lineRule="exact"/>
              <w:rPr>
                <w:sz w:val="20"/>
                <w:szCs w:val="20"/>
                <w:color w:val="auto"/>
              </w:rPr>
            </w:pPr>
            <w:r>
              <w:rPr>
                <w:rFonts w:ascii="Arial" w:cs="Arial" w:eastAsia="Arial" w:hAnsi="Arial"/>
                <w:sz w:val="22"/>
                <w:szCs w:val="22"/>
                <w:color w:val="auto"/>
              </w:rPr>
              <w:t>Interest cost</w:t>
            </w:r>
          </w:p>
        </w:tc>
        <w:tc>
          <w:tcPr>
            <w:tcW w:w="34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Arial" w:cs="Arial" w:eastAsia="Arial" w:hAnsi="Arial"/>
                <w:sz w:val="22"/>
                <w:szCs w:val="22"/>
                <w:color w:val="auto"/>
              </w:rPr>
              <w:t>839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line="229" w:lineRule="exact"/>
              <w:rPr>
                <w:sz w:val="20"/>
                <w:szCs w:val="20"/>
                <w:color w:val="auto"/>
              </w:rPr>
            </w:pPr>
            <w:r>
              <w:rPr>
                <w:rFonts w:ascii="Arial" w:cs="Arial" w:eastAsia="Arial" w:hAnsi="Arial"/>
                <w:sz w:val="22"/>
                <w:szCs w:val="22"/>
                <w:color w:val="auto"/>
              </w:rPr>
              <w:t>986</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Arial" w:cs="Arial" w:eastAsia="Arial" w:hAnsi="Arial"/>
                <w:sz w:val="22"/>
                <w:szCs w:val="22"/>
                <w:color w:val="auto"/>
              </w:rPr>
              <w:t>1,678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line="229" w:lineRule="exact"/>
              <w:rPr>
                <w:sz w:val="20"/>
                <w:szCs w:val="20"/>
                <w:color w:val="auto"/>
              </w:rPr>
            </w:pPr>
            <w:r>
              <w:rPr>
                <w:rFonts w:ascii="Arial" w:cs="Arial" w:eastAsia="Arial" w:hAnsi="Arial"/>
                <w:sz w:val="22"/>
                <w:szCs w:val="22"/>
                <w:color w:val="auto"/>
              </w:rPr>
              <w:t>1,717</w:t>
            </w:r>
          </w:p>
        </w:tc>
        <w:tc>
          <w:tcPr>
            <w:tcW w:w="20" w:type="dxa"/>
            <w:vAlign w:val="bottom"/>
          </w:tcPr>
          <w:p>
            <w:pPr>
              <w:spacing w:after="0"/>
              <w:rPr>
                <w:sz w:val="19"/>
                <w:szCs w:val="19"/>
                <w:color w:val="auto"/>
              </w:rPr>
            </w:pPr>
          </w:p>
        </w:tc>
      </w:tr>
      <w:tr>
        <w:trPr>
          <w:trHeight w:val="230"/>
        </w:trPr>
        <w:tc>
          <w:tcPr>
            <w:tcW w:w="444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Expected return on plan assets</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line="229" w:lineRule="exact"/>
              <w:rPr>
                <w:sz w:val="20"/>
                <w:szCs w:val="20"/>
                <w:color w:val="auto"/>
              </w:rPr>
            </w:pPr>
            <w:r>
              <w:rPr>
                <w:rFonts w:ascii="Arial" w:cs="Arial" w:eastAsia="Arial" w:hAnsi="Arial"/>
                <w:sz w:val="22"/>
                <w:szCs w:val="22"/>
                <w:color w:val="auto"/>
              </w:rPr>
              <w:t>(1,039)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line="229" w:lineRule="exact"/>
              <w:rPr>
                <w:sz w:val="20"/>
                <w:szCs w:val="20"/>
                <w:color w:val="auto"/>
              </w:rPr>
            </w:pPr>
            <w:r>
              <w:rPr>
                <w:rFonts w:ascii="Arial" w:cs="Arial" w:eastAsia="Arial" w:hAnsi="Arial"/>
                <w:sz w:val="22"/>
                <w:szCs w:val="22"/>
                <w:color w:val="auto"/>
              </w:rPr>
              <w:t>(1,107)</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(2,078)</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(1,857)</w:t>
            </w:r>
          </w:p>
        </w:tc>
        <w:tc>
          <w:tcPr>
            <w:tcW w:w="20" w:type="dxa"/>
            <w:vAlign w:val="bottom"/>
          </w:tcPr>
          <w:p>
            <w:pPr>
              <w:spacing w:after="0"/>
              <w:rPr>
                <w:sz w:val="19"/>
                <w:szCs w:val="19"/>
                <w:color w:val="auto"/>
              </w:rPr>
            </w:pPr>
          </w:p>
        </w:tc>
      </w:tr>
      <w:tr>
        <w:trPr>
          <w:trHeight w:val="229"/>
        </w:trPr>
        <w:tc>
          <w:tcPr>
            <w:tcW w:w="4440" w:type="dxa"/>
            <w:vAlign w:val="bottom"/>
          </w:tcPr>
          <w:p>
            <w:pPr>
              <w:spacing w:after="0" w:line="229" w:lineRule="exact"/>
              <w:rPr>
                <w:sz w:val="20"/>
                <w:szCs w:val="20"/>
                <w:color w:val="auto"/>
              </w:rPr>
            </w:pPr>
            <w:r>
              <w:rPr>
                <w:rFonts w:ascii="Arial" w:cs="Arial" w:eastAsia="Arial" w:hAnsi="Arial"/>
                <w:sz w:val="22"/>
                <w:szCs w:val="22"/>
                <w:color w:val="auto"/>
              </w:rPr>
              <w:t>Amortization of prior service credit</w:t>
            </w:r>
          </w:p>
        </w:tc>
        <w:tc>
          <w:tcPr>
            <w:tcW w:w="340" w:type="dxa"/>
            <w:vAlign w:val="bottom"/>
          </w:tcPr>
          <w:p>
            <w:pPr>
              <w:spacing w:after="0"/>
              <w:rPr>
                <w:sz w:val="19"/>
                <w:szCs w:val="19"/>
                <w:color w:val="auto"/>
              </w:rPr>
            </w:pPr>
          </w:p>
        </w:tc>
        <w:tc>
          <w:tcPr>
            <w:tcW w:w="1280" w:type="dxa"/>
            <w:vAlign w:val="bottom"/>
            <w:gridSpan w:val="2"/>
          </w:tcPr>
          <w:p>
            <w:pPr>
              <w:jc w:val="right"/>
              <w:ind w:right="120"/>
              <w:spacing w:after="0" w:line="229" w:lineRule="exact"/>
              <w:rPr>
                <w:sz w:val="20"/>
                <w:szCs w:val="20"/>
                <w:color w:val="auto"/>
              </w:rPr>
            </w:pPr>
            <w:r>
              <w:rPr>
                <w:rFonts w:ascii="Arial" w:cs="Arial" w:eastAsia="Arial" w:hAnsi="Arial"/>
                <w:sz w:val="22"/>
                <w:szCs w:val="22"/>
                <w:color w:val="auto"/>
              </w:rPr>
              <w:t>(108)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60"/>
              <w:spacing w:after="0" w:line="229" w:lineRule="exact"/>
              <w:rPr>
                <w:sz w:val="20"/>
                <w:szCs w:val="20"/>
                <w:color w:val="auto"/>
              </w:rPr>
            </w:pPr>
            <w:r>
              <w:rPr>
                <w:rFonts w:ascii="Arial" w:cs="Arial" w:eastAsia="Arial" w:hAnsi="Arial"/>
                <w:sz w:val="22"/>
                <w:szCs w:val="22"/>
                <w:color w:val="auto"/>
              </w:rPr>
              <w:t>(116)</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Arial" w:cs="Arial" w:eastAsia="Arial" w:hAnsi="Arial"/>
                <w:sz w:val="22"/>
                <w:szCs w:val="22"/>
                <w:color w:val="auto"/>
              </w:rPr>
              <w:t>(216)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line="229" w:lineRule="exact"/>
              <w:rPr>
                <w:sz w:val="20"/>
                <w:szCs w:val="20"/>
                <w:color w:val="auto"/>
              </w:rPr>
            </w:pPr>
            <w:r>
              <w:rPr>
                <w:rFonts w:ascii="Arial" w:cs="Arial" w:eastAsia="Arial" w:hAnsi="Arial"/>
                <w:sz w:val="22"/>
                <w:szCs w:val="22"/>
                <w:color w:val="auto"/>
              </w:rPr>
              <w:t>(232)</w:t>
            </w:r>
          </w:p>
        </w:tc>
        <w:tc>
          <w:tcPr>
            <w:tcW w:w="20" w:type="dxa"/>
            <w:vAlign w:val="bottom"/>
          </w:tcPr>
          <w:p>
            <w:pPr>
              <w:spacing w:after="0"/>
              <w:rPr>
                <w:sz w:val="19"/>
                <w:szCs w:val="19"/>
                <w:color w:val="auto"/>
              </w:rPr>
            </w:pPr>
          </w:p>
        </w:tc>
      </w:tr>
      <w:tr>
        <w:trPr>
          <w:trHeight w:val="230"/>
        </w:trPr>
        <w:tc>
          <w:tcPr>
            <w:tcW w:w="444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Amortization of actuarial loss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156</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110</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312</w:t>
            </w:r>
          </w:p>
        </w:tc>
        <w:tc>
          <w:tcPr>
            <w:tcW w:w="20" w:type="dxa"/>
            <w:vAlign w:val="bottom"/>
          </w:tcPr>
          <w:p>
            <w:pPr>
              <w:spacing w:after="0"/>
              <w:rPr>
                <w:sz w:val="19"/>
                <w:szCs w:val="19"/>
                <w:color w:val="auto"/>
              </w:rPr>
            </w:pPr>
          </w:p>
        </w:tc>
      </w:tr>
      <w:tr>
        <w:trPr>
          <w:trHeight w:val="223"/>
        </w:trPr>
        <w:tc>
          <w:tcPr>
            <w:tcW w:w="4440" w:type="dxa"/>
            <w:vAlign w:val="bottom"/>
          </w:tcPr>
          <w:p>
            <w:pPr>
              <w:spacing w:after="0" w:line="223" w:lineRule="exact"/>
              <w:rPr>
                <w:sz w:val="20"/>
                <w:szCs w:val="20"/>
                <w:color w:val="auto"/>
              </w:rPr>
            </w:pPr>
            <w:r>
              <w:rPr>
                <w:rFonts w:ascii="Arial" w:cs="Arial" w:eastAsia="Arial" w:hAnsi="Arial"/>
                <w:sz w:val="22"/>
                <w:szCs w:val="22"/>
                <w:color w:val="auto"/>
              </w:rPr>
              <w:t>Net periodic benefit cost</w:t>
            </w:r>
          </w:p>
        </w:tc>
        <w:tc>
          <w:tcPr>
            <w:tcW w:w="340" w:type="dxa"/>
            <w:vAlign w:val="bottom"/>
            <w:tcBorders>
              <w:bottom w:val="single" w:sz="8" w:color="auto"/>
            </w:tcBorders>
          </w:tcPr>
          <w:p>
            <w:pPr>
              <w:jc w:val="right"/>
              <w:ind w:right="112"/>
              <w:spacing w:after="0" w:line="223" w:lineRule="exact"/>
              <w:rPr>
                <w:sz w:val="20"/>
                <w:szCs w:val="20"/>
                <w:color w:val="auto"/>
              </w:rPr>
            </w:pPr>
            <w:r>
              <w:rPr>
                <w:rFonts w:ascii="Arial" w:cs="Arial" w:eastAsia="Arial" w:hAnsi="Arial"/>
                <w:sz w:val="22"/>
                <w:szCs w:val="22"/>
                <w:color w:val="auto"/>
                <w:w w:val="81"/>
              </w:rPr>
              <w:t>$</w:t>
            </w:r>
          </w:p>
        </w:tc>
        <w:tc>
          <w:tcPr>
            <w:tcW w:w="11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446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63"/>
              <w:spacing w:after="0"/>
              <w:rPr>
                <w:sz w:val="20"/>
                <w:szCs w:val="20"/>
                <w:color w:val="auto"/>
              </w:rPr>
            </w:pPr>
            <w:r>
              <w:rPr>
                <w:rFonts w:ascii="Arial" w:cs="Arial" w:eastAsia="Arial" w:hAnsi="Arial"/>
                <w:sz w:val="19"/>
                <w:szCs w:val="19"/>
                <w:color w:val="auto"/>
                <w:w w:val="75"/>
              </w:rPr>
              <w:t>$</w:t>
            </w:r>
          </w:p>
        </w:tc>
        <w:tc>
          <w:tcPr>
            <w:tcW w:w="9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577</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bottom w:val="single" w:sz="8" w:color="auto"/>
            </w:tcBorders>
          </w:tcPr>
          <w:p>
            <w:pPr>
              <w:jc w:val="center"/>
              <w:ind w:right="232"/>
              <w:spacing w:after="0" w:line="223" w:lineRule="exact"/>
              <w:rPr>
                <w:sz w:val="20"/>
                <w:szCs w:val="20"/>
                <w:color w:val="auto"/>
              </w:rPr>
            </w:pPr>
            <w:r>
              <w:rPr>
                <w:rFonts w:ascii="Arial" w:cs="Arial" w:eastAsia="Arial" w:hAnsi="Arial"/>
                <w:sz w:val="22"/>
                <w:szCs w:val="22"/>
                <w:color w:val="auto"/>
                <w:w w:val="81"/>
              </w:rPr>
              <w:t>$</w:t>
            </w:r>
          </w:p>
        </w:tc>
        <w:tc>
          <w:tcPr>
            <w:tcW w:w="11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892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892</w:t>
            </w:r>
          </w:p>
        </w:tc>
        <w:tc>
          <w:tcPr>
            <w:tcW w:w="2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80"/>
        <w:spacing w:after="0" w:line="239" w:lineRule="auto"/>
        <w:rPr>
          <w:sz w:val="20"/>
          <w:szCs w:val="20"/>
          <w:color w:val="auto"/>
        </w:rPr>
      </w:pPr>
      <w:r>
        <w:rPr>
          <w:rFonts w:ascii="Arial" w:cs="Arial" w:eastAsia="Arial" w:hAnsi="Arial"/>
          <w:sz w:val="21"/>
          <w:szCs w:val="21"/>
          <w:color w:val="auto"/>
        </w:rPr>
        <w:t>The net periodic benefit cost is based on estimated values and an extensive use of assumptions about the discount rate, expected return on plan assets, the rate of future compensation increases received by the Company’s employees, mortality, turnover, and medical costs. The Company presents the components of net periodic benefit cost other than service cost in the consolidated statements of operations and comprehensive income on the line item “Other”.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1" w:name="page32"/>
    <w:bookmarkEnd w:id="31"/>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ind w:right="300"/>
        <w:spacing w:after="0" w:line="239" w:lineRule="auto"/>
        <w:rPr>
          <w:sz w:val="20"/>
          <w:szCs w:val="20"/>
          <w:color w:val="auto"/>
        </w:rPr>
      </w:pPr>
      <w:r>
        <w:rPr>
          <w:rFonts w:ascii="Arial" w:cs="Arial" w:eastAsia="Arial" w:hAnsi="Arial"/>
          <w:sz w:val="22"/>
          <w:szCs w:val="22"/>
          <w:color w:val="auto"/>
        </w:rPr>
        <w:t>The Company made cash contributions of $12,664 to its Pension Plan during the first six months of 2021, and intends to make cash contributions of $2,111 to the Pension Plan during the remainder of 2021.</w:t>
      </w:r>
    </w:p>
    <w:p>
      <w:pPr>
        <w:spacing w:after="0" w:line="185" w:lineRule="exact"/>
        <w:rPr>
          <w:sz w:val="20"/>
          <w:szCs w:val="20"/>
          <w:color w:val="auto"/>
        </w:rPr>
      </w:pPr>
    </w:p>
    <w:p>
      <w:pPr>
        <w:ind w:right="40"/>
        <w:spacing w:after="0" w:line="224" w:lineRule="auto"/>
        <w:rPr>
          <w:sz w:val="20"/>
          <w:szCs w:val="20"/>
          <w:color w:val="auto"/>
        </w:rPr>
      </w:pPr>
      <w:r>
        <w:rPr>
          <w:rFonts w:ascii="Arial" w:cs="Arial" w:eastAsia="Arial" w:hAnsi="Arial"/>
          <w:sz w:val="22"/>
          <w:szCs w:val="22"/>
          <w:color w:val="auto"/>
        </w:rPr>
        <w:t>During the second quarter of 2021, the Company remeasured its Pension Plan’s obligations and assets due to a plan amendment, effective May 1, 2021, that ended benefit accrual for a certain group of participants in the Pension Plan. The remeasurement resulted in a decrease in pension benefit obligation and regulatory assets totaling $20,732, of which $17,520 is attributable to the increase in the discount rate assumption from 2.57% at December 31, 2020 to 3.08% at May 1, 2021, and $3,212 is due to the curtailment of benefits. All other assumptions used for the remeasurement were consistent with the valuation as of December 31, 2020.</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11 – </w:t>
      </w:r>
      <w:r>
        <w:rPr>
          <w:rFonts w:ascii="Arial" w:cs="Arial" w:eastAsia="Arial" w:hAnsi="Arial"/>
          <w:sz w:val="22"/>
          <w:szCs w:val="22"/>
          <w:b w:val="1"/>
          <w:bCs w:val="1"/>
          <w:i w:val="1"/>
          <w:iCs w:val="1"/>
          <w:color w:val="auto"/>
        </w:rPr>
        <w:t>Rate Activity</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During the first six months of 2021, the Company’s water and wastewater utility operating divisions in New Jersey, Ohio,</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Virginia and Indiana were granted base rate increases designed to increase total operating revenues on an annual basis by $2,643</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and one of its gas utility operating divisions in Kentucky was granted a rate increase designed to increase annual revenues by</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$747. Further, during the first six months of 2021, the Company received approval to bill infrastructure rehabilitation surcharges</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designed to increase total operating revenues on an annual basis by $12,894 in its water and wastewater utility operating divisions</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in Pennsylvania and North Carolina.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2" w:name="page33"/>
    <w:bookmarkEnd w:id="32"/>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12 – </w:t>
      </w:r>
      <w:r>
        <w:rPr>
          <w:rFonts w:ascii="Arial" w:cs="Arial" w:eastAsia="Arial" w:hAnsi="Arial"/>
          <w:sz w:val="22"/>
          <w:szCs w:val="22"/>
          <w:b w:val="1"/>
          <w:bCs w:val="1"/>
          <w:i w:val="1"/>
          <w:iCs w:val="1"/>
          <w:color w:val="auto"/>
        </w:rPr>
        <w:t>Taxes Other than Income Taxes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provides the components of taxes other than income taxes: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0" w:type="dxa"/>
            <w:vAlign w:val="bottom"/>
            <w:gridSpan w:val="5"/>
          </w:tcPr>
          <w:p>
            <w:pPr>
              <w:ind w:left="320"/>
              <w:spacing w:after="0"/>
              <w:rPr>
                <w:sz w:val="20"/>
                <w:szCs w:val="20"/>
                <w:color w:val="auto"/>
              </w:rPr>
            </w:pPr>
            <w:r>
              <w:rPr>
                <w:rFonts w:ascii="Arial" w:cs="Arial" w:eastAsia="Arial" w:hAnsi="Arial"/>
                <w:sz w:val="22"/>
                <w:szCs w:val="22"/>
                <w:color w:val="auto"/>
              </w:rPr>
              <w:t>Three Months Ended</w:t>
            </w:r>
          </w:p>
        </w:tc>
        <w:tc>
          <w:tcPr>
            <w:tcW w:w="360" w:type="dxa"/>
            <w:vAlign w:val="bottom"/>
          </w:tcPr>
          <w:p>
            <w:pPr>
              <w:spacing w:after="0"/>
              <w:rPr>
                <w:sz w:val="21"/>
                <w:szCs w:val="21"/>
                <w:color w:val="auto"/>
              </w:rPr>
            </w:pPr>
          </w:p>
        </w:tc>
        <w:tc>
          <w:tcPr>
            <w:tcW w:w="3100" w:type="dxa"/>
            <w:vAlign w:val="bottom"/>
            <w:gridSpan w:val="4"/>
          </w:tcPr>
          <w:p>
            <w:pPr>
              <w:jc w:val="right"/>
              <w:ind w:right="812"/>
              <w:spacing w:after="0"/>
              <w:rPr>
                <w:sz w:val="20"/>
                <w:szCs w:val="20"/>
                <w:color w:val="auto"/>
              </w:rPr>
            </w:pPr>
            <w:r>
              <w:rPr>
                <w:rFonts w:ascii="Arial" w:cs="Arial" w:eastAsia="Arial" w:hAnsi="Arial"/>
                <w:sz w:val="22"/>
                <w:szCs w:val="22"/>
                <w:color w:val="auto"/>
              </w:rPr>
              <w:t>Six Months Ended</w:t>
            </w:r>
          </w:p>
        </w:tc>
      </w:tr>
      <w:tr>
        <w:trPr>
          <w:trHeight w:val="251"/>
        </w:trPr>
        <w:tc>
          <w:tcPr>
            <w:tcW w:w="44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ind w:right="12"/>
              <w:spacing w:after="0" w:line="251" w:lineRule="exact"/>
              <w:rPr>
                <w:sz w:val="20"/>
                <w:szCs w:val="20"/>
                <w:color w:val="auto"/>
              </w:rPr>
            </w:pPr>
            <w:r>
              <w:rPr>
                <w:rFonts w:ascii="Arial" w:cs="Arial" w:eastAsia="Arial" w:hAnsi="Arial"/>
                <w:sz w:val="22"/>
                <w:szCs w:val="22"/>
                <w:color w:val="auto"/>
              </w:rPr>
              <w:t>June 30,</w:t>
            </w:r>
          </w:p>
        </w:tc>
        <w:tc>
          <w:tcPr>
            <w:tcW w:w="10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right"/>
              <w:ind w:right="63"/>
              <w:spacing w:after="0" w:line="251" w:lineRule="exact"/>
              <w:rPr>
                <w:sz w:val="20"/>
                <w:szCs w:val="20"/>
                <w:color w:val="auto"/>
              </w:rPr>
            </w:pPr>
            <w:r>
              <w:rPr>
                <w:rFonts w:ascii="Arial" w:cs="Arial" w:eastAsia="Arial" w:hAnsi="Arial"/>
                <w:sz w:val="22"/>
                <w:szCs w:val="22"/>
                <w:color w:val="auto"/>
              </w:rPr>
              <w:t>June 30,</w:t>
            </w:r>
          </w:p>
        </w:tc>
        <w:tc>
          <w:tcPr>
            <w:tcW w:w="1200" w:type="dxa"/>
            <w:vAlign w:val="bottom"/>
            <w:tcBorders>
              <w:bottom w:val="single" w:sz="8" w:color="auto"/>
            </w:tcBorders>
          </w:tcPr>
          <w:p>
            <w:pPr>
              <w:spacing w:after="0"/>
              <w:rPr>
                <w:sz w:val="21"/>
                <w:szCs w:val="21"/>
                <w:color w:val="auto"/>
              </w:rPr>
            </w:pPr>
          </w:p>
        </w:tc>
      </w:tr>
      <w:tr>
        <w:trPr>
          <w:trHeight w:val="223"/>
        </w:trPr>
        <w:tc>
          <w:tcPr>
            <w:tcW w:w="44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2"/>
              <w:spacing w:after="0" w:line="223" w:lineRule="exact"/>
              <w:rPr>
                <w:sz w:val="20"/>
                <w:szCs w:val="20"/>
                <w:color w:val="auto"/>
              </w:rPr>
            </w:pPr>
            <w:r>
              <w:rPr>
                <w:rFonts w:ascii="Arial" w:cs="Arial" w:eastAsia="Arial" w:hAnsi="Arial"/>
                <w:sz w:val="22"/>
                <w:szCs w:val="22"/>
                <w:color w:val="auto"/>
              </w:rPr>
              <w:t>2021</w:t>
            </w: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2"/>
              <w:spacing w:after="0" w:line="223" w:lineRule="exact"/>
              <w:rPr>
                <w:sz w:val="20"/>
                <w:szCs w:val="20"/>
                <w:color w:val="auto"/>
              </w:rPr>
            </w:pPr>
            <w:r>
              <w:rPr>
                <w:rFonts w:ascii="Arial" w:cs="Arial" w:eastAsia="Arial" w:hAnsi="Arial"/>
                <w:sz w:val="22"/>
                <w:szCs w:val="22"/>
                <w:color w:val="auto"/>
              </w:rPr>
              <w:t>2020</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2"/>
              <w:spacing w:after="0" w:line="223" w:lineRule="exact"/>
              <w:rPr>
                <w:sz w:val="20"/>
                <w:szCs w:val="20"/>
                <w:color w:val="auto"/>
              </w:rPr>
            </w:pPr>
            <w:r>
              <w:rPr>
                <w:rFonts w:ascii="Arial" w:cs="Arial" w:eastAsia="Arial" w:hAnsi="Arial"/>
                <w:sz w:val="22"/>
                <w:szCs w:val="22"/>
                <w:color w:val="auto"/>
              </w:rPr>
              <w:t>2021</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2"/>
              <w:spacing w:after="0" w:line="223" w:lineRule="exact"/>
              <w:rPr>
                <w:sz w:val="20"/>
                <w:szCs w:val="20"/>
                <w:color w:val="auto"/>
              </w:rPr>
            </w:pPr>
            <w:r>
              <w:rPr>
                <w:rFonts w:ascii="Arial" w:cs="Arial" w:eastAsia="Arial" w:hAnsi="Arial"/>
                <w:sz w:val="22"/>
                <w:szCs w:val="22"/>
                <w:color w:val="auto"/>
              </w:rPr>
              <w:t>2020</w:t>
            </w:r>
          </w:p>
        </w:tc>
      </w:tr>
      <w:tr>
        <w:trPr>
          <w:trHeight w:val="223"/>
        </w:trPr>
        <w:tc>
          <w:tcPr>
            <w:tcW w:w="448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Property</w:t>
            </w:r>
          </w:p>
        </w:tc>
        <w:tc>
          <w:tcPr>
            <w:tcW w:w="300" w:type="dxa"/>
            <w:vAlign w:val="bottom"/>
            <w:shd w:val="clear" w:color="auto" w:fill="CCEEFF"/>
          </w:tcPr>
          <w:p>
            <w:pPr>
              <w:jc w:val="right"/>
              <w:ind w:right="72"/>
              <w:spacing w:after="0" w:line="223" w:lineRule="exact"/>
              <w:rPr>
                <w:sz w:val="20"/>
                <w:szCs w:val="20"/>
                <w:color w:val="auto"/>
              </w:rPr>
            </w:pPr>
            <w:r>
              <w:rPr>
                <w:rFonts w:ascii="Arial" w:cs="Arial" w:eastAsia="Arial" w:hAnsi="Arial"/>
                <w:sz w:val="22"/>
                <w:szCs w:val="22"/>
                <w:color w:val="auto"/>
                <w:w w:val="81"/>
              </w:rPr>
              <w:t>$</w:t>
            </w:r>
          </w:p>
        </w:tc>
        <w:tc>
          <w:tcPr>
            <w:tcW w:w="112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9,570</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72"/>
              <w:spacing w:after="0" w:line="223" w:lineRule="exact"/>
              <w:rPr>
                <w:sz w:val="20"/>
                <w:szCs w:val="20"/>
                <w:color w:val="auto"/>
              </w:rPr>
            </w:pPr>
            <w:r>
              <w:rPr>
                <w:rFonts w:ascii="Arial" w:cs="Arial" w:eastAsia="Arial" w:hAnsi="Arial"/>
                <w:sz w:val="22"/>
                <w:szCs w:val="22"/>
                <w:color w:val="auto"/>
                <w:w w:val="81"/>
              </w:rPr>
              <w:t>$</w:t>
            </w:r>
          </w:p>
        </w:tc>
        <w:tc>
          <w:tcPr>
            <w:tcW w:w="10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8,275</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32"/>
              <w:spacing w:after="0" w:line="223" w:lineRule="exact"/>
              <w:rPr>
                <w:sz w:val="20"/>
                <w:szCs w:val="20"/>
                <w:color w:val="auto"/>
              </w:rPr>
            </w:pPr>
            <w:r>
              <w:rPr>
                <w:rFonts w:ascii="Arial" w:cs="Arial" w:eastAsia="Arial" w:hAnsi="Arial"/>
                <w:sz w:val="22"/>
                <w:szCs w:val="22"/>
                <w:color w:val="auto"/>
                <w:w w:val="81"/>
              </w:rPr>
              <w:t>$</w:t>
            </w:r>
          </w:p>
        </w:tc>
        <w:tc>
          <w:tcPr>
            <w:tcW w:w="12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17,284</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23"/>
              <w:spacing w:after="0"/>
              <w:rPr>
                <w:sz w:val="20"/>
                <w:szCs w:val="20"/>
                <w:color w:val="auto"/>
              </w:rPr>
            </w:pPr>
            <w:r>
              <w:rPr>
                <w:rFonts w:ascii="Arial" w:cs="Arial" w:eastAsia="Arial" w:hAnsi="Arial"/>
                <w:sz w:val="19"/>
                <w:szCs w:val="19"/>
                <w:color w:val="auto"/>
                <w:w w:val="75"/>
              </w:rPr>
              <w:t>$</w:t>
            </w:r>
          </w:p>
        </w:tc>
        <w:tc>
          <w:tcPr>
            <w:tcW w:w="120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15,308</w:t>
            </w:r>
          </w:p>
        </w:tc>
      </w:tr>
      <w:tr>
        <w:trPr>
          <w:trHeight w:val="229"/>
        </w:trPr>
        <w:tc>
          <w:tcPr>
            <w:tcW w:w="4480" w:type="dxa"/>
            <w:vAlign w:val="bottom"/>
          </w:tcPr>
          <w:p>
            <w:pPr>
              <w:spacing w:after="0" w:line="229" w:lineRule="exact"/>
              <w:rPr>
                <w:sz w:val="20"/>
                <w:szCs w:val="20"/>
                <w:color w:val="auto"/>
              </w:rPr>
            </w:pPr>
            <w:r>
              <w:rPr>
                <w:rFonts w:ascii="Arial" w:cs="Arial" w:eastAsia="Arial" w:hAnsi="Arial"/>
                <w:sz w:val="22"/>
                <w:szCs w:val="22"/>
                <w:color w:val="auto"/>
              </w:rPr>
              <w:t>Gross receipts, excise and franchise</w:t>
            </w:r>
          </w:p>
        </w:tc>
        <w:tc>
          <w:tcPr>
            <w:tcW w:w="300" w:type="dxa"/>
            <w:vAlign w:val="bottom"/>
          </w:tcPr>
          <w:p>
            <w:pPr>
              <w:spacing w:after="0"/>
              <w:rPr>
                <w:sz w:val="19"/>
                <w:szCs w:val="19"/>
                <w:color w:val="auto"/>
              </w:rPr>
            </w:pPr>
          </w:p>
        </w:tc>
        <w:tc>
          <w:tcPr>
            <w:tcW w:w="1120" w:type="dxa"/>
            <w:vAlign w:val="bottom"/>
          </w:tcPr>
          <w:p>
            <w:pPr>
              <w:jc w:val="right"/>
              <w:spacing w:after="0" w:line="229" w:lineRule="exact"/>
              <w:rPr>
                <w:sz w:val="20"/>
                <w:szCs w:val="20"/>
                <w:color w:val="auto"/>
              </w:rPr>
            </w:pPr>
            <w:r>
              <w:rPr>
                <w:rFonts w:ascii="Arial" w:cs="Arial" w:eastAsia="Arial" w:hAnsi="Arial"/>
                <w:sz w:val="22"/>
                <w:szCs w:val="22"/>
                <w:color w:val="auto"/>
              </w:rPr>
              <w:t>3,949</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line="229" w:lineRule="exact"/>
              <w:rPr>
                <w:sz w:val="20"/>
                <w:szCs w:val="20"/>
                <w:color w:val="auto"/>
              </w:rPr>
            </w:pPr>
            <w:r>
              <w:rPr>
                <w:rFonts w:ascii="Arial" w:cs="Arial" w:eastAsia="Arial" w:hAnsi="Arial"/>
                <w:sz w:val="22"/>
                <w:szCs w:val="22"/>
                <w:color w:val="auto"/>
              </w:rPr>
              <w:t>3,579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20"/>
              <w:spacing w:after="0" w:line="229" w:lineRule="exact"/>
              <w:rPr>
                <w:sz w:val="20"/>
                <w:szCs w:val="20"/>
                <w:color w:val="auto"/>
              </w:rPr>
            </w:pPr>
            <w:r>
              <w:rPr>
                <w:rFonts w:ascii="Arial" w:cs="Arial" w:eastAsia="Arial" w:hAnsi="Arial"/>
                <w:sz w:val="22"/>
                <w:szCs w:val="22"/>
                <w:color w:val="auto"/>
              </w:rPr>
              <w:t>7,633</w:t>
            </w:r>
          </w:p>
        </w:tc>
        <w:tc>
          <w:tcPr>
            <w:tcW w:w="420" w:type="dxa"/>
            <w:vAlign w:val="bottom"/>
          </w:tcPr>
          <w:p>
            <w:pPr>
              <w:spacing w:after="0"/>
              <w:rPr>
                <w:sz w:val="19"/>
                <w:szCs w:val="19"/>
                <w:color w:val="auto"/>
              </w:rPr>
            </w:pPr>
          </w:p>
        </w:tc>
        <w:tc>
          <w:tcPr>
            <w:tcW w:w="1200" w:type="dxa"/>
            <w:vAlign w:val="bottom"/>
          </w:tcPr>
          <w:p>
            <w:pPr>
              <w:jc w:val="right"/>
              <w:spacing w:after="0" w:line="229" w:lineRule="exact"/>
              <w:rPr>
                <w:sz w:val="20"/>
                <w:szCs w:val="20"/>
                <w:color w:val="auto"/>
              </w:rPr>
            </w:pPr>
            <w:r>
              <w:rPr>
                <w:rFonts w:ascii="Arial" w:cs="Arial" w:eastAsia="Arial" w:hAnsi="Arial"/>
                <w:sz w:val="22"/>
                <w:szCs w:val="22"/>
                <w:color w:val="auto"/>
              </w:rPr>
              <w:t>6,701</w:t>
            </w:r>
          </w:p>
        </w:tc>
      </w:tr>
      <w:tr>
        <w:trPr>
          <w:trHeight w:val="230"/>
        </w:trPr>
        <w:tc>
          <w:tcPr>
            <w:tcW w:w="448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Payroll</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4,718</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4,693</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line="229" w:lineRule="exact"/>
              <w:rPr>
                <w:sz w:val="20"/>
                <w:szCs w:val="20"/>
                <w:color w:val="auto"/>
              </w:rPr>
            </w:pPr>
            <w:r>
              <w:rPr>
                <w:rFonts w:ascii="Arial" w:cs="Arial" w:eastAsia="Arial" w:hAnsi="Arial"/>
                <w:sz w:val="22"/>
                <w:szCs w:val="22"/>
                <w:color w:val="auto"/>
              </w:rPr>
              <w:t>11,474</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8,973</w:t>
            </w:r>
          </w:p>
        </w:tc>
      </w:tr>
      <w:tr>
        <w:trPr>
          <w:trHeight w:val="229"/>
        </w:trPr>
        <w:tc>
          <w:tcPr>
            <w:tcW w:w="4480" w:type="dxa"/>
            <w:vAlign w:val="bottom"/>
          </w:tcPr>
          <w:p>
            <w:pPr>
              <w:spacing w:after="0" w:line="229" w:lineRule="exact"/>
              <w:rPr>
                <w:sz w:val="20"/>
                <w:szCs w:val="20"/>
                <w:color w:val="auto"/>
              </w:rPr>
            </w:pPr>
            <w:r>
              <w:rPr>
                <w:rFonts w:ascii="Arial" w:cs="Arial" w:eastAsia="Arial" w:hAnsi="Arial"/>
                <w:sz w:val="22"/>
                <w:szCs w:val="22"/>
                <w:color w:val="auto"/>
              </w:rPr>
              <w:t>Regulatory assessments</w:t>
            </w:r>
          </w:p>
        </w:tc>
        <w:tc>
          <w:tcPr>
            <w:tcW w:w="300" w:type="dxa"/>
            <w:vAlign w:val="bottom"/>
          </w:tcPr>
          <w:p>
            <w:pPr>
              <w:spacing w:after="0"/>
              <w:rPr>
                <w:sz w:val="19"/>
                <w:szCs w:val="19"/>
                <w:color w:val="auto"/>
              </w:rPr>
            </w:pPr>
          </w:p>
        </w:tc>
        <w:tc>
          <w:tcPr>
            <w:tcW w:w="1120" w:type="dxa"/>
            <w:vAlign w:val="bottom"/>
          </w:tcPr>
          <w:p>
            <w:pPr>
              <w:jc w:val="right"/>
              <w:spacing w:after="0" w:line="229" w:lineRule="exact"/>
              <w:rPr>
                <w:sz w:val="20"/>
                <w:szCs w:val="20"/>
                <w:color w:val="auto"/>
              </w:rPr>
            </w:pPr>
            <w:r>
              <w:rPr>
                <w:rFonts w:ascii="Arial" w:cs="Arial" w:eastAsia="Arial" w:hAnsi="Arial"/>
                <w:sz w:val="22"/>
                <w:szCs w:val="22"/>
                <w:color w:val="auto"/>
              </w:rPr>
              <w:t>847</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line="229" w:lineRule="exact"/>
              <w:rPr>
                <w:sz w:val="20"/>
                <w:szCs w:val="20"/>
                <w:color w:val="auto"/>
              </w:rPr>
            </w:pPr>
            <w:r>
              <w:rPr>
                <w:rFonts w:ascii="Arial" w:cs="Arial" w:eastAsia="Arial" w:hAnsi="Arial"/>
                <w:sz w:val="22"/>
                <w:szCs w:val="22"/>
                <w:color w:val="auto"/>
              </w:rPr>
              <w:t>698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20"/>
              <w:spacing w:after="0" w:line="229" w:lineRule="exact"/>
              <w:rPr>
                <w:sz w:val="20"/>
                <w:szCs w:val="20"/>
                <w:color w:val="auto"/>
              </w:rPr>
            </w:pPr>
            <w:r>
              <w:rPr>
                <w:rFonts w:ascii="Arial" w:cs="Arial" w:eastAsia="Arial" w:hAnsi="Arial"/>
                <w:sz w:val="22"/>
                <w:szCs w:val="22"/>
                <w:color w:val="auto"/>
              </w:rPr>
              <w:t>1,685</w:t>
            </w:r>
          </w:p>
        </w:tc>
        <w:tc>
          <w:tcPr>
            <w:tcW w:w="420" w:type="dxa"/>
            <w:vAlign w:val="bottom"/>
          </w:tcPr>
          <w:p>
            <w:pPr>
              <w:spacing w:after="0"/>
              <w:rPr>
                <w:sz w:val="19"/>
                <w:szCs w:val="19"/>
                <w:color w:val="auto"/>
              </w:rPr>
            </w:pPr>
          </w:p>
        </w:tc>
        <w:tc>
          <w:tcPr>
            <w:tcW w:w="1200" w:type="dxa"/>
            <w:vAlign w:val="bottom"/>
          </w:tcPr>
          <w:p>
            <w:pPr>
              <w:jc w:val="right"/>
              <w:spacing w:after="0" w:line="229" w:lineRule="exact"/>
              <w:rPr>
                <w:sz w:val="20"/>
                <w:szCs w:val="20"/>
                <w:color w:val="auto"/>
              </w:rPr>
            </w:pPr>
            <w:r>
              <w:rPr>
                <w:rFonts w:ascii="Arial" w:cs="Arial" w:eastAsia="Arial" w:hAnsi="Arial"/>
                <w:sz w:val="22"/>
                <w:szCs w:val="22"/>
                <w:color w:val="auto"/>
              </w:rPr>
              <w:t>1,398</w:t>
            </w:r>
          </w:p>
        </w:tc>
      </w:tr>
      <w:tr>
        <w:trPr>
          <w:trHeight w:val="229"/>
        </w:trPr>
        <w:tc>
          <w:tcPr>
            <w:tcW w:w="448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Pumping fees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1,464</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1,487</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line="229" w:lineRule="exact"/>
              <w:rPr>
                <w:sz w:val="20"/>
                <w:szCs w:val="20"/>
                <w:color w:val="auto"/>
              </w:rPr>
            </w:pPr>
            <w:r>
              <w:rPr>
                <w:rFonts w:ascii="Arial" w:cs="Arial" w:eastAsia="Arial" w:hAnsi="Arial"/>
                <w:sz w:val="22"/>
                <w:szCs w:val="22"/>
                <w:color w:val="auto"/>
              </w:rPr>
              <w:t>2,590</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2,568</w:t>
            </w:r>
          </w:p>
        </w:tc>
      </w:tr>
      <w:tr>
        <w:trPr>
          <w:trHeight w:val="230"/>
        </w:trPr>
        <w:tc>
          <w:tcPr>
            <w:tcW w:w="4480" w:type="dxa"/>
            <w:vAlign w:val="bottom"/>
          </w:tcPr>
          <w:p>
            <w:pPr>
              <w:spacing w:after="0" w:line="229" w:lineRule="exact"/>
              <w:rPr>
                <w:sz w:val="20"/>
                <w:szCs w:val="20"/>
                <w:color w:val="auto"/>
              </w:rPr>
            </w:pPr>
            <w:r>
              <w:rPr>
                <w:rFonts w:ascii="Arial" w:cs="Arial" w:eastAsia="Arial" w:hAnsi="Arial"/>
                <w:sz w:val="22"/>
                <w:szCs w:val="22"/>
                <w:color w:val="auto"/>
              </w:rPr>
              <w:t>Other</w:t>
            </w:r>
          </w:p>
        </w:tc>
        <w:tc>
          <w:tcPr>
            <w:tcW w:w="300" w:type="dxa"/>
            <w:vAlign w:val="bottom"/>
          </w:tcPr>
          <w:p>
            <w:pPr>
              <w:spacing w:after="0"/>
              <w:rPr>
                <w:sz w:val="19"/>
                <w:szCs w:val="19"/>
                <w:color w:val="auto"/>
              </w:rPr>
            </w:pPr>
          </w:p>
        </w:tc>
        <w:tc>
          <w:tcPr>
            <w:tcW w:w="1120" w:type="dxa"/>
            <w:vAlign w:val="bottom"/>
          </w:tcPr>
          <w:p>
            <w:pPr>
              <w:jc w:val="right"/>
              <w:spacing w:after="0" w:line="229" w:lineRule="exact"/>
              <w:rPr>
                <w:sz w:val="20"/>
                <w:szCs w:val="20"/>
                <w:color w:val="auto"/>
              </w:rPr>
            </w:pPr>
            <w:r>
              <w:rPr>
                <w:rFonts w:ascii="Arial" w:cs="Arial" w:eastAsia="Arial" w:hAnsi="Arial"/>
                <w:sz w:val="22"/>
                <w:szCs w:val="22"/>
                <w:color w:val="auto"/>
              </w:rPr>
              <w:t>572</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line="229" w:lineRule="exact"/>
              <w:rPr>
                <w:sz w:val="20"/>
                <w:szCs w:val="20"/>
                <w:color w:val="auto"/>
              </w:rPr>
            </w:pPr>
            <w:r>
              <w:rPr>
                <w:rFonts w:ascii="Arial" w:cs="Arial" w:eastAsia="Arial" w:hAnsi="Arial"/>
                <w:sz w:val="22"/>
                <w:szCs w:val="22"/>
                <w:color w:val="auto"/>
              </w:rPr>
              <w:t>701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20"/>
              <w:spacing w:after="0" w:line="229" w:lineRule="exact"/>
              <w:rPr>
                <w:sz w:val="20"/>
                <w:szCs w:val="20"/>
                <w:color w:val="auto"/>
              </w:rPr>
            </w:pPr>
            <w:r>
              <w:rPr>
                <w:rFonts w:ascii="Arial" w:cs="Arial" w:eastAsia="Arial" w:hAnsi="Arial"/>
                <w:sz w:val="22"/>
                <w:szCs w:val="22"/>
                <w:color w:val="auto"/>
              </w:rPr>
              <w:t>1,495</w:t>
            </w:r>
          </w:p>
        </w:tc>
        <w:tc>
          <w:tcPr>
            <w:tcW w:w="420" w:type="dxa"/>
            <w:vAlign w:val="bottom"/>
          </w:tcPr>
          <w:p>
            <w:pPr>
              <w:spacing w:after="0"/>
              <w:rPr>
                <w:sz w:val="19"/>
                <w:szCs w:val="19"/>
                <w:color w:val="auto"/>
              </w:rPr>
            </w:pPr>
          </w:p>
        </w:tc>
        <w:tc>
          <w:tcPr>
            <w:tcW w:w="1200" w:type="dxa"/>
            <w:vAlign w:val="bottom"/>
          </w:tcPr>
          <w:p>
            <w:pPr>
              <w:jc w:val="right"/>
              <w:spacing w:after="0" w:line="229" w:lineRule="exact"/>
              <w:rPr>
                <w:sz w:val="20"/>
                <w:szCs w:val="20"/>
                <w:color w:val="auto"/>
              </w:rPr>
            </w:pPr>
            <w:r>
              <w:rPr>
                <w:rFonts w:ascii="Arial" w:cs="Arial" w:eastAsia="Arial" w:hAnsi="Arial"/>
                <w:sz w:val="22"/>
                <w:szCs w:val="22"/>
                <w:color w:val="auto"/>
              </w:rPr>
              <w:t>921</w:t>
            </w:r>
          </w:p>
        </w:tc>
      </w:tr>
      <w:tr>
        <w:trPr>
          <w:trHeight w:val="223"/>
        </w:trPr>
        <w:tc>
          <w:tcPr>
            <w:tcW w:w="4480" w:type="dxa"/>
            <w:vAlign w:val="bottom"/>
            <w:tcBorders>
              <w:top w:val="single" w:sz="8" w:color="CCEEFF"/>
              <w:bottom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Total taxes other than income</w:t>
            </w:r>
          </w:p>
        </w:tc>
        <w:tc>
          <w:tcPr>
            <w:tcW w:w="300" w:type="dxa"/>
            <w:vAlign w:val="bottom"/>
            <w:tcBorders>
              <w:top w:val="single" w:sz="8" w:color="auto"/>
              <w:bottom w:val="single" w:sz="8" w:color="auto"/>
            </w:tcBorders>
            <w:shd w:val="clear" w:color="auto" w:fill="CCEEFF"/>
          </w:tcPr>
          <w:p>
            <w:pPr>
              <w:jc w:val="right"/>
              <w:ind w:right="72"/>
              <w:spacing w:after="0" w:line="223" w:lineRule="exact"/>
              <w:rPr>
                <w:sz w:val="20"/>
                <w:szCs w:val="20"/>
                <w:color w:val="auto"/>
              </w:rPr>
            </w:pPr>
            <w:r>
              <w:rPr>
                <w:rFonts w:ascii="Arial" w:cs="Arial" w:eastAsia="Arial" w:hAnsi="Arial"/>
                <w:sz w:val="22"/>
                <w:szCs w:val="22"/>
                <w:color w:val="auto"/>
                <w:w w:val="81"/>
              </w:rPr>
              <w:t>$</w:t>
            </w:r>
          </w:p>
        </w:tc>
        <w:tc>
          <w:tcPr>
            <w:tcW w:w="112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21,120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72"/>
              <w:spacing w:after="0" w:line="223" w:lineRule="exact"/>
              <w:rPr>
                <w:sz w:val="20"/>
                <w:szCs w:val="20"/>
                <w:color w:val="auto"/>
              </w:rPr>
            </w:pPr>
            <w:r>
              <w:rPr>
                <w:rFonts w:ascii="Arial" w:cs="Arial" w:eastAsia="Arial" w:hAnsi="Arial"/>
                <w:sz w:val="22"/>
                <w:szCs w:val="22"/>
                <w:color w:val="auto"/>
                <w:w w:val="81"/>
              </w:rPr>
              <w:t>$</w:t>
            </w:r>
          </w:p>
        </w:tc>
        <w:tc>
          <w:tcPr>
            <w:tcW w:w="104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19,433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32"/>
              <w:spacing w:after="0" w:line="223" w:lineRule="exact"/>
              <w:rPr>
                <w:sz w:val="20"/>
                <w:szCs w:val="20"/>
                <w:color w:val="auto"/>
              </w:rPr>
            </w:pPr>
            <w:r>
              <w:rPr>
                <w:rFonts w:ascii="Arial" w:cs="Arial" w:eastAsia="Arial" w:hAnsi="Arial"/>
                <w:sz w:val="22"/>
                <w:szCs w:val="22"/>
                <w:color w:val="auto"/>
                <w:w w:val="81"/>
              </w:rPr>
              <w:t>$</w:t>
            </w:r>
          </w:p>
        </w:tc>
        <w:tc>
          <w:tcPr>
            <w:tcW w:w="12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42,161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23"/>
              <w:spacing w:after="0"/>
              <w:rPr>
                <w:sz w:val="20"/>
                <w:szCs w:val="20"/>
                <w:color w:val="auto"/>
              </w:rPr>
            </w:pPr>
            <w:r>
              <w:rPr>
                <w:rFonts w:ascii="Arial" w:cs="Arial" w:eastAsia="Arial" w:hAnsi="Arial"/>
                <w:sz w:val="19"/>
                <w:szCs w:val="19"/>
                <w:color w:val="auto"/>
                <w:w w:val="75"/>
              </w:rPr>
              <w:t>$</w:t>
            </w:r>
          </w:p>
        </w:tc>
        <w:tc>
          <w:tcPr>
            <w:tcW w:w="120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35,869</w:t>
            </w:r>
          </w:p>
        </w:tc>
      </w:tr>
      <w:tr>
        <w:trPr>
          <w:trHeight w:val="20"/>
        </w:trPr>
        <w:tc>
          <w:tcPr>
            <w:tcW w:w="4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13 – </w:t>
      </w:r>
      <w:r>
        <w:rPr>
          <w:rFonts w:ascii="Arial" w:cs="Arial" w:eastAsia="Arial" w:hAnsi="Arial"/>
          <w:sz w:val="22"/>
          <w:szCs w:val="22"/>
          <w:b w:val="1"/>
          <w:bCs w:val="1"/>
          <w:i w:val="1"/>
          <w:iCs w:val="1"/>
          <w:color w:val="auto"/>
        </w:rPr>
        <w:t>Segment Information</w:t>
      </w:r>
    </w:p>
    <w:p>
      <w:pPr>
        <w:spacing w:after="0" w:line="212"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On March 16, 2020, the Company completed the Peoples Gas Acquisition, marking the Company’s entrance into the regulated natural gas business. The operating results of Peoples are included in the consolidated financial statements for the period since the acquisition date. As a result, the Company now has twelve operating segments and two reportable segments. The Regulated Water segment is comprised of eight operating segments representing its water and wastewater regulated utility companies, which are organized by the states where the Company provides water and wastewater services. The eight water and wastewater utility operating segments are aggregated into one reportable segment, because each of these operating segments has the following similarities: economic characteristics, nature of services, production processes, customers, water distribution or wastewater collection methods, and the nature of the regulatory environment. The Regulated Natural Gas segment is comprised of one operating segment representing natural gas utility companies, acquired in the Peoples Gas Acquisition, for which the Company provides natural gas distribution services.</w:t>
      </w:r>
    </w:p>
    <w:p>
      <w:pPr>
        <w:spacing w:after="0" w:line="149" w:lineRule="exact"/>
        <w:rPr>
          <w:sz w:val="20"/>
          <w:szCs w:val="20"/>
          <w:color w:val="auto"/>
        </w:rPr>
      </w:pPr>
    </w:p>
    <w:p>
      <w:pPr>
        <w:ind w:right="40"/>
        <w:spacing w:after="0" w:line="253" w:lineRule="auto"/>
        <w:rPr>
          <w:sz w:val="20"/>
          <w:szCs w:val="20"/>
          <w:color w:val="auto"/>
        </w:rPr>
      </w:pPr>
      <w:r>
        <w:rPr>
          <w:rFonts w:ascii="Arial" w:cs="Arial" w:eastAsia="Arial" w:hAnsi="Arial"/>
          <w:sz w:val="19"/>
          <w:szCs w:val="19"/>
          <w:color w:val="auto"/>
        </w:rPr>
        <w:t>In addition to the Company’s two reportable segments, we include three of our operating segments within the Other category below. These segments are not quantitatively significant and are comprised of our non-regulated natural gas operations, Aqua Infrastructure, and Aqua Resources. Our non-regulated natural gas operations consist of utility service line protection solutions and repair services to households and the operation of gas marketing and production entities. Prior to our October 30, 2020 sale of investment in joint venture, Aqua Infrastructure provided non-utility raw water supply services for firms in the natural gas drilling industry. Aqua Resources offers, through a third party, water and sewer service line protection solutions and repair services to households. In addition to these segments, Other is comprised of business activities not included in the reportable segments, including corporate costs that have not been allocated to the Regulated Water and Regulated Natural Gas segments and intersegment eliminations. Corporate costs include general and administrative expenses, and interest expense. The Company reports these corporate costs within Other as they relate to corporate-focused responsibilities and decisions and are not included in internal measures of segment operating performance used by the Company to measure the underlying performance of the operating segments.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3" w:name="page34"/>
    <w:bookmarkEnd w:id="33"/>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spacing w:after="0" w:line="231" w:lineRule="auto"/>
        <w:rPr>
          <w:sz w:val="20"/>
          <w:szCs w:val="20"/>
          <w:color w:val="auto"/>
        </w:rPr>
      </w:pPr>
      <w:r>
        <w:rPr>
          <w:rFonts w:ascii="Arial" w:cs="Arial" w:eastAsia="Arial" w:hAnsi="Arial"/>
          <w:sz w:val="22"/>
          <w:szCs w:val="22"/>
          <w:color w:val="auto"/>
        </w:rPr>
        <w:t>The following table presents information about the Company’s reportable segments, including the operating results and capital expenditures of the Regulated Natural Gas segment for the period since the completion of the Peoples Gas Acquisition on March 16, 2020:</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4"/>
          </w:tcPr>
          <w:p>
            <w:pPr>
              <w:jc w:val="center"/>
              <w:ind w:right="128"/>
              <w:spacing w:after="0"/>
              <w:rPr>
                <w:sz w:val="20"/>
                <w:szCs w:val="20"/>
                <w:color w:val="auto"/>
              </w:rPr>
            </w:pPr>
            <w:r>
              <w:rPr>
                <w:rFonts w:ascii="Arial" w:cs="Arial" w:eastAsia="Arial" w:hAnsi="Arial"/>
                <w:sz w:val="14"/>
                <w:szCs w:val="14"/>
                <w:color w:val="auto"/>
                <w:w w:val="93"/>
              </w:rPr>
              <w:t>Three Months Ended</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5"/>
          </w:tcPr>
          <w:p>
            <w:pPr>
              <w:jc w:val="center"/>
              <w:ind w:right="120"/>
              <w:spacing w:after="0"/>
              <w:rPr>
                <w:sz w:val="20"/>
                <w:szCs w:val="20"/>
                <w:color w:val="auto"/>
              </w:rPr>
            </w:pPr>
            <w:r>
              <w:rPr>
                <w:rFonts w:ascii="Arial" w:cs="Arial" w:eastAsia="Arial" w:hAnsi="Arial"/>
                <w:sz w:val="14"/>
                <w:szCs w:val="14"/>
                <w:color w:val="auto"/>
                <w:w w:val="93"/>
              </w:rPr>
              <w:t>Three Months Ended</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center"/>
              <w:ind w:right="128"/>
              <w:spacing w:after="0"/>
              <w:rPr>
                <w:sz w:val="20"/>
                <w:szCs w:val="20"/>
                <w:color w:val="auto"/>
              </w:rPr>
            </w:pPr>
            <w:r>
              <w:rPr>
                <w:rFonts w:ascii="Arial" w:cs="Arial" w:eastAsia="Arial" w:hAnsi="Arial"/>
                <w:sz w:val="14"/>
                <w:szCs w:val="14"/>
                <w:color w:val="auto"/>
                <w:w w:val="92"/>
              </w:rPr>
              <w:t>June 30, 2021</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color w:val="auto"/>
                <w:w w:val="90"/>
              </w:rPr>
              <w:t>June 30, 2020</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color w:val="auto"/>
                <w:w w:val="93"/>
              </w:rPr>
              <w:t>Regulated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w w:val="97"/>
              </w:rPr>
              <w:t>Regulated</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color w:val="auto"/>
              </w:rPr>
              <w:t>Regulated</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7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Water</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3"/>
              </w:rPr>
              <w:t>Natural Gas</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92"/>
              </w:rPr>
              <w:t>Consolidated</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1"/>
              </w:rPr>
              <w:t>Regulated Water</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3"/>
              </w:rPr>
              <w:t>Natural Gas</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Other</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5"/>
              </w:rPr>
              <w:t>Consolidated</w:t>
            </w:r>
          </w:p>
        </w:tc>
        <w:tc>
          <w:tcPr>
            <w:tcW w:w="0" w:type="dxa"/>
            <w:vAlign w:val="bottom"/>
          </w:tcPr>
          <w:p>
            <w:pPr>
              <w:spacing w:after="0"/>
              <w:rPr>
                <w:sz w:val="1"/>
                <w:szCs w:val="1"/>
                <w:color w:val="auto"/>
              </w:rPr>
            </w:pPr>
          </w:p>
        </w:tc>
      </w:tr>
      <w:tr>
        <w:trPr>
          <w:trHeight w:val="183"/>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26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248,177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141,562</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right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7,293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397,032</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234,086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146,880</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384,468</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20"/>
                <w:szCs w:val="20"/>
                <w:color w:val="auto"/>
              </w:rPr>
            </w:pPr>
            <w:r>
              <w:rPr>
                <w:rFonts w:ascii="Arial" w:cs="Arial" w:eastAsia="Arial" w:hAnsi="Arial"/>
                <w:sz w:val="13"/>
                <w:szCs w:val="13"/>
                <w:color w:val="auto"/>
              </w:rPr>
              <w:t>Operations and maintenance expense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77,801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52,334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(2,620)</w:t>
            </w:r>
          </w:p>
        </w:tc>
        <w:tc>
          <w:tcPr>
            <w:tcW w:w="1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127,515</w:t>
            </w: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76,645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50,876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1,083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128,604</w:t>
            </w: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Purchased gas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39,788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5,109</w:t>
            </w:r>
          </w:p>
        </w:tc>
        <w:tc>
          <w:tcPr>
            <w:tcW w:w="1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44,897</w:t>
            </w: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41,593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43,420</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20"/>
                <w:szCs w:val="20"/>
                <w:color w:val="auto"/>
              </w:rPr>
            </w:pPr>
            <w:r>
              <w:rPr>
                <w:rFonts w:ascii="Arial" w:cs="Arial" w:eastAsia="Arial" w:hAnsi="Arial"/>
                <w:sz w:val="13"/>
                <w:szCs w:val="13"/>
                <w:color w:val="auto"/>
              </w:rPr>
              <w:t>Depreciation and amortization</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45,546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28,121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505</w:t>
            </w:r>
          </w:p>
        </w:tc>
        <w:tc>
          <w:tcPr>
            <w:tcW w:w="1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74,172</w:t>
            </w: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42,748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25,727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1,417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69,892</w:t>
            </w: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Taxes other than income taxes</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16,044</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4,638</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right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438</w:t>
            </w: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right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21,120</w:t>
            </w:r>
          </w:p>
        </w:tc>
        <w:tc>
          <w:tcPr>
            <w:tcW w:w="3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14,899</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3,991</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19,433</w:t>
            </w:r>
          </w:p>
        </w:tc>
        <w:tc>
          <w:tcPr>
            <w:tcW w:w="0" w:type="dxa"/>
            <w:vAlign w:val="bottom"/>
          </w:tcPr>
          <w:p>
            <w:pPr>
              <w:spacing w:after="0"/>
              <w:rPr>
                <w:sz w:val="1"/>
                <w:szCs w:val="1"/>
                <w:color w:val="auto"/>
              </w:rPr>
            </w:pPr>
          </w:p>
        </w:tc>
      </w:tr>
      <w:tr>
        <w:trPr>
          <w:trHeight w:val="183"/>
        </w:trPr>
        <w:tc>
          <w:tcPr>
            <w:tcW w:w="2780" w:type="dxa"/>
            <w:vAlign w:val="bottom"/>
          </w:tcPr>
          <w:p>
            <w:pPr>
              <w:spacing w:after="0"/>
              <w:rPr>
                <w:sz w:val="20"/>
                <w:szCs w:val="20"/>
                <w:color w:val="auto"/>
              </w:rPr>
            </w:pPr>
            <w:r>
              <w:rPr>
                <w:rFonts w:ascii="Arial" w:cs="Arial" w:eastAsia="Arial" w:hAnsi="Arial"/>
                <w:sz w:val="13"/>
                <w:szCs w:val="13"/>
                <w:color w:val="auto"/>
              </w:rPr>
              <w:t>Operating income (loss)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108,786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16,681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3,861</w:t>
            </w:r>
          </w:p>
        </w:tc>
        <w:tc>
          <w:tcPr>
            <w:tcW w:w="10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129,328</w:t>
            </w:r>
          </w:p>
        </w:tc>
        <w:tc>
          <w:tcPr>
            <w:tcW w:w="3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99,794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24,693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(1,368)</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123,119</w:t>
            </w: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 net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27,122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20,422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4,154</w:t>
            </w:r>
          </w:p>
        </w:tc>
        <w:tc>
          <w:tcPr>
            <w:tcW w:w="1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51,698</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25,970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9,334</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16,166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51,470</w:t>
            </w:r>
          </w:p>
        </w:tc>
        <w:tc>
          <w:tcPr>
            <w:tcW w:w="0" w:type="dxa"/>
            <w:vAlign w:val="bottom"/>
          </w:tcPr>
          <w:p>
            <w:pPr>
              <w:spacing w:after="0"/>
              <w:rPr>
                <w:sz w:val="1"/>
                <w:szCs w:val="1"/>
                <w:color w:val="auto"/>
              </w:rPr>
            </w:pPr>
          </w:p>
        </w:tc>
      </w:tr>
      <w:tr>
        <w:trPr>
          <w:trHeight w:val="351"/>
        </w:trPr>
        <w:tc>
          <w:tcPr>
            <w:tcW w:w="2780" w:type="dxa"/>
            <w:vAlign w:val="bottom"/>
          </w:tcPr>
          <w:p>
            <w:pPr>
              <w:spacing w:after="0"/>
              <w:rPr>
                <w:sz w:val="20"/>
                <w:szCs w:val="20"/>
                <w:color w:val="auto"/>
              </w:rPr>
            </w:pPr>
            <w:r>
              <w:rPr>
                <w:rFonts w:ascii="Arial" w:cs="Arial" w:eastAsia="Arial" w:hAnsi="Arial"/>
                <w:sz w:val="13"/>
                <w:szCs w:val="13"/>
                <w:color w:val="auto"/>
              </w:rPr>
              <w:t>Allowance for funds used during construction</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(4,438)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(468)</w:t>
            </w:r>
          </w:p>
        </w:tc>
        <w:tc>
          <w:tcPr>
            <w:tcW w:w="16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(4,906)</w:t>
            </w:r>
          </w:p>
        </w:tc>
        <w:tc>
          <w:tcPr>
            <w:tcW w:w="3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(1,911)</w:t>
            </w:r>
          </w:p>
        </w:tc>
        <w:tc>
          <w:tcPr>
            <w:tcW w:w="10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(319)</w:t>
            </w:r>
          </w:p>
        </w:tc>
        <w:tc>
          <w:tcPr>
            <w:tcW w:w="18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(2,230)</w:t>
            </w: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Equity earnings in joint venture</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(470)</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20"/>
                <w:szCs w:val="20"/>
                <w:color w:val="auto"/>
              </w:rPr>
            </w:pPr>
            <w:r>
              <w:rPr>
                <w:rFonts w:ascii="Arial" w:cs="Arial" w:eastAsia="Arial" w:hAnsi="Arial"/>
                <w:sz w:val="13"/>
                <w:szCs w:val="13"/>
                <w:color w:val="auto"/>
              </w:rPr>
              <w:t>Other</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(1,940)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(439)</w:t>
            </w:r>
          </w:p>
        </w:tc>
        <w:tc>
          <w:tcPr>
            <w:tcW w:w="160" w:type="dxa"/>
            <w:vAlign w:val="bottom"/>
          </w:tcPr>
          <w:p>
            <w:pPr>
              <w:spacing w:after="0"/>
              <w:rPr>
                <w:sz w:val="17"/>
                <w:szCs w:val="17"/>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(2,164)</w:t>
            </w:r>
          </w:p>
        </w:tc>
        <w:tc>
          <w:tcPr>
            <w:tcW w:w="30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(454)</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(366)</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20"/>
        </w:trPr>
        <w:tc>
          <w:tcPr>
            <w:tcW w:w="27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88,042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(2,834)</w:t>
            </w:r>
          </w:p>
        </w:tc>
        <w:tc>
          <w:tcPr>
            <w:tcW w:w="16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(508)</w:t>
            </w:r>
          </w:p>
        </w:tc>
        <w:tc>
          <w:tcPr>
            <w:tcW w:w="100" w:type="dxa"/>
            <w:vAlign w:val="bottom"/>
            <w:shd w:val="clear" w:color="auto" w:fill="CCEEFF"/>
          </w:tcPr>
          <w:p>
            <w:pPr>
              <w:spacing w:after="0"/>
              <w:rPr>
                <w:sz w:val="15"/>
                <w:szCs w:val="15"/>
                <w:color w:val="auto"/>
              </w:rPr>
            </w:pPr>
          </w:p>
        </w:tc>
        <w:tc>
          <w:tcPr>
            <w:tcW w:w="1000" w:type="dxa"/>
            <w:vAlign w:val="bottom"/>
            <w:tcBorders>
              <w:right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84,700</w:t>
            </w: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76,189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15,600</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(16,698)</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75,091</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20"/>
                <w:szCs w:val="20"/>
                <w:color w:val="auto"/>
              </w:rPr>
            </w:pPr>
            <w:r>
              <w:rPr>
                <w:rFonts w:ascii="Arial" w:cs="Arial" w:eastAsia="Arial" w:hAnsi="Arial"/>
                <w:sz w:val="13"/>
                <w:szCs w:val="13"/>
                <w:color w:val="auto"/>
              </w:rPr>
              <w:t>Provision for income taxes (benefit)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9,193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(4,739)</w:t>
            </w:r>
          </w:p>
        </w:tc>
        <w:tc>
          <w:tcPr>
            <w:tcW w:w="16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(668)</w:t>
            </w:r>
          </w:p>
        </w:tc>
        <w:tc>
          <w:tcPr>
            <w:tcW w:w="1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3,786</w:t>
            </w: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7,194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(2,399)</w:t>
            </w:r>
          </w:p>
        </w:tc>
        <w:tc>
          <w:tcPr>
            <w:tcW w:w="18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(4,333)</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20"/>
        </w:trPr>
        <w:tc>
          <w:tcPr>
            <w:tcW w:w="27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26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78,849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1,905</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right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80,914</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68,995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17,999</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(12,365)</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74,629</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7"/>
        </w:trPr>
        <w:tc>
          <w:tcPr>
            <w:tcW w:w="2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4"/>
          </w:tcPr>
          <w:p>
            <w:pPr>
              <w:jc w:val="center"/>
              <w:ind w:right="128"/>
              <w:spacing w:after="0"/>
              <w:rPr>
                <w:sz w:val="20"/>
                <w:szCs w:val="20"/>
                <w:color w:val="auto"/>
              </w:rPr>
            </w:pPr>
            <w:r>
              <w:rPr>
                <w:rFonts w:ascii="Arial" w:cs="Arial" w:eastAsia="Arial" w:hAnsi="Arial"/>
                <w:sz w:val="14"/>
                <w:szCs w:val="14"/>
                <w:color w:val="auto"/>
                <w:w w:val="93"/>
              </w:rPr>
              <w:t>Six Months Ended</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5"/>
          </w:tcPr>
          <w:p>
            <w:pPr>
              <w:jc w:val="center"/>
              <w:ind w:right="120"/>
              <w:spacing w:after="0"/>
              <w:rPr>
                <w:sz w:val="20"/>
                <w:szCs w:val="20"/>
                <w:color w:val="auto"/>
              </w:rPr>
            </w:pPr>
            <w:r>
              <w:rPr>
                <w:rFonts w:ascii="Arial" w:cs="Arial" w:eastAsia="Arial" w:hAnsi="Arial"/>
                <w:sz w:val="14"/>
                <w:szCs w:val="14"/>
                <w:color w:val="auto"/>
                <w:w w:val="93"/>
              </w:rPr>
              <w:t>Six Months Ended</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center"/>
              <w:ind w:right="128"/>
              <w:spacing w:after="0"/>
              <w:rPr>
                <w:sz w:val="20"/>
                <w:szCs w:val="20"/>
                <w:color w:val="auto"/>
              </w:rPr>
            </w:pPr>
            <w:r>
              <w:rPr>
                <w:rFonts w:ascii="Arial" w:cs="Arial" w:eastAsia="Arial" w:hAnsi="Arial"/>
                <w:sz w:val="14"/>
                <w:szCs w:val="14"/>
                <w:color w:val="auto"/>
                <w:w w:val="92"/>
              </w:rPr>
              <w:t>June 30, 2021</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color w:val="auto"/>
                <w:w w:val="90"/>
              </w:rPr>
              <w:t>June 30, 2020</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ind w:right="188"/>
              <w:spacing w:after="0"/>
              <w:rPr>
                <w:sz w:val="20"/>
                <w:szCs w:val="20"/>
                <w:color w:val="auto"/>
              </w:rPr>
            </w:pPr>
            <w:r>
              <w:rPr>
                <w:rFonts w:ascii="Arial" w:cs="Arial" w:eastAsia="Arial" w:hAnsi="Arial"/>
                <w:sz w:val="14"/>
                <w:szCs w:val="14"/>
                <w:color w:val="auto"/>
                <w:w w:val="93"/>
              </w:rPr>
              <w:t>Regulated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w w:val="97"/>
              </w:rPr>
              <w:t>Regulated</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color w:val="auto"/>
              </w:rPr>
              <w:t>Regulated</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w w:val="93"/>
              </w:rPr>
              <w:t>Natural Gas</w:t>
            </w: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w w:val="93"/>
              </w:rPr>
              <w:t>Natural Gas</w:t>
            </w: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right"/>
              <w:ind w:right="288"/>
              <w:spacing w:after="0"/>
              <w:rPr>
                <w:sz w:val="20"/>
                <w:szCs w:val="20"/>
                <w:color w:val="auto"/>
              </w:rPr>
            </w:pPr>
            <w:r>
              <w:rPr>
                <w:rFonts w:ascii="Arial" w:cs="Arial" w:eastAsia="Arial" w:hAnsi="Arial"/>
                <w:sz w:val="14"/>
                <w:szCs w:val="14"/>
                <w:color w:val="auto"/>
              </w:rPr>
              <w:t>Water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ind w:right="248"/>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1"/>
                <w:szCs w:val="11"/>
                <w:color w:val="auto"/>
              </w:rPr>
            </w:pPr>
          </w:p>
        </w:tc>
        <w:tc>
          <w:tcPr>
            <w:tcW w:w="1000" w:type="dxa"/>
            <w:vAlign w:val="bottom"/>
            <w:vMerge w:val="restart"/>
          </w:tcPr>
          <w:p>
            <w:pPr>
              <w:jc w:val="right"/>
              <w:ind w:right="148"/>
              <w:spacing w:after="0"/>
              <w:rPr>
                <w:sz w:val="20"/>
                <w:szCs w:val="20"/>
                <w:color w:val="auto"/>
              </w:rPr>
            </w:pPr>
            <w:r>
              <w:rPr>
                <w:rFonts w:ascii="Arial" w:cs="Arial" w:eastAsia="Arial" w:hAnsi="Arial"/>
                <w:sz w:val="14"/>
                <w:szCs w:val="14"/>
                <w:color w:val="auto"/>
                <w:w w:val="92"/>
              </w:rPr>
              <w:t>Consolidated</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w w:val="91"/>
              </w:rPr>
              <w:t>Regulated Water</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ind w:right="188"/>
              <w:spacing w:after="0"/>
              <w:rPr>
                <w:sz w:val="20"/>
                <w:szCs w:val="20"/>
                <w:color w:val="auto"/>
              </w:rPr>
            </w:pPr>
            <w:r>
              <w:rPr>
                <w:rFonts w:ascii="Arial" w:cs="Arial" w:eastAsia="Arial" w:hAnsi="Arial"/>
                <w:sz w:val="14"/>
                <w:szCs w:val="14"/>
                <w:color w:val="auto"/>
              </w:rPr>
              <w:t>Other</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color w:val="auto"/>
                <w:w w:val="95"/>
              </w:rPr>
              <w:t>Consolidated</w:t>
            </w:r>
          </w:p>
        </w:tc>
        <w:tc>
          <w:tcPr>
            <w:tcW w:w="0" w:type="dxa"/>
            <w:vAlign w:val="bottom"/>
          </w:tcPr>
          <w:p>
            <w:pPr>
              <w:spacing w:after="0"/>
              <w:rPr>
                <w:sz w:val="1"/>
                <w:szCs w:val="1"/>
                <w:color w:val="auto"/>
              </w:rPr>
            </w:pPr>
          </w:p>
        </w:tc>
      </w:tr>
      <w:tr>
        <w:trPr>
          <w:trHeight w:val="39"/>
        </w:trPr>
        <w:tc>
          <w:tcPr>
            <w:tcW w:w="27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vMerge w:val="continue"/>
          </w:tcPr>
          <w:p>
            <w:pPr>
              <w:spacing w:after="0"/>
              <w:rPr>
                <w:sz w:val="3"/>
                <w:szCs w:val="3"/>
                <w:color w:val="auto"/>
              </w:rPr>
            </w:pPr>
          </w:p>
        </w:tc>
        <w:tc>
          <w:tcPr>
            <w:tcW w:w="1000" w:type="dxa"/>
            <w:vAlign w:val="bottom"/>
            <w:tcBorders>
              <w:bottom w:val="single" w:sz="8" w:color="auto"/>
            </w:tcBorders>
            <w:gridSpan w:val="2"/>
            <w:vMerge w:val="continue"/>
          </w:tcPr>
          <w:p>
            <w:pPr>
              <w:spacing w:after="0"/>
              <w:rPr>
                <w:sz w:val="3"/>
                <w:szCs w:val="3"/>
                <w:color w:val="auto"/>
              </w:rPr>
            </w:pPr>
          </w:p>
        </w:tc>
        <w:tc>
          <w:tcPr>
            <w:tcW w:w="80" w:type="dxa"/>
            <w:vAlign w:val="bottom"/>
            <w:tcBorders>
              <w:bottom w:val="single" w:sz="8" w:color="CCEEFF"/>
            </w:tcBorders>
            <w:vMerge w:val="continue"/>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vMerge w:val="continue"/>
          </w:tcPr>
          <w:p>
            <w:pPr>
              <w:spacing w:after="0"/>
              <w:rPr>
                <w:sz w:val="3"/>
                <w:szCs w:val="3"/>
                <w:color w:val="auto"/>
              </w:rPr>
            </w:pPr>
          </w:p>
        </w:tc>
        <w:tc>
          <w:tcPr>
            <w:tcW w:w="80" w:type="dxa"/>
            <w:vAlign w:val="bottom"/>
            <w:tcBorders>
              <w:bottom w:val="single" w:sz="8" w:color="CCEEFF"/>
            </w:tcBorders>
            <w:vMerge w:val="continue"/>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85"/>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26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476,530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484,677</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right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19,390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980,597</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450,283</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184,915</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4,855</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640,053</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20"/>
                <w:szCs w:val="20"/>
                <w:color w:val="auto"/>
              </w:rPr>
            </w:pPr>
            <w:r>
              <w:rPr>
                <w:rFonts w:ascii="Arial" w:cs="Arial" w:eastAsia="Arial" w:hAnsi="Arial"/>
                <w:sz w:val="13"/>
                <w:szCs w:val="13"/>
                <w:color w:val="auto"/>
              </w:rPr>
              <w:t>Operations and maintenance expense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156,148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103,660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(7,218)</w:t>
            </w:r>
          </w:p>
        </w:tc>
        <w:tc>
          <w:tcPr>
            <w:tcW w:w="1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252,590</w:t>
            </w: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150,339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59,533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25,369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235,241</w:t>
            </w: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Purchased gas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162,676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14,374</w:t>
            </w:r>
          </w:p>
        </w:tc>
        <w:tc>
          <w:tcPr>
            <w:tcW w:w="1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177,050</w:t>
            </w: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53,966</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56,190</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20"/>
                <w:szCs w:val="20"/>
                <w:color w:val="auto"/>
              </w:rPr>
            </w:pPr>
            <w:r>
              <w:rPr>
                <w:rFonts w:ascii="Arial" w:cs="Arial" w:eastAsia="Arial" w:hAnsi="Arial"/>
                <w:sz w:val="13"/>
                <w:szCs w:val="13"/>
                <w:color w:val="auto"/>
              </w:rPr>
              <w:t>Depreciation and amortization</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90,684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55,711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721</w:t>
            </w:r>
          </w:p>
        </w:tc>
        <w:tc>
          <w:tcPr>
            <w:tcW w:w="1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147,116</w:t>
            </w: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84,259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30,234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1,644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116,137</w:t>
            </w: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Taxes other than income taxes</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31,465</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9,085</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right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1,611</w:t>
            </w: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right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42,161</w:t>
            </w:r>
          </w:p>
        </w:tc>
        <w:tc>
          <w:tcPr>
            <w:tcW w:w="3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29,386</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4,652</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35,869</w:t>
            </w:r>
          </w:p>
        </w:tc>
        <w:tc>
          <w:tcPr>
            <w:tcW w:w="0" w:type="dxa"/>
            <w:vAlign w:val="bottom"/>
          </w:tcPr>
          <w:p>
            <w:pPr>
              <w:spacing w:after="0"/>
              <w:rPr>
                <w:sz w:val="1"/>
                <w:szCs w:val="1"/>
                <w:color w:val="auto"/>
              </w:rPr>
            </w:pPr>
          </w:p>
        </w:tc>
      </w:tr>
      <w:tr>
        <w:trPr>
          <w:trHeight w:val="183"/>
        </w:trPr>
        <w:tc>
          <w:tcPr>
            <w:tcW w:w="2780" w:type="dxa"/>
            <w:vAlign w:val="bottom"/>
          </w:tcPr>
          <w:p>
            <w:pPr>
              <w:spacing w:after="0"/>
              <w:rPr>
                <w:sz w:val="20"/>
                <w:szCs w:val="20"/>
                <w:color w:val="auto"/>
              </w:rPr>
            </w:pPr>
            <w:r>
              <w:rPr>
                <w:rFonts w:ascii="Arial" w:cs="Arial" w:eastAsia="Arial" w:hAnsi="Arial"/>
                <w:sz w:val="13"/>
                <w:szCs w:val="13"/>
                <w:color w:val="auto"/>
              </w:rPr>
              <w:t>Operating income (loss)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198,233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153,545</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9,902</w:t>
            </w:r>
          </w:p>
        </w:tc>
        <w:tc>
          <w:tcPr>
            <w:tcW w:w="10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361,680</w:t>
            </w:r>
          </w:p>
        </w:tc>
        <w:tc>
          <w:tcPr>
            <w:tcW w:w="3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186,299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36,530</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(26,213)</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196,616</w:t>
            </w: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 net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53,582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37,719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10,779</w:t>
            </w:r>
          </w:p>
        </w:tc>
        <w:tc>
          <w:tcPr>
            <w:tcW w:w="1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102,080</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51,505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11,926</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18,126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81,557</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20"/>
                <w:szCs w:val="20"/>
                <w:color w:val="auto"/>
              </w:rPr>
            </w:pPr>
            <w:r>
              <w:rPr>
                <w:rFonts w:ascii="Arial" w:cs="Arial" w:eastAsia="Arial" w:hAnsi="Arial"/>
                <w:sz w:val="13"/>
                <w:szCs w:val="13"/>
                <w:color w:val="auto"/>
              </w:rPr>
              <w:t>Allowance for funds used during construction</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(7,685)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(155)</w:t>
            </w:r>
          </w:p>
        </w:tc>
        <w:tc>
          <w:tcPr>
            <w:tcW w:w="16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(7,840)</w:t>
            </w:r>
          </w:p>
        </w:tc>
        <w:tc>
          <w:tcPr>
            <w:tcW w:w="30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(4,823)</w:t>
            </w: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(355)</w:t>
            </w:r>
          </w:p>
        </w:tc>
        <w:tc>
          <w:tcPr>
            <w:tcW w:w="18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(5,178)</w:t>
            </w:r>
          </w:p>
        </w:tc>
        <w:tc>
          <w:tcPr>
            <w:tcW w:w="0" w:type="dxa"/>
            <w:vAlign w:val="bottom"/>
          </w:tcPr>
          <w:p>
            <w:pPr>
              <w:spacing w:after="0"/>
              <w:rPr>
                <w:sz w:val="1"/>
                <w:szCs w:val="1"/>
                <w:color w:val="auto"/>
              </w:rPr>
            </w:pPr>
          </w:p>
        </w:tc>
      </w:tr>
      <w:tr>
        <w:trPr>
          <w:trHeight w:val="202"/>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Equity earnings in joint venture</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(343)</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20"/>
                <w:szCs w:val="20"/>
                <w:color w:val="auto"/>
              </w:rPr>
            </w:pPr>
            <w:r>
              <w:rPr>
                <w:rFonts w:ascii="Arial" w:cs="Arial" w:eastAsia="Arial" w:hAnsi="Arial"/>
                <w:sz w:val="13"/>
                <w:szCs w:val="13"/>
                <w:color w:val="auto"/>
              </w:rPr>
              <w:t>Other</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(3,369)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(867)</w:t>
            </w:r>
          </w:p>
        </w:tc>
        <w:tc>
          <w:tcPr>
            <w:tcW w:w="16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(1,479)</w:t>
            </w:r>
          </w:p>
        </w:tc>
        <w:tc>
          <w:tcPr>
            <w:tcW w:w="10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(5,715)</w:t>
            </w: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(756)</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1,221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832</w:t>
            </w:r>
          </w:p>
        </w:tc>
        <w:tc>
          <w:tcPr>
            <w:tcW w:w="0" w:type="dxa"/>
            <w:vAlign w:val="bottom"/>
          </w:tcPr>
          <w:p>
            <w:pPr>
              <w:spacing w:after="0"/>
              <w:rPr>
                <w:sz w:val="1"/>
                <w:szCs w:val="1"/>
                <w:color w:val="auto"/>
              </w:rPr>
            </w:pPr>
          </w:p>
        </w:tc>
      </w:tr>
      <w:tr>
        <w:trPr>
          <w:trHeight w:val="20"/>
        </w:trPr>
        <w:tc>
          <w:tcPr>
            <w:tcW w:w="27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155,705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116,848</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602</w:t>
            </w:r>
          </w:p>
        </w:tc>
        <w:tc>
          <w:tcPr>
            <w:tcW w:w="100" w:type="dxa"/>
            <w:vAlign w:val="bottom"/>
            <w:shd w:val="clear" w:color="auto" w:fill="CCEEFF"/>
          </w:tcPr>
          <w:p>
            <w:pPr>
              <w:spacing w:after="0"/>
              <w:rPr>
                <w:sz w:val="15"/>
                <w:szCs w:val="15"/>
                <w:color w:val="auto"/>
              </w:rPr>
            </w:pPr>
          </w:p>
        </w:tc>
        <w:tc>
          <w:tcPr>
            <w:tcW w:w="1000" w:type="dxa"/>
            <w:vAlign w:val="bottom"/>
            <w:tcBorders>
              <w:right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273,155</w:t>
            </w: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139,250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25,715</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(45,217)</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119,748</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20"/>
                <w:szCs w:val="20"/>
                <w:color w:val="auto"/>
              </w:rPr>
            </w:pPr>
            <w:r>
              <w:rPr>
                <w:rFonts w:ascii="Arial" w:cs="Arial" w:eastAsia="Arial" w:hAnsi="Arial"/>
                <w:sz w:val="13"/>
                <w:szCs w:val="13"/>
                <w:color w:val="auto"/>
              </w:rPr>
              <w:t>Provision for income taxes (benefit)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12,826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(4,307)</w:t>
            </w:r>
          </w:p>
        </w:tc>
        <w:tc>
          <w:tcPr>
            <w:tcW w:w="160" w:type="dxa"/>
            <w:vAlign w:val="bottom"/>
          </w:tcPr>
          <w:p>
            <w:pPr>
              <w:spacing w:after="0"/>
              <w:rPr>
                <w:sz w:val="17"/>
                <w:szCs w:val="17"/>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8,552</w:t>
            </w: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10,321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(5,820)</w:t>
            </w:r>
          </w:p>
        </w:tc>
        <w:tc>
          <w:tcPr>
            <w:tcW w:w="18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(11,163)</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(6,662)</w:t>
            </w:r>
          </w:p>
        </w:tc>
        <w:tc>
          <w:tcPr>
            <w:tcW w:w="0" w:type="dxa"/>
            <w:vAlign w:val="bottom"/>
          </w:tcPr>
          <w:p>
            <w:pPr>
              <w:spacing w:after="0"/>
              <w:rPr>
                <w:sz w:val="1"/>
                <w:szCs w:val="1"/>
                <w:color w:val="auto"/>
              </w:rPr>
            </w:pPr>
          </w:p>
        </w:tc>
      </w:tr>
      <w:tr>
        <w:trPr>
          <w:trHeight w:val="20"/>
        </w:trPr>
        <w:tc>
          <w:tcPr>
            <w:tcW w:w="27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26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142,879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121,155</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right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569</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264,603</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128,929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31,535</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(34,054)</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126,410</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80" w:type="dxa"/>
            <w:vAlign w:val="bottom"/>
          </w:tcPr>
          <w:p>
            <w:pPr>
              <w:spacing w:after="0" w:line="131" w:lineRule="exact"/>
              <w:rPr>
                <w:sz w:val="20"/>
                <w:szCs w:val="20"/>
                <w:color w:val="auto"/>
              </w:rPr>
            </w:pPr>
            <w:r>
              <w:rPr>
                <w:rFonts w:ascii="Arial" w:cs="Arial" w:eastAsia="Arial" w:hAnsi="Arial"/>
                <w:sz w:val="13"/>
                <w:szCs w:val="13"/>
                <w:color w:val="auto"/>
              </w:rPr>
              <w:t>Capital expenditures</w:t>
            </w:r>
          </w:p>
        </w:tc>
        <w:tc>
          <w:tcPr>
            <w:tcW w:w="140" w:type="dxa"/>
            <w:vAlign w:val="bottom"/>
          </w:tcPr>
          <w:p>
            <w:pPr>
              <w:spacing w:after="0"/>
              <w:rPr>
                <w:sz w:val="12"/>
                <w:szCs w:val="1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247,911</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156,252</w:t>
            </w:r>
          </w:p>
        </w:tc>
        <w:tc>
          <w:tcPr>
            <w:tcW w:w="14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ind w:right="68"/>
              <w:spacing w:after="0" w:line="143" w:lineRule="exact"/>
              <w:rPr>
                <w:sz w:val="20"/>
                <w:szCs w:val="20"/>
                <w:color w:val="auto"/>
              </w:rPr>
            </w:pPr>
            <w:r>
              <w:rPr>
                <w:rFonts w:ascii="Arial" w:cs="Arial" w:eastAsia="Arial" w:hAnsi="Arial"/>
                <w:sz w:val="14"/>
                <w:szCs w:val="14"/>
                <w:color w:val="auto"/>
              </w:rPr>
              <w:t>394</w:t>
            </w:r>
          </w:p>
        </w:tc>
        <w:tc>
          <w:tcPr>
            <w:tcW w:w="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68"/>
              <w:spacing w:after="0" w:line="143" w:lineRule="exact"/>
              <w:rPr>
                <w:sz w:val="20"/>
                <w:szCs w:val="20"/>
                <w:color w:val="auto"/>
              </w:rPr>
            </w:pPr>
            <w:r>
              <w:rPr>
                <w:rFonts w:ascii="Arial" w:cs="Arial" w:eastAsia="Arial" w:hAnsi="Arial"/>
                <w:sz w:val="14"/>
                <w:szCs w:val="14"/>
                <w:color w:val="auto"/>
              </w:rPr>
              <w:t>404,557</w:t>
            </w:r>
          </w:p>
        </w:tc>
        <w:tc>
          <w:tcPr>
            <w:tcW w:w="300" w:type="dxa"/>
            <w:vAlign w:val="bottom"/>
            <w:tcBorders>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217,373</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75,458</w:t>
            </w:r>
          </w:p>
        </w:tc>
        <w:tc>
          <w:tcPr>
            <w:tcW w:w="140" w:type="dxa"/>
            <w:vAlign w:val="bottom"/>
          </w:tcPr>
          <w:p>
            <w:pPr>
              <w:spacing w:after="0"/>
              <w:rPr>
                <w:sz w:val="12"/>
                <w:szCs w:val="12"/>
                <w:color w:val="auto"/>
              </w:rPr>
            </w:pPr>
          </w:p>
        </w:tc>
        <w:tc>
          <w:tcPr>
            <w:tcW w:w="180" w:type="dxa"/>
            <w:vAlign w:val="bottom"/>
            <w:tcBorders>
              <w:bottom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259</w:t>
            </w: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293,090</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4" w:name="page35"/>
    <w:bookmarkEnd w:id="34"/>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3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22"/>
                <w:szCs w:val="22"/>
                <w:color w:val="auto"/>
              </w:rPr>
              <w:t>June 30,</w:t>
            </w: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40" w:type="dxa"/>
            <w:vAlign w:val="bottom"/>
          </w:tcPr>
          <w:p>
            <w:pPr>
              <w:jc w:val="right"/>
              <w:ind w:right="472"/>
              <w:spacing w:after="0"/>
              <w:rPr>
                <w:sz w:val="20"/>
                <w:szCs w:val="20"/>
                <w:color w:val="auto"/>
              </w:rPr>
            </w:pPr>
            <w:r>
              <w:rPr>
                <w:rFonts w:ascii="Arial" w:cs="Arial" w:eastAsia="Arial" w:hAnsi="Arial"/>
                <w:sz w:val="22"/>
                <w:szCs w:val="22"/>
                <w:color w:val="auto"/>
              </w:rPr>
              <w:t>December 31,</w:t>
            </w:r>
          </w:p>
        </w:tc>
        <w:tc>
          <w:tcPr>
            <w:tcW w:w="0" w:type="dxa"/>
            <w:vAlign w:val="bottom"/>
          </w:tcPr>
          <w:p>
            <w:pPr>
              <w:spacing w:after="0"/>
              <w:rPr>
                <w:sz w:val="1"/>
                <w:szCs w:val="1"/>
                <w:color w:val="auto"/>
              </w:rPr>
            </w:pPr>
          </w:p>
        </w:tc>
      </w:tr>
      <w:tr>
        <w:trPr>
          <w:trHeight w:val="251"/>
        </w:trPr>
        <w:tc>
          <w:tcPr>
            <w:tcW w:w="5300" w:type="dxa"/>
            <w:vAlign w:val="bottom"/>
            <w:vMerge w:val="restart"/>
          </w:tcPr>
          <w:p>
            <w:pPr>
              <w:spacing w:after="0"/>
              <w:rPr>
                <w:sz w:val="20"/>
                <w:szCs w:val="20"/>
                <w:color w:val="auto"/>
              </w:rPr>
            </w:pPr>
            <w:r>
              <w:rPr>
                <w:rFonts w:ascii="Arial" w:cs="Arial" w:eastAsia="Arial" w:hAnsi="Arial"/>
                <w:sz w:val="22"/>
                <w:szCs w:val="22"/>
                <w:color w:val="auto"/>
              </w:rPr>
              <w:t>Total assets:</w:t>
            </w:r>
          </w:p>
        </w:tc>
        <w:tc>
          <w:tcPr>
            <w:tcW w:w="2060" w:type="dxa"/>
            <w:vAlign w:val="bottom"/>
            <w:tcBorders>
              <w:bottom w:val="single" w:sz="8" w:color="auto"/>
            </w:tcBorders>
          </w:tcPr>
          <w:p>
            <w:pPr>
              <w:jc w:val="right"/>
              <w:ind w:right="156"/>
              <w:spacing w:after="0" w:line="251" w:lineRule="exact"/>
              <w:rPr>
                <w:sz w:val="20"/>
                <w:szCs w:val="20"/>
                <w:color w:val="auto"/>
              </w:rPr>
            </w:pPr>
            <w:r>
              <w:rPr>
                <w:rFonts w:ascii="Arial" w:cs="Arial" w:eastAsia="Arial" w:hAnsi="Arial"/>
                <w:sz w:val="22"/>
                <w:szCs w:val="22"/>
                <w:color w:val="auto"/>
              </w:rPr>
              <w:t>2021</w:t>
            </w:r>
          </w:p>
        </w:tc>
        <w:tc>
          <w:tcPr>
            <w:tcW w:w="112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ind w:right="872"/>
              <w:spacing w:after="0" w:line="251" w:lineRule="exact"/>
              <w:rPr>
                <w:sz w:val="20"/>
                <w:szCs w:val="20"/>
                <w:color w:val="auto"/>
              </w:rPr>
            </w:pPr>
            <w:r>
              <w:rPr>
                <w:rFonts w:ascii="Arial" w:cs="Arial" w:eastAsia="Arial" w:hAnsi="Arial"/>
                <w:sz w:val="22"/>
                <w:szCs w:val="22"/>
                <w:color w:val="auto"/>
              </w:rPr>
              <w:t>2020</w:t>
            </w:r>
          </w:p>
        </w:tc>
        <w:tc>
          <w:tcPr>
            <w:tcW w:w="0" w:type="dxa"/>
            <w:vAlign w:val="bottom"/>
          </w:tcPr>
          <w:p>
            <w:pPr>
              <w:spacing w:after="0"/>
              <w:rPr>
                <w:sz w:val="1"/>
                <w:szCs w:val="1"/>
                <w:color w:val="auto"/>
              </w:rPr>
            </w:pPr>
          </w:p>
        </w:tc>
      </w:tr>
      <w:tr>
        <w:trPr>
          <w:trHeight w:val="223"/>
        </w:trPr>
        <w:tc>
          <w:tcPr>
            <w:tcW w:w="5300" w:type="dxa"/>
            <w:vAlign w:val="bottom"/>
            <w:vMerge w:val="continue"/>
          </w:tcPr>
          <w:p>
            <w:pPr>
              <w:spacing w:after="0"/>
              <w:rPr>
                <w:sz w:val="19"/>
                <w:szCs w:val="19"/>
                <w:color w:val="auto"/>
              </w:rPr>
            </w:pPr>
          </w:p>
        </w:tc>
        <w:tc>
          <w:tcPr>
            <w:tcW w:w="2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Regulated water</w:t>
            </w:r>
          </w:p>
        </w:tc>
        <w:tc>
          <w:tcPr>
            <w:tcW w:w="2060" w:type="dxa"/>
            <w:vAlign w:val="bottom"/>
            <w:shd w:val="clear" w:color="auto" w:fill="CCEEFF"/>
          </w:tcPr>
          <w:p>
            <w:pPr>
              <w:jc w:val="right"/>
              <w:ind w:right="1856"/>
              <w:spacing w:after="0"/>
              <w:rPr>
                <w:sz w:val="20"/>
                <w:szCs w:val="20"/>
                <w:color w:val="auto"/>
              </w:rPr>
            </w:pPr>
            <w:r>
              <w:rPr>
                <w:rFonts w:ascii="Arial" w:cs="Arial" w:eastAsia="Arial" w:hAnsi="Arial"/>
                <w:sz w:val="19"/>
                <w:szCs w:val="19"/>
                <w:color w:val="auto"/>
                <w:w w:val="75"/>
              </w:rPr>
              <w:t>$</w:t>
            </w:r>
          </w:p>
        </w:tc>
        <w:tc>
          <w:tcPr>
            <w:tcW w:w="11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8,158,852</w:t>
            </w: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12"/>
              <w:spacing w:after="0" w:line="229" w:lineRule="exact"/>
              <w:rPr>
                <w:sz w:val="20"/>
                <w:szCs w:val="20"/>
                <w:color w:val="auto"/>
              </w:rPr>
            </w:pPr>
            <w:r>
              <w:rPr>
                <w:rFonts w:ascii="Arial" w:cs="Arial" w:eastAsia="Arial" w:hAnsi="Arial"/>
                <w:sz w:val="22"/>
                <w:szCs w:val="22"/>
                <w:color w:val="auto"/>
                <w:w w:val="81"/>
              </w:rPr>
              <w:t>$</w:t>
            </w:r>
          </w:p>
        </w:tc>
        <w:tc>
          <w:tcPr>
            <w:tcW w:w="20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7,838,034</w:t>
            </w:r>
          </w:p>
        </w:tc>
        <w:tc>
          <w:tcPr>
            <w:tcW w:w="0" w:type="dxa"/>
            <w:vAlign w:val="bottom"/>
          </w:tcPr>
          <w:p>
            <w:pPr>
              <w:spacing w:after="0"/>
              <w:rPr>
                <w:sz w:val="1"/>
                <w:szCs w:val="1"/>
                <w:color w:val="auto"/>
              </w:rPr>
            </w:pPr>
          </w:p>
        </w:tc>
      </w:tr>
      <w:tr>
        <w:trPr>
          <w:trHeight w:val="230"/>
        </w:trPr>
        <w:tc>
          <w:tcPr>
            <w:tcW w:w="5300" w:type="dxa"/>
            <w:vAlign w:val="bottom"/>
          </w:tcPr>
          <w:p>
            <w:pPr>
              <w:ind w:left="120"/>
              <w:spacing w:after="0" w:line="229" w:lineRule="exact"/>
              <w:rPr>
                <w:sz w:val="20"/>
                <w:szCs w:val="20"/>
                <w:color w:val="auto"/>
              </w:rPr>
            </w:pPr>
            <w:r>
              <w:rPr>
                <w:rFonts w:ascii="Arial" w:cs="Arial" w:eastAsia="Arial" w:hAnsi="Arial"/>
                <w:sz w:val="22"/>
                <w:szCs w:val="22"/>
                <w:color w:val="auto"/>
              </w:rPr>
              <w:t>Regulated natural gas</w:t>
            </w:r>
          </w:p>
        </w:tc>
        <w:tc>
          <w:tcPr>
            <w:tcW w:w="2060" w:type="dxa"/>
            <w:vAlign w:val="bottom"/>
          </w:tcPr>
          <w:p>
            <w:pPr>
              <w:spacing w:after="0"/>
              <w:rPr>
                <w:sz w:val="19"/>
                <w:szCs w:val="19"/>
                <w:color w:val="auto"/>
              </w:rPr>
            </w:pPr>
          </w:p>
        </w:tc>
        <w:tc>
          <w:tcPr>
            <w:tcW w:w="1120" w:type="dxa"/>
            <w:vAlign w:val="bottom"/>
          </w:tcPr>
          <w:p>
            <w:pPr>
              <w:jc w:val="right"/>
              <w:spacing w:after="0" w:line="229" w:lineRule="exact"/>
              <w:rPr>
                <w:sz w:val="20"/>
                <w:szCs w:val="20"/>
                <w:color w:val="auto"/>
              </w:rPr>
            </w:pPr>
            <w:r>
              <w:rPr>
                <w:rFonts w:ascii="Arial" w:cs="Arial" w:eastAsia="Arial" w:hAnsi="Arial"/>
                <w:sz w:val="22"/>
                <w:szCs w:val="22"/>
                <w:color w:val="auto"/>
              </w:rPr>
              <w:t>5,594,238</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jc w:val="right"/>
              <w:spacing w:after="0" w:line="229" w:lineRule="exact"/>
              <w:rPr>
                <w:sz w:val="20"/>
                <w:szCs w:val="20"/>
                <w:color w:val="auto"/>
              </w:rPr>
            </w:pPr>
            <w:r>
              <w:rPr>
                <w:rFonts w:ascii="Arial" w:cs="Arial" w:eastAsia="Arial" w:hAnsi="Arial"/>
                <w:sz w:val="22"/>
                <w:szCs w:val="22"/>
                <w:color w:val="auto"/>
              </w:rPr>
              <w:t>5,303,507</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Other</w:t>
            </w:r>
          </w:p>
        </w:tc>
        <w:tc>
          <w:tcPr>
            <w:tcW w:w="20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180,902</w:t>
            </w:r>
          </w:p>
        </w:tc>
        <w:tc>
          <w:tcPr>
            <w:tcW w:w="3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563,736</w:t>
            </w:r>
          </w:p>
        </w:tc>
        <w:tc>
          <w:tcPr>
            <w:tcW w:w="0" w:type="dxa"/>
            <w:vAlign w:val="bottom"/>
          </w:tcPr>
          <w:p>
            <w:pPr>
              <w:spacing w:after="0"/>
              <w:rPr>
                <w:sz w:val="1"/>
                <w:szCs w:val="1"/>
                <w:color w:val="auto"/>
              </w:rPr>
            </w:pPr>
          </w:p>
        </w:tc>
      </w:tr>
      <w:tr>
        <w:trPr>
          <w:trHeight w:val="223"/>
        </w:trPr>
        <w:tc>
          <w:tcPr>
            <w:tcW w:w="5300" w:type="dxa"/>
            <w:vAlign w:val="bottom"/>
          </w:tcPr>
          <w:p>
            <w:pPr>
              <w:ind w:left="120"/>
              <w:spacing w:after="0" w:line="223" w:lineRule="exact"/>
              <w:rPr>
                <w:sz w:val="20"/>
                <w:szCs w:val="20"/>
                <w:color w:val="auto"/>
              </w:rPr>
            </w:pPr>
            <w:r>
              <w:rPr>
                <w:rFonts w:ascii="Arial" w:cs="Arial" w:eastAsia="Arial" w:hAnsi="Arial"/>
                <w:sz w:val="22"/>
                <w:szCs w:val="22"/>
                <w:color w:val="auto"/>
              </w:rPr>
              <w:t>Consolidated</w:t>
            </w:r>
          </w:p>
        </w:tc>
        <w:tc>
          <w:tcPr>
            <w:tcW w:w="2060" w:type="dxa"/>
            <w:vAlign w:val="bottom"/>
            <w:tcBorders>
              <w:bottom w:val="single" w:sz="8" w:color="auto"/>
            </w:tcBorders>
          </w:tcPr>
          <w:p>
            <w:pPr>
              <w:jc w:val="right"/>
              <w:ind w:right="1856"/>
              <w:spacing w:after="0"/>
              <w:rPr>
                <w:sz w:val="20"/>
                <w:szCs w:val="20"/>
                <w:color w:val="auto"/>
              </w:rPr>
            </w:pPr>
            <w:r>
              <w:rPr>
                <w:rFonts w:ascii="Arial" w:cs="Arial" w:eastAsia="Arial" w:hAnsi="Arial"/>
                <w:sz w:val="19"/>
                <w:szCs w:val="19"/>
                <w:color w:val="auto"/>
                <w:w w:val="75"/>
              </w:rPr>
              <w:t>$</w:t>
            </w:r>
          </w:p>
        </w:tc>
        <w:tc>
          <w:tcPr>
            <w:tcW w:w="11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w w:val="94"/>
              </w:rPr>
              <w:t>13,933,992</w:t>
            </w:r>
          </w:p>
        </w:tc>
        <w:tc>
          <w:tcPr>
            <w:tcW w:w="380" w:type="dxa"/>
            <w:vAlign w:val="bottom"/>
          </w:tcPr>
          <w:p>
            <w:pPr>
              <w:spacing w:after="0"/>
              <w:rPr>
                <w:sz w:val="19"/>
                <w:szCs w:val="19"/>
                <w:color w:val="auto"/>
              </w:rPr>
            </w:pPr>
          </w:p>
        </w:tc>
        <w:tc>
          <w:tcPr>
            <w:tcW w:w="340" w:type="dxa"/>
            <w:vAlign w:val="bottom"/>
            <w:tcBorders>
              <w:bottom w:val="single" w:sz="8" w:color="auto"/>
            </w:tcBorders>
          </w:tcPr>
          <w:p>
            <w:pPr>
              <w:jc w:val="right"/>
              <w:ind w:right="112"/>
              <w:spacing w:after="0" w:line="223" w:lineRule="exact"/>
              <w:rPr>
                <w:sz w:val="20"/>
                <w:szCs w:val="20"/>
                <w:color w:val="auto"/>
              </w:rPr>
            </w:pPr>
            <w:r>
              <w:rPr>
                <w:rFonts w:ascii="Arial" w:cs="Arial" w:eastAsia="Arial" w:hAnsi="Arial"/>
                <w:sz w:val="22"/>
                <w:szCs w:val="22"/>
                <w:color w:val="auto"/>
                <w:w w:val="81"/>
              </w:rPr>
              <w:t>$</w:t>
            </w:r>
          </w:p>
        </w:tc>
        <w:tc>
          <w:tcPr>
            <w:tcW w:w="20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13,705,277</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3"/>
        </w:trPr>
        <w:tc>
          <w:tcPr>
            <w:tcW w:w="5300" w:type="dxa"/>
            <w:vAlign w:val="bottom"/>
          </w:tcPr>
          <w:p>
            <w:pPr>
              <w:spacing w:after="0"/>
              <w:rPr>
                <w:sz w:val="24"/>
                <w:szCs w:val="24"/>
                <w:color w:val="auto"/>
              </w:rPr>
            </w:pPr>
          </w:p>
        </w:tc>
        <w:tc>
          <w:tcPr>
            <w:tcW w:w="2060" w:type="dxa"/>
            <w:vAlign w:val="bottom"/>
          </w:tcPr>
          <w:p>
            <w:pPr>
              <w:jc w:val="right"/>
              <w:ind w:right="1516"/>
              <w:spacing w:after="0"/>
              <w:rPr>
                <w:sz w:val="20"/>
                <w:szCs w:val="20"/>
                <w:color w:val="auto"/>
              </w:rPr>
            </w:pPr>
            <w:r>
              <w:rPr>
                <w:rFonts w:ascii="Arial" w:cs="Arial" w:eastAsia="Arial" w:hAnsi="Arial"/>
                <w:sz w:val="22"/>
                <w:szCs w:val="22"/>
                <w:color w:val="auto"/>
              </w:rPr>
              <w:t>34</w:t>
            </w: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3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5" w:name="page36"/>
    <w:bookmarkEnd w:id="35"/>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420" w:right="232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14 – </w:t>
      </w:r>
      <w:r>
        <w:rPr>
          <w:rFonts w:ascii="Arial" w:cs="Arial" w:eastAsia="Arial" w:hAnsi="Arial"/>
          <w:sz w:val="22"/>
          <w:szCs w:val="22"/>
          <w:b w:val="1"/>
          <w:bCs w:val="1"/>
          <w:i w:val="1"/>
          <w:iCs w:val="1"/>
          <w:color w:val="auto"/>
        </w:rPr>
        <w:t>Commitments and Contingencies</w:t>
      </w:r>
    </w:p>
    <w:p>
      <w:pPr>
        <w:spacing w:after="0" w:line="212"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The Company is routinely involved in various disputes, claims, lawsuits and other regulatory and legal matters, including both asserted and unasserted legal claims, in the ordinary course of business. The status of each such matter, referred to herein as a loss contingency, is reviewed and assessed in accordance with applicable accounting rules regarding the nature of the matter, the likelihood that a loss will be incurred, and the amounts involved. As of June 30, 2021, the aggregate amount of $17,510 is accrued for loss contingencies and is reported in the Company’s consolidated balance sheet as other accrued liabilities and other liabilities. These accruals represent management’s best estimate of probable loss (as defined in the accounting guidance) for loss contingencies or the low end of a range of losses if no single probable loss can be estimated. For some loss contingencies, the Company is unable to estimate the amount of the probable loss or range of probable losses. Further, the Company has insurance coverage for certain of these loss contingencies, and as of June 30, 2021, estimates that approximately $3,327 of the amount accrued for these matters are probable of recovery through insurance, which amount is also reported in the Company’s consolidated balance sheet as deferred charges and other assets, net.</w:t>
      </w:r>
    </w:p>
    <w:p>
      <w:pPr>
        <w:spacing w:after="0" w:line="170"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During a portion of 2019, the Company initiated a do not consume advisory for some of its water customers in one division served by the Company’s Illinois subsidiary. During the second quarter of 2021, an immaterial amount has been accrued for a portion of the fine or penalty that we determined to be probable and estimable of being incurred. In addition, on September 3, 2019, two individuals, on behalf of themselves and those similarly situated, commenced an action against the Company’s Illinois subsidiary in the State court in Will County, Illinois related to this do not consume advisory. The complaint seeks class action certification, attorney's fees, and "damages, including, but not limited to, out of pocket damages, and discomfort, aggravation, and annoyance” based upon the water provided by the Company’s subsidiary to a discrete service area in University Park, Illinois. The complaint contains allegations of damages as a result of supplied water that exceeded the standards established by the federal Lead and Copper Rule. The complaint is in the discovery phase and class certification has not been granted. The Company is vigorously defending against this claim. A claim for the expenses incurred has been submitted to the Company’s insurance carrier for potential recovery of a portion of these costs, and on August 3, 2020, the Company received $2,874 in insurance proceeds. The Company continues to assess the potential loss contingency on this matter. While the final outcome of this claim cannot be predicted with certainty, and unfavorable outcomes could negatively impact the Company, at this time in the opinion of management, the final resolution of this matter is not expected to have a material adverse effect on the Company’s financial position, results of operations or cash flows.</w:t>
      </w:r>
    </w:p>
    <w:p>
      <w:pPr>
        <w:spacing w:after="0" w:line="176" w:lineRule="exact"/>
        <w:rPr>
          <w:sz w:val="20"/>
          <w:szCs w:val="20"/>
          <w:color w:val="auto"/>
        </w:rPr>
      </w:pPr>
    </w:p>
    <w:p>
      <w:pPr>
        <w:ind w:right="240"/>
        <w:spacing w:after="0" w:line="228" w:lineRule="auto"/>
        <w:rPr>
          <w:sz w:val="20"/>
          <w:szCs w:val="20"/>
          <w:color w:val="auto"/>
        </w:rPr>
      </w:pPr>
      <w:r>
        <w:rPr>
          <w:rFonts w:ascii="Arial" w:cs="Arial" w:eastAsia="Arial" w:hAnsi="Arial"/>
          <w:sz w:val="22"/>
          <w:szCs w:val="22"/>
          <w:color w:val="auto"/>
        </w:rPr>
        <w:t>Although the results of legal proceedings cannot be predicted with certainty, other than disclosed above, there are no other pending legal proceedings to which the Company or any of its subsidiaries is a party or to which any of its properties is the subject that are material or are expected to have a material effect on the Company’s financial position, results of operations, or cash flows.</w:t>
      </w:r>
    </w:p>
    <w:p>
      <w:pPr>
        <w:spacing w:after="0" w:line="186" w:lineRule="exact"/>
        <w:rPr>
          <w:sz w:val="20"/>
          <w:szCs w:val="20"/>
          <w:color w:val="auto"/>
        </w:rPr>
      </w:pPr>
    </w:p>
    <w:p>
      <w:pPr>
        <w:ind w:right="320"/>
        <w:spacing w:after="0" w:line="222" w:lineRule="auto"/>
        <w:rPr>
          <w:sz w:val="20"/>
          <w:szCs w:val="20"/>
          <w:color w:val="auto"/>
        </w:rPr>
      </w:pPr>
      <w:r>
        <w:rPr>
          <w:rFonts w:ascii="Arial" w:cs="Arial" w:eastAsia="Arial" w:hAnsi="Arial"/>
          <w:sz w:val="22"/>
          <w:szCs w:val="22"/>
          <w:color w:val="auto"/>
        </w:rPr>
        <w:t>In addition to the aforementioned loss contingencies, the Company self-insures its employee medical benefit program, and maintains stop-loss coverage to limit the exposure arising from these claims. The Company’s reserve for these claims totaled $1,535 at June 30, 2021 and represents a reserve for unpaid claim costs, including an estimate for the cost of incurred but not reported claims.</w:t>
      </w:r>
    </w:p>
    <w:p>
      <w:pPr>
        <w:jc w:val="center"/>
        <w:ind w:right="-7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3" w:right="419" w:bottom="1440" w:gutter="0" w:footer="0" w:header="0"/>
        </w:sectPr>
      </w:pPr>
    </w:p>
    <w:bookmarkStart w:id="36" w:name="page37"/>
    <w:bookmarkEnd w:id="36"/>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60" w:right="238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Associated with the approval of the Peoples Gas Acquisition from the Pennsylvania Public Utility Commission, the Company has committed to addressing the replacement of gathering pipe over a seven year timeframe for an estimated cost of $120,000, which will be recoverable through customer rates. Additionally, the Company committed to provide $23,004 of one-time customer rate credits to its Pennsylvania natural gas utility customers and water and wastewater customers served by Aqua Pennsylvania, Inc.</w:t>
      </w:r>
    </w:p>
    <w:p>
      <w:pPr>
        <w:ind w:right="220"/>
        <w:spacing w:after="0" w:line="293" w:lineRule="auto"/>
        <w:rPr>
          <w:sz w:val="20"/>
          <w:szCs w:val="20"/>
          <w:color w:val="auto"/>
        </w:rPr>
      </w:pPr>
      <w:r>
        <w:rPr>
          <w:rFonts w:ascii="Arial" w:cs="Arial" w:eastAsia="Arial" w:hAnsi="Arial"/>
          <w:sz w:val="19"/>
          <w:szCs w:val="19"/>
          <w:color w:val="auto"/>
        </w:rPr>
        <w:t>In the third quarter of 2020, the Company granted $4,080 of customer rate credits to its water and wastewater customers served by Aqua Pennsylvania and $18,924 was granted to its Pennsylvania natural gas utility customers in the fourth quarter of 2020.</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15 – </w:t>
      </w:r>
      <w:r>
        <w:rPr>
          <w:rFonts w:ascii="Arial" w:cs="Arial" w:eastAsia="Arial" w:hAnsi="Arial"/>
          <w:sz w:val="22"/>
          <w:szCs w:val="22"/>
          <w:b w:val="1"/>
          <w:bCs w:val="1"/>
          <w:i w:val="1"/>
          <w:iCs w:val="1"/>
          <w:color w:val="auto"/>
        </w:rPr>
        <w:t>Income Taxes</w:t>
      </w:r>
    </w:p>
    <w:p>
      <w:pPr>
        <w:spacing w:after="0" w:line="212"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On March 16, 2020, the Company completed the Peoples Gas Acquisition. On March 31, 2020, the Company changed the method of tax accounting for certain qualifying infrastructure investments at its Peoples Natural Gas subsidiary, its largest natural gas subsidiary in Pennsylvania. This change allows a tax deduction for qualifying utility asset improvement costs that were formerly capitalized for tax purposes. The Company is performing an analysis to determine the ultimate amount of qualifying utility asset improvement costs eligible to be deducted under the IRS’s final tangible property regulations that will be reflected on its 2021 and 2020 Federal Tax Return. As a result, the Company has estimated a portion of its infrastructure investment at Peoples Natural Gas since the acquisition date that will qualify as a utility system repairs deduction for 2021 and 2020. Consistent with the Company’s accounting for differences between book and tax expenditures in Pennsylvania, the Company is utilizing the flow-through method to account for this timing difference. The Company completed its analysis of the income tax benefits for qualifying capital expenditures made prior to March 16, 2020 (“catch-up adjustment”) and recorded a regulatory liability of $160,655 for these tax benefits which will remain on the consolidated balance sheet pending regulatory guidance. In August 2020, the Company filed a petition with the Pennsylvania Public Utility Commission proposing treatment of the catch-up adjustment. On March 11, 2021, the Company and the statutory advocates filed a Joint Petition of Settlement (“Settlement”) representing a settlement of the parties and on May 6, 2021 it was approved by the Pennsylvania Public Utility Commission. The Settlement stipulates, among other points, that the catch-up adjustment be provided to utility customers over a five-year period, and the Company can continue to use flow-through accounting for the current tax repair benefit until its next base rate case. In addition, the Company will provide $5,000 in relief to regulated natural gas customer past-due accounts receivable impacted by the COVID-19 pandemic, as well as making a $500 contribution to a customer-bill payment assistance program.</w:t>
      </w:r>
    </w:p>
    <w:p>
      <w:pPr>
        <w:spacing w:after="0" w:line="182" w:lineRule="exact"/>
        <w:rPr>
          <w:sz w:val="20"/>
          <w:szCs w:val="20"/>
          <w:color w:val="auto"/>
        </w:rPr>
      </w:pPr>
    </w:p>
    <w:p>
      <w:pPr>
        <w:ind w:right="60"/>
        <w:spacing w:after="0" w:line="230" w:lineRule="auto"/>
        <w:rPr>
          <w:sz w:val="20"/>
          <w:szCs w:val="20"/>
          <w:color w:val="auto"/>
        </w:rPr>
      </w:pPr>
      <w:r>
        <w:rPr>
          <w:rFonts w:ascii="Arial" w:cs="Arial" w:eastAsia="Arial" w:hAnsi="Arial"/>
          <w:sz w:val="21"/>
          <w:szCs w:val="21"/>
          <w:color w:val="auto"/>
        </w:rPr>
        <w:t>The Company’s effective tax rate was 4.5% and 3.1% for the three and six months ended June 30, 2021, respectively. The Company’s effective tax rate was 0.6% and (5.6)% for the three and six months ended June 30, 2020, respectively. The increase in the effective tax rate for the second quarter can be attributed to an increase in our income before income taxes as compared to the prior period, and a decrease in the income tax benefit recognized due to a lower tax deduction for qualifying infrastructure recognized. The increase in the effective tax rate for the six months ended June 30, 2021 over the first six months of 2020 is due to an increase in our income before income taxes as compared to the prior period, and offset by an increase in the income tax benefit recognized due to additional tax deduction for qualifying infrastructure recognized. The statutory Federal tax rate is 21% for three and six months ended June 30, 2021 and 2020. For states with a corporate net income tax, the state corporate net income tax rates range from</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 w:right="359" w:bottom="1440" w:gutter="0" w:footer="0" w:header="0"/>
        </w:sectPr>
      </w:pPr>
    </w:p>
    <w:bookmarkStart w:id="37" w:name="page38"/>
    <w:bookmarkEnd w:id="37"/>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400" w:right="234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371" w:lineRule="exact"/>
        <w:rPr>
          <w:sz w:val="20"/>
          <w:szCs w:val="20"/>
          <w:color w:val="auto"/>
        </w:rPr>
      </w:pPr>
    </w:p>
    <w:p>
      <w:pPr>
        <w:ind w:right="40"/>
        <w:spacing w:after="0" w:line="239" w:lineRule="auto"/>
        <w:rPr>
          <w:sz w:val="20"/>
          <w:szCs w:val="20"/>
          <w:color w:val="auto"/>
        </w:rPr>
      </w:pPr>
      <w:r>
        <w:rPr>
          <w:rFonts w:ascii="Arial" w:cs="Arial" w:eastAsia="Arial" w:hAnsi="Arial"/>
          <w:sz w:val="21"/>
          <w:szCs w:val="21"/>
          <w:color w:val="auto"/>
        </w:rPr>
        <w:t>2.5% to 9.99% for all periods presented. In determining its interim tax provision, the Company reflects its estimated permanent and flow-through tax differences for the taxable year, including the basis difference for the adoption of the tangible property regulations. Qualifying utility asset improvement costs and the amortization of excess deferred income taxes caused the year-to-date effective tax rate to be significantly different from the statutory rate.</w:t>
      </w:r>
    </w:p>
    <w:p>
      <w:pPr>
        <w:spacing w:after="0" w:line="186" w:lineRule="exact"/>
        <w:rPr>
          <w:sz w:val="20"/>
          <w:szCs w:val="20"/>
          <w:color w:val="auto"/>
        </w:rPr>
      </w:pPr>
    </w:p>
    <w:p>
      <w:pPr>
        <w:spacing w:after="0" w:line="224" w:lineRule="auto"/>
        <w:rPr>
          <w:sz w:val="20"/>
          <w:szCs w:val="20"/>
          <w:color w:val="auto"/>
        </w:rPr>
      </w:pPr>
      <w:r>
        <w:rPr>
          <w:rFonts w:ascii="Arial" w:cs="Arial" w:eastAsia="Arial" w:hAnsi="Arial"/>
          <w:sz w:val="22"/>
          <w:szCs w:val="22"/>
          <w:color w:val="auto"/>
        </w:rPr>
        <w:t>In connection with the completion of the Peoples Gas Acquisition, the Company identified changes to acquired deferred tax asset valuation allowances or liabilities related to uncertain tax positions during the one year measurement period, which related to new information obtained about facts and circumstances that existed as of the acquisition date. Those changes are considered a measurement-period adjustment, and an offset was recorded as an adjustment to goodwill. The Company records all other changes to deferred tax asset valuation allowances and liabilities related to uncertain tax positions in current-period income tax expense.</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 w:right="399" w:bottom="1440" w:gutter="0" w:footer="0" w:header="0"/>
        </w:sectPr>
      </w:pPr>
    </w:p>
    <w:bookmarkStart w:id="38" w:name="page39"/>
    <w:bookmarkEnd w:id="38"/>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60" w:right="238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16 – </w:t>
      </w:r>
      <w:r>
        <w:rPr>
          <w:rFonts w:ascii="Arial" w:cs="Arial" w:eastAsia="Arial" w:hAnsi="Arial"/>
          <w:sz w:val="22"/>
          <w:szCs w:val="22"/>
          <w:b w:val="1"/>
          <w:bCs w:val="1"/>
          <w:i w:val="1"/>
          <w:iCs w:val="1"/>
          <w:color w:val="auto"/>
        </w:rPr>
        <w:t>Recent Accounting Pronouncements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Pronouncements to be adopted upon the effective date:</w:t>
      </w:r>
    </w:p>
    <w:p>
      <w:pPr>
        <w:spacing w:after="0" w:line="206" w:lineRule="exact"/>
        <w:rPr>
          <w:sz w:val="20"/>
          <w:szCs w:val="20"/>
          <w:color w:val="auto"/>
        </w:rPr>
      </w:pPr>
    </w:p>
    <w:p>
      <w:pPr>
        <w:ind w:right="160"/>
        <w:spacing w:after="0" w:line="260" w:lineRule="auto"/>
        <w:rPr>
          <w:sz w:val="20"/>
          <w:szCs w:val="20"/>
          <w:color w:val="auto"/>
        </w:rPr>
      </w:pPr>
      <w:r>
        <w:rPr>
          <w:rFonts w:ascii="Arial" w:cs="Arial" w:eastAsia="Arial" w:hAnsi="Arial"/>
          <w:sz w:val="19"/>
          <w:szCs w:val="19"/>
          <w:color w:val="auto"/>
        </w:rPr>
        <w:t>In August 2020, the FASB issued updated accounting guidance on accounting for convertible instruments and contracts in an entity’s own equity. The updated guidance reduces the number of accounting models for convertible debt and convertible preferred stock instruments and makes certain disclosure amendments intended to improve the information provided to users. Additionally, the guidance also amends the derivative guidance for the “own stock” scope exception, which exempts qualifying instruments from being accounted for as derivatives if certain criteria are met. Further, the standard changes the way certain convertible instruments are treated when calculating earnings per share. The updated accounting guidance is effective for fiscal years beginning after December 15, 2021 with early adoption permitted beginning in 2021. The Company is evaluating the requirements of the updated guidance to determine the impact of adoption.</w:t>
      </w:r>
    </w:p>
    <w:p>
      <w:pPr>
        <w:spacing w:after="0" w:line="172" w:lineRule="exact"/>
        <w:rPr>
          <w:sz w:val="20"/>
          <w:szCs w:val="20"/>
          <w:color w:val="auto"/>
        </w:rPr>
      </w:pPr>
    </w:p>
    <w:p>
      <w:pPr>
        <w:spacing w:after="0" w:line="235" w:lineRule="auto"/>
        <w:rPr>
          <w:sz w:val="20"/>
          <w:szCs w:val="20"/>
          <w:color w:val="auto"/>
        </w:rPr>
      </w:pPr>
      <w:r>
        <w:rPr>
          <w:rFonts w:ascii="Arial" w:cs="Arial" w:eastAsia="Arial" w:hAnsi="Arial"/>
          <w:sz w:val="21"/>
          <w:szCs w:val="21"/>
          <w:color w:val="auto"/>
        </w:rPr>
        <w:t>In March 2020, the FASB issued accounting guidance that provides companies with optional guidance, including expedients and exceptions for applying generally accepted accounting principles to contracts and other transactions affected by reference rate reform, such as the London Interbank Offered Rate (LIBOR). In January 2021, the FASB clarified the scope of that accounting standards update with additional guidance for reference rate reform on financial reporting. The accounting guidance was effective upon issuance and generally can be applied to applicable contract modifications through December 31, 2022. The Company is evaluating the impact of this accounting guidance.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Pronouncement adopted during the year:</w:t>
      </w:r>
    </w:p>
    <w:p>
      <w:pPr>
        <w:spacing w:after="0" w:line="206" w:lineRule="exact"/>
        <w:rPr>
          <w:sz w:val="20"/>
          <w:szCs w:val="20"/>
          <w:color w:val="auto"/>
        </w:rPr>
      </w:pPr>
    </w:p>
    <w:p>
      <w:pPr>
        <w:ind w:right="40"/>
        <w:spacing w:after="0" w:line="258" w:lineRule="auto"/>
        <w:rPr>
          <w:sz w:val="20"/>
          <w:szCs w:val="20"/>
          <w:color w:val="auto"/>
        </w:rPr>
      </w:pPr>
      <w:r>
        <w:rPr>
          <w:rFonts w:ascii="Arial" w:cs="Arial" w:eastAsia="Arial" w:hAnsi="Arial"/>
          <w:sz w:val="19"/>
          <w:szCs w:val="19"/>
          <w:color w:val="auto"/>
        </w:rPr>
        <w:t>In December 2019, the FASB issued updated accounting guidance that simplifies the accounting for income taxes. The updated guidance removes certain exceptions to the general principles of accounting for income taxes to reduce the cost and complexity of its application, including the accounting for intraperiod tax allocation when there is a loss from continuing operations and income or a gain from other items, deferred tax liabilities for equity method investments when a foreign subsidiary becomes an equity method investment or when a foreign equity method investment becomes a subsidiary, and calculating income taxes in an interim period when a year-to-date loss exceeds the anticipated loss for the year. Additionally, the updated guidance clarifies and amends the existing guidance over accounting for franchise taxes and other taxes partially based on income, an entity’s tax basis of goodwill, separate entity financial statements, interim recognition of enactment of tax laws or rate changes, and improvements to the Codification for income taxes related to employee stock ownership plans and investments in qualified affordable housing projects accounted for using the equity method. As permitted, we adopted this updated guidance on January 1, 2021, which did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 w:right="359" w:bottom="1440" w:gutter="0" w:footer="0" w:header="0"/>
        </w:sectPr>
      </w:pPr>
    </w:p>
    <w:bookmarkStart w:id="39" w:name="page40"/>
    <w:bookmarkEnd w:id="39"/>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right="40"/>
        <w:spacing w:after="0"/>
        <w:rPr>
          <w:sz w:val="20"/>
          <w:szCs w:val="20"/>
          <w:color w:val="auto"/>
        </w:rPr>
      </w:pPr>
      <w:r>
        <w:rPr>
          <w:rFonts w:ascii="Arial" w:cs="Arial" w:eastAsia="Arial" w:hAnsi="Arial"/>
          <w:sz w:val="22"/>
          <w:szCs w:val="22"/>
          <w:color w:val="auto"/>
        </w:rPr>
        <w:t>ESSENTIAL UTILITIES, INC. AND SUBSIDIARIES</w:t>
      </w:r>
    </w:p>
    <w:p>
      <w:pPr>
        <w:spacing w:after="0" w:line="188" w:lineRule="exact"/>
        <w:rPr>
          <w:sz w:val="20"/>
          <w:szCs w:val="20"/>
          <w:color w:val="auto"/>
        </w:rPr>
      </w:pPr>
    </w:p>
    <w:p>
      <w:pPr>
        <w:jc w:val="center"/>
        <w:ind w:right="40"/>
        <w:spacing w:after="0" w:line="282" w:lineRule="auto"/>
        <w:rPr>
          <w:sz w:val="20"/>
          <w:szCs w:val="20"/>
          <w:color w:val="auto"/>
        </w:rPr>
      </w:pPr>
      <w:r>
        <w:rPr>
          <w:rFonts w:ascii="Arial" w:cs="Arial" w:eastAsia="Arial" w:hAnsi="Arial"/>
          <w:sz w:val="19"/>
          <w:szCs w:val="19"/>
          <w:color w:val="auto"/>
        </w:rPr>
        <w:t>MANAGEMENT’S DISCUSSION AND ANALYSIS OF FINANCIAL CONDITION AND RESULTS OF OPERATIONS (In thousands of dollars, except per share amounts)</w:t>
      </w: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color w:val="auto"/>
        </w:rPr>
        <w:t>Item 2 – Management’s Discussion and Analysis of Financial Condition and Results of Operations</w:t>
      </w:r>
    </w:p>
    <w:p>
      <w:pPr>
        <w:spacing w:after="0" w:line="206" w:lineRule="exact"/>
        <w:rPr>
          <w:sz w:val="20"/>
          <w:szCs w:val="20"/>
          <w:color w:val="auto"/>
        </w:rPr>
      </w:pPr>
    </w:p>
    <w:p>
      <w:pPr>
        <w:ind w:left="4400"/>
        <w:spacing w:after="0"/>
        <w:rPr>
          <w:sz w:val="20"/>
          <w:szCs w:val="20"/>
          <w:color w:val="auto"/>
        </w:rPr>
      </w:pPr>
      <w:r>
        <w:rPr>
          <w:rFonts w:ascii="Arial" w:cs="Arial" w:eastAsia="Arial" w:hAnsi="Arial"/>
          <w:sz w:val="22"/>
          <w:szCs w:val="22"/>
          <w:u w:val="single" w:color="auto"/>
          <w:color w:val="auto"/>
        </w:rPr>
        <w:t>Forward-looking Statements</w:t>
      </w:r>
    </w:p>
    <w:p>
      <w:pPr>
        <w:spacing w:after="0" w:line="206" w:lineRule="exact"/>
        <w:rPr>
          <w:sz w:val="20"/>
          <w:szCs w:val="20"/>
          <w:color w:val="auto"/>
        </w:rPr>
      </w:pPr>
    </w:p>
    <w:p>
      <w:pPr>
        <w:spacing w:after="0" w:line="255" w:lineRule="auto"/>
        <w:rPr>
          <w:sz w:val="20"/>
          <w:szCs w:val="20"/>
          <w:color w:val="auto"/>
        </w:rPr>
      </w:pPr>
      <w:r>
        <w:rPr>
          <w:rFonts w:ascii="Arial" w:cs="Arial" w:eastAsia="Arial" w:hAnsi="Arial"/>
          <w:sz w:val="19"/>
          <w:szCs w:val="19"/>
          <w:i w:val="1"/>
          <w:iCs w:val="1"/>
          <w:color w:val="auto"/>
        </w:rPr>
        <w:t>This Management’s Discussion and Analysis of Financial Condition and Results of Operations and other sections of this Quarterly Report contain, in addition to historical information, forward-looking statements within the meaning of the Private Securities Litigation Reform Act of 1995. These forward-looking statements address, among other things: the expected timing of closing of our acquisitions; the projected impact of various legal proceedings; the projected effects of recent accounting pronouncements; prospects, plans, objectives, expectations and beliefs of management, as well as information contained in this report where statements are preceded by, followed by or include the words “believes,” “expects,” “estimates,” “anticipates,” “plans,” “future,” “potential,” “probably,” “predictions,” “intends,” “will,” “continue,” “in the event” or the negative of such terms or similar expressions. Forward-looking statements are based on a number of assumptions concerning future events, and are subject to a number of risks, uncertainties and other factors, many of which are outside our control, which could cause actual results to differ materially from those expressed or implied by such statements. These risks and uncertainties include, among others, the effects of the COVID-19 pandemic, the effects of regulation, abnormal weather, changes in capital requirements and funding, our ability to close acquisitions, changes to the capital markets, and our ability to assimilate acquired operations, as well as those risks, uncertainties and other factors discussed in our Annual Report on Form 10-K for the fiscal year ended December 31, 2020 under the captions “Risk Factors” and “Management’s Discussion and Analysis of Financial Condition and Results of Operations” and elsewhere in such report and those included under the captions “Risk Factors” and this Quarterly Report. As a result, readers are cautioned not to place undue reliance on any forward-looking statements. We undertake no obligation to update or revise forward-looking statements, whether as a result of new information, future events or otherwise.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General Information</w:t>
      </w:r>
    </w:p>
    <w:p>
      <w:pPr>
        <w:spacing w:after="0" w:line="206" w:lineRule="exact"/>
        <w:rPr>
          <w:sz w:val="20"/>
          <w:szCs w:val="20"/>
          <w:color w:val="auto"/>
        </w:rPr>
      </w:pPr>
    </w:p>
    <w:p>
      <w:pPr>
        <w:ind w:right="60"/>
        <w:spacing w:after="0" w:line="253" w:lineRule="auto"/>
        <w:rPr>
          <w:sz w:val="20"/>
          <w:szCs w:val="20"/>
          <w:color w:val="auto"/>
        </w:rPr>
      </w:pPr>
      <w:r>
        <w:rPr>
          <w:rFonts w:ascii="Arial" w:cs="Arial" w:eastAsia="Arial" w:hAnsi="Arial"/>
          <w:sz w:val="19"/>
          <w:szCs w:val="19"/>
          <w:color w:val="auto"/>
        </w:rPr>
        <w:t>Essential Utilities, Inc. (“we”, “us”, “our” or the “Company”), a Pennsylvania corporation, is the holding company for regulated utilities providing water, wastewater, or natural gas services to an estimated five million people in Pennsylvania, Ohio, Texas, Illinois, North Carolina, New Jersey, Indiana, Virginia, West Virginia, and Kentucky under the Aqua and Peoples brands. One of our largest operating subsidiaries, Aqua Pennsylvania, Inc. (“Aqua Pennsylvania”), provides water or wastewater services to approximately one-half of the total number of water or wastewater customers we serve, who are located in the suburban areas in counties north and west of the City of Philadelphia and in 27 other counties in Pennsylvania. Our other regulated water or wastewater utility subsidiaries provide similar services in seven additional states. Additionally, pursuant to the Company’s growth strategy, commencing on March 16, 2020, with the completion of the Peoples Gas Acquisition, the Company began to provide natural gas distribution services to customers in western Pennsylvania, Kentucky, and West Virginia. Approximately 93% of the total number of natural gas utility customers we serve are in western Pennsylvania. Lastly, the Company’s market-based activities are conducted through Aqua Infrastructure, LLC and Aqua Resources, Inc. and certain other non-regulated subsidiaries of Peoples. Prior to our October 30, 2020 sale of our investment in a joint venture, Aqua Infrastructure provided non-utility raw water supply services for firms in the natural gas drilling industry. Following the October 30, 2020</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 w:right="359" w:bottom="1440" w:gutter="0" w:footer="0" w:header="0"/>
        </w:sectPr>
      </w:pPr>
    </w:p>
    <w:bookmarkStart w:id="40" w:name="page41"/>
    <w:bookmarkEnd w:id="40"/>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3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(In thousands of dollars, except per share amounts)</w:t>
      </w:r>
    </w:p>
    <w:p>
      <w:pPr>
        <w:spacing w:after="0" w:line="188"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closing, Aqua Infrastructure does not provide any services to the natural gas drilling industry. Aqua Resources offers, through a third party, water and sewer service line protection solutions and repair services to households.</w:t>
      </w:r>
    </w:p>
    <w:p>
      <w:pPr>
        <w:spacing w:after="0" w:line="200" w:lineRule="exact"/>
        <w:rPr>
          <w:sz w:val="20"/>
          <w:szCs w:val="20"/>
          <w:color w:val="auto"/>
        </w:rPr>
      </w:pPr>
    </w:p>
    <w:p>
      <w:pPr>
        <w:spacing w:after="0" w:line="212" w:lineRule="exact"/>
        <w:rPr>
          <w:sz w:val="20"/>
          <w:szCs w:val="20"/>
          <w:color w:val="auto"/>
        </w:rPr>
      </w:pPr>
    </w:p>
    <w:p>
      <w:pPr>
        <w:ind w:right="180"/>
        <w:spacing w:after="0" w:line="239" w:lineRule="auto"/>
        <w:rPr>
          <w:sz w:val="20"/>
          <w:szCs w:val="20"/>
          <w:color w:val="auto"/>
        </w:rPr>
      </w:pPr>
      <w:r>
        <w:rPr>
          <w:rFonts w:ascii="Arial" w:cs="Arial" w:eastAsia="Arial" w:hAnsi="Arial"/>
          <w:sz w:val="22"/>
          <w:szCs w:val="22"/>
          <w:color w:val="auto"/>
        </w:rPr>
        <w:t>The non-regulated subsidiaries of Peoples provide utility service line protection solutions and repair services to households and operates gas marketing and production entities.</w:t>
      </w:r>
    </w:p>
    <w:p>
      <w:pPr>
        <w:spacing w:after="0" w:line="185" w:lineRule="exact"/>
        <w:rPr>
          <w:sz w:val="20"/>
          <w:szCs w:val="20"/>
          <w:color w:val="auto"/>
        </w:rPr>
      </w:pPr>
    </w:p>
    <w:p>
      <w:pPr>
        <w:ind w:right="40"/>
        <w:spacing w:after="0" w:line="256" w:lineRule="auto"/>
        <w:rPr>
          <w:sz w:val="20"/>
          <w:szCs w:val="20"/>
          <w:color w:val="auto"/>
        </w:rPr>
      </w:pPr>
      <w:r>
        <w:rPr>
          <w:rFonts w:ascii="Arial" w:cs="Arial" w:eastAsia="Arial" w:hAnsi="Arial"/>
          <w:sz w:val="19"/>
          <w:szCs w:val="19"/>
          <w:color w:val="auto"/>
        </w:rPr>
        <w:t>Essential Utilities, Inc., which prior to its name change in February 2020 was known as Aqua America, Inc., was formed in 1968 as a holding company for its primary subsidiary, Aqua Pennsylvania, formerly known as Philadelphia Suburban Water Company. In the early 1990s, we embarked on a growth-through-acquisition strategy. Our most significant transactions to date have been the merger with Consumers Water Company in 1999, the acquisition of the regulated water and wastewater operations of AquaSource, Inc. in 2003, the acquisition of Heater Utilities, Inc. in 2004, the acquisition of American Water Works Company, Inc.’s regulated operations in Ohio in 2012, and the March 16, 2020 acquisition of Peoples, a Pittsburgh, Pennsylvania based natural gas distribution company. For many years, starting in the early 1990s, our business strategy has been primarily directed toward the regulated water and wastewater utility industry, where we have more than quadrupled the number of regulated customers we serve, and have extended our regulated operations from southeastern Pennsylvania to include our current regulated utility operations in seven other states. On March 16, 2020, the Company completed the Peoples Gas Acquisition, a natural gas distribution utility, marking its entrance into the regulated natural gas business. The Company seeks to acquire businesses in the U.S. regulated sector, which includes water and wastewater utilities, natural gas utilities, and other regulated utilities, and to opportunistically pursue growth ventures in select market-based activities, such as infrastructure opportunities that are supplementary and complementary to our regulated utility businesses.</w:t>
      </w:r>
    </w:p>
    <w:p>
      <w:pPr>
        <w:spacing w:after="0" w:line="180" w:lineRule="exact"/>
        <w:rPr>
          <w:sz w:val="20"/>
          <w:szCs w:val="20"/>
          <w:color w:val="auto"/>
        </w:rPr>
      </w:pPr>
    </w:p>
    <w:p>
      <w:pPr>
        <w:ind w:right="560"/>
        <w:spacing w:after="0" w:line="239" w:lineRule="auto"/>
        <w:rPr>
          <w:sz w:val="20"/>
          <w:szCs w:val="20"/>
          <w:color w:val="auto"/>
        </w:rPr>
      </w:pPr>
      <w:r>
        <w:rPr>
          <w:rFonts w:ascii="Arial" w:cs="Arial" w:eastAsia="Arial" w:hAnsi="Arial"/>
          <w:sz w:val="22"/>
          <w:szCs w:val="22"/>
          <w:i w:val="1"/>
          <w:iCs w:val="1"/>
          <w:color w:val="auto"/>
        </w:rPr>
        <w:t>The following discussion and analysis of our financial condition and results of operations should be read together with our consolidated financial statements and related notes.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COVID-19 Pandemic</w:t>
      </w:r>
    </w:p>
    <w:p>
      <w:pPr>
        <w:spacing w:after="0" w:line="206"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We provide a critical service to our customers, which means that it is paramount that we keep our employees who operate the business safe and informed while supporting our customers and assuring the continuity of our operations. We continue to monitor the COVID-19 pandemic and continue to take steps to mitigate the potential risks to our employees. We continue to implement strong physical and cyber-security measures in an effort to ensure that our systems remain functional in order to both serve our operational needs with a hybrid workforce and maintain uninterrupted service to our customers.</w:t>
      </w:r>
    </w:p>
    <w:p>
      <w:pPr>
        <w:jc w:val="center"/>
        <w:ind w:right="-3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1" w:name="page42"/>
    <w:bookmarkEnd w:id="41"/>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1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We continue to monitor developments affecting our business, workforce, and suppliers and take additional precautions as we believe are warranted. We are continuing with our capital investment program and continue to work with our suppliers to monitor and address the risks present in our supply chain. While we have experienced some delays in certain materials, we have been able to adjust our purchasing procedures to secure and stock the necessary materials without materially impacting our operations or capital investment program. We are actively monitoring our utility billings for changes in residential, commercial and industrial usage. In response to concerns about customer economic hardship and affordability during the COVID-19 pandemic, our state regulators mandated the temporary curtailment of certain collection practices, such as disconnections from utility service. In addition, we are monitoring collections of customer utility accounts as to potential impacts on cash flows, and increased expenses for costs associated with workforce-related expenses, security and cleaning of company offices and operating facilities, as well as other one-time expenses above the expense amounts included in general rates. In most of the states where we operate, regulators have allowed utilities to resume disconnections from utility service for certain customers who have unpaid balances. In eight of the ten states in which we operate regulated utilities, public utility commissions issued guidance for utilities to defer COVID-19 expenses in anticipation of seeking recovery in a future rate proceeding, and we continue to evaluate the impact of this guidance.</w:t>
      </w:r>
    </w:p>
    <w:p>
      <w:pPr>
        <w:spacing w:after="0" w:line="200" w:lineRule="exact"/>
        <w:rPr>
          <w:sz w:val="20"/>
          <w:szCs w:val="20"/>
          <w:color w:val="auto"/>
        </w:rPr>
      </w:pPr>
    </w:p>
    <w:p>
      <w:pPr>
        <w:spacing w:after="0" w:line="213" w:lineRule="exact"/>
        <w:rPr>
          <w:sz w:val="20"/>
          <w:szCs w:val="20"/>
          <w:color w:val="auto"/>
        </w:rPr>
      </w:pPr>
    </w:p>
    <w:p>
      <w:pPr>
        <w:ind w:right="160"/>
        <w:spacing w:after="0" w:line="264" w:lineRule="auto"/>
        <w:rPr>
          <w:sz w:val="20"/>
          <w:szCs w:val="20"/>
          <w:color w:val="auto"/>
        </w:rPr>
      </w:pPr>
      <w:r>
        <w:rPr>
          <w:rFonts w:ascii="Arial" w:cs="Arial" w:eastAsia="Arial" w:hAnsi="Arial"/>
          <w:sz w:val="19"/>
          <w:szCs w:val="19"/>
          <w:color w:val="auto"/>
        </w:rPr>
        <w:t>While the pandemic presents risks to the Company's business, as further described in the Company’s 2020 Form 10-K in Part II, Item 1A — Risk Factors, as of the date of this report, the Company has not experienced any material financial or operational impacts related to COVID-19. Despite our efforts, the potential for a material negative impact on the Company exists as the COVID-19 pandemic also depends on factors beyond our knowledge, control, or ability to predict, including the duration and severity of this pandemic, the emergence of new variants of the virus, the development and availability of effective treatments and vaccines, as well as third party actions taken to contain its spread and mitigate its public health effects.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Financial Condition</w:t>
      </w:r>
    </w:p>
    <w:p>
      <w:pPr>
        <w:spacing w:after="0" w:line="206"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The Company’s consolidated balance sheet historically has had a negative working capital position whereby our current liabilities routinely exceed our current assets. Management believes that internally generated funds along with existing credit facilities, and the proceeds from the issuance of long-term debt and equity will be adequate to provide sufficient working capital to maintain normal operations and to meet our financing requirements for at least the next twelve months.</w:t>
      </w:r>
    </w:p>
    <w:p>
      <w:pPr>
        <w:spacing w:after="0" w:line="157" w:lineRule="exact"/>
        <w:rPr>
          <w:sz w:val="20"/>
          <w:szCs w:val="20"/>
          <w:color w:val="auto"/>
        </w:rPr>
      </w:pPr>
    </w:p>
    <w:p>
      <w:pPr>
        <w:ind w:right="80"/>
        <w:spacing w:after="0" w:line="257" w:lineRule="auto"/>
        <w:rPr>
          <w:sz w:val="20"/>
          <w:szCs w:val="20"/>
          <w:color w:val="auto"/>
        </w:rPr>
      </w:pPr>
      <w:r>
        <w:rPr>
          <w:rFonts w:ascii="Arial" w:cs="Arial" w:eastAsia="Arial" w:hAnsi="Arial"/>
          <w:sz w:val="19"/>
          <w:szCs w:val="19"/>
          <w:color w:val="auto"/>
        </w:rPr>
        <w:t>During the first six months of 2021, we incurred $404,557 of capital expenditures, issued $760,176 of long-term debt, and repaid debt and made sinking fund contributions and other loan repayments of $625,826. The capital expenditures were related to new and replacement water, wastewater, and natural gas mains, improvements to treatment plants, tanks, hydrants, and service lines, construction of natural gas fueled energy plants, well and booster improvements, information technology improvements, and</w:t>
      </w:r>
    </w:p>
    <w:p>
      <w:pPr>
        <w:jc w:val="center"/>
        <w:ind w:right="-1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1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188" w:lineRule="exact"/>
        <w:rPr>
          <w:sz w:val="20"/>
          <w:szCs w:val="20"/>
          <w:color w:val="auto"/>
        </w:rPr>
      </w:pPr>
    </w:p>
    <w:p>
      <w:pPr>
        <w:ind w:right="560"/>
        <w:spacing w:after="0" w:line="239" w:lineRule="auto"/>
        <w:rPr>
          <w:sz w:val="20"/>
          <w:szCs w:val="20"/>
          <w:color w:val="auto"/>
        </w:rPr>
      </w:pPr>
      <w:r>
        <w:rPr>
          <w:rFonts w:ascii="Arial" w:cs="Arial" w:eastAsia="Arial" w:hAnsi="Arial"/>
          <w:sz w:val="22"/>
          <w:szCs w:val="22"/>
          <w:color w:val="auto"/>
        </w:rPr>
        <w:t>other enhancements and improvements. The issuance of long-term debt was for funds borrowed under our revolving credit facility and used for capital expenditures.</w:t>
      </w:r>
    </w:p>
    <w:p>
      <w:pPr>
        <w:spacing w:after="0" w:line="185" w:lineRule="exact"/>
        <w:rPr>
          <w:sz w:val="20"/>
          <w:szCs w:val="20"/>
          <w:color w:val="auto"/>
        </w:rPr>
      </w:pPr>
    </w:p>
    <w:p>
      <w:pPr>
        <w:ind w:right="180"/>
        <w:spacing w:after="0" w:line="233" w:lineRule="auto"/>
        <w:rPr>
          <w:sz w:val="20"/>
          <w:szCs w:val="20"/>
          <w:color w:val="auto"/>
        </w:rPr>
      </w:pPr>
      <w:r>
        <w:rPr>
          <w:rFonts w:ascii="Arial" w:cs="Arial" w:eastAsia="Arial" w:hAnsi="Arial"/>
          <w:sz w:val="21"/>
          <w:szCs w:val="21"/>
          <w:color w:val="auto"/>
        </w:rPr>
        <w:t>In August 2020, we entered into a forward equity sale agreement for 6,700,000 shares of common stock with affiliates of a certain underwriter (“forward purchaser”). In connection with the forward equity sale agreement, the forward purchaser borrowed an equal number of shares of our common stock from stock lenders and sold the borrowed shares to the public. We will not receive any proceeds from the sale of our common stock by the forward purchaser until settlement of all or a portion of the forward equity sale agreement. As of June 30, 2021, we have not settled any portion of the forward equity sale agreement. We expect to settle the forward equity sale agreement in full by physical share settlement on August 9, 2021. The net proceeds are expected to be used for general corporate purposes, including for water and wastewater utility acquisitions, working capital and capital expenditures.</w:t>
      </w:r>
    </w:p>
    <w:p>
      <w:pPr>
        <w:spacing w:after="0" w:line="190" w:lineRule="exact"/>
        <w:rPr>
          <w:sz w:val="20"/>
          <w:szCs w:val="20"/>
          <w:color w:val="auto"/>
        </w:rPr>
      </w:pPr>
    </w:p>
    <w:p>
      <w:pPr>
        <w:ind w:right="80"/>
        <w:spacing w:after="0" w:line="259" w:lineRule="auto"/>
        <w:rPr>
          <w:sz w:val="20"/>
          <w:szCs w:val="20"/>
          <w:color w:val="auto"/>
        </w:rPr>
      </w:pPr>
      <w:r>
        <w:rPr>
          <w:rFonts w:ascii="Arial" w:cs="Arial" w:eastAsia="Arial" w:hAnsi="Arial"/>
          <w:sz w:val="19"/>
          <w:szCs w:val="19"/>
          <w:color w:val="auto"/>
        </w:rPr>
        <w:t>On March 16, 2020 (the “Closing Date”), the Company completed the Peoples Gas Acquisition and paid cash consideration of $3,465,344, which is subject to adjustment based upon the terms of the purchase agreement. Purchase price adjustments include the completion of a closing balance sheet, which was provided to the seller, and the finalization of an adjustment for utility capital expenditures made by the seller during the period between November 1, 2018 and the Closing Date. There is a dispute between the parties regarding this adjustment for utility capital expenditures. It is expected the matter will be resolved in accordance with the provisions of the purchase agreement. Peoples is headquartered in Pittsburgh, Pennsylvania and serves approximately 750,000 natural gas utility customers in western Pennsylvania, West Virginia, and Kentucky. The acquisition was financed through a series of financing transactions that included the issuance of common stock from a public offering and a private placement, a tangible equity unit offering, and short and long-term debt.</w:t>
      </w:r>
    </w:p>
    <w:p>
      <w:pPr>
        <w:spacing w:after="0" w:line="173"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Associated with the approval of the Peoples Gas Acquisition from the Pennsylvania Public Utility Commission, the Company has committed to addressing the replacement of gathering pipe over a seven year timeframe for an estimated cost of $120,000, which will be recoverable through customer rates. Additionally, the Company has committed to provide $23,004 of one-time customer rate credits to its Pennsylvania natural gas utility customers and water and wastewater customers served by Aqua Pennsylvania. The Company granted $4,080 of customer rate credits to its water and wastewater customers during the third quarter of 2020, and $18,924 was granted to its natural gas utility customers in the fourth quarter of 2020 to satisfy the $23,004 commitment.</w:t>
      </w:r>
    </w:p>
    <w:p>
      <w:pPr>
        <w:spacing w:after="0" w:line="164" w:lineRule="exact"/>
        <w:rPr>
          <w:sz w:val="20"/>
          <w:szCs w:val="20"/>
          <w:color w:val="auto"/>
        </w:rPr>
      </w:pPr>
    </w:p>
    <w:p>
      <w:pPr>
        <w:ind w:right="140"/>
        <w:spacing w:after="0" w:line="233" w:lineRule="auto"/>
        <w:rPr>
          <w:sz w:val="20"/>
          <w:szCs w:val="20"/>
          <w:color w:val="auto"/>
        </w:rPr>
      </w:pPr>
      <w:r>
        <w:rPr>
          <w:rFonts w:ascii="Arial" w:cs="Arial" w:eastAsia="Arial" w:hAnsi="Arial"/>
          <w:sz w:val="21"/>
          <w:szCs w:val="21"/>
          <w:color w:val="auto"/>
        </w:rPr>
        <w:t>On March 31, 2020, we changed the method of tax accounting for the certain qualifying infrastructure investments at Peoples Natural Gas, our largest gas subsidiary in Pennsylvania. This change allows a tax deduction for qualifying capital expenditures, including those made prior to March 16, 2020 (“catch-up adjustment”) that have been deferred and recorded as a regulatory liability on the consolidated balance sheet. As a result of a settlement agreement approved by the Pennsylvania Public Utility Commission, the income tax benefits associated with the catch-up adjustment of $160,655 will be refunded to utility customers over a five-year period starting in August 2021. In addition, the Company will provide $5,000 in relief to regulated natural gas customer past-due accounts receivable impacted by the COVID-19 pandemic, as well as making a $500 contribution to a customer-bill payment assistance program.</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3" w:name="page44"/>
    <w:bookmarkEnd w:id="43"/>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1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color w:val="auto"/>
        </w:rPr>
        <w:t>On April 15, 2021, the Company’s operating subsidiary Aqua Ohio, Inc. issued $100,000 of first mortgage bonds, of which</w:t>
      </w:r>
    </w:p>
    <w:p>
      <w:pPr>
        <w:spacing w:after="0" w:line="29" w:lineRule="exact"/>
        <w:rPr>
          <w:sz w:val="20"/>
          <w:szCs w:val="20"/>
          <w:color w:val="auto"/>
        </w:rPr>
      </w:pPr>
    </w:p>
    <w:p>
      <w:pPr>
        <w:spacing w:after="0" w:line="221" w:lineRule="auto"/>
        <w:rPr>
          <w:sz w:val="20"/>
          <w:szCs w:val="20"/>
          <w:color w:val="auto"/>
        </w:rPr>
      </w:pPr>
      <w:r>
        <w:rPr>
          <w:rFonts w:ascii="Arial" w:cs="Arial" w:eastAsia="Arial" w:hAnsi="Arial"/>
          <w:sz w:val="22"/>
          <w:szCs w:val="22"/>
          <w:color w:val="auto"/>
        </w:rPr>
        <w:t>$50,000 is due in 2031 and $50,000 is due in 2051, with interest rates of 2.37% and 3.35%, respectively. The proceeds from these bonds were used for general corporate purposes and to repay existing indebtedness. Further on April 19, 2021, the Company issued $400,000 of long-term debt, less expenses of $4,010, which is due in 2031 with an interest rate of 2.40%. The Company used the proceeds from this issuance to repay $50,000 of borrowings under our Aqua Pennsylvania five- year revolving credit facility, and the balance was used to repay in full the borrowings under its existing five-year unsecured revolving credit agreement.</w:t>
      </w:r>
    </w:p>
    <w:p>
      <w:pPr>
        <w:spacing w:after="0" w:line="191" w:lineRule="exact"/>
        <w:rPr>
          <w:sz w:val="20"/>
          <w:szCs w:val="20"/>
          <w:color w:val="auto"/>
        </w:rPr>
      </w:pPr>
    </w:p>
    <w:p>
      <w:pPr>
        <w:ind w:right="360"/>
        <w:spacing w:after="0" w:line="231" w:lineRule="auto"/>
        <w:rPr>
          <w:sz w:val="20"/>
          <w:szCs w:val="20"/>
          <w:color w:val="auto"/>
        </w:rPr>
      </w:pPr>
      <w:r>
        <w:rPr>
          <w:rFonts w:ascii="Arial" w:cs="Arial" w:eastAsia="Arial" w:hAnsi="Arial"/>
          <w:sz w:val="22"/>
          <w:szCs w:val="22"/>
          <w:color w:val="auto"/>
        </w:rPr>
        <w:t>At June 30, 2021 we had $8,404 of cash and cash equivalents compared to $4,827 at December 31, 2020. During the first six months of 2021, we used the proceeds from long-term debt and internally generated funds to fund the cash requirements discussed above and to pay dividends.</w:t>
      </w:r>
    </w:p>
    <w:p>
      <w:pPr>
        <w:spacing w:after="0" w:line="188" w:lineRule="exact"/>
        <w:rPr>
          <w:sz w:val="20"/>
          <w:szCs w:val="20"/>
          <w:color w:val="auto"/>
        </w:rPr>
      </w:pPr>
    </w:p>
    <w:p>
      <w:pPr>
        <w:ind w:right="100"/>
        <w:spacing w:after="0" w:line="260" w:lineRule="auto"/>
        <w:rPr>
          <w:sz w:val="20"/>
          <w:szCs w:val="20"/>
          <w:color w:val="auto"/>
        </w:rPr>
      </w:pPr>
      <w:r>
        <w:rPr>
          <w:rFonts w:ascii="Arial" w:cs="Arial" w:eastAsia="Arial" w:hAnsi="Arial"/>
          <w:sz w:val="19"/>
          <w:szCs w:val="19"/>
          <w:color w:val="auto"/>
        </w:rPr>
        <w:t>At June 30, 2021 our $1,000,000 unsecured revolving credit facility, which expires in December 2023, had $916,691 available for borrowing. Additionally, at June 30, we had short-term lines of credit of $235,500, of which $163,651 was available for borrowing. One of our short-term lines of credit is an Aqua Pennsylvania $100,000 364-day unsecured revolving credit facility with four banks, which is used to provide working capital, and as of June 30, $58,151 was available for borrowing. Another one of our short-term lines of credit is a Peoples Natural Gas Companies $100,000 364-day unsecured revolving credit facility with two banks, which is used to provide working capital, and as of June 30, 2021, $70,000 was available for borrowing. Our short-term lines of credit of $235,500 are subject to renewal on an annual basis. Although we believe we will be able to renew these facilities, there is no assurance that they will be renewed, or what the terms of any such renewal will be.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Results of Operations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Analysis of Second Quarter of 2021 Compared to Second Quarter of 2020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Consolidated results</w:t>
      </w:r>
    </w:p>
    <w:p>
      <w:pPr>
        <w:spacing w:after="0" w:line="206" w:lineRule="exact"/>
        <w:rPr>
          <w:sz w:val="20"/>
          <w:szCs w:val="20"/>
          <w:color w:val="auto"/>
        </w:rPr>
      </w:pPr>
    </w:p>
    <w:p>
      <w:pPr>
        <w:spacing w:after="0" w:line="235" w:lineRule="auto"/>
        <w:rPr>
          <w:sz w:val="20"/>
          <w:szCs w:val="20"/>
          <w:color w:val="auto"/>
        </w:rPr>
      </w:pPr>
      <w:r>
        <w:rPr>
          <w:rFonts w:ascii="Arial" w:cs="Arial" w:eastAsia="Arial" w:hAnsi="Arial"/>
          <w:sz w:val="21"/>
          <w:szCs w:val="21"/>
          <w:color w:val="auto"/>
        </w:rPr>
        <w:t>Operating revenues increased by $12,564 or 3.3% for the three months ended June 30, 2021, as compared to the same period in 2020. Revenues from our Regulated Water segment and Other business segment increased by $14,091 and $3,791, respectively. These increases were offset by the decrease in revenues from our Regulated Natural Gas segment of $5,318 for the quarter ended June 30, 2021. Refer below for further details on the changes on Regulated Water and Regulated Natural Gas segment revenues. The increase in our Other business segment revenue is largely due to higher purchased gas revenues of $3,282 from our non-regulated gas operations, which has a corresponding offset in expense.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4" w:name="page45"/>
    <w:bookmarkEnd w:id="44"/>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7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Operations and maintenance decreased by $1,089 or 0.8%, primarily due to:</w:t>
      </w:r>
    </w:p>
    <w:p>
      <w:pPr>
        <w:spacing w:after="0" w:line="206" w:lineRule="exact"/>
        <w:rPr>
          <w:sz w:val="20"/>
          <w:szCs w:val="20"/>
          <w:color w:val="auto"/>
        </w:rPr>
      </w:pPr>
    </w:p>
    <w:p>
      <w:pPr>
        <w:ind w:left="660" w:right="4500"/>
        <w:spacing w:after="0" w:line="258" w:lineRule="auto"/>
        <w:rPr>
          <w:sz w:val="20"/>
          <w:szCs w:val="20"/>
          <w:color w:val="auto"/>
        </w:rPr>
      </w:pPr>
      <w:r>
        <w:rPr>
          <w:rFonts w:ascii="Arial" w:cs="Arial" w:eastAsia="Arial" w:hAnsi="Arial"/>
          <w:sz w:val="19"/>
          <w:szCs w:val="19"/>
          <w:color w:val="auto"/>
        </w:rPr>
        <w:t>insurance expense decreased by $1,409 for reduced insurance claims; contributions to charitable trust decreased by $3,100; COVID-19 pandemic related expenses decreased by $3,525; and,</w:t>
      </w:r>
    </w:p>
    <w:p>
      <w:pPr>
        <w:spacing w:after="0" w:line="2" w:lineRule="exact"/>
        <w:rPr>
          <w:sz w:val="20"/>
          <w:szCs w:val="20"/>
          <w:color w:val="auto"/>
        </w:rPr>
      </w:pPr>
    </w:p>
    <w:p>
      <w:pPr>
        <w:ind w:left="660" w:right="560"/>
        <w:spacing w:after="0" w:line="226" w:lineRule="auto"/>
        <w:rPr>
          <w:sz w:val="20"/>
          <w:szCs w:val="20"/>
          <w:color w:val="auto"/>
        </w:rPr>
      </w:pPr>
      <w:r>
        <w:rPr>
          <w:rFonts w:ascii="Arial" w:cs="Arial" w:eastAsia="Arial" w:hAnsi="Arial"/>
          <w:sz w:val="22"/>
          <w:szCs w:val="22"/>
          <w:color w:val="auto"/>
        </w:rPr>
        <w:t>offset by the increase in employee related costs of $4,558, increase in production costs for water and wastewater operations of $1,224 and additional operating costs associated with acquired and pending acquisitions of water and wastewater utility systems of $988.</w:t>
      </w:r>
    </w:p>
    <w:p>
      <w:pPr>
        <w:spacing w:after="0" w:line="185" w:lineRule="exact"/>
        <w:rPr>
          <w:sz w:val="20"/>
          <w:szCs w:val="20"/>
          <w:color w:val="auto"/>
        </w:rPr>
      </w:pPr>
    </w:p>
    <w:p>
      <w:pPr>
        <w:ind w:right="120"/>
        <w:spacing w:after="0" w:line="231" w:lineRule="auto"/>
        <w:rPr>
          <w:sz w:val="20"/>
          <w:szCs w:val="20"/>
          <w:color w:val="auto"/>
        </w:rPr>
      </w:pPr>
      <w:r>
        <w:rPr>
          <w:rFonts w:ascii="Arial" w:cs="Arial" w:eastAsia="Arial" w:hAnsi="Arial"/>
          <w:sz w:val="22"/>
          <w:szCs w:val="22"/>
          <w:color w:val="auto"/>
        </w:rPr>
        <w:t>Purchased gas increased by $1,477 or 3.4%. Purchased gas represents the cost of gas sold by Peoples for the regulated and non-regulated gas business and has a corresponding offset in revenue. This expense decreased for the regulated gas business by $1,805 and increased for the non-regulated business by $3,282.</w:t>
      </w:r>
    </w:p>
    <w:p>
      <w:pPr>
        <w:spacing w:after="0" w:line="188" w:lineRule="exact"/>
        <w:rPr>
          <w:sz w:val="20"/>
          <w:szCs w:val="20"/>
          <w:color w:val="auto"/>
        </w:rPr>
      </w:pPr>
    </w:p>
    <w:p>
      <w:pPr>
        <w:ind w:right="60"/>
        <w:spacing w:after="0" w:line="239" w:lineRule="auto"/>
        <w:rPr>
          <w:sz w:val="20"/>
          <w:szCs w:val="20"/>
          <w:color w:val="auto"/>
        </w:rPr>
      </w:pPr>
      <w:r>
        <w:rPr>
          <w:rFonts w:ascii="Arial" w:cs="Arial" w:eastAsia="Arial" w:hAnsi="Arial"/>
          <w:sz w:val="22"/>
          <w:szCs w:val="22"/>
          <w:color w:val="auto"/>
        </w:rPr>
        <w:t>Depreciation expense increased by $4,839 or 7.1%, principally due to continued capital expenditures to expand and improve our utility facilities, and our acquisitions of new utility systems.</w:t>
      </w:r>
    </w:p>
    <w:p>
      <w:pPr>
        <w:spacing w:after="0" w:line="185" w:lineRule="exact"/>
        <w:rPr>
          <w:sz w:val="20"/>
          <w:szCs w:val="20"/>
          <w:color w:val="auto"/>
        </w:rPr>
      </w:pPr>
    </w:p>
    <w:p>
      <w:pPr>
        <w:jc w:val="both"/>
        <w:ind w:right="120"/>
        <w:spacing w:after="0" w:line="231" w:lineRule="auto"/>
        <w:rPr>
          <w:sz w:val="20"/>
          <w:szCs w:val="20"/>
          <w:color w:val="auto"/>
        </w:rPr>
      </w:pPr>
      <w:r>
        <w:rPr>
          <w:rFonts w:ascii="Arial" w:cs="Arial" w:eastAsia="Arial" w:hAnsi="Arial"/>
          <w:sz w:val="22"/>
          <w:szCs w:val="22"/>
          <w:color w:val="auto"/>
        </w:rPr>
        <w:t>Amortization decreased by $559 or 28.4% primarily due to the completion of the recovery of our costs associated with various rate filings. Expenses associated with filing rate cases are deferred and amortized over periods that generally range from one to three years.</w:t>
      </w:r>
    </w:p>
    <w:p>
      <w:pPr>
        <w:spacing w:after="0" w:line="161" w:lineRule="exact"/>
        <w:rPr>
          <w:sz w:val="20"/>
          <w:szCs w:val="20"/>
          <w:color w:val="auto"/>
        </w:rPr>
      </w:pPr>
    </w:p>
    <w:p>
      <w:pPr>
        <w:ind w:right="360"/>
        <w:spacing w:after="0" w:line="239" w:lineRule="auto"/>
        <w:rPr>
          <w:sz w:val="20"/>
          <w:szCs w:val="20"/>
          <w:color w:val="auto"/>
        </w:rPr>
      </w:pPr>
      <w:r>
        <w:rPr>
          <w:rFonts w:ascii="Arial" w:cs="Arial" w:eastAsia="Arial" w:hAnsi="Arial"/>
          <w:sz w:val="22"/>
          <w:szCs w:val="22"/>
          <w:color w:val="auto"/>
        </w:rPr>
        <w:t>Taxes other than income taxes increased by $1,687 or 8.7%. Public utility realty tax expense for Pennsylvania increased by $715 and property tax expense went up by $443 for the gas business during the current period.</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Interest expense increased by $370 or 0.7% for the quarter primarily due to the increase in average borrowings.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Interest income increased by $142 or 72.4%, due to higher investment rates.</w:t>
      </w:r>
    </w:p>
    <w:p>
      <w:pPr>
        <w:spacing w:after="0" w:line="206" w:lineRule="exact"/>
        <w:rPr>
          <w:sz w:val="20"/>
          <w:szCs w:val="20"/>
          <w:color w:val="auto"/>
        </w:rPr>
      </w:pPr>
    </w:p>
    <w:p>
      <w:pPr>
        <w:ind w:right="460"/>
        <w:spacing w:after="0" w:line="239" w:lineRule="auto"/>
        <w:rPr>
          <w:sz w:val="20"/>
          <w:szCs w:val="20"/>
          <w:color w:val="auto"/>
        </w:rPr>
      </w:pPr>
      <w:r>
        <w:rPr>
          <w:rFonts w:ascii="Arial" w:cs="Arial" w:eastAsia="Arial" w:hAnsi="Arial"/>
          <w:sz w:val="22"/>
          <w:szCs w:val="22"/>
          <w:color w:val="auto"/>
        </w:rPr>
        <w:t>Allowance for funds used during construction (“AFUDC”) increased by $2,676 or 120.0% due to an increase in the average balance of utility plant construction work in progress, to which AFUDC is applied.</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auto"/>
        </w:rPr>
        <w:t>Equity earnings from the joint venture was $470 in 2020 and our investment in the joint venture was sold in October 2020.</w:t>
      </w:r>
    </w:p>
    <w:p>
      <w:pPr>
        <w:spacing w:after="0" w:line="241" w:lineRule="exact"/>
        <w:rPr>
          <w:sz w:val="20"/>
          <w:szCs w:val="20"/>
          <w:color w:val="auto"/>
        </w:rPr>
      </w:pPr>
    </w:p>
    <w:p>
      <w:pPr>
        <w:spacing w:after="0" w:line="239" w:lineRule="auto"/>
        <w:rPr>
          <w:sz w:val="20"/>
          <w:szCs w:val="20"/>
          <w:color w:val="auto"/>
        </w:rPr>
      </w:pPr>
      <w:r>
        <w:rPr>
          <w:rFonts w:ascii="Arial" w:cs="Arial" w:eastAsia="Arial" w:hAnsi="Arial"/>
          <w:sz w:val="22"/>
          <w:szCs w:val="22"/>
          <w:color w:val="auto"/>
        </w:rPr>
        <w:t xml:space="preserve">Other expense, which largely consist of the non-service cost component of our net benefit cost for pension benefits, decreased by $1,219 or 168.8% during the </w:t>
      </w:r>
      <w:r>
        <w:rPr>
          <w:rFonts w:ascii="Arial" w:cs="Arial" w:eastAsia="Arial" w:hAnsi="Arial"/>
          <w:sz w:val="19"/>
          <w:szCs w:val="19"/>
          <w:color w:val="auto"/>
        </w:rPr>
        <w:t>quarter</w:t>
      </w:r>
      <w:r>
        <w:rPr>
          <w:rFonts w:ascii="Arial" w:cs="Arial" w:eastAsia="Arial" w:hAnsi="Arial"/>
          <w:sz w:val="22"/>
          <w:szCs w:val="22"/>
          <w:color w:val="auto"/>
        </w:rPr>
        <w:t xml:space="preserve"> compared to the same period in the</w:t>
      </w:r>
    </w:p>
    <w:p>
      <w:pPr>
        <w:jc w:val="center"/>
        <w:ind w:right="-7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45" w:name="page46"/>
    <w:bookmarkEnd w:id="45"/>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1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188" w:lineRule="exact"/>
        <w:rPr>
          <w:sz w:val="20"/>
          <w:szCs w:val="20"/>
          <w:color w:val="auto"/>
        </w:rPr>
      </w:pPr>
    </w:p>
    <w:p>
      <w:pPr>
        <w:ind w:right="440"/>
        <w:spacing w:after="0" w:line="239" w:lineRule="auto"/>
        <w:rPr>
          <w:sz w:val="20"/>
          <w:szCs w:val="20"/>
          <w:color w:val="auto"/>
        </w:rPr>
      </w:pPr>
      <w:r>
        <w:rPr>
          <w:rFonts w:ascii="Arial" w:cs="Arial" w:eastAsia="Arial" w:hAnsi="Arial"/>
          <w:sz w:val="22"/>
          <w:szCs w:val="22"/>
          <w:color w:val="auto"/>
        </w:rPr>
        <w:t>prior year. This is primarily driven by improved investment returns as a result of favorable market experience from the prior period.</w:t>
      </w:r>
    </w:p>
    <w:p>
      <w:pPr>
        <w:spacing w:after="0" w:line="185" w:lineRule="exact"/>
        <w:rPr>
          <w:sz w:val="20"/>
          <w:szCs w:val="20"/>
          <w:color w:val="auto"/>
        </w:rPr>
      </w:pPr>
    </w:p>
    <w:p>
      <w:pPr>
        <w:ind w:right="280"/>
        <w:spacing w:after="0" w:line="228" w:lineRule="auto"/>
        <w:rPr>
          <w:sz w:val="20"/>
          <w:szCs w:val="20"/>
          <w:color w:val="auto"/>
        </w:rPr>
      </w:pPr>
      <w:r>
        <w:rPr>
          <w:rFonts w:ascii="Arial" w:cs="Arial" w:eastAsia="Arial" w:hAnsi="Arial"/>
          <w:sz w:val="22"/>
          <w:szCs w:val="22"/>
          <w:color w:val="auto"/>
        </w:rPr>
        <w:t>Our effective income tax rate was 4.5% in the second quarter of 2021 and 0.6% in the second quarter of 2020. The increase in the effective tax rate for the second quarter can be attributed to an increase in our income before income taxes of $9,609 as compared to the prior period, and a decrease in the income tax benefit recognized due to a lower tax deduction for qualifying infrastructure recognized.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Net income increased by $6,285 or 8.4% primarily as a result of the factors described above.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Regulated Water Segment</w:t>
      </w:r>
    </w:p>
    <w:p>
      <w:pPr>
        <w:spacing w:after="0" w:line="206" w:lineRule="exact"/>
        <w:rPr>
          <w:sz w:val="20"/>
          <w:szCs w:val="20"/>
          <w:color w:val="auto"/>
        </w:rPr>
      </w:pPr>
    </w:p>
    <w:p>
      <w:pPr>
        <w:ind w:right="160"/>
        <w:spacing w:after="0" w:line="231" w:lineRule="auto"/>
        <w:rPr>
          <w:sz w:val="20"/>
          <w:szCs w:val="20"/>
          <w:color w:val="auto"/>
        </w:rPr>
      </w:pPr>
      <w:r>
        <w:rPr>
          <w:rFonts w:ascii="Arial" w:cs="Arial" w:eastAsia="Arial" w:hAnsi="Arial"/>
          <w:sz w:val="22"/>
          <w:szCs w:val="22"/>
          <w:color w:val="auto"/>
        </w:rPr>
        <w:t>Our Regulated Water segment is comprised of eight operating segments representing its water and wastewater regulated utility companies which are organized by the states where the Company provides water and wastewater services. The Regulated Water segment is aggregated into one reportable segment.</w:t>
      </w:r>
    </w:p>
    <w:p>
      <w:pPr>
        <w:spacing w:after="0" w:line="188" w:lineRule="exact"/>
        <w:rPr>
          <w:sz w:val="20"/>
          <w:szCs w:val="20"/>
          <w:color w:val="auto"/>
        </w:rPr>
      </w:pPr>
    </w:p>
    <w:p>
      <w:pPr>
        <w:ind w:right="280"/>
        <w:spacing w:after="0" w:line="239" w:lineRule="auto"/>
        <w:rPr>
          <w:sz w:val="20"/>
          <w:szCs w:val="20"/>
          <w:color w:val="auto"/>
        </w:rPr>
      </w:pPr>
      <w:r>
        <w:rPr>
          <w:rFonts w:ascii="Arial" w:cs="Arial" w:eastAsia="Arial" w:hAnsi="Arial"/>
          <w:sz w:val="22"/>
          <w:szCs w:val="22"/>
          <w:color w:val="auto"/>
        </w:rPr>
        <w:t>Revenues increased by $14,091 or 6.0% for the second quarter of 2021 as compared to the same period in 2020, mainly due to the following:</w:t>
      </w:r>
    </w:p>
    <w:p>
      <w:pPr>
        <w:spacing w:after="0" w:line="185" w:lineRule="exact"/>
        <w:rPr>
          <w:sz w:val="20"/>
          <w:szCs w:val="20"/>
          <w:color w:val="auto"/>
        </w:rPr>
      </w:pPr>
    </w:p>
    <w:p>
      <w:pPr>
        <w:ind w:left="660"/>
        <w:spacing w:after="0" w:line="226" w:lineRule="auto"/>
        <w:rPr>
          <w:sz w:val="20"/>
          <w:szCs w:val="20"/>
          <w:color w:val="auto"/>
        </w:rPr>
      </w:pPr>
      <w:r>
        <w:rPr>
          <w:rFonts w:ascii="Arial" w:cs="Arial" w:eastAsia="Arial" w:hAnsi="Arial"/>
          <w:sz w:val="22"/>
          <w:szCs w:val="22"/>
          <w:color w:val="auto"/>
        </w:rPr>
        <w:t>an increase in water and wastewater rates, including infrastructure rehabilitation surcharges, of $7,850 (net of $214 refund of the tax benefit associated with the Tax Cuts and Jobs Act);</w:t>
      </w:r>
    </w:p>
    <w:p>
      <w:pPr>
        <w:spacing w:after="0" w:line="1" w:lineRule="exact"/>
        <w:rPr>
          <w:sz w:val="20"/>
          <w:szCs w:val="20"/>
          <w:color w:val="auto"/>
        </w:rPr>
      </w:pPr>
    </w:p>
    <w:p>
      <w:pPr>
        <w:ind w:left="660" w:right="100"/>
        <w:spacing w:after="0" w:line="217" w:lineRule="auto"/>
        <w:rPr>
          <w:sz w:val="20"/>
          <w:szCs w:val="20"/>
          <w:color w:val="auto"/>
        </w:rPr>
      </w:pPr>
      <w:r>
        <w:rPr>
          <w:rFonts w:ascii="Arial" w:cs="Arial" w:eastAsia="Arial" w:hAnsi="Arial"/>
          <w:sz w:val="22"/>
          <w:szCs w:val="22"/>
          <w:color w:val="auto"/>
        </w:rPr>
        <w:t>additional water and wastewater revenues of $2,660 associated with a larger customer base due to utility acquisitions and organic growth; and</w:t>
      </w:r>
    </w:p>
    <w:p>
      <w:pPr>
        <w:spacing w:after="0" w:line="2" w:lineRule="exact"/>
        <w:rPr>
          <w:sz w:val="20"/>
          <w:szCs w:val="20"/>
          <w:color w:val="auto"/>
        </w:rPr>
      </w:pPr>
    </w:p>
    <w:p>
      <w:pPr>
        <w:ind w:left="660" w:right="60"/>
        <w:spacing w:after="0" w:line="224" w:lineRule="auto"/>
        <w:rPr>
          <w:sz w:val="20"/>
          <w:szCs w:val="20"/>
          <w:color w:val="auto"/>
        </w:rPr>
      </w:pPr>
      <w:r>
        <w:rPr>
          <w:rFonts w:ascii="Arial" w:cs="Arial" w:eastAsia="Arial" w:hAnsi="Arial"/>
          <w:sz w:val="22"/>
          <w:szCs w:val="22"/>
          <w:color w:val="auto"/>
        </w:rPr>
        <w:t>an increase in customer water and wastewater volumes amounting to $3,003 associated with increased usage largely from our commercial customers; offset by foregone water revenue of $203 as a result of an advisory for some of our water utility customers served by our Illinois subsidiary. We expect this impact on revenues resulting from the advisory to continue in the third quarter of 2021.</w:t>
      </w:r>
    </w:p>
    <w:p>
      <w:pPr>
        <w:spacing w:after="0" w:line="185" w:lineRule="exact"/>
        <w:rPr>
          <w:sz w:val="20"/>
          <w:szCs w:val="20"/>
          <w:color w:val="auto"/>
        </w:rPr>
      </w:pPr>
    </w:p>
    <w:p>
      <w:pPr>
        <w:ind w:right="280"/>
        <w:spacing w:after="0" w:line="313" w:lineRule="auto"/>
        <w:rPr>
          <w:sz w:val="20"/>
          <w:szCs w:val="20"/>
          <w:color w:val="auto"/>
        </w:rPr>
      </w:pPr>
      <w:r>
        <w:rPr>
          <w:rFonts w:ascii="Arial" w:cs="Arial" w:eastAsia="Arial" w:hAnsi="Arial"/>
          <w:sz w:val="19"/>
          <w:szCs w:val="19"/>
          <w:color w:val="auto"/>
        </w:rPr>
        <w:t>Operations and maintenance expense for the three months ended June 30, 2021 was $77,801 (31.3% of revenues) compared to $76,645 (32.7% of revenues) in the prior period. The increase of $1,156 or 1.5% was primarily due to the following:</w:t>
      </w:r>
    </w:p>
    <w:p>
      <w:pPr>
        <w:spacing w:after="0" w:line="119" w:lineRule="exact"/>
        <w:rPr>
          <w:sz w:val="20"/>
          <w:szCs w:val="20"/>
          <w:color w:val="auto"/>
        </w:rPr>
      </w:pPr>
    </w:p>
    <w:p>
      <w:pPr>
        <w:ind w:left="660"/>
        <w:spacing w:after="0" w:line="226" w:lineRule="auto"/>
        <w:rPr>
          <w:sz w:val="20"/>
          <w:szCs w:val="20"/>
          <w:color w:val="auto"/>
        </w:rPr>
      </w:pPr>
      <w:r>
        <w:rPr>
          <w:rFonts w:ascii="Arial" w:cs="Arial" w:eastAsia="Arial" w:hAnsi="Arial"/>
          <w:sz w:val="22"/>
          <w:szCs w:val="22"/>
          <w:color w:val="auto"/>
        </w:rPr>
        <w:t>additional operating costs resulting from acquired water and wastewater utility systems and higher customer base of $988; increase in labor and benefits expense of $1,862;</w:t>
      </w:r>
    </w:p>
    <w:p>
      <w:pPr>
        <w:ind w:left="660"/>
        <w:spacing w:after="0" w:line="218" w:lineRule="auto"/>
        <w:rPr>
          <w:sz w:val="20"/>
          <w:szCs w:val="20"/>
          <w:color w:val="auto"/>
        </w:rPr>
      </w:pPr>
      <w:r>
        <w:rPr>
          <w:rFonts w:ascii="Arial" w:cs="Arial" w:eastAsia="Arial" w:hAnsi="Arial"/>
          <w:sz w:val="22"/>
          <w:szCs w:val="22"/>
          <w:color w:val="auto"/>
        </w:rPr>
        <w:t>increase in production costs for water and wastewater operations of $1,224;</w:t>
      </w:r>
    </w:p>
    <w:p>
      <w:pPr>
        <w:ind w:left="660" w:right="220"/>
        <w:spacing w:after="0" w:line="224" w:lineRule="auto"/>
        <w:rPr>
          <w:sz w:val="20"/>
          <w:szCs w:val="20"/>
          <w:color w:val="auto"/>
        </w:rPr>
      </w:pPr>
      <w:r>
        <w:rPr>
          <w:rFonts w:ascii="Arial" w:cs="Arial" w:eastAsia="Arial" w:hAnsi="Arial"/>
          <w:sz w:val="22"/>
          <w:szCs w:val="22"/>
          <w:color w:val="auto"/>
        </w:rPr>
        <w:t>expenses of $401 associated with remediating an advisory for some of our water utility customers served by our Illinois subsidiary, which is offset by the prior year effect of expenses of $452 recognized in the first six months of 2020. We expect the expenses associated with remediating the advisory to continue in the third quarter of 2021; offset by the decrease in COVID-19 pandemic related expenses of $2,687.</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Depreciation and amortization increased by $2,798 or 6.5% primarily due to continued capital spend.</w:t>
      </w:r>
    </w:p>
    <w:p>
      <w:pPr>
        <w:ind w:left="5520"/>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6" w:name="page47"/>
    <w:bookmarkEnd w:id="46"/>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020"/>
        <w:spacing w:after="0" w:line="239" w:lineRule="auto"/>
        <w:rPr>
          <w:sz w:val="20"/>
          <w:szCs w:val="20"/>
          <w:color w:val="auto"/>
        </w:rPr>
      </w:pPr>
      <w:r>
        <w:rPr>
          <w:rFonts w:ascii="Arial" w:cs="Arial" w:eastAsia="Arial" w:hAnsi="Arial"/>
          <w:sz w:val="22"/>
          <w:szCs w:val="22"/>
          <w:color w:val="auto"/>
        </w:rPr>
        <w:t>Taxes other than income taxes increased by 1,145 or 7.7% primarily due to higher public utility realty tax expense for Pennsylvania of $715 which covers the years 2020 and 2021.</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color w:val="auto"/>
        </w:rPr>
        <w:t>Interest expense, net, increased by $1,152 or 4.4% for the quarter primarily due to the increase in average borrowings.</w:t>
      </w:r>
    </w:p>
    <w:p>
      <w:pPr>
        <w:spacing w:after="0" w:line="218" w:lineRule="exact"/>
        <w:rPr>
          <w:sz w:val="20"/>
          <w:szCs w:val="20"/>
          <w:color w:val="auto"/>
        </w:rPr>
      </w:pPr>
    </w:p>
    <w:p>
      <w:pPr>
        <w:ind w:right="140"/>
        <w:spacing w:after="0" w:line="239" w:lineRule="auto"/>
        <w:rPr>
          <w:sz w:val="20"/>
          <w:szCs w:val="20"/>
          <w:color w:val="auto"/>
        </w:rPr>
      </w:pPr>
      <w:r>
        <w:rPr>
          <w:rFonts w:ascii="Arial" w:cs="Arial" w:eastAsia="Arial" w:hAnsi="Arial"/>
          <w:sz w:val="22"/>
          <w:szCs w:val="22"/>
          <w:color w:val="auto"/>
        </w:rPr>
        <w:t>AFUDC increased by $2,527 or 132.2% due to the increase in the average balance of utility plant construction work in progress, to which AFUDC is applied.</w:t>
      </w:r>
    </w:p>
    <w:p>
      <w:pPr>
        <w:spacing w:after="0" w:line="185" w:lineRule="exact"/>
        <w:rPr>
          <w:sz w:val="20"/>
          <w:szCs w:val="20"/>
          <w:color w:val="auto"/>
        </w:rPr>
      </w:pPr>
    </w:p>
    <w:p>
      <w:pPr>
        <w:ind w:right="80"/>
        <w:spacing w:after="0" w:line="313" w:lineRule="auto"/>
        <w:rPr>
          <w:sz w:val="20"/>
          <w:szCs w:val="20"/>
          <w:color w:val="auto"/>
        </w:rPr>
      </w:pPr>
      <w:r>
        <w:rPr>
          <w:rFonts w:ascii="Arial" w:cs="Arial" w:eastAsia="Arial" w:hAnsi="Arial"/>
          <w:sz w:val="19"/>
          <w:szCs w:val="19"/>
          <w:color w:val="auto"/>
        </w:rPr>
        <w:t>Other expense decreased by $1,486 primarily due to the decrease in the non-service cost component of our net benefit cost for pension benefits. This is driven by improved investment returns as a result of favorable market experience from the prior period.</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Regulated Natural Gas Segment</w:t>
      </w:r>
    </w:p>
    <w:p>
      <w:pPr>
        <w:spacing w:after="0" w:line="206" w:lineRule="exact"/>
        <w:rPr>
          <w:sz w:val="20"/>
          <w:szCs w:val="20"/>
          <w:color w:val="auto"/>
        </w:rPr>
      </w:pPr>
    </w:p>
    <w:p>
      <w:pPr>
        <w:ind w:right="60"/>
        <w:spacing w:after="0" w:line="228" w:lineRule="auto"/>
        <w:rPr>
          <w:sz w:val="20"/>
          <w:szCs w:val="20"/>
          <w:color w:val="auto"/>
        </w:rPr>
      </w:pPr>
      <w:r>
        <w:rPr>
          <w:rFonts w:ascii="Arial" w:cs="Arial" w:eastAsia="Arial" w:hAnsi="Arial"/>
          <w:sz w:val="22"/>
          <w:szCs w:val="22"/>
          <w:color w:val="auto"/>
        </w:rPr>
        <w:t>Our Regulated Natural Gas segment recognizes revenues by selling gas directly to customers at approved rates or by transporting gas through our pipelines at approved rates to customers that have purchased gas directly from other producers, brokers, or marketers. Natural gas sales to residential, commercial and industrial customers are seasonal, which results in higher demand for natural gas for heating purposes during the colder months.</w:t>
      </w:r>
    </w:p>
    <w:p>
      <w:pPr>
        <w:spacing w:after="0" w:line="186" w:lineRule="exact"/>
        <w:rPr>
          <w:sz w:val="20"/>
          <w:szCs w:val="20"/>
          <w:color w:val="auto"/>
        </w:rPr>
      </w:pPr>
    </w:p>
    <w:p>
      <w:pPr>
        <w:ind w:right="80"/>
        <w:spacing w:after="0" w:line="259" w:lineRule="auto"/>
        <w:rPr>
          <w:sz w:val="20"/>
          <w:szCs w:val="20"/>
          <w:color w:val="auto"/>
        </w:rPr>
      </w:pPr>
      <w:r>
        <w:rPr>
          <w:rFonts w:ascii="Arial" w:cs="Arial" w:eastAsia="Arial" w:hAnsi="Arial"/>
          <w:sz w:val="19"/>
          <w:szCs w:val="19"/>
          <w:color w:val="auto"/>
        </w:rPr>
        <w:t>Our Regulated Natural Gas segment is affected by the cost of natural gas, which is passed through to customers using a purchased gas adjustment clause and includes commodity price, transportation and storage costs. These costs are reflected in the consolidated statement of operations and comprehensive income as purchased gas expenses. Therefore, fluctuations in the cost of purchased gas impact operating revenues on dollar-for-dollar basis, but do not impact gross margin. Management uses gross margin, a non-GAAP financial measure, defined as operating revenues less purchased gas expense, to analyze the financial performance of our Regulated Natural Gas segment, as management believes gross margin provides a meaningful basis for evaluating our natural gas utility operations since purchased gas expenses are included in operating revenues and passed through to customers. The following table includes the operating results for our Regulated Natural Gas segment for the period since the acquisition date of March 16, 2020, including the reconciliation of gross margin (non-GAAP) to operating revenues (GAAP):</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520" w:type="dxa"/>
            <w:vAlign w:val="bottom"/>
            <w:gridSpan w:val="6"/>
          </w:tcPr>
          <w:p>
            <w:pPr>
              <w:jc w:val="center"/>
              <w:ind w:right="620"/>
              <w:spacing w:after="0"/>
              <w:rPr>
                <w:sz w:val="20"/>
                <w:szCs w:val="20"/>
                <w:color w:val="auto"/>
              </w:rPr>
            </w:pPr>
            <w:r>
              <w:rPr>
                <w:rFonts w:ascii="Arial" w:cs="Arial" w:eastAsia="Arial" w:hAnsi="Arial"/>
                <w:sz w:val="22"/>
                <w:szCs w:val="22"/>
                <w:color w:val="auto"/>
                <w:w w:val="88"/>
              </w:rPr>
              <w:t>Three Months Ended</w:t>
            </w:r>
          </w:p>
        </w:tc>
        <w:tc>
          <w:tcPr>
            <w:tcW w:w="380" w:type="dxa"/>
            <w:vAlign w:val="bottom"/>
          </w:tcPr>
          <w:p>
            <w:pPr>
              <w:spacing w:after="0"/>
              <w:rPr>
                <w:sz w:val="21"/>
                <w:szCs w:val="21"/>
                <w:color w:val="auto"/>
              </w:rPr>
            </w:pPr>
          </w:p>
        </w:tc>
        <w:tc>
          <w:tcPr>
            <w:tcW w:w="3220" w:type="dxa"/>
            <w:vAlign w:val="bottom"/>
            <w:gridSpan w:val="4"/>
          </w:tcPr>
          <w:p>
            <w:pPr>
              <w:ind w:left="620"/>
              <w:spacing w:after="0"/>
              <w:rPr>
                <w:sz w:val="20"/>
                <w:szCs w:val="20"/>
                <w:color w:val="auto"/>
              </w:rPr>
            </w:pPr>
            <w:r>
              <w:rPr>
                <w:rFonts w:ascii="Arial" w:cs="Arial" w:eastAsia="Arial" w:hAnsi="Arial"/>
                <w:sz w:val="22"/>
                <w:szCs w:val="22"/>
                <w:color w:val="auto"/>
              </w:rPr>
              <w:t>Six Months Ended</w:t>
            </w:r>
          </w:p>
        </w:tc>
      </w:tr>
      <w:tr>
        <w:trPr>
          <w:trHeight w:val="251"/>
        </w:trPr>
        <w:tc>
          <w:tcPr>
            <w:tcW w:w="3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4"/>
          </w:tcPr>
          <w:p>
            <w:pPr>
              <w:jc w:val="center"/>
              <w:ind w:left="792"/>
              <w:spacing w:after="0" w:line="251" w:lineRule="exact"/>
              <w:rPr>
                <w:sz w:val="20"/>
                <w:szCs w:val="20"/>
                <w:color w:val="auto"/>
              </w:rPr>
            </w:pPr>
            <w:r>
              <w:rPr>
                <w:rFonts w:ascii="Arial" w:cs="Arial" w:eastAsia="Arial" w:hAnsi="Arial"/>
                <w:sz w:val="22"/>
                <w:szCs w:val="22"/>
                <w:color w:val="auto"/>
                <w:w w:val="85"/>
              </w:rPr>
              <w:t>June 30,</w:t>
            </w:r>
          </w:p>
        </w:tc>
        <w:tc>
          <w:tcPr>
            <w:tcW w:w="12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ind w:left="1060"/>
              <w:spacing w:after="0" w:line="251" w:lineRule="exact"/>
              <w:rPr>
                <w:sz w:val="20"/>
                <w:szCs w:val="20"/>
                <w:color w:val="auto"/>
              </w:rPr>
            </w:pPr>
            <w:r>
              <w:rPr>
                <w:rFonts w:ascii="Arial" w:cs="Arial" w:eastAsia="Arial" w:hAnsi="Arial"/>
                <w:sz w:val="22"/>
                <w:szCs w:val="22"/>
                <w:color w:val="auto"/>
              </w:rPr>
              <w:t>June 30,</w:t>
            </w:r>
          </w:p>
        </w:tc>
        <w:tc>
          <w:tcPr>
            <w:tcW w:w="1240" w:type="dxa"/>
            <w:vAlign w:val="bottom"/>
            <w:tcBorders>
              <w:bottom w:val="single" w:sz="8" w:color="auto"/>
            </w:tcBorders>
          </w:tcPr>
          <w:p>
            <w:pPr>
              <w:spacing w:after="0"/>
              <w:rPr>
                <w:sz w:val="21"/>
                <w:szCs w:val="21"/>
                <w:color w:val="auto"/>
              </w:rPr>
            </w:pPr>
          </w:p>
        </w:tc>
      </w:tr>
      <w:tr>
        <w:trPr>
          <w:trHeight w:val="223"/>
        </w:trPr>
        <w:tc>
          <w:tcPr>
            <w:tcW w:w="31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2"/>
              <w:spacing w:after="0" w:line="223" w:lineRule="exact"/>
              <w:rPr>
                <w:sz w:val="20"/>
                <w:szCs w:val="20"/>
                <w:color w:val="auto"/>
              </w:rPr>
            </w:pPr>
            <w:r>
              <w:rPr>
                <w:rFonts w:ascii="Arial" w:cs="Arial" w:eastAsia="Arial" w:hAnsi="Arial"/>
                <w:sz w:val="22"/>
                <w:szCs w:val="22"/>
                <w:color w:val="auto"/>
              </w:rPr>
              <w:t>2021</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2"/>
              <w:spacing w:after="0" w:line="223" w:lineRule="exact"/>
              <w:rPr>
                <w:sz w:val="20"/>
                <w:szCs w:val="20"/>
                <w:color w:val="auto"/>
              </w:rPr>
            </w:pPr>
            <w:r>
              <w:rPr>
                <w:rFonts w:ascii="Arial" w:cs="Arial" w:eastAsia="Arial" w:hAnsi="Arial"/>
                <w:sz w:val="22"/>
                <w:szCs w:val="22"/>
                <w:color w:val="auto"/>
              </w:rPr>
              <w:t>2020</w:t>
            </w:r>
          </w:p>
        </w:tc>
        <w:tc>
          <w:tcPr>
            <w:tcW w:w="2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22"/>
                <w:szCs w:val="22"/>
                <w:color w:val="auto"/>
              </w:rPr>
              <w:t>2021</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2"/>
              <w:spacing w:after="0" w:line="223" w:lineRule="exact"/>
              <w:rPr>
                <w:sz w:val="20"/>
                <w:szCs w:val="20"/>
                <w:color w:val="auto"/>
              </w:rPr>
            </w:pPr>
            <w:r>
              <w:rPr>
                <w:rFonts w:ascii="Arial" w:cs="Arial" w:eastAsia="Arial" w:hAnsi="Arial"/>
                <w:sz w:val="22"/>
                <w:szCs w:val="22"/>
                <w:color w:val="auto"/>
              </w:rPr>
              <w:t>2020</w:t>
            </w:r>
          </w:p>
        </w:tc>
      </w:tr>
      <w:tr>
        <w:trPr>
          <w:trHeight w:val="223"/>
        </w:trPr>
        <w:tc>
          <w:tcPr>
            <w:tcW w:w="312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Operating revenues (GAAP)</w:t>
            </w:r>
          </w:p>
        </w:tc>
        <w:tc>
          <w:tcPr>
            <w:tcW w:w="6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52"/>
              <w:spacing w:after="0" w:line="223" w:lineRule="exact"/>
              <w:rPr>
                <w:sz w:val="20"/>
                <w:szCs w:val="20"/>
                <w:color w:val="auto"/>
              </w:rPr>
            </w:pPr>
            <w:r>
              <w:rPr>
                <w:rFonts w:ascii="Arial" w:cs="Arial" w:eastAsia="Arial" w:hAnsi="Arial"/>
                <w:sz w:val="22"/>
                <w:szCs w:val="22"/>
                <w:color w:val="auto"/>
                <w:w w:val="81"/>
              </w:rPr>
              <w:t>$</w:t>
            </w:r>
          </w:p>
        </w:tc>
        <w:tc>
          <w:tcPr>
            <w:tcW w:w="13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141,562</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12"/>
              <w:spacing w:after="0" w:line="223" w:lineRule="exact"/>
              <w:rPr>
                <w:sz w:val="20"/>
                <w:szCs w:val="20"/>
                <w:color w:val="auto"/>
              </w:rPr>
            </w:pPr>
            <w:r>
              <w:rPr>
                <w:rFonts w:ascii="Arial" w:cs="Arial" w:eastAsia="Arial" w:hAnsi="Arial"/>
                <w:sz w:val="22"/>
                <w:szCs w:val="22"/>
                <w:color w:val="auto"/>
                <w:w w:val="81"/>
              </w:rPr>
              <w:t>$</w:t>
            </w:r>
          </w:p>
        </w:tc>
        <w:tc>
          <w:tcPr>
            <w:tcW w:w="12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146,880</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52"/>
              <w:spacing w:after="0" w:line="223" w:lineRule="exact"/>
              <w:rPr>
                <w:sz w:val="20"/>
                <w:szCs w:val="20"/>
                <w:color w:val="auto"/>
              </w:rPr>
            </w:pPr>
            <w:r>
              <w:rPr>
                <w:rFonts w:ascii="Arial" w:cs="Arial" w:eastAsia="Arial" w:hAnsi="Arial"/>
                <w:sz w:val="22"/>
                <w:szCs w:val="22"/>
                <w:color w:val="auto"/>
                <w:w w:val="81"/>
              </w:rPr>
              <w:t>$</w:t>
            </w:r>
          </w:p>
        </w:tc>
        <w:tc>
          <w:tcPr>
            <w:tcW w:w="1340" w:type="dxa"/>
            <w:vAlign w:val="bottom"/>
            <w:shd w:val="clear" w:color="auto" w:fill="CCEEFF"/>
          </w:tcPr>
          <w:p>
            <w:pPr>
              <w:ind w:left="640"/>
              <w:spacing w:after="0" w:line="223" w:lineRule="exact"/>
              <w:rPr>
                <w:sz w:val="20"/>
                <w:szCs w:val="20"/>
                <w:color w:val="auto"/>
              </w:rPr>
            </w:pPr>
            <w:r>
              <w:rPr>
                <w:rFonts w:ascii="Arial" w:cs="Arial" w:eastAsia="Arial" w:hAnsi="Arial"/>
                <w:sz w:val="22"/>
                <w:szCs w:val="22"/>
                <w:color w:val="auto"/>
                <w:w w:val="85"/>
              </w:rPr>
              <w:t>484,677</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12"/>
              <w:spacing w:after="0" w:line="223" w:lineRule="exact"/>
              <w:rPr>
                <w:sz w:val="20"/>
                <w:szCs w:val="20"/>
                <w:color w:val="auto"/>
              </w:rPr>
            </w:pPr>
            <w:r>
              <w:rPr>
                <w:rFonts w:ascii="Arial" w:cs="Arial" w:eastAsia="Arial" w:hAnsi="Arial"/>
                <w:sz w:val="22"/>
                <w:szCs w:val="22"/>
                <w:color w:val="auto"/>
                <w:w w:val="81"/>
              </w:rPr>
              <w:t>$</w:t>
            </w:r>
          </w:p>
        </w:tc>
        <w:tc>
          <w:tcPr>
            <w:tcW w:w="12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184,915</w:t>
            </w:r>
          </w:p>
        </w:tc>
      </w:tr>
      <w:tr>
        <w:trPr>
          <w:trHeight w:val="230"/>
        </w:trPr>
        <w:tc>
          <w:tcPr>
            <w:tcW w:w="3120" w:type="dxa"/>
            <w:vAlign w:val="bottom"/>
          </w:tcPr>
          <w:p>
            <w:pPr>
              <w:spacing w:after="0" w:line="229" w:lineRule="exact"/>
              <w:rPr>
                <w:sz w:val="20"/>
                <w:szCs w:val="20"/>
                <w:color w:val="auto"/>
              </w:rPr>
            </w:pPr>
            <w:r>
              <w:rPr>
                <w:rFonts w:ascii="Arial" w:cs="Arial" w:eastAsia="Arial" w:hAnsi="Arial"/>
                <w:sz w:val="22"/>
                <w:szCs w:val="22"/>
                <w:color w:val="auto"/>
              </w:rPr>
              <w:t>Purchased gas</w:t>
            </w: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20"/>
              <w:spacing w:after="0" w:line="229" w:lineRule="exact"/>
              <w:rPr>
                <w:sz w:val="20"/>
                <w:szCs w:val="20"/>
                <w:color w:val="auto"/>
              </w:rPr>
            </w:pPr>
            <w:r>
              <w:rPr>
                <w:rFonts w:ascii="Arial" w:cs="Arial" w:eastAsia="Arial" w:hAnsi="Arial"/>
                <w:sz w:val="22"/>
                <w:szCs w:val="22"/>
                <w:color w:val="auto"/>
              </w:rPr>
              <w:t>39,788</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line="229" w:lineRule="exact"/>
              <w:rPr>
                <w:sz w:val="20"/>
                <w:szCs w:val="20"/>
                <w:color w:val="auto"/>
              </w:rPr>
            </w:pPr>
            <w:r>
              <w:rPr>
                <w:rFonts w:ascii="Arial" w:cs="Arial" w:eastAsia="Arial" w:hAnsi="Arial"/>
                <w:sz w:val="22"/>
                <w:szCs w:val="22"/>
                <w:color w:val="auto"/>
              </w:rPr>
              <w:t>41,593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ind w:left="640"/>
              <w:spacing w:after="0" w:line="229" w:lineRule="exact"/>
              <w:rPr>
                <w:sz w:val="20"/>
                <w:szCs w:val="20"/>
                <w:color w:val="auto"/>
              </w:rPr>
            </w:pPr>
            <w:r>
              <w:rPr>
                <w:rFonts w:ascii="Arial" w:cs="Arial" w:eastAsia="Arial" w:hAnsi="Arial"/>
                <w:sz w:val="22"/>
                <w:szCs w:val="22"/>
                <w:color w:val="auto"/>
                <w:w w:val="85"/>
              </w:rPr>
              <w:t>162,676</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spacing w:after="0" w:line="229" w:lineRule="exact"/>
              <w:rPr>
                <w:sz w:val="20"/>
                <w:szCs w:val="20"/>
                <w:color w:val="auto"/>
              </w:rPr>
            </w:pPr>
            <w:r>
              <w:rPr>
                <w:rFonts w:ascii="Arial" w:cs="Arial" w:eastAsia="Arial" w:hAnsi="Arial"/>
                <w:sz w:val="22"/>
                <w:szCs w:val="22"/>
                <w:color w:val="auto"/>
              </w:rPr>
              <w:t>53,966</w:t>
            </w:r>
          </w:p>
        </w:tc>
      </w:tr>
      <w:tr>
        <w:trPr>
          <w:trHeight w:val="223"/>
        </w:trPr>
        <w:tc>
          <w:tcPr>
            <w:tcW w:w="3120" w:type="dxa"/>
            <w:vAlign w:val="bottom"/>
            <w:tcBorders>
              <w:top w:val="single" w:sz="8" w:color="CCEEFF"/>
              <w:bottom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Gross margin (non-GAAP)</w:t>
            </w: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101,774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105,287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ind w:left="640"/>
              <w:spacing w:after="0" w:line="223" w:lineRule="exact"/>
              <w:rPr>
                <w:sz w:val="20"/>
                <w:szCs w:val="20"/>
                <w:color w:val="auto"/>
              </w:rPr>
            </w:pPr>
            <w:r>
              <w:rPr>
                <w:rFonts w:ascii="Arial" w:cs="Arial" w:eastAsia="Arial" w:hAnsi="Arial"/>
                <w:sz w:val="22"/>
                <w:szCs w:val="22"/>
                <w:color w:val="auto"/>
                <w:w w:val="85"/>
              </w:rPr>
              <w:t>322,001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130,949</w:t>
            </w:r>
          </w:p>
        </w:tc>
      </w:tr>
      <w:tr>
        <w:trPr>
          <w:trHeight w:val="20"/>
        </w:trPr>
        <w:tc>
          <w:tcPr>
            <w:tcW w:w="3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63"/>
        </w:trPr>
        <w:tc>
          <w:tcPr>
            <w:tcW w:w="3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jc w:val="right"/>
              <w:ind w:right="292"/>
              <w:spacing w:after="0"/>
              <w:rPr>
                <w:sz w:val="20"/>
                <w:szCs w:val="20"/>
                <w:color w:val="auto"/>
              </w:rPr>
            </w:pPr>
            <w:r>
              <w:rPr>
                <w:rFonts w:ascii="Arial" w:cs="Arial" w:eastAsia="Arial" w:hAnsi="Arial"/>
                <w:sz w:val="22"/>
                <w:szCs w:val="22"/>
                <w:color w:val="auto"/>
                <w:w w:val="89"/>
              </w:rPr>
              <w:t>46</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08"/>
        </w:trPr>
        <w:tc>
          <w:tcPr>
            <w:tcW w:w="3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1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jc w:val="both"/>
        <w:ind w:right="460"/>
        <w:spacing w:after="0" w:line="231" w:lineRule="auto"/>
        <w:rPr>
          <w:sz w:val="20"/>
          <w:szCs w:val="20"/>
          <w:color w:val="auto"/>
        </w:rPr>
      </w:pPr>
      <w:r>
        <w:rPr>
          <w:rFonts w:ascii="Arial" w:cs="Arial" w:eastAsia="Arial" w:hAnsi="Arial"/>
          <w:sz w:val="22"/>
          <w:szCs w:val="22"/>
          <w:color w:val="auto"/>
        </w:rPr>
        <w:t>The term gross margin is not intended to represent operating revenues, the most comparable GAAP financial measure, as an indicator of operating performance. In addition, our measurement of gross margin is not necessarily comparable to similarly titled measures reported by other companies.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Operating revenues from the Regulated Natural Gas segment decreased by $5,318 or 3.6% due to:</w:t>
      </w:r>
    </w:p>
    <w:p>
      <w:pPr>
        <w:spacing w:after="0" w:line="206" w:lineRule="exact"/>
        <w:rPr>
          <w:sz w:val="20"/>
          <w:szCs w:val="20"/>
          <w:color w:val="auto"/>
        </w:rPr>
      </w:pPr>
    </w:p>
    <w:p>
      <w:pPr>
        <w:ind w:left="660"/>
        <w:spacing w:after="0" w:line="226" w:lineRule="auto"/>
        <w:rPr>
          <w:sz w:val="20"/>
          <w:szCs w:val="20"/>
          <w:color w:val="auto"/>
        </w:rPr>
      </w:pPr>
      <w:r>
        <w:rPr>
          <w:rFonts w:ascii="Arial" w:cs="Arial" w:eastAsia="Arial" w:hAnsi="Arial"/>
          <w:sz w:val="22"/>
          <w:szCs w:val="22"/>
          <w:color w:val="auto"/>
        </w:rPr>
        <w:t>volumes decreased by $4,830 due to warmer weather during the second quarter of 2021 as compared to the same period in 2020;</w:t>
      </w:r>
    </w:p>
    <w:p>
      <w:pPr>
        <w:spacing w:after="0" w:line="1" w:lineRule="exact"/>
        <w:rPr>
          <w:sz w:val="20"/>
          <w:szCs w:val="20"/>
          <w:color w:val="auto"/>
        </w:rPr>
      </w:pPr>
    </w:p>
    <w:p>
      <w:pPr>
        <w:ind w:left="660" w:right="100"/>
        <w:spacing w:after="0" w:line="217" w:lineRule="auto"/>
        <w:rPr>
          <w:sz w:val="20"/>
          <w:szCs w:val="20"/>
          <w:color w:val="auto"/>
        </w:rPr>
      </w:pPr>
      <w:r>
        <w:rPr>
          <w:rFonts w:ascii="Arial" w:cs="Arial" w:eastAsia="Arial" w:hAnsi="Arial"/>
          <w:sz w:val="22"/>
          <w:szCs w:val="22"/>
          <w:color w:val="auto"/>
        </w:rPr>
        <w:t>purchased gas adjustment revenues decreased by $1,805 mainly due to lower volumes of gas sold, offset by the impact of higher rates during the current period;</w:t>
      </w:r>
    </w:p>
    <w:p>
      <w:pPr>
        <w:ind w:left="660"/>
        <w:spacing w:after="0" w:line="219" w:lineRule="auto"/>
        <w:rPr>
          <w:sz w:val="20"/>
          <w:szCs w:val="20"/>
          <w:color w:val="auto"/>
        </w:rPr>
      </w:pPr>
      <w:r>
        <w:rPr>
          <w:rFonts w:ascii="Arial" w:cs="Arial" w:eastAsia="Arial" w:hAnsi="Arial"/>
          <w:sz w:val="22"/>
          <w:szCs w:val="22"/>
          <w:color w:val="auto"/>
        </w:rPr>
        <w:t>increased refund of the tax benefit associated with the Tax Cuts and Jobs Act of $755; and,</w:t>
      </w:r>
    </w:p>
    <w:p>
      <w:pPr>
        <w:ind w:left="660" w:right="220"/>
        <w:spacing w:after="0" w:line="230" w:lineRule="auto"/>
        <w:rPr>
          <w:sz w:val="20"/>
          <w:szCs w:val="20"/>
          <w:color w:val="auto"/>
        </w:rPr>
      </w:pPr>
      <w:r>
        <w:rPr>
          <w:rFonts w:ascii="Arial" w:cs="Arial" w:eastAsia="Arial" w:hAnsi="Arial"/>
          <w:sz w:val="22"/>
          <w:szCs w:val="22"/>
          <w:color w:val="auto"/>
        </w:rPr>
        <w:t>offset by higher average delivery rates of $1,097, incremental universal service revenue of $570 and growth in warranty revenues of $301.</w:t>
      </w:r>
    </w:p>
    <w:p>
      <w:pPr>
        <w:spacing w:after="0" w:line="186" w:lineRule="exact"/>
        <w:rPr>
          <w:sz w:val="20"/>
          <w:szCs w:val="20"/>
          <w:color w:val="auto"/>
        </w:rPr>
      </w:pPr>
    </w:p>
    <w:p>
      <w:pPr>
        <w:jc w:val="both"/>
        <w:ind w:right="100"/>
        <w:spacing w:after="0" w:line="239" w:lineRule="auto"/>
        <w:rPr>
          <w:sz w:val="20"/>
          <w:szCs w:val="20"/>
          <w:color w:val="auto"/>
        </w:rPr>
      </w:pPr>
      <w:r>
        <w:rPr>
          <w:rFonts w:ascii="Arial" w:cs="Arial" w:eastAsia="Arial" w:hAnsi="Arial"/>
          <w:sz w:val="22"/>
          <w:szCs w:val="22"/>
          <w:color w:val="auto"/>
        </w:rPr>
        <w:t>Operations and maintenance expense for the three months ended June 30, 2021 increased by $1,458 or 2.9% primarily due to the following:</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increase in employee related costs of $1,733; and</w:t>
      </w:r>
    </w:p>
    <w:p>
      <w:pPr>
        <w:ind w:left="660"/>
        <w:spacing w:after="0" w:line="217" w:lineRule="auto"/>
        <w:rPr>
          <w:sz w:val="20"/>
          <w:szCs w:val="20"/>
          <w:color w:val="auto"/>
        </w:rPr>
      </w:pPr>
      <w:r>
        <w:rPr>
          <w:rFonts w:ascii="Arial" w:cs="Arial" w:eastAsia="Arial" w:hAnsi="Arial"/>
          <w:sz w:val="22"/>
          <w:szCs w:val="22"/>
          <w:color w:val="auto"/>
        </w:rPr>
        <w:t>increase in outside services expense of $677; offset by</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decrease in COVID-19 pandemic related expenses of $838.</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Purchased gas decreased by $1,805 or 4.3% which has a corresponding offset in revenues.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Depreciation and amortization increased by $2,394 or 9.3% primarily due to continued capital spend.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Taxes other than income taxes increased by $647 or 16.2% mainly due to higher property tax expense.</w:t>
      </w:r>
    </w:p>
    <w:p>
      <w:pPr>
        <w:spacing w:after="0" w:line="206" w:lineRule="exact"/>
        <w:rPr>
          <w:sz w:val="20"/>
          <w:szCs w:val="20"/>
          <w:color w:val="auto"/>
        </w:rPr>
      </w:pPr>
    </w:p>
    <w:p>
      <w:pPr>
        <w:ind w:right="160"/>
        <w:spacing w:after="0" w:line="239" w:lineRule="auto"/>
        <w:rPr>
          <w:sz w:val="20"/>
          <w:szCs w:val="20"/>
          <w:color w:val="auto"/>
        </w:rPr>
      </w:pPr>
      <w:r>
        <w:rPr>
          <w:rFonts w:ascii="Arial" w:cs="Arial" w:eastAsia="Arial" w:hAnsi="Arial"/>
          <w:sz w:val="22"/>
          <w:szCs w:val="22"/>
          <w:color w:val="auto"/>
        </w:rPr>
        <w:t>Interest expense, net, increased by $11,088 or 118.8% for the quarter due to additional borrowings in the second quarter of 2021 as compared to the same period of 2020.</w:t>
      </w:r>
    </w:p>
    <w:p>
      <w:pPr>
        <w:spacing w:after="0" w:line="185" w:lineRule="exact"/>
        <w:rPr>
          <w:sz w:val="20"/>
          <w:szCs w:val="20"/>
          <w:color w:val="auto"/>
        </w:rPr>
      </w:pPr>
    </w:p>
    <w:p>
      <w:pPr>
        <w:ind w:right="180"/>
        <w:spacing w:after="0" w:line="239" w:lineRule="auto"/>
        <w:rPr>
          <w:sz w:val="20"/>
          <w:szCs w:val="20"/>
          <w:color w:val="auto"/>
        </w:rPr>
      </w:pPr>
      <w:r>
        <w:rPr>
          <w:rFonts w:ascii="Arial" w:cs="Arial" w:eastAsia="Arial" w:hAnsi="Arial"/>
          <w:sz w:val="22"/>
          <w:szCs w:val="22"/>
          <w:color w:val="auto"/>
        </w:rPr>
        <w:t>AFUDC increased by $149 or 46.7% due to the increase in the average balance of utility plant construction work in progress, to which AFUDC is applied.</w:t>
      </w:r>
    </w:p>
    <w:p>
      <w:pPr>
        <w:spacing w:after="0" w:line="185" w:lineRule="exact"/>
        <w:rPr>
          <w:sz w:val="20"/>
          <w:szCs w:val="20"/>
          <w:color w:val="auto"/>
        </w:rPr>
      </w:pPr>
    </w:p>
    <w:p>
      <w:pPr>
        <w:ind w:right="820"/>
        <w:spacing w:after="0" w:line="239" w:lineRule="auto"/>
        <w:rPr>
          <w:sz w:val="20"/>
          <w:szCs w:val="20"/>
          <w:color w:val="auto"/>
        </w:rPr>
      </w:pPr>
      <w:r>
        <w:rPr>
          <w:rFonts w:ascii="Arial" w:cs="Arial" w:eastAsia="Arial" w:hAnsi="Arial"/>
          <w:sz w:val="22"/>
          <w:szCs w:val="22"/>
          <w:color w:val="auto"/>
        </w:rPr>
        <w:t>Net income for the Regulated Natural Gas segment decreased by $16,094 or 89.4% during the second quarter of 2021 as compared to the same period in 2020 as a result of the factors described above.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Analysis of First Six Months of 2021 Compared to First Six Months of 2020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Consolidated results</w:t>
      </w:r>
    </w:p>
    <w:p>
      <w:pPr>
        <w:spacing w:after="0" w:line="206" w:lineRule="exact"/>
        <w:rPr>
          <w:sz w:val="20"/>
          <w:szCs w:val="20"/>
          <w:color w:val="auto"/>
        </w:rPr>
      </w:pPr>
    </w:p>
    <w:p>
      <w:pPr>
        <w:jc w:val="both"/>
        <w:ind w:right="100"/>
        <w:spacing w:after="0" w:line="223" w:lineRule="auto"/>
        <w:rPr>
          <w:sz w:val="20"/>
          <w:szCs w:val="20"/>
          <w:color w:val="auto"/>
        </w:rPr>
      </w:pPr>
      <w:r>
        <w:rPr>
          <w:rFonts w:ascii="Arial" w:cs="Arial" w:eastAsia="Arial" w:hAnsi="Arial"/>
          <w:sz w:val="22"/>
          <w:szCs w:val="22"/>
          <w:color w:val="auto"/>
        </w:rPr>
        <w:t>Operating revenues increased by $340,544 or 53.2% for the six months ended June 30, 2021, as compared to the same period in 2020. Revenues from our regulated water segment increased by $26,247, regulated gas segment by $299,762 and other business segment by $14,535. Upon closing on the Peoples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1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188" w:lineRule="exact"/>
        <w:rPr>
          <w:sz w:val="20"/>
          <w:szCs w:val="20"/>
          <w:color w:val="auto"/>
        </w:rPr>
      </w:pPr>
    </w:p>
    <w:p>
      <w:pPr>
        <w:ind w:right="20"/>
        <w:spacing w:after="0" w:line="231" w:lineRule="auto"/>
        <w:rPr>
          <w:sz w:val="20"/>
          <w:szCs w:val="20"/>
          <w:color w:val="auto"/>
        </w:rPr>
      </w:pPr>
      <w:r>
        <w:rPr>
          <w:rFonts w:ascii="Arial" w:cs="Arial" w:eastAsia="Arial" w:hAnsi="Arial"/>
          <w:sz w:val="22"/>
          <w:szCs w:val="22"/>
          <w:color w:val="auto"/>
        </w:rPr>
        <w:t>Gas Acquisition on March 16, 2020, the first quarter of 2020 only represented 16 days of Peoples Gas’ operating results, compared to the full period in the first quarter of 2021. Total operating revenues from Peoples Gas during for the first six months of 2020 and 2021 were $188,181 and $501,924,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Consolidated operations and maintenance expenses increased by $17,349 or 7.4%, primarily due to:</w:t>
      </w:r>
    </w:p>
    <w:p>
      <w:pPr>
        <w:spacing w:after="0" w:line="206" w:lineRule="exact"/>
        <w:rPr>
          <w:sz w:val="20"/>
          <w:szCs w:val="20"/>
          <w:color w:val="auto"/>
        </w:rPr>
      </w:pPr>
    </w:p>
    <w:p>
      <w:pPr>
        <w:ind w:left="660" w:right="460"/>
        <w:spacing w:after="0" w:line="223" w:lineRule="auto"/>
        <w:rPr>
          <w:sz w:val="20"/>
          <w:szCs w:val="20"/>
          <w:color w:val="auto"/>
        </w:rPr>
      </w:pPr>
      <w:r>
        <w:rPr>
          <w:rFonts w:ascii="Arial" w:cs="Arial" w:eastAsia="Arial" w:hAnsi="Arial"/>
          <w:sz w:val="22"/>
          <w:szCs w:val="22"/>
          <w:color w:val="auto"/>
        </w:rPr>
        <w:t>the timing of the People’s Natural Gas acquisition that resulted an increase in operations and maintenance expense of $42,864 for the first quarter of 2021 as compared to the same period in 2020; an increase in employee related costs of $8,040;</w:t>
      </w:r>
    </w:p>
    <w:p>
      <w:pPr>
        <w:spacing w:after="0" w:line="1" w:lineRule="exact"/>
        <w:rPr>
          <w:sz w:val="20"/>
          <w:szCs w:val="20"/>
          <w:color w:val="auto"/>
        </w:rPr>
      </w:pPr>
    </w:p>
    <w:p>
      <w:pPr>
        <w:ind w:left="660" w:right="280"/>
        <w:spacing w:after="0" w:line="217" w:lineRule="auto"/>
        <w:rPr>
          <w:sz w:val="20"/>
          <w:szCs w:val="20"/>
          <w:color w:val="auto"/>
        </w:rPr>
      </w:pPr>
      <w:r>
        <w:rPr>
          <w:rFonts w:ascii="Arial" w:cs="Arial" w:eastAsia="Arial" w:hAnsi="Arial"/>
          <w:sz w:val="22"/>
          <w:szCs w:val="22"/>
          <w:color w:val="auto"/>
        </w:rPr>
        <w:t>additional operating costs associated with acquired and pending acquisitions of water and wastewater utility systems of $1,766; and</w:t>
      </w:r>
    </w:p>
    <w:p>
      <w:pPr>
        <w:ind w:left="660"/>
        <w:spacing w:after="0" w:line="219" w:lineRule="auto"/>
        <w:rPr>
          <w:sz w:val="20"/>
          <w:szCs w:val="20"/>
          <w:color w:val="auto"/>
        </w:rPr>
      </w:pPr>
      <w:r>
        <w:rPr>
          <w:rFonts w:ascii="Arial" w:cs="Arial" w:eastAsia="Arial" w:hAnsi="Arial"/>
          <w:sz w:val="22"/>
          <w:szCs w:val="22"/>
          <w:color w:val="auto"/>
        </w:rPr>
        <w:t>an increase in outside services and maintenance expenses of $1,870; offset by</w:t>
      </w:r>
    </w:p>
    <w:p>
      <w:pPr>
        <w:ind w:left="660" w:right="2580"/>
        <w:spacing w:after="0" w:line="217" w:lineRule="auto"/>
        <w:rPr>
          <w:sz w:val="20"/>
          <w:szCs w:val="20"/>
          <w:color w:val="auto"/>
        </w:rPr>
      </w:pPr>
      <w:r>
        <w:rPr>
          <w:rFonts w:ascii="Arial" w:cs="Arial" w:eastAsia="Arial" w:hAnsi="Arial"/>
          <w:sz w:val="22"/>
          <w:szCs w:val="22"/>
          <w:color w:val="auto"/>
        </w:rPr>
        <w:t>a decrease in insurance expense of $5,434 for reduced insurance claim reserve requirements; a decrease in contributions to charitable trust of $3,100;</w:t>
      </w:r>
    </w:p>
    <w:p>
      <w:pPr>
        <w:ind w:left="660"/>
        <w:spacing w:after="0" w:line="219" w:lineRule="auto"/>
        <w:rPr>
          <w:sz w:val="20"/>
          <w:szCs w:val="20"/>
          <w:color w:val="auto"/>
        </w:rPr>
      </w:pPr>
      <w:r>
        <w:rPr>
          <w:rFonts w:ascii="Arial" w:cs="Arial" w:eastAsia="Arial" w:hAnsi="Arial"/>
          <w:sz w:val="22"/>
          <w:szCs w:val="22"/>
          <w:color w:val="auto"/>
        </w:rPr>
        <w:t>a decrease in COVID-19 pandemic related costs of $2,686; and,</w:t>
      </w:r>
    </w:p>
    <w:p>
      <w:pPr>
        <w:ind w:left="660"/>
        <w:spacing w:after="0" w:line="226" w:lineRule="auto"/>
        <w:rPr>
          <w:sz w:val="20"/>
          <w:szCs w:val="20"/>
          <w:color w:val="auto"/>
        </w:rPr>
      </w:pPr>
      <w:r>
        <w:rPr>
          <w:rFonts w:ascii="Arial" w:cs="Arial" w:eastAsia="Arial" w:hAnsi="Arial"/>
          <w:sz w:val="22"/>
          <w:szCs w:val="22"/>
          <w:color w:val="auto"/>
        </w:rPr>
        <w:t>the prior year effect of transaction expenses of $25,397 in the first quarter of 2020 for the Peoples Gas Acquisition, primarily representing expenses associated with investment banking fees, employee related expenses, obtaining regulatory approvals, legal expenses, and integration planning.</w:t>
      </w:r>
    </w:p>
    <w:p>
      <w:pPr>
        <w:spacing w:after="0" w:line="185" w:lineRule="exact"/>
        <w:rPr>
          <w:sz w:val="20"/>
          <w:szCs w:val="20"/>
          <w:color w:val="auto"/>
        </w:rPr>
      </w:pPr>
    </w:p>
    <w:p>
      <w:pPr>
        <w:ind w:right="100"/>
        <w:spacing w:after="0" w:line="231" w:lineRule="auto"/>
        <w:rPr>
          <w:sz w:val="20"/>
          <w:szCs w:val="20"/>
          <w:color w:val="auto"/>
        </w:rPr>
      </w:pPr>
      <w:r>
        <w:rPr>
          <w:rFonts w:ascii="Arial" w:cs="Arial" w:eastAsia="Arial" w:hAnsi="Arial"/>
          <w:sz w:val="22"/>
          <w:szCs w:val="22"/>
          <w:color w:val="auto"/>
        </w:rPr>
        <w:t>Purchased gas increased by $120,860 or 215.1%. Purchased gas represents the cost of gas sold by Peoples for regulated and non-regulated gas business. This expense increased by $108,710 and $12,150 for the regulated gas and non-regulated gas business, respectively, mainly due to the timing of the Peoples Gas acquisition.</w:t>
      </w:r>
    </w:p>
    <w:p>
      <w:pPr>
        <w:spacing w:after="0" w:line="188" w:lineRule="exact"/>
        <w:rPr>
          <w:sz w:val="20"/>
          <w:szCs w:val="20"/>
          <w:color w:val="auto"/>
        </w:rPr>
      </w:pPr>
    </w:p>
    <w:p>
      <w:pPr>
        <w:jc w:val="both"/>
        <w:ind w:right="280"/>
        <w:spacing w:after="0" w:line="231" w:lineRule="auto"/>
        <w:rPr>
          <w:sz w:val="20"/>
          <w:szCs w:val="20"/>
          <w:color w:val="auto"/>
        </w:rPr>
      </w:pPr>
      <w:r>
        <w:rPr>
          <w:rFonts w:ascii="Arial" w:cs="Arial" w:eastAsia="Arial" w:hAnsi="Arial"/>
          <w:sz w:val="22"/>
          <w:szCs w:val="22"/>
          <w:color w:val="auto"/>
        </w:rPr>
        <w:t>Depreciation expense increased by $30,910 or 27.2%, primarily due to depreciation expense associated with our completion of the Peoples Gas Acquisition on March 16, 2020 and the utility plant placed in service, significant capital expenditures made to expand and improve our utility facilities, and our acquisitions of new utility systems.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Amortization slightly increased by $69 or 2.6% during the period as compared to the prior period.</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1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Taxes other than income taxes increased by $6,292 or 17.5% principally due to increase in payroll taxes of $2,769 and other taxes of $1,649 associated with acquired operations, primarily the Peoples Gas Acquisition.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Interest expense increased by $16,017 or 18.5% primarily due to the following items: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 increase in average borrowings; and</w:t>
      </w:r>
    </w:p>
    <w:p>
      <w:pPr>
        <w:ind w:left="660" w:right="4840"/>
        <w:spacing w:after="0" w:line="230" w:lineRule="auto"/>
        <w:rPr>
          <w:sz w:val="20"/>
          <w:szCs w:val="20"/>
          <w:color w:val="auto"/>
        </w:rPr>
      </w:pPr>
      <w:r>
        <w:rPr>
          <w:rFonts w:ascii="Arial" w:cs="Arial" w:eastAsia="Arial" w:hAnsi="Arial"/>
          <w:sz w:val="22"/>
          <w:szCs w:val="22"/>
          <w:color w:val="auto"/>
        </w:rPr>
        <w:t>interest on debt assumed in the Peoples Gas Acquisition; offset by a decrease in our effective interest rate.</w:t>
      </w:r>
    </w:p>
    <w:p>
      <w:pPr>
        <w:spacing w:after="0" w:line="186"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color w:val="auto"/>
        </w:rPr>
        <w:t>Interest income decreased by $4,506 or 86.1%, primarily due to the utilization of the proceeds held from our 2019 equity and debt offerings to close the Peoples Gas Acquisition on March 16, 2020.</w:t>
      </w:r>
    </w:p>
    <w:p>
      <w:pPr>
        <w:spacing w:after="0" w:line="185"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AFUDC increased by $2,662 or 51.4% due to the increase in the average balance of utility plant construction work in progress, to which AFUDC is applied.</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Equity earnings in joint venture was $343 in 2020 and our investment in the joint venture was sold in October 2020.</w:t>
      </w:r>
    </w:p>
    <w:p>
      <w:pPr>
        <w:spacing w:after="0" w:line="206"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Other expense decreased by $6,369 or 665.5% primarily due to the decrease in the non-service cost component of our net benefit cost for pension benefits. This is driven by improved investment returns as a result of favorable market experience from the prior period.</w:t>
      </w:r>
    </w:p>
    <w:p>
      <w:pPr>
        <w:spacing w:after="0" w:line="188" w:lineRule="exact"/>
        <w:rPr>
          <w:sz w:val="20"/>
          <w:szCs w:val="20"/>
          <w:color w:val="auto"/>
        </w:rPr>
      </w:pPr>
    </w:p>
    <w:p>
      <w:pPr>
        <w:ind w:right="120"/>
        <w:spacing w:after="0" w:line="239" w:lineRule="auto"/>
        <w:rPr>
          <w:sz w:val="20"/>
          <w:szCs w:val="20"/>
          <w:color w:val="auto"/>
        </w:rPr>
      </w:pPr>
      <w:r>
        <w:rPr>
          <w:rFonts w:ascii="Arial" w:cs="Arial" w:eastAsia="Arial" w:hAnsi="Arial"/>
          <w:sz w:val="21"/>
          <w:szCs w:val="21"/>
          <w:color w:val="auto"/>
        </w:rPr>
        <w:t>Our effective income tax rate was 3.1% for the six months ended June 30, 2021 and (5.6%) for the same period in the prior year. The increase in the effective tax rate for the six months ended June 30, 2021 over the first six months of 2020 is due to an increase in our income before income taxes as compared to the prior period, and offset by an increase in the income tax benefit recognized due to additional tax deduction for qualifying infrastructure recognized.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Net income increased by $138,193 or 109.3% primarily because of the factors described above.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Regulated Water Segment</w:t>
      </w:r>
    </w:p>
    <w:p>
      <w:pPr>
        <w:spacing w:after="0" w:line="206" w:lineRule="exact"/>
        <w:rPr>
          <w:sz w:val="20"/>
          <w:szCs w:val="20"/>
          <w:color w:val="auto"/>
        </w:rPr>
      </w:pPr>
    </w:p>
    <w:p>
      <w:pPr>
        <w:ind w:right="120"/>
        <w:spacing w:after="0" w:line="239" w:lineRule="auto"/>
        <w:rPr>
          <w:sz w:val="20"/>
          <w:szCs w:val="20"/>
          <w:color w:val="auto"/>
        </w:rPr>
      </w:pPr>
      <w:r>
        <w:rPr>
          <w:rFonts w:ascii="Arial" w:cs="Arial" w:eastAsia="Arial" w:hAnsi="Arial"/>
          <w:sz w:val="22"/>
          <w:szCs w:val="22"/>
          <w:color w:val="auto"/>
        </w:rPr>
        <w:t>Revenues from our Regulated Water segment for the first six months of 2021 increased by $26,247 or by 5.8%, as a result of the following:</w:t>
      </w:r>
    </w:p>
    <w:p>
      <w:pPr>
        <w:spacing w:after="0" w:line="185" w:lineRule="exact"/>
        <w:rPr>
          <w:sz w:val="20"/>
          <w:szCs w:val="20"/>
          <w:color w:val="auto"/>
        </w:rPr>
      </w:pPr>
    </w:p>
    <w:p>
      <w:pPr>
        <w:ind w:left="660" w:right="520"/>
        <w:spacing w:after="0" w:line="226" w:lineRule="auto"/>
        <w:rPr>
          <w:sz w:val="20"/>
          <w:szCs w:val="20"/>
          <w:color w:val="auto"/>
        </w:rPr>
      </w:pPr>
      <w:r>
        <w:rPr>
          <w:rFonts w:ascii="Arial" w:cs="Arial" w:eastAsia="Arial" w:hAnsi="Arial"/>
          <w:sz w:val="22"/>
          <w:szCs w:val="22"/>
          <w:color w:val="auto"/>
        </w:rPr>
        <w:t>an increase in water and wastewater rates, including infrastructure rehabilitation surcharges, of $14,030 (net of $583 refund of the tax benefit associated with the Tax Cuts and Jobs Act);</w:t>
      </w:r>
    </w:p>
    <w:p>
      <w:pPr>
        <w:spacing w:after="0" w:line="1" w:lineRule="exact"/>
        <w:rPr>
          <w:sz w:val="20"/>
          <w:szCs w:val="20"/>
          <w:color w:val="auto"/>
        </w:rPr>
      </w:pPr>
    </w:p>
    <w:p>
      <w:pPr>
        <w:ind w:left="660" w:right="100"/>
        <w:spacing w:after="0" w:line="217" w:lineRule="auto"/>
        <w:rPr>
          <w:sz w:val="20"/>
          <w:szCs w:val="20"/>
          <w:color w:val="auto"/>
        </w:rPr>
      </w:pPr>
      <w:r>
        <w:rPr>
          <w:rFonts w:ascii="Arial" w:cs="Arial" w:eastAsia="Arial" w:hAnsi="Arial"/>
          <w:sz w:val="22"/>
          <w:szCs w:val="22"/>
          <w:color w:val="auto"/>
        </w:rPr>
        <w:t>additional water and wastewater revenues of $5,935 associated with a larger customer base due to utility acquisitions and organic growth; and</w:t>
      </w:r>
    </w:p>
    <w:p>
      <w:pPr>
        <w:spacing w:after="0" w:line="2" w:lineRule="exact"/>
        <w:rPr>
          <w:sz w:val="20"/>
          <w:szCs w:val="20"/>
          <w:color w:val="auto"/>
        </w:rPr>
      </w:pPr>
    </w:p>
    <w:p>
      <w:pPr>
        <w:ind w:left="660" w:right="100"/>
        <w:spacing w:after="0" w:line="217" w:lineRule="auto"/>
        <w:rPr>
          <w:sz w:val="20"/>
          <w:szCs w:val="20"/>
          <w:color w:val="auto"/>
        </w:rPr>
      </w:pPr>
      <w:r>
        <w:rPr>
          <w:rFonts w:ascii="Arial" w:cs="Arial" w:eastAsia="Arial" w:hAnsi="Arial"/>
          <w:sz w:val="22"/>
          <w:szCs w:val="22"/>
          <w:color w:val="auto"/>
        </w:rPr>
        <w:t>an increase in customer water and wastewater volumes of $5,352; offset by foregone water revenue of $550 as a result of an advisory for some of our water utility customers served by our</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0" w:name="page51"/>
    <w:bookmarkEnd w:id="50"/>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3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(In thousands of dollars, except per share amounts)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Illinois subsidiary. We expect this impact on revenues resulting from the advisory to continue in the third quarter of 2021.</w:t>
      </w:r>
    </w:p>
    <w:p>
      <w:pPr>
        <w:spacing w:after="0" w:line="241" w:lineRule="exact"/>
        <w:rPr>
          <w:sz w:val="20"/>
          <w:szCs w:val="20"/>
          <w:color w:val="auto"/>
        </w:rPr>
      </w:pPr>
    </w:p>
    <w:p>
      <w:pPr>
        <w:ind w:right="120"/>
        <w:spacing w:after="0" w:line="239" w:lineRule="auto"/>
        <w:rPr>
          <w:sz w:val="20"/>
          <w:szCs w:val="20"/>
          <w:color w:val="auto"/>
        </w:rPr>
      </w:pPr>
      <w:r>
        <w:rPr>
          <w:rFonts w:ascii="Arial" w:cs="Arial" w:eastAsia="Arial" w:hAnsi="Arial"/>
          <w:sz w:val="22"/>
          <w:szCs w:val="22"/>
          <w:color w:val="auto"/>
        </w:rPr>
        <w:t>Operations and maintenance expense was $156,148 (32.8% of revenues) compared to $150,339 (33.4% of revenues) in the prior period. The increase of $5,809 or 3.9% was principally due to the following:</w:t>
      </w:r>
    </w:p>
    <w:p>
      <w:pPr>
        <w:spacing w:after="0" w:line="185" w:lineRule="exact"/>
        <w:rPr>
          <w:sz w:val="20"/>
          <w:szCs w:val="20"/>
          <w:color w:val="auto"/>
        </w:rPr>
      </w:pPr>
    </w:p>
    <w:p>
      <w:pPr>
        <w:ind w:left="660" w:right="540"/>
        <w:spacing w:after="0" w:line="226" w:lineRule="auto"/>
        <w:rPr>
          <w:sz w:val="20"/>
          <w:szCs w:val="20"/>
          <w:color w:val="auto"/>
        </w:rPr>
      </w:pPr>
      <w:r>
        <w:rPr>
          <w:rFonts w:ascii="Arial" w:cs="Arial" w:eastAsia="Arial" w:hAnsi="Arial"/>
          <w:sz w:val="22"/>
          <w:szCs w:val="22"/>
          <w:color w:val="auto"/>
        </w:rPr>
        <w:t>additional operating costs resulting from acquired water and wastewater utility systems and higher customer base of $1,766;</w:t>
      </w:r>
    </w:p>
    <w:p>
      <w:pPr>
        <w:ind w:left="660"/>
        <w:spacing w:after="0" w:line="218" w:lineRule="auto"/>
        <w:rPr>
          <w:sz w:val="20"/>
          <w:szCs w:val="20"/>
          <w:color w:val="auto"/>
        </w:rPr>
      </w:pPr>
      <w:r>
        <w:rPr>
          <w:rFonts w:ascii="Arial" w:cs="Arial" w:eastAsia="Arial" w:hAnsi="Arial"/>
          <w:sz w:val="22"/>
          <w:szCs w:val="22"/>
          <w:color w:val="auto"/>
        </w:rPr>
        <w:t>increase in labor and benefits expense of $4,232;</w:t>
      </w:r>
    </w:p>
    <w:p>
      <w:pPr>
        <w:ind w:left="660"/>
        <w:spacing w:after="0" w:line="218" w:lineRule="auto"/>
        <w:rPr>
          <w:sz w:val="20"/>
          <w:szCs w:val="20"/>
          <w:color w:val="auto"/>
        </w:rPr>
      </w:pPr>
      <w:r>
        <w:rPr>
          <w:rFonts w:ascii="Arial" w:cs="Arial" w:eastAsia="Arial" w:hAnsi="Arial"/>
          <w:sz w:val="22"/>
          <w:szCs w:val="22"/>
          <w:color w:val="auto"/>
        </w:rPr>
        <w:t>increase in outside services and maintenance expenses of $1,193;</w:t>
      </w:r>
    </w:p>
    <w:p>
      <w:pPr>
        <w:ind w:left="660" w:right="60"/>
        <w:spacing w:after="0" w:line="224" w:lineRule="auto"/>
        <w:rPr>
          <w:sz w:val="20"/>
          <w:szCs w:val="20"/>
          <w:color w:val="auto"/>
        </w:rPr>
      </w:pPr>
      <w:r>
        <w:rPr>
          <w:rFonts w:ascii="Arial" w:cs="Arial" w:eastAsia="Arial" w:hAnsi="Arial"/>
          <w:sz w:val="22"/>
          <w:szCs w:val="22"/>
          <w:color w:val="auto"/>
        </w:rPr>
        <w:t>expenses of $1,070 associated with remediating an advisory for some of our water utility customers served by our Illinois subsidiary, which is offset by the prior year effect of expenses of $1,057 recognized in the first six months of 2020. We expect the expenses associated with remediating the advisory to continue in the third quarter of 2021; offset by the decrease in COVID-19 pandemic related expenses of $1,849.</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Depreciation and amortization increased by $6,425 or 7.6% primarily due to continued capital spend.</w:t>
      </w:r>
    </w:p>
    <w:p>
      <w:pPr>
        <w:spacing w:after="0" w:line="206" w:lineRule="exact"/>
        <w:rPr>
          <w:sz w:val="20"/>
          <w:szCs w:val="20"/>
          <w:color w:val="auto"/>
        </w:rPr>
      </w:pPr>
    </w:p>
    <w:p>
      <w:pPr>
        <w:ind w:right="940"/>
        <w:spacing w:after="0" w:line="239" w:lineRule="auto"/>
        <w:rPr>
          <w:sz w:val="20"/>
          <w:szCs w:val="20"/>
          <w:color w:val="auto"/>
        </w:rPr>
      </w:pPr>
      <w:r>
        <w:rPr>
          <w:rFonts w:ascii="Arial" w:cs="Arial" w:eastAsia="Arial" w:hAnsi="Arial"/>
          <w:sz w:val="22"/>
          <w:szCs w:val="22"/>
          <w:color w:val="auto"/>
        </w:rPr>
        <w:t>Taxes other than income taxes increased by $2,079 or 7.1% primarily due to higher public utility realty tax expense for Pennsylvania of $715 which covers the years 2020 and 2021.</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color w:val="auto"/>
        </w:rPr>
        <w:t>Interest expense, net, increased by $2,077 or 4.0% for the quarter primarily due to the increase in average borrowings.</w:t>
      </w:r>
    </w:p>
    <w:p>
      <w:pPr>
        <w:spacing w:after="0" w:line="218" w:lineRule="exact"/>
        <w:rPr>
          <w:sz w:val="20"/>
          <w:szCs w:val="20"/>
          <w:color w:val="auto"/>
        </w:rPr>
      </w:pPr>
    </w:p>
    <w:p>
      <w:pPr>
        <w:spacing w:after="0" w:line="239" w:lineRule="auto"/>
        <w:rPr>
          <w:sz w:val="20"/>
          <w:szCs w:val="20"/>
          <w:color w:val="auto"/>
        </w:rPr>
      </w:pPr>
      <w:r>
        <w:rPr>
          <w:rFonts w:ascii="Arial" w:cs="Arial" w:eastAsia="Arial" w:hAnsi="Arial"/>
          <w:sz w:val="22"/>
          <w:szCs w:val="22"/>
          <w:color w:val="auto"/>
        </w:rPr>
        <w:t>AFUDC increased by $2,862 or 59.3% due to the increase in the average balance of utility plant construction work in progress, to which AFUDC is applied.</w:t>
      </w:r>
    </w:p>
    <w:p>
      <w:pPr>
        <w:spacing w:after="0" w:line="185" w:lineRule="exact"/>
        <w:rPr>
          <w:sz w:val="20"/>
          <w:szCs w:val="20"/>
          <w:color w:val="auto"/>
        </w:rPr>
      </w:pPr>
    </w:p>
    <w:p>
      <w:pPr>
        <w:ind w:right="60"/>
        <w:spacing w:after="0" w:line="313" w:lineRule="auto"/>
        <w:rPr>
          <w:sz w:val="20"/>
          <w:szCs w:val="20"/>
          <w:color w:val="auto"/>
        </w:rPr>
      </w:pPr>
      <w:r>
        <w:rPr>
          <w:rFonts w:ascii="Arial" w:cs="Arial" w:eastAsia="Arial" w:hAnsi="Arial"/>
          <w:sz w:val="19"/>
          <w:szCs w:val="19"/>
          <w:color w:val="auto"/>
        </w:rPr>
        <w:t>Other expense decreased by $3,736 primarily due to the decrease in the non-service cost component of our net benefit cost for pension benefits. This is driven by improved investment returns as a result of favorable market experience from the prior period.</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Regulated Natural Gas Segment</w:t>
      </w:r>
    </w:p>
    <w:p>
      <w:pPr>
        <w:spacing w:after="0" w:line="206" w:lineRule="exact"/>
        <w:rPr>
          <w:sz w:val="20"/>
          <w:szCs w:val="20"/>
          <w:color w:val="auto"/>
        </w:rPr>
      </w:pPr>
    </w:p>
    <w:p>
      <w:pPr>
        <w:ind w:right="40"/>
        <w:spacing w:after="0" w:line="230" w:lineRule="auto"/>
        <w:rPr>
          <w:sz w:val="20"/>
          <w:szCs w:val="20"/>
          <w:color w:val="auto"/>
        </w:rPr>
      </w:pPr>
      <w:r>
        <w:rPr>
          <w:rFonts w:ascii="Arial" w:cs="Arial" w:eastAsia="Arial" w:hAnsi="Arial"/>
          <w:sz w:val="21"/>
          <w:szCs w:val="21"/>
          <w:color w:val="auto"/>
        </w:rPr>
        <w:t>The operating results of Peoples is reported for the period after acquisition, such that the first quarter of 2020 only represented 16 days of operating results, compared to the full period in the first quarter of 2021. The variance of the operating results in the Regulated Natural Gas segment for the six months period ending June 30, 2021 is comprised of the first quarter difference which is largely attributable to the timing of the acquisition closing on March 16, 2020 plus the changes during the second quarter of 2021. Refer above for the analysis of the changes in the Regulated Natural Gas segment for the second quarter of 2021 compared to the second quarter of 2020. The variance of the operating results in the regulated natural gas segment for the timing of the acquisition closing, resulted in an increase in the following income statement amounts: $304,571 of operating revenues, $42,503 of operations and</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1" w:name="page52"/>
    <w:bookmarkEnd w:id="51"/>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53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539"/>
        <w:spacing w:after="0"/>
        <w:rPr>
          <w:sz w:val="20"/>
          <w:szCs w:val="20"/>
          <w:color w:val="auto"/>
        </w:rPr>
      </w:pPr>
      <w:r>
        <w:rPr>
          <w:rFonts w:ascii="Arial" w:cs="Arial" w:eastAsia="Arial" w:hAnsi="Arial"/>
          <w:sz w:val="22"/>
          <w:szCs w:val="22"/>
          <w:color w:val="auto"/>
        </w:rPr>
        <w:t>(In thousands of dollars, except per share amounts)</w:t>
      </w:r>
    </w:p>
    <w:p>
      <w:pPr>
        <w:spacing w:after="0" w:line="188" w:lineRule="exact"/>
        <w:rPr>
          <w:sz w:val="20"/>
          <w:szCs w:val="20"/>
          <w:color w:val="auto"/>
        </w:rPr>
      </w:pPr>
    </w:p>
    <w:p>
      <w:pPr>
        <w:spacing w:after="0" w:line="239" w:lineRule="auto"/>
        <w:rPr>
          <w:sz w:val="20"/>
          <w:szCs w:val="20"/>
          <w:color w:val="auto"/>
        </w:rPr>
      </w:pPr>
      <w:r>
        <w:rPr>
          <w:rFonts w:ascii="Arial" w:cs="Arial" w:eastAsia="Arial" w:hAnsi="Arial"/>
          <w:sz w:val="22"/>
          <w:szCs w:val="22"/>
          <w:color w:val="auto"/>
        </w:rPr>
        <w:t>maintenance expense, $110,118 of purchased gas expense, $23,021 of depreciation and amortization, $125,149 of operating income, and $105,853 of net income.</w:t>
      </w:r>
    </w:p>
    <w:p>
      <w:pPr>
        <w:spacing w:after="0" w:line="185" w:lineRule="exact"/>
        <w:rPr>
          <w:sz w:val="20"/>
          <w:szCs w:val="20"/>
          <w:color w:val="auto"/>
        </w:rPr>
      </w:pPr>
    </w:p>
    <w:p>
      <w:pPr>
        <w:ind w:left="3600"/>
        <w:spacing w:after="0"/>
        <w:rPr>
          <w:sz w:val="20"/>
          <w:szCs w:val="20"/>
          <w:color w:val="auto"/>
        </w:rPr>
      </w:pPr>
      <w:r>
        <w:rPr>
          <w:rFonts w:ascii="Arial" w:cs="Arial" w:eastAsia="Arial" w:hAnsi="Arial"/>
          <w:sz w:val="22"/>
          <w:szCs w:val="22"/>
          <w:u w:val="single" w:color="auto"/>
          <w:color w:val="auto"/>
        </w:rPr>
        <w:t>Impact of Recent Accounting Pronouncements</w:t>
      </w:r>
    </w:p>
    <w:p>
      <w:pPr>
        <w:spacing w:after="0" w:line="206" w:lineRule="exact"/>
        <w:rPr>
          <w:sz w:val="20"/>
          <w:szCs w:val="20"/>
          <w:color w:val="auto"/>
        </w:rPr>
      </w:pPr>
    </w:p>
    <w:p>
      <w:pPr>
        <w:ind w:right="580"/>
        <w:spacing w:after="0" w:line="239" w:lineRule="auto"/>
        <w:rPr>
          <w:sz w:val="20"/>
          <w:szCs w:val="20"/>
          <w:color w:val="auto"/>
        </w:rPr>
      </w:pPr>
      <w:r>
        <w:rPr>
          <w:rFonts w:ascii="Arial" w:cs="Arial" w:eastAsia="Arial" w:hAnsi="Arial"/>
          <w:sz w:val="22"/>
          <w:szCs w:val="22"/>
          <w:color w:val="auto"/>
        </w:rPr>
        <w:t xml:space="preserve">We describe the impact of recent accounting pronouncements in Note 16, </w:t>
      </w:r>
      <w:r>
        <w:rPr>
          <w:rFonts w:ascii="Arial" w:cs="Arial" w:eastAsia="Arial" w:hAnsi="Arial"/>
          <w:sz w:val="22"/>
          <w:szCs w:val="22"/>
          <w:i w:val="1"/>
          <w:iCs w:val="1"/>
          <w:color w:val="auto"/>
        </w:rPr>
        <w:t>Recent Accounting Pronouncements</w:t>
      </w:r>
      <w:r>
        <w:rPr>
          <w:rFonts w:ascii="Arial" w:cs="Arial" w:eastAsia="Arial" w:hAnsi="Arial"/>
          <w:sz w:val="22"/>
          <w:szCs w:val="22"/>
          <w:color w:val="auto"/>
        </w:rPr>
        <w:t>, to the consolidated financial statements in this report.</w:t>
      </w:r>
    </w:p>
    <w:p>
      <w:pPr>
        <w:spacing w:after="0" w:line="185" w:lineRule="exact"/>
        <w:rPr>
          <w:sz w:val="20"/>
          <w:szCs w:val="20"/>
          <w:color w:val="auto"/>
        </w:rPr>
      </w:pPr>
    </w:p>
    <w:p>
      <w:pPr>
        <w:jc w:val="center"/>
        <w:ind w:right="-53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18" w:right="879" w:bottom="1440" w:gutter="0" w:footer="0" w:header="0"/>
        </w:sectPr>
      </w:pPr>
    </w:p>
    <w:bookmarkStart w:id="52" w:name="page53"/>
    <w:bookmarkEnd w:id="52"/>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Item 3 – Quantitative and Qualitative Disclosures About Market Risk</w:t>
      </w:r>
    </w:p>
    <w:p>
      <w:pPr>
        <w:spacing w:after="0" w:line="206" w:lineRule="exact"/>
        <w:rPr>
          <w:sz w:val="20"/>
          <w:szCs w:val="20"/>
          <w:color w:val="auto"/>
        </w:rPr>
      </w:pPr>
    </w:p>
    <w:p>
      <w:pPr>
        <w:ind w:right="300"/>
        <w:spacing w:after="0" w:line="231" w:lineRule="auto"/>
        <w:rPr>
          <w:sz w:val="20"/>
          <w:szCs w:val="20"/>
          <w:color w:val="auto"/>
        </w:rPr>
      </w:pPr>
      <w:r>
        <w:rPr>
          <w:rFonts w:ascii="Arial" w:cs="Arial" w:eastAsia="Arial" w:hAnsi="Arial"/>
          <w:sz w:val="22"/>
          <w:szCs w:val="22"/>
          <w:color w:val="auto"/>
        </w:rPr>
        <w:t>We are subject to market risks in the normal course of business, including changes in interest rates and equity prices. Refer to Item 7A of the Company’s Annual Report on Form 10-K for the year ended December 31, 2020, filed March 1, 2021, for additional information on market risks.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Item 4 – Controls and Procedures</w:t>
      </w:r>
    </w:p>
    <w:p>
      <w:pPr>
        <w:spacing w:after="0" w:line="20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Evaluation of Disclosure Controls and Procedures</w:t>
      </w:r>
    </w:p>
    <w:p>
      <w:pPr>
        <w:spacing w:after="0" w:line="206" w:lineRule="exact"/>
        <w:rPr>
          <w:sz w:val="20"/>
          <w:szCs w:val="20"/>
          <w:color w:val="auto"/>
        </w:rPr>
      </w:pPr>
    </w:p>
    <w:p>
      <w:pPr>
        <w:ind w:right="20"/>
        <w:spacing w:after="0" w:line="262" w:lineRule="auto"/>
        <w:rPr>
          <w:sz w:val="20"/>
          <w:szCs w:val="20"/>
          <w:color w:val="auto"/>
        </w:rPr>
      </w:pPr>
      <w:r>
        <w:rPr>
          <w:rFonts w:ascii="Arial" w:cs="Arial" w:eastAsia="Arial" w:hAnsi="Arial"/>
          <w:sz w:val="19"/>
          <w:szCs w:val="19"/>
          <w:color w:val="auto"/>
        </w:rPr>
        <w:t>Our management, with the participation of our Chief Executive Officer and Chief Financial Officer, evaluated the effectiveness of our disclosure controls and procedures as of the end of the period covered by this report. Based on that evaluation, the Chief Executive Officer and Chief Financial Officer concluded that our disclosure controls and procedures as of the end of the period covered by this report are effective such that the information required to be disclosed by us in reports filed under the Securities Exchange Act of 1934 is (i) recorded, processed, summarized and reported within the time periods specified in the Securities and Exchange Commission’s rules and forms and (ii) accumulated and communicated to our management, including the Chief Executive Officer and Chief Financial Officer, as appropriate to allow timely decisions regarding disclosure.</w:t>
      </w:r>
    </w:p>
    <w:p>
      <w:pPr>
        <w:spacing w:after="0" w:line="166" w:lineRule="exact"/>
        <w:rPr>
          <w:sz w:val="20"/>
          <w:szCs w:val="20"/>
          <w:color w:val="auto"/>
        </w:rPr>
      </w:pPr>
    </w:p>
    <w:p>
      <w:pPr>
        <w:ind w:left="660" w:hanging="652"/>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Changes in Internal Control over Financial Reporting</w:t>
      </w:r>
    </w:p>
    <w:p>
      <w:pPr>
        <w:spacing w:after="0" w:line="206"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 xml:space="preserve">On March 16, 2020, we completed the Peoples Gas Acquisition. For additional information refer to Note 3 – </w:t>
      </w:r>
      <w:r>
        <w:rPr>
          <w:rFonts w:ascii="Arial" w:cs="Arial" w:eastAsia="Arial" w:hAnsi="Arial"/>
          <w:sz w:val="19"/>
          <w:szCs w:val="19"/>
          <w:i w:val="1"/>
          <w:iCs w:val="1"/>
          <w:color w:val="auto"/>
        </w:rPr>
        <w:t>Acquisitions</w:t>
      </w:r>
      <w:r>
        <w:rPr>
          <w:rFonts w:ascii="Arial" w:cs="Arial" w:eastAsia="Arial" w:hAnsi="Arial"/>
          <w:sz w:val="19"/>
          <w:szCs w:val="19"/>
          <w:color w:val="auto"/>
        </w:rPr>
        <w:t xml:space="preserve"> to the consolidated financial statements included in this report. We consider this acquisition material to our business, financial condition, and results of operations, and believe the changes in our internal controls and procedures as a result of the Peoples Gas Acquisition have a material effect on our internal control over financial reporting. During the time since acquisition, we have assessed the control environment and made certain changes in our internal control over financial reporting, including design changes, and we have performed testing of operating effectiveness over many of Peoples’ internal controls. We now consider the Peoples’ business to be included in the scope of our assessment over internal controls.</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Part II. Other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Item 1 – Legal Proceedings</w:t>
      </w:r>
    </w:p>
    <w:p>
      <w:pPr>
        <w:spacing w:after="0" w:line="206" w:lineRule="exact"/>
        <w:rPr>
          <w:sz w:val="20"/>
          <w:szCs w:val="20"/>
          <w:color w:val="auto"/>
        </w:rPr>
      </w:pPr>
    </w:p>
    <w:p>
      <w:pPr>
        <w:ind w:right="160"/>
        <w:spacing w:after="0" w:line="228" w:lineRule="auto"/>
        <w:rPr>
          <w:sz w:val="20"/>
          <w:szCs w:val="20"/>
          <w:color w:val="auto"/>
        </w:rPr>
      </w:pPr>
      <w:r>
        <w:rPr>
          <w:rFonts w:ascii="Arial" w:cs="Arial" w:eastAsia="Arial" w:hAnsi="Arial"/>
          <w:sz w:val="22"/>
          <w:szCs w:val="22"/>
          <w:color w:val="auto"/>
        </w:rPr>
        <w:t>We are party to various legal proceedings in the ordinary course of business. Although the results of these legal proceedings cannot be predicted with certainty, there are no pending legal proceedings to which we or any of our subsidiaries is a party or to which any of our properties is the subject that we believe are material or are expected to have a material adverse effect on our financial position, results of operations or cash flows.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Item 1A – Risk Factors</w:t>
      </w:r>
    </w:p>
    <w:p>
      <w:pPr>
        <w:spacing w:after="0" w:line="206" w:lineRule="exact"/>
        <w:rPr>
          <w:sz w:val="20"/>
          <w:szCs w:val="20"/>
          <w:color w:val="auto"/>
        </w:rPr>
      </w:pPr>
    </w:p>
    <w:p>
      <w:pPr>
        <w:ind w:right="40"/>
        <w:spacing w:after="0" w:line="239" w:lineRule="auto"/>
        <w:rPr>
          <w:sz w:val="20"/>
          <w:szCs w:val="20"/>
          <w:color w:val="auto"/>
        </w:rPr>
      </w:pPr>
      <w:r>
        <w:rPr>
          <w:rFonts w:ascii="Arial" w:cs="Arial" w:eastAsia="Arial" w:hAnsi="Arial"/>
          <w:sz w:val="22"/>
          <w:szCs w:val="22"/>
          <w:color w:val="auto"/>
        </w:rPr>
        <w:t>Please review the risks disclosed in our Annual Report on Form 10-K for the year ended December 31, 2020, under “Part 1, Item 1A – Risk Factors.”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3" w:name="page54"/>
    <w:bookmarkEnd w:id="53"/>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Item 2 – Unregistered Sales of Equity Securities and Use of Proceeds</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summarizes the Company’s purchases of its common stock for the quarter ended June 30, 2021: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4200" w:type="dxa"/>
            <w:vAlign w:val="bottom"/>
            <w:gridSpan w:val="6"/>
          </w:tcPr>
          <w:p>
            <w:pPr>
              <w:ind w:left="20"/>
              <w:spacing w:after="0"/>
              <w:rPr>
                <w:sz w:val="20"/>
                <w:szCs w:val="20"/>
                <w:color w:val="auto"/>
              </w:rPr>
            </w:pPr>
            <w:r>
              <w:rPr>
                <w:rFonts w:ascii="Arial" w:cs="Arial" w:eastAsia="Arial" w:hAnsi="Arial"/>
                <w:sz w:val="22"/>
                <w:szCs w:val="22"/>
                <w:color w:val="auto"/>
              </w:rPr>
              <w:t>Issuer Purchases of Equity Securities</w:t>
            </w:r>
          </w:p>
        </w:tc>
        <w:tc>
          <w:tcPr>
            <w:tcW w:w="1840" w:type="dxa"/>
            <w:vAlign w:val="bottom"/>
            <w:gridSpan w:val="2"/>
            <w:vMerge w:val="restart"/>
          </w:tcPr>
          <w:p>
            <w:pPr>
              <w:jc w:val="right"/>
              <w:ind w:right="260"/>
              <w:spacing w:after="0"/>
              <w:rPr>
                <w:sz w:val="20"/>
                <w:szCs w:val="20"/>
                <w:color w:val="auto"/>
              </w:rPr>
            </w:pPr>
            <w:r>
              <w:rPr>
                <w:rFonts w:ascii="Arial" w:cs="Arial" w:eastAsia="Arial" w:hAnsi="Arial"/>
                <w:sz w:val="22"/>
                <w:szCs w:val="22"/>
                <w:color w:val="auto"/>
              </w:rPr>
              <w:t>Total</w:t>
            </w:r>
          </w:p>
        </w:tc>
        <w:tc>
          <w:tcPr>
            <w:tcW w:w="1800" w:type="dxa"/>
            <w:vAlign w:val="bottom"/>
            <w:vMerge w:val="restart"/>
          </w:tcPr>
          <w:p>
            <w:pPr>
              <w:jc w:val="right"/>
              <w:spacing w:after="0"/>
              <w:rPr>
                <w:sz w:val="20"/>
                <w:szCs w:val="20"/>
                <w:color w:val="auto"/>
              </w:rPr>
            </w:pPr>
            <w:r>
              <w:rPr>
                <w:rFonts w:ascii="Arial" w:cs="Arial" w:eastAsia="Arial" w:hAnsi="Arial"/>
                <w:sz w:val="22"/>
                <w:szCs w:val="22"/>
                <w:color w:val="auto"/>
              </w:rPr>
              <w:t>Maximum</w:t>
            </w: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Number of</w:t>
            </w:r>
          </w:p>
        </w:tc>
        <w:tc>
          <w:tcPr>
            <w:tcW w:w="1800" w:type="dxa"/>
            <w:vAlign w:val="bottom"/>
          </w:tcPr>
          <w:p>
            <w:pPr>
              <w:jc w:val="right"/>
              <w:spacing w:after="0" w:line="229" w:lineRule="exact"/>
              <w:rPr>
                <w:sz w:val="20"/>
                <w:szCs w:val="20"/>
                <w:color w:val="auto"/>
              </w:rPr>
            </w:pPr>
            <w:r>
              <w:rPr>
                <w:rFonts w:ascii="Arial" w:cs="Arial" w:eastAsia="Arial" w:hAnsi="Arial"/>
                <w:sz w:val="22"/>
                <w:szCs w:val="22"/>
                <w:color w:val="auto"/>
              </w:rPr>
              <w:t>Number of</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Shares</w:t>
            </w:r>
          </w:p>
        </w:tc>
        <w:tc>
          <w:tcPr>
            <w:tcW w:w="1800" w:type="dxa"/>
            <w:vAlign w:val="bottom"/>
          </w:tcPr>
          <w:p>
            <w:pPr>
              <w:jc w:val="right"/>
              <w:spacing w:after="0" w:line="229" w:lineRule="exact"/>
              <w:rPr>
                <w:sz w:val="20"/>
                <w:szCs w:val="20"/>
                <w:color w:val="auto"/>
              </w:rPr>
            </w:pPr>
            <w:r>
              <w:rPr>
                <w:rFonts w:ascii="Arial" w:cs="Arial" w:eastAsia="Arial" w:hAnsi="Arial"/>
                <w:sz w:val="22"/>
                <w:szCs w:val="22"/>
                <w:color w:val="auto"/>
              </w:rPr>
              <w:t>Shares</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Purchased</w:t>
            </w:r>
          </w:p>
        </w:tc>
        <w:tc>
          <w:tcPr>
            <w:tcW w:w="1800" w:type="dxa"/>
            <w:vAlign w:val="bottom"/>
          </w:tcPr>
          <w:p>
            <w:pPr>
              <w:jc w:val="right"/>
              <w:spacing w:after="0" w:line="229" w:lineRule="exact"/>
              <w:rPr>
                <w:sz w:val="20"/>
                <w:szCs w:val="20"/>
                <w:color w:val="auto"/>
              </w:rPr>
            </w:pPr>
            <w:r>
              <w:rPr>
                <w:rFonts w:ascii="Arial" w:cs="Arial" w:eastAsia="Arial" w:hAnsi="Arial"/>
                <w:sz w:val="22"/>
                <w:szCs w:val="22"/>
                <w:color w:val="auto"/>
              </w:rPr>
              <w:t>that May</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as Part of</w:t>
            </w:r>
          </w:p>
        </w:tc>
        <w:tc>
          <w:tcPr>
            <w:tcW w:w="1800" w:type="dxa"/>
            <w:vAlign w:val="bottom"/>
          </w:tcPr>
          <w:p>
            <w:pPr>
              <w:jc w:val="right"/>
              <w:spacing w:after="0" w:line="229" w:lineRule="exact"/>
              <w:rPr>
                <w:sz w:val="20"/>
                <w:szCs w:val="20"/>
                <w:color w:val="auto"/>
              </w:rPr>
            </w:pPr>
            <w:r>
              <w:rPr>
                <w:rFonts w:ascii="Arial" w:cs="Arial" w:eastAsia="Arial" w:hAnsi="Arial"/>
                <w:sz w:val="22"/>
                <w:szCs w:val="22"/>
                <w:color w:val="auto"/>
              </w:rPr>
              <w:t>Yet be</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22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Total</w:t>
            </w: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Publicly</w:t>
            </w:r>
          </w:p>
        </w:tc>
        <w:tc>
          <w:tcPr>
            <w:tcW w:w="1800" w:type="dxa"/>
            <w:vAlign w:val="bottom"/>
          </w:tcPr>
          <w:p>
            <w:pPr>
              <w:jc w:val="right"/>
              <w:spacing w:after="0" w:line="229" w:lineRule="exact"/>
              <w:rPr>
                <w:sz w:val="20"/>
                <w:szCs w:val="20"/>
                <w:color w:val="auto"/>
              </w:rPr>
            </w:pPr>
            <w:r>
              <w:rPr>
                <w:rFonts w:ascii="Arial" w:cs="Arial" w:eastAsia="Arial" w:hAnsi="Arial"/>
                <w:sz w:val="22"/>
                <w:szCs w:val="22"/>
                <w:color w:val="auto"/>
              </w:rPr>
              <w:t>Purchased</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22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Number</w:t>
            </w: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w w:val="85"/>
              </w:rPr>
              <w:t>Average</w:t>
            </w:r>
          </w:p>
        </w:tc>
        <w:tc>
          <w:tcPr>
            <w:tcW w:w="184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Announced</w:t>
            </w:r>
          </w:p>
        </w:tc>
        <w:tc>
          <w:tcPr>
            <w:tcW w:w="1800" w:type="dxa"/>
            <w:vAlign w:val="bottom"/>
          </w:tcPr>
          <w:p>
            <w:pPr>
              <w:jc w:val="right"/>
              <w:spacing w:after="0" w:line="229" w:lineRule="exact"/>
              <w:rPr>
                <w:sz w:val="20"/>
                <w:szCs w:val="20"/>
                <w:color w:val="auto"/>
              </w:rPr>
            </w:pPr>
            <w:r>
              <w:rPr>
                <w:rFonts w:ascii="Arial" w:cs="Arial" w:eastAsia="Arial" w:hAnsi="Arial"/>
                <w:sz w:val="22"/>
                <w:szCs w:val="22"/>
                <w:color w:val="auto"/>
              </w:rPr>
              <w:t>Under the</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22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of Shares</w:t>
            </w:r>
          </w:p>
        </w:tc>
        <w:tc>
          <w:tcPr>
            <w:tcW w:w="480" w:type="dxa"/>
            <w:vAlign w:val="bottom"/>
          </w:tcPr>
          <w:p>
            <w:pPr>
              <w:spacing w:after="0"/>
              <w:rPr>
                <w:sz w:val="19"/>
                <w:szCs w:val="19"/>
                <w:color w:val="auto"/>
              </w:rPr>
            </w:pPr>
          </w:p>
        </w:tc>
        <w:tc>
          <w:tcPr>
            <w:tcW w:w="1500" w:type="dxa"/>
            <w:vAlign w:val="bottom"/>
            <w:gridSpan w:val="3"/>
          </w:tcPr>
          <w:p>
            <w:pPr>
              <w:jc w:val="right"/>
              <w:ind w:right="260"/>
              <w:spacing w:after="0" w:line="229" w:lineRule="exact"/>
              <w:rPr>
                <w:sz w:val="20"/>
                <w:szCs w:val="20"/>
                <w:color w:val="auto"/>
              </w:rPr>
            </w:pPr>
            <w:r>
              <w:rPr>
                <w:rFonts w:ascii="Arial" w:cs="Arial" w:eastAsia="Arial" w:hAnsi="Arial"/>
                <w:sz w:val="22"/>
                <w:szCs w:val="22"/>
                <w:color w:val="auto"/>
              </w:rPr>
              <w:t>Price Paid</w:t>
            </w:r>
          </w:p>
        </w:tc>
        <w:tc>
          <w:tcPr>
            <w:tcW w:w="184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Plans or</w:t>
            </w:r>
          </w:p>
        </w:tc>
        <w:tc>
          <w:tcPr>
            <w:tcW w:w="1800" w:type="dxa"/>
            <w:vAlign w:val="bottom"/>
          </w:tcPr>
          <w:p>
            <w:pPr>
              <w:jc w:val="right"/>
              <w:spacing w:after="0" w:line="229" w:lineRule="exact"/>
              <w:rPr>
                <w:sz w:val="20"/>
                <w:szCs w:val="20"/>
                <w:color w:val="auto"/>
              </w:rPr>
            </w:pPr>
            <w:r>
              <w:rPr>
                <w:rFonts w:ascii="Arial" w:cs="Arial" w:eastAsia="Arial" w:hAnsi="Arial"/>
                <w:sz w:val="22"/>
                <w:szCs w:val="22"/>
                <w:color w:val="auto"/>
              </w:rPr>
              <w:t>Plan or</w:t>
            </w:r>
          </w:p>
        </w:tc>
        <w:tc>
          <w:tcPr>
            <w:tcW w:w="0" w:type="dxa"/>
            <w:vAlign w:val="bottom"/>
          </w:tcPr>
          <w:p>
            <w:pPr>
              <w:spacing w:after="0"/>
              <w:rPr>
                <w:sz w:val="1"/>
                <w:szCs w:val="1"/>
                <w:color w:val="auto"/>
              </w:rPr>
            </w:pPr>
          </w:p>
        </w:tc>
      </w:tr>
      <w:tr>
        <w:trPr>
          <w:trHeight w:val="224"/>
        </w:trPr>
        <w:tc>
          <w:tcPr>
            <w:tcW w:w="3400" w:type="dxa"/>
            <w:vAlign w:val="bottom"/>
            <w:gridSpan w:val="2"/>
          </w:tcPr>
          <w:p>
            <w:pPr>
              <w:spacing w:after="0" w:line="224" w:lineRule="exact"/>
              <w:rPr>
                <w:sz w:val="20"/>
                <w:szCs w:val="20"/>
                <w:color w:val="auto"/>
              </w:rPr>
            </w:pPr>
            <w:r>
              <w:rPr>
                <w:rFonts w:ascii="Arial" w:cs="Arial" w:eastAsia="Arial" w:hAnsi="Arial"/>
                <w:sz w:val="22"/>
                <w:szCs w:val="22"/>
                <w:color w:val="auto"/>
              </w:rPr>
              <w:t>Period</w:t>
            </w:r>
          </w:p>
        </w:tc>
        <w:tc>
          <w:tcPr>
            <w:tcW w:w="2220" w:type="dxa"/>
            <w:vAlign w:val="bottom"/>
            <w:gridSpan w:val="2"/>
          </w:tcPr>
          <w:p>
            <w:pPr>
              <w:jc w:val="right"/>
              <w:ind w:right="260"/>
              <w:spacing w:after="0" w:line="224" w:lineRule="exact"/>
              <w:rPr>
                <w:sz w:val="20"/>
                <w:szCs w:val="20"/>
                <w:color w:val="auto"/>
              </w:rPr>
            </w:pPr>
            <w:r>
              <w:rPr>
                <w:rFonts w:ascii="Arial" w:cs="Arial" w:eastAsia="Arial" w:hAnsi="Arial"/>
                <w:sz w:val="22"/>
                <w:szCs w:val="22"/>
                <w:color w:val="auto"/>
              </w:rPr>
              <w:t>Purchased (1)</w:t>
            </w:r>
          </w:p>
        </w:tc>
        <w:tc>
          <w:tcPr>
            <w:tcW w:w="480" w:type="dxa"/>
            <w:vAlign w:val="bottom"/>
          </w:tcPr>
          <w:p>
            <w:pPr>
              <w:spacing w:after="0"/>
              <w:rPr>
                <w:sz w:val="19"/>
                <w:szCs w:val="19"/>
                <w:color w:val="auto"/>
              </w:rPr>
            </w:pPr>
          </w:p>
        </w:tc>
        <w:tc>
          <w:tcPr>
            <w:tcW w:w="1500" w:type="dxa"/>
            <w:vAlign w:val="bottom"/>
            <w:gridSpan w:val="3"/>
          </w:tcPr>
          <w:p>
            <w:pPr>
              <w:jc w:val="right"/>
              <w:ind w:right="260"/>
              <w:spacing w:after="0" w:line="224" w:lineRule="exact"/>
              <w:rPr>
                <w:sz w:val="20"/>
                <w:szCs w:val="20"/>
                <w:color w:val="auto"/>
              </w:rPr>
            </w:pPr>
            <w:r>
              <w:rPr>
                <w:rFonts w:ascii="Arial" w:cs="Arial" w:eastAsia="Arial" w:hAnsi="Arial"/>
                <w:sz w:val="22"/>
                <w:szCs w:val="22"/>
                <w:color w:val="auto"/>
              </w:rPr>
              <w:t>per Share</w:t>
            </w:r>
          </w:p>
        </w:tc>
        <w:tc>
          <w:tcPr>
            <w:tcW w:w="1840" w:type="dxa"/>
            <w:vAlign w:val="bottom"/>
            <w:gridSpan w:val="2"/>
          </w:tcPr>
          <w:p>
            <w:pPr>
              <w:jc w:val="right"/>
              <w:ind w:right="260"/>
              <w:spacing w:after="0" w:line="224" w:lineRule="exact"/>
              <w:rPr>
                <w:sz w:val="20"/>
                <w:szCs w:val="20"/>
                <w:color w:val="auto"/>
              </w:rPr>
            </w:pPr>
            <w:r>
              <w:rPr>
                <w:rFonts w:ascii="Arial" w:cs="Arial" w:eastAsia="Arial" w:hAnsi="Arial"/>
                <w:sz w:val="22"/>
                <w:szCs w:val="22"/>
                <w:color w:val="auto"/>
              </w:rPr>
              <w:t>Programs</w:t>
            </w:r>
          </w:p>
        </w:tc>
        <w:tc>
          <w:tcPr>
            <w:tcW w:w="1800" w:type="dxa"/>
            <w:vAlign w:val="bottom"/>
          </w:tcPr>
          <w:p>
            <w:pPr>
              <w:jc w:val="right"/>
              <w:spacing w:after="0" w:line="224" w:lineRule="exact"/>
              <w:rPr>
                <w:sz w:val="20"/>
                <w:szCs w:val="20"/>
                <w:color w:val="auto"/>
              </w:rPr>
            </w:pPr>
            <w:r>
              <w:rPr>
                <w:rFonts w:ascii="Arial" w:cs="Arial" w:eastAsia="Arial" w:hAnsi="Arial"/>
                <w:sz w:val="22"/>
                <w:szCs w:val="22"/>
                <w:color w:val="auto"/>
              </w:rPr>
              <w:t>Programs</w:t>
            </w:r>
          </w:p>
        </w:tc>
        <w:tc>
          <w:tcPr>
            <w:tcW w:w="0" w:type="dxa"/>
            <w:vAlign w:val="bottom"/>
          </w:tcPr>
          <w:p>
            <w:pPr>
              <w:spacing w:after="0"/>
              <w:rPr>
                <w:sz w:val="1"/>
                <w:szCs w:val="1"/>
                <w:color w:val="auto"/>
              </w:rPr>
            </w:pPr>
          </w:p>
        </w:tc>
      </w:tr>
      <w:tr>
        <w:trPr>
          <w:trHeight w:val="20"/>
        </w:trPr>
        <w:tc>
          <w:tcPr>
            <w:tcW w:w="580" w:type="dxa"/>
            <w:vAlign w:val="bottom"/>
            <w:tcBorders>
              <w:top w:val="single" w:sz="8" w:color="auto"/>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gridSpan w:val="2"/>
            <w:shd w:val="clear" w:color="auto" w:fill="CCEEFF"/>
          </w:tcPr>
          <w:p>
            <w:pPr>
              <w:spacing w:after="0" w:line="210" w:lineRule="exact"/>
              <w:rPr>
                <w:sz w:val="20"/>
                <w:szCs w:val="20"/>
                <w:color w:val="auto"/>
              </w:rPr>
            </w:pPr>
            <w:r>
              <w:rPr>
                <w:rFonts w:ascii="Arial" w:cs="Arial" w:eastAsia="Arial" w:hAnsi="Arial"/>
                <w:sz w:val="22"/>
                <w:szCs w:val="22"/>
                <w:color w:val="auto"/>
              </w:rPr>
              <w:t>April 1 - 30, 2021</w:t>
            </w:r>
          </w:p>
        </w:tc>
        <w:tc>
          <w:tcPr>
            <w:tcW w:w="1960" w:type="dxa"/>
            <w:vAlign w:val="bottom"/>
            <w:shd w:val="clear" w:color="auto" w:fill="CCEEFF"/>
          </w:tcPr>
          <w:p>
            <w:pPr>
              <w:jc w:val="right"/>
              <w:spacing w:after="0" w:line="210" w:lineRule="exact"/>
              <w:rPr>
                <w:sz w:val="20"/>
                <w:szCs w:val="20"/>
                <w:color w:val="auto"/>
              </w:rPr>
            </w:pPr>
            <w:r>
              <w:rPr>
                <w:rFonts w:ascii="Arial" w:cs="Arial" w:eastAsia="Arial" w:hAnsi="Arial"/>
                <w:sz w:val="22"/>
                <w:szCs w:val="22"/>
                <w:color w:val="auto"/>
              </w:rPr>
              <w:t>219</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52"/>
              <w:spacing w:after="0" w:line="210" w:lineRule="exact"/>
              <w:rPr>
                <w:sz w:val="20"/>
                <w:szCs w:val="20"/>
                <w:color w:val="auto"/>
              </w:rPr>
            </w:pPr>
            <w:r>
              <w:rPr>
                <w:rFonts w:ascii="Arial" w:cs="Arial" w:eastAsia="Arial" w:hAnsi="Arial"/>
                <w:sz w:val="22"/>
                <w:szCs w:val="22"/>
                <w:color w:val="auto"/>
                <w:w w:val="81"/>
              </w:rPr>
              <w:t>$</w:t>
            </w:r>
          </w:p>
        </w:tc>
        <w:tc>
          <w:tcPr>
            <w:tcW w:w="1240" w:type="dxa"/>
            <w:vAlign w:val="bottom"/>
            <w:gridSpan w:val="2"/>
            <w:shd w:val="clear" w:color="auto" w:fill="CCEEFF"/>
          </w:tcPr>
          <w:p>
            <w:pPr>
              <w:jc w:val="right"/>
              <w:spacing w:after="0" w:line="210" w:lineRule="exact"/>
              <w:rPr>
                <w:sz w:val="20"/>
                <w:szCs w:val="20"/>
                <w:color w:val="auto"/>
              </w:rPr>
            </w:pPr>
            <w:r>
              <w:rPr>
                <w:rFonts w:ascii="Arial" w:cs="Arial" w:eastAsia="Arial" w:hAnsi="Arial"/>
                <w:sz w:val="22"/>
                <w:szCs w:val="22"/>
                <w:color w:val="auto"/>
              </w:rPr>
              <w:t>44.29</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line="210" w:lineRule="exact"/>
              <w:rPr>
                <w:sz w:val="20"/>
                <w:szCs w:val="20"/>
                <w:color w:val="auto"/>
              </w:rPr>
            </w:pPr>
            <w:r>
              <w:rPr>
                <w:rFonts w:ascii="Arial" w:cs="Arial" w:eastAsia="Arial" w:hAnsi="Arial"/>
                <w:sz w:val="22"/>
                <w:szCs w:val="22"/>
                <w:color w:val="auto"/>
              </w:rPr>
              <w:t>-</w:t>
            </w: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line="210"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29"/>
        </w:trPr>
        <w:tc>
          <w:tcPr>
            <w:tcW w:w="3400" w:type="dxa"/>
            <w:vAlign w:val="bottom"/>
            <w:gridSpan w:val="2"/>
          </w:tcPr>
          <w:p>
            <w:pPr>
              <w:spacing w:after="0" w:line="229" w:lineRule="exact"/>
              <w:rPr>
                <w:sz w:val="20"/>
                <w:szCs w:val="20"/>
                <w:color w:val="auto"/>
              </w:rPr>
            </w:pPr>
            <w:r>
              <w:rPr>
                <w:rFonts w:ascii="Arial" w:cs="Arial" w:eastAsia="Arial" w:hAnsi="Arial"/>
                <w:sz w:val="22"/>
                <w:szCs w:val="22"/>
                <w:color w:val="auto"/>
              </w:rPr>
              <w:t>May 1 -31, 2021</w:t>
            </w:r>
          </w:p>
        </w:tc>
        <w:tc>
          <w:tcPr>
            <w:tcW w:w="1960" w:type="dxa"/>
            <w:vAlign w:val="bottom"/>
          </w:tcPr>
          <w:p>
            <w:pPr>
              <w:jc w:val="right"/>
              <w:spacing w:after="0" w:line="229" w:lineRule="exact"/>
              <w:rPr>
                <w:sz w:val="20"/>
                <w:szCs w:val="20"/>
                <w:color w:val="auto"/>
              </w:rPr>
            </w:pPr>
            <w:r>
              <w:rPr>
                <w:rFonts w:ascii="Arial" w:cs="Arial" w:eastAsia="Arial" w:hAnsi="Arial"/>
                <w:sz w:val="22"/>
                <w:szCs w:val="22"/>
                <w:color w:val="auto"/>
              </w:rPr>
              <w:t>143</w:t>
            </w:r>
          </w:p>
        </w:tc>
        <w:tc>
          <w:tcPr>
            <w:tcW w:w="260" w:type="dxa"/>
            <w:vAlign w:val="bottom"/>
          </w:tcPr>
          <w:p>
            <w:pPr>
              <w:spacing w:after="0"/>
              <w:rPr>
                <w:sz w:val="19"/>
                <w:szCs w:val="19"/>
                <w:color w:val="auto"/>
              </w:rPr>
            </w:pPr>
          </w:p>
        </w:tc>
        <w:tc>
          <w:tcPr>
            <w:tcW w:w="480" w:type="dxa"/>
            <w:vAlign w:val="bottom"/>
          </w:tcPr>
          <w:p>
            <w:pPr>
              <w:jc w:val="right"/>
              <w:ind w:right="252"/>
              <w:spacing w:after="0" w:line="229" w:lineRule="exact"/>
              <w:rPr>
                <w:sz w:val="20"/>
                <w:szCs w:val="20"/>
                <w:color w:val="auto"/>
              </w:rPr>
            </w:pPr>
            <w:r>
              <w:rPr>
                <w:rFonts w:ascii="Arial" w:cs="Arial" w:eastAsia="Arial" w:hAnsi="Arial"/>
                <w:sz w:val="22"/>
                <w:szCs w:val="22"/>
                <w:color w:val="auto"/>
                <w:w w:val="81"/>
              </w:rPr>
              <w:t>$</w:t>
            </w:r>
          </w:p>
        </w:tc>
        <w:tc>
          <w:tcPr>
            <w:tcW w:w="1240" w:type="dxa"/>
            <w:vAlign w:val="bottom"/>
            <w:gridSpan w:val="2"/>
          </w:tcPr>
          <w:p>
            <w:pPr>
              <w:jc w:val="right"/>
              <w:spacing w:after="0" w:line="229" w:lineRule="exact"/>
              <w:rPr>
                <w:sz w:val="20"/>
                <w:szCs w:val="20"/>
                <w:color w:val="auto"/>
              </w:rPr>
            </w:pPr>
            <w:r>
              <w:rPr>
                <w:rFonts w:ascii="Arial" w:cs="Arial" w:eastAsia="Arial" w:hAnsi="Arial"/>
                <w:sz w:val="22"/>
                <w:szCs w:val="22"/>
                <w:color w:val="auto"/>
              </w:rPr>
              <w:t>45.69</w:t>
            </w:r>
          </w:p>
        </w:tc>
        <w:tc>
          <w:tcPr>
            <w:tcW w:w="260" w:type="dxa"/>
            <w:vAlign w:val="bottom"/>
          </w:tcPr>
          <w:p>
            <w:pPr>
              <w:spacing w:after="0"/>
              <w:rPr>
                <w:sz w:val="19"/>
                <w:szCs w:val="19"/>
                <w:color w:val="auto"/>
              </w:rPr>
            </w:pPr>
          </w:p>
        </w:tc>
        <w:tc>
          <w:tcPr>
            <w:tcW w:w="158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260" w:type="dxa"/>
            <w:vAlign w:val="bottom"/>
          </w:tcPr>
          <w:p>
            <w:pPr>
              <w:spacing w:after="0"/>
              <w:rPr>
                <w:sz w:val="19"/>
                <w:szCs w:val="19"/>
                <w:color w:val="auto"/>
              </w:rPr>
            </w:pPr>
          </w:p>
        </w:tc>
        <w:tc>
          <w:tcPr>
            <w:tcW w:w="180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0"/>
        </w:trPr>
        <w:tc>
          <w:tcPr>
            <w:tcW w:w="3400" w:type="dxa"/>
            <w:vAlign w:val="bottom"/>
            <w:gridSpan w:val="2"/>
            <w:shd w:val="clear" w:color="auto" w:fill="CCEEFF"/>
          </w:tcPr>
          <w:p>
            <w:pPr>
              <w:spacing w:after="0" w:line="229" w:lineRule="exact"/>
              <w:rPr>
                <w:sz w:val="20"/>
                <w:szCs w:val="20"/>
                <w:color w:val="auto"/>
              </w:rPr>
            </w:pPr>
            <w:r>
              <w:rPr>
                <w:rFonts w:ascii="Arial" w:cs="Arial" w:eastAsia="Arial" w:hAnsi="Arial"/>
                <w:sz w:val="22"/>
                <w:szCs w:val="22"/>
                <w:color w:val="auto"/>
              </w:rPr>
              <w:t>June 1 - 30, 2021</w:t>
            </w:r>
          </w:p>
        </w:tc>
        <w:tc>
          <w:tcPr>
            <w:tcW w:w="196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2</w:t>
            </w:r>
          </w:p>
        </w:tc>
        <w:tc>
          <w:tcPr>
            <w:tcW w:w="2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52"/>
              <w:spacing w:after="0" w:line="229" w:lineRule="exact"/>
              <w:rPr>
                <w:sz w:val="20"/>
                <w:szCs w:val="20"/>
                <w:color w:val="auto"/>
              </w:rPr>
            </w:pPr>
            <w:r>
              <w:rPr>
                <w:rFonts w:ascii="Arial" w:cs="Arial" w:eastAsia="Arial" w:hAnsi="Arial"/>
                <w:sz w:val="22"/>
                <w:szCs w:val="22"/>
                <w:color w:val="auto"/>
                <w:w w:val="81"/>
              </w:rPr>
              <w:t>$</w:t>
            </w:r>
          </w:p>
        </w:tc>
        <w:tc>
          <w:tcPr>
            <w:tcW w:w="1240" w:type="dxa"/>
            <w:vAlign w:val="bottom"/>
            <w:tcBorders>
              <w:bottom w:val="single" w:sz="8" w:color="auto"/>
            </w:tcBorders>
            <w:gridSpan w:val="2"/>
            <w:shd w:val="clear" w:color="auto" w:fill="CCEEFF"/>
          </w:tcPr>
          <w:p>
            <w:pPr>
              <w:jc w:val="right"/>
              <w:spacing w:after="0" w:line="229" w:lineRule="exact"/>
              <w:rPr>
                <w:sz w:val="20"/>
                <w:szCs w:val="20"/>
                <w:color w:val="auto"/>
              </w:rPr>
            </w:pPr>
            <w:r>
              <w:rPr>
                <w:rFonts w:ascii="Arial" w:cs="Arial" w:eastAsia="Arial" w:hAnsi="Arial"/>
                <w:sz w:val="22"/>
                <w:szCs w:val="22"/>
                <w:color w:val="auto"/>
              </w:rPr>
              <w:t>45.61</w:t>
            </w:r>
          </w:p>
        </w:tc>
        <w:tc>
          <w:tcPr>
            <w:tcW w:w="26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w:t>
            </w:r>
          </w:p>
        </w:tc>
        <w:tc>
          <w:tcPr>
            <w:tcW w:w="26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23"/>
        </w:trPr>
        <w:tc>
          <w:tcPr>
            <w:tcW w:w="3400" w:type="dxa"/>
            <w:vAlign w:val="bottom"/>
            <w:gridSpan w:val="2"/>
          </w:tcPr>
          <w:p>
            <w:pPr>
              <w:spacing w:after="0" w:line="223" w:lineRule="exact"/>
              <w:rPr>
                <w:sz w:val="20"/>
                <w:szCs w:val="20"/>
                <w:color w:val="auto"/>
              </w:rPr>
            </w:pPr>
            <w:r>
              <w:rPr>
                <w:rFonts w:ascii="Arial" w:cs="Arial" w:eastAsia="Arial" w:hAnsi="Arial"/>
                <w:sz w:val="22"/>
                <w:szCs w:val="22"/>
                <w:color w:val="auto"/>
              </w:rPr>
              <w:t>Total</w:t>
            </w:r>
          </w:p>
        </w:tc>
        <w:tc>
          <w:tcPr>
            <w:tcW w:w="19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364</w:t>
            </w:r>
          </w:p>
        </w:tc>
        <w:tc>
          <w:tcPr>
            <w:tcW w:w="260" w:type="dxa"/>
            <w:vAlign w:val="bottom"/>
          </w:tcPr>
          <w:p>
            <w:pPr>
              <w:spacing w:after="0"/>
              <w:rPr>
                <w:sz w:val="19"/>
                <w:szCs w:val="19"/>
                <w:color w:val="auto"/>
              </w:rPr>
            </w:pPr>
          </w:p>
        </w:tc>
        <w:tc>
          <w:tcPr>
            <w:tcW w:w="480" w:type="dxa"/>
            <w:vAlign w:val="bottom"/>
            <w:tcBorders>
              <w:bottom w:val="single" w:sz="8" w:color="auto"/>
            </w:tcBorders>
          </w:tcPr>
          <w:p>
            <w:pPr>
              <w:jc w:val="right"/>
              <w:ind w:right="252"/>
              <w:spacing w:after="0" w:line="223" w:lineRule="exact"/>
              <w:rPr>
                <w:sz w:val="20"/>
                <w:szCs w:val="20"/>
                <w:color w:val="auto"/>
              </w:rPr>
            </w:pPr>
            <w:r>
              <w:rPr>
                <w:rFonts w:ascii="Arial" w:cs="Arial" w:eastAsia="Arial" w:hAnsi="Arial"/>
                <w:sz w:val="22"/>
                <w:szCs w:val="22"/>
                <w:color w:val="auto"/>
                <w:w w:val="81"/>
              </w:rPr>
              <w:t>$</w:t>
            </w:r>
          </w:p>
        </w:tc>
        <w:tc>
          <w:tcPr>
            <w:tcW w:w="1240" w:type="dxa"/>
            <w:vAlign w:val="bottom"/>
            <w:tcBorders>
              <w:bottom w:val="single" w:sz="8" w:color="auto"/>
            </w:tcBorders>
            <w:gridSpan w:val="2"/>
          </w:tcPr>
          <w:p>
            <w:pPr>
              <w:jc w:val="right"/>
              <w:spacing w:after="0" w:line="223" w:lineRule="exact"/>
              <w:rPr>
                <w:sz w:val="20"/>
                <w:szCs w:val="20"/>
                <w:color w:val="auto"/>
              </w:rPr>
            </w:pPr>
            <w:r>
              <w:rPr>
                <w:rFonts w:ascii="Arial" w:cs="Arial" w:eastAsia="Arial" w:hAnsi="Arial"/>
                <w:sz w:val="22"/>
                <w:szCs w:val="22"/>
                <w:color w:val="auto"/>
              </w:rPr>
              <w:t>44.85</w:t>
            </w:r>
          </w:p>
        </w:tc>
        <w:tc>
          <w:tcPr>
            <w:tcW w:w="260" w:type="dxa"/>
            <w:vAlign w:val="bottom"/>
          </w:tcPr>
          <w:p>
            <w:pPr>
              <w:spacing w:after="0"/>
              <w:rPr>
                <w:sz w:val="19"/>
                <w:szCs w:val="19"/>
                <w:color w:val="auto"/>
              </w:rPr>
            </w:pPr>
          </w:p>
        </w:tc>
        <w:tc>
          <w:tcPr>
            <w:tcW w:w="15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w:t>
            </w:r>
          </w:p>
        </w:tc>
        <w:tc>
          <w:tcPr>
            <w:tcW w:w="260" w:type="dxa"/>
            <w:vAlign w:val="bottom"/>
          </w:tcPr>
          <w:p>
            <w:pPr>
              <w:spacing w:after="0"/>
              <w:rPr>
                <w:sz w:val="19"/>
                <w:szCs w:val="19"/>
                <w:color w:val="auto"/>
              </w:rPr>
            </w:pPr>
          </w:p>
        </w:tc>
        <w:tc>
          <w:tcPr>
            <w:tcW w:w="18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660" w:right="20" w:hanging="328"/>
        <w:spacing w:after="0" w:line="272" w:lineRule="auto"/>
        <w:tabs>
          <w:tab w:leader="none" w:pos="660"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These amounts consist of 364 shares we acquired from employees associated with the withholding of shares to pay certain withholding taxes upon the vesting of stock-based compensation. This feature of our equity compensation plan is available to all employees who receive stock-based compensation under the plan. We purchased these shares at their fair market value, as determined by reference to the closing price of our common stock on the day prior to the award vesting.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53"/>
        </w:trPr>
        <w:tc>
          <w:tcPr>
            <w:tcW w:w="2120" w:type="dxa"/>
            <w:vAlign w:val="bottom"/>
            <w:gridSpan w:val="3"/>
          </w:tcPr>
          <w:p>
            <w:pPr>
              <w:spacing w:after="0"/>
              <w:rPr>
                <w:rFonts w:ascii="Arial" w:cs="Arial" w:eastAsia="Arial" w:hAnsi="Arial"/>
                <w:sz w:val="22"/>
                <w:szCs w:val="22"/>
                <w:color w:val="0563C1"/>
              </w:rPr>
            </w:pPr>
            <w:hyperlink w:anchor="page2">
              <w:r>
                <w:rPr>
                  <w:rFonts w:ascii="Arial" w:cs="Arial" w:eastAsia="Arial" w:hAnsi="Arial"/>
                  <w:sz w:val="22"/>
                  <w:szCs w:val="22"/>
                  <w:color w:val="0563C1"/>
                </w:rPr>
                <w:t>Table of Contents</w:t>
              </w:r>
            </w:hyperlink>
          </w:p>
        </w:tc>
        <w:tc>
          <w:tcPr>
            <w:tcW w:w="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773"/>
        </w:trPr>
        <w:tc>
          <w:tcPr>
            <w:tcW w:w="1540" w:type="dxa"/>
            <w:vAlign w:val="bottom"/>
            <w:tcBorders>
              <w:top w:val="single" w:sz="8" w:color="0563C1"/>
            </w:tcBorders>
          </w:tcPr>
          <w:p>
            <w:pPr>
              <w:spacing w:after="0"/>
              <w:rPr>
                <w:sz w:val="20"/>
                <w:szCs w:val="20"/>
                <w:color w:val="auto"/>
              </w:rPr>
            </w:pPr>
            <w:r>
              <w:rPr>
                <w:rFonts w:ascii="Arial" w:cs="Arial" w:eastAsia="Arial" w:hAnsi="Arial"/>
                <w:sz w:val="22"/>
                <w:szCs w:val="22"/>
                <w:color w:val="auto"/>
                <w:w w:val="93"/>
              </w:rPr>
              <w:t>Item 6 – Exhibits</w:t>
            </w:r>
          </w:p>
        </w:tc>
        <w:tc>
          <w:tcPr>
            <w:tcW w:w="5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90"/>
        </w:trPr>
        <w:tc>
          <w:tcPr>
            <w:tcW w:w="2120" w:type="dxa"/>
            <w:vAlign w:val="bottom"/>
            <w:gridSpan w:val="3"/>
          </w:tcPr>
          <w:p>
            <w:pPr>
              <w:ind w:left="20"/>
              <w:spacing w:after="0"/>
              <w:rPr>
                <w:sz w:val="20"/>
                <w:szCs w:val="20"/>
                <w:color w:val="auto"/>
              </w:rPr>
            </w:pPr>
            <w:r>
              <w:rPr>
                <w:rFonts w:ascii="Arial" w:cs="Arial" w:eastAsia="Arial" w:hAnsi="Arial"/>
                <w:sz w:val="22"/>
                <w:szCs w:val="22"/>
                <w:b w:val="1"/>
                <w:bCs w:val="1"/>
                <w:color w:val="auto"/>
              </w:rPr>
              <w:t>Exhibit No.</w:t>
            </w:r>
          </w:p>
        </w:tc>
        <w:tc>
          <w:tcPr>
            <w:tcW w:w="20" w:type="dxa"/>
            <w:vAlign w:val="bottom"/>
          </w:tcPr>
          <w:p>
            <w:pPr>
              <w:spacing w:after="0"/>
              <w:rPr>
                <w:sz w:val="24"/>
                <w:szCs w:val="24"/>
                <w:color w:val="auto"/>
              </w:rPr>
            </w:pPr>
          </w:p>
        </w:tc>
        <w:tc>
          <w:tcPr>
            <w:tcW w:w="8980" w:type="dxa"/>
            <w:vAlign w:val="bottom"/>
            <w:gridSpan w:val="9"/>
          </w:tcPr>
          <w:p>
            <w:pPr>
              <w:ind w:left="60"/>
              <w:spacing w:after="0"/>
              <w:rPr>
                <w:sz w:val="20"/>
                <w:szCs w:val="20"/>
                <w:color w:val="auto"/>
              </w:rPr>
            </w:pPr>
            <w:r>
              <w:rPr>
                <w:rFonts w:ascii="Arial" w:cs="Arial" w:eastAsia="Arial" w:hAnsi="Arial"/>
                <w:sz w:val="22"/>
                <w:szCs w:val="22"/>
                <w:b w:val="1"/>
                <w:bCs w:val="1"/>
                <w:color w:val="auto"/>
              </w:rPr>
              <w:t>Description</w:t>
            </w:r>
          </w:p>
        </w:tc>
      </w:tr>
      <w:tr>
        <w:trPr>
          <w:trHeight w:val="196"/>
        </w:trPr>
        <w:tc>
          <w:tcPr>
            <w:tcW w:w="154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22"/>
                <w:szCs w:val="22"/>
                <w:color w:val="auto"/>
              </w:rPr>
              <w:t>10.1 !</w:t>
            </w:r>
          </w:p>
        </w:tc>
        <w:tc>
          <w:tcPr>
            <w:tcW w:w="1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980" w:type="dxa"/>
            <w:vAlign w:val="bottom"/>
            <w:tcBorders>
              <w:top w:val="single" w:sz="8" w:color="auto"/>
            </w:tcBorders>
            <w:gridSpan w:val="9"/>
            <w:shd w:val="clear" w:color="auto" w:fill="CCEEFF"/>
          </w:tcPr>
          <w:p>
            <w:pPr>
              <w:spacing w:after="0" w:line="195" w:lineRule="exact"/>
              <w:rPr>
                <w:rFonts w:ascii="Arial" w:cs="Arial" w:eastAsia="Arial" w:hAnsi="Arial"/>
                <w:sz w:val="22"/>
                <w:szCs w:val="22"/>
                <w:color w:val="0563C1"/>
                <w:w w:val="89"/>
              </w:rPr>
            </w:pPr>
            <w:hyperlink r:id="rId68">
              <w:r>
                <w:rPr>
                  <w:rFonts w:ascii="Arial" w:cs="Arial" w:eastAsia="Arial" w:hAnsi="Arial"/>
                  <w:sz w:val="22"/>
                  <w:szCs w:val="22"/>
                  <w:color w:val="0563C1"/>
                  <w:w w:val="89"/>
                </w:rPr>
                <w:t>Employment Agreement, effective July 1, 2021, between the Company and Christopher H. Franklin, its</w:t>
              </w:r>
            </w:hyperlink>
          </w:p>
        </w:tc>
      </w:tr>
      <w:tr>
        <w:trPr>
          <w:trHeight w:val="209"/>
        </w:trPr>
        <w:tc>
          <w:tcPr>
            <w:tcW w:w="1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960" w:type="dxa"/>
            <w:vAlign w:val="bottom"/>
            <w:tcBorders>
              <w:top w:val="single" w:sz="8" w:color="0563C1"/>
            </w:tcBorders>
            <w:gridSpan w:val="8"/>
            <w:shd w:val="clear" w:color="auto" w:fill="CCEEFF"/>
          </w:tcPr>
          <w:p>
            <w:pPr>
              <w:spacing w:after="0" w:line="209" w:lineRule="exact"/>
              <w:rPr>
                <w:rFonts w:ascii="Arial" w:cs="Arial" w:eastAsia="Arial" w:hAnsi="Arial"/>
                <w:sz w:val="22"/>
                <w:szCs w:val="22"/>
                <w:color w:val="0563C1"/>
                <w:w w:val="90"/>
              </w:rPr>
            </w:pPr>
            <w:hyperlink r:id="rId68">
              <w:r>
                <w:rPr>
                  <w:rFonts w:ascii="Arial" w:cs="Arial" w:eastAsia="Arial" w:hAnsi="Arial"/>
                  <w:sz w:val="22"/>
                  <w:szCs w:val="22"/>
                  <w:color w:val="0563C1"/>
                  <w:w w:val="90"/>
                </w:rPr>
                <w:t>Chief Executive Officer and President (incorporated by reference to Exhibit 10.1 to the Current Report</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7"/>
        </w:trPr>
        <w:tc>
          <w:tcPr>
            <w:tcW w:w="1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940" w:type="dxa"/>
            <w:vAlign w:val="bottom"/>
            <w:tcBorders>
              <w:top w:val="single" w:sz="8" w:color="0563C1"/>
            </w:tcBorders>
            <w:gridSpan w:val="7"/>
            <w:shd w:val="clear" w:color="auto" w:fill="CCEEFF"/>
          </w:tcPr>
          <w:p>
            <w:pPr>
              <w:spacing w:after="0" w:line="209" w:lineRule="exact"/>
              <w:rPr>
                <w:rFonts w:ascii="Arial" w:cs="Arial" w:eastAsia="Arial" w:hAnsi="Arial"/>
                <w:sz w:val="22"/>
                <w:szCs w:val="22"/>
                <w:color w:val="0563C1"/>
              </w:rPr>
            </w:pPr>
            <w:hyperlink r:id="rId68">
              <w:r>
                <w:rPr>
                  <w:rFonts w:ascii="Arial" w:cs="Arial" w:eastAsia="Arial" w:hAnsi="Arial"/>
                  <w:sz w:val="22"/>
                  <w:szCs w:val="22"/>
                  <w:color w:val="0563C1"/>
                </w:rPr>
                <w:t>on Form 8-K, filed with the SEC on June 25, 2021)</w:t>
              </w:r>
            </w:hyperlink>
          </w:p>
        </w:tc>
        <w:tc>
          <w:tcPr>
            <w:tcW w:w="40" w:type="dxa"/>
            <w:vAlign w:val="bottom"/>
            <w:tcBorders>
              <w:top w:val="single" w:sz="8" w:color="CCEEFF"/>
            </w:tcBorders>
            <w:gridSpan w:val="2"/>
            <w:shd w:val="clear" w:color="auto" w:fill="CCEEFF"/>
          </w:tcPr>
          <w:p>
            <w:pPr>
              <w:spacing w:after="0"/>
              <w:rPr>
                <w:sz w:val="18"/>
                <w:szCs w:val="18"/>
                <w:color w:val="auto"/>
              </w:rPr>
            </w:pPr>
          </w:p>
        </w:tc>
      </w:tr>
      <w:tr>
        <w:trPr>
          <w:trHeight w:val="229"/>
        </w:trPr>
        <w:tc>
          <w:tcPr>
            <w:tcW w:w="15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940" w:type="dxa"/>
            <w:vAlign w:val="bottom"/>
            <w:tcBorders>
              <w:top w:val="single" w:sz="8" w:color="0563C1"/>
            </w:tcBorders>
          </w:tcPr>
          <w:p>
            <w:pPr>
              <w:spacing w:after="0"/>
              <w:rPr>
                <w:sz w:val="19"/>
                <w:szCs w:val="19"/>
                <w:color w:val="auto"/>
              </w:rPr>
            </w:pPr>
          </w:p>
        </w:tc>
        <w:tc>
          <w:tcPr>
            <w:tcW w:w="2500" w:type="dxa"/>
            <w:vAlign w:val="bottom"/>
            <w:tcBorders>
              <w:top w:val="single" w:sz="8" w:color="0563C1"/>
            </w:tcBorders>
          </w:tcPr>
          <w:p>
            <w:pPr>
              <w:spacing w:after="0"/>
              <w:rPr>
                <w:sz w:val="19"/>
                <w:szCs w:val="19"/>
                <w:color w:val="auto"/>
              </w:rPr>
            </w:pPr>
          </w:p>
        </w:tc>
        <w:tc>
          <w:tcPr>
            <w:tcW w:w="29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3"/>
        </w:trPr>
        <w:tc>
          <w:tcPr>
            <w:tcW w:w="1540" w:type="dxa"/>
            <w:vAlign w:val="bottom"/>
            <w:shd w:val="clear" w:color="auto" w:fill="CCEEFF"/>
          </w:tcPr>
          <w:p>
            <w:pPr>
              <w:ind w:left="20"/>
              <w:spacing w:after="0" w:line="203" w:lineRule="exact"/>
              <w:rPr>
                <w:sz w:val="20"/>
                <w:szCs w:val="20"/>
                <w:color w:val="auto"/>
              </w:rPr>
            </w:pPr>
            <w:r>
              <w:rPr>
                <w:rFonts w:ascii="Arial" w:cs="Arial" w:eastAsia="Arial" w:hAnsi="Arial"/>
                <w:sz w:val="22"/>
                <w:szCs w:val="22"/>
                <w:color w:val="auto"/>
              </w:rPr>
              <w:t>31.1*</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980" w:type="dxa"/>
            <w:vAlign w:val="bottom"/>
            <w:gridSpan w:val="9"/>
            <w:shd w:val="clear" w:color="auto" w:fill="CCEEFF"/>
          </w:tcPr>
          <w:p>
            <w:pPr>
              <w:spacing w:after="0" w:line="203" w:lineRule="exact"/>
              <w:rPr>
                <w:rFonts w:ascii="Arial" w:cs="Arial" w:eastAsia="Arial" w:hAnsi="Arial"/>
                <w:sz w:val="22"/>
                <w:szCs w:val="22"/>
                <w:color w:val="0563C1"/>
                <w:w w:val="95"/>
              </w:rPr>
            </w:pPr>
            <w:hyperlink w:anchor="page57">
              <w:r>
                <w:rPr>
                  <w:rFonts w:ascii="Arial" w:cs="Arial" w:eastAsia="Arial" w:hAnsi="Arial"/>
                  <w:sz w:val="22"/>
                  <w:szCs w:val="22"/>
                  <w:color w:val="0563C1"/>
                  <w:w w:val="95"/>
                </w:rPr>
                <w:t>Certification of Chief Executive Officer, filed pursuant to Rule 13a-14(a) under the Securities and</w:t>
              </w:r>
            </w:hyperlink>
          </w:p>
        </w:tc>
      </w:tr>
      <w:tr>
        <w:trPr>
          <w:trHeight w:val="217"/>
        </w:trPr>
        <w:tc>
          <w:tcPr>
            <w:tcW w:w="1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520" w:type="dxa"/>
            <w:vAlign w:val="bottom"/>
            <w:tcBorders>
              <w:top w:val="single" w:sz="8" w:color="0563C1"/>
            </w:tcBorders>
            <w:gridSpan w:val="6"/>
            <w:shd w:val="clear" w:color="auto" w:fill="CCEEFF"/>
          </w:tcPr>
          <w:p>
            <w:pPr>
              <w:spacing w:after="0" w:line="209" w:lineRule="exact"/>
              <w:rPr>
                <w:rFonts w:ascii="Arial" w:cs="Arial" w:eastAsia="Arial" w:hAnsi="Arial"/>
                <w:sz w:val="22"/>
                <w:szCs w:val="22"/>
                <w:color w:val="0563C1"/>
              </w:rPr>
            </w:pPr>
            <w:hyperlink w:anchor="page57">
              <w:r>
                <w:rPr>
                  <w:rFonts w:ascii="Arial" w:cs="Arial" w:eastAsia="Arial" w:hAnsi="Arial"/>
                  <w:sz w:val="22"/>
                  <w:szCs w:val="22"/>
                  <w:color w:val="0563C1"/>
                </w:rPr>
                <w:t>Exchange Act of 1934</w:t>
              </w:r>
            </w:hyperlink>
          </w:p>
        </w:tc>
        <w:tc>
          <w:tcPr>
            <w:tcW w:w="460" w:type="dxa"/>
            <w:vAlign w:val="bottom"/>
            <w:tcBorders>
              <w:top w:val="single" w:sz="8" w:color="CCEEFF"/>
            </w:tcBorders>
            <w:gridSpan w:val="3"/>
            <w:shd w:val="clear" w:color="auto" w:fill="CCEEFF"/>
          </w:tcPr>
          <w:p>
            <w:pPr>
              <w:spacing w:after="0"/>
              <w:rPr>
                <w:sz w:val="18"/>
                <w:szCs w:val="18"/>
                <w:color w:val="auto"/>
              </w:rPr>
            </w:pPr>
          </w:p>
        </w:tc>
      </w:tr>
      <w:tr>
        <w:trPr>
          <w:trHeight w:val="229"/>
        </w:trPr>
        <w:tc>
          <w:tcPr>
            <w:tcW w:w="15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940" w:type="dxa"/>
            <w:vAlign w:val="bottom"/>
            <w:tcBorders>
              <w:top w:val="single" w:sz="8" w:color="0563C1"/>
            </w:tcBorders>
          </w:tcPr>
          <w:p>
            <w:pPr>
              <w:spacing w:after="0"/>
              <w:rPr>
                <w:sz w:val="19"/>
                <w:szCs w:val="19"/>
                <w:color w:val="auto"/>
              </w:rPr>
            </w:pPr>
          </w:p>
        </w:tc>
        <w:tc>
          <w:tcPr>
            <w:tcW w:w="2500" w:type="dxa"/>
            <w:vAlign w:val="bottom"/>
            <w:tcBorders>
              <w:top w:val="single" w:sz="8" w:color="CCEEFF"/>
            </w:tcBorders>
          </w:tcPr>
          <w:p>
            <w:pPr>
              <w:spacing w:after="0"/>
              <w:rPr>
                <w:sz w:val="19"/>
                <w:szCs w:val="19"/>
                <w:color w:val="auto"/>
              </w:rPr>
            </w:pPr>
          </w:p>
        </w:tc>
        <w:tc>
          <w:tcPr>
            <w:tcW w:w="29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3"/>
        </w:trPr>
        <w:tc>
          <w:tcPr>
            <w:tcW w:w="1540" w:type="dxa"/>
            <w:vAlign w:val="bottom"/>
            <w:shd w:val="clear" w:color="auto" w:fill="CCEEFF"/>
          </w:tcPr>
          <w:p>
            <w:pPr>
              <w:ind w:left="20"/>
              <w:spacing w:after="0" w:line="203" w:lineRule="exact"/>
              <w:rPr>
                <w:sz w:val="20"/>
                <w:szCs w:val="20"/>
                <w:color w:val="auto"/>
              </w:rPr>
            </w:pPr>
            <w:r>
              <w:rPr>
                <w:rFonts w:ascii="Arial" w:cs="Arial" w:eastAsia="Arial" w:hAnsi="Arial"/>
                <w:sz w:val="22"/>
                <w:szCs w:val="22"/>
                <w:color w:val="auto"/>
              </w:rPr>
              <w:t>31.2*</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980" w:type="dxa"/>
            <w:vAlign w:val="bottom"/>
            <w:gridSpan w:val="9"/>
            <w:shd w:val="clear" w:color="auto" w:fill="CCEEFF"/>
          </w:tcPr>
          <w:p>
            <w:pPr>
              <w:spacing w:after="0" w:line="203" w:lineRule="exact"/>
              <w:rPr>
                <w:rFonts w:ascii="Arial" w:cs="Arial" w:eastAsia="Arial" w:hAnsi="Arial"/>
                <w:sz w:val="22"/>
                <w:szCs w:val="22"/>
                <w:color w:val="0563C1"/>
                <w:w w:val="96"/>
              </w:rPr>
            </w:pPr>
            <w:hyperlink w:anchor="page58">
              <w:r>
                <w:rPr>
                  <w:rFonts w:ascii="Arial" w:cs="Arial" w:eastAsia="Arial" w:hAnsi="Arial"/>
                  <w:sz w:val="22"/>
                  <w:szCs w:val="22"/>
                  <w:color w:val="0563C1"/>
                  <w:w w:val="96"/>
                </w:rPr>
                <w:t>Certification of Chief Financial Officer, filed pursuant to Rule 13a-14(a) under the Securities and</w:t>
              </w:r>
            </w:hyperlink>
          </w:p>
        </w:tc>
      </w:tr>
      <w:tr>
        <w:trPr>
          <w:trHeight w:val="217"/>
        </w:trPr>
        <w:tc>
          <w:tcPr>
            <w:tcW w:w="1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60" w:type="dxa"/>
            <w:vAlign w:val="bottom"/>
            <w:tcBorders>
              <w:top w:val="single" w:sz="8" w:color="0563C1"/>
            </w:tcBorders>
            <w:gridSpan w:val="5"/>
            <w:shd w:val="clear" w:color="auto" w:fill="CCEEFF"/>
          </w:tcPr>
          <w:p>
            <w:pPr>
              <w:spacing w:after="0" w:line="209" w:lineRule="exact"/>
              <w:rPr>
                <w:rFonts w:ascii="Arial" w:cs="Arial" w:eastAsia="Arial" w:hAnsi="Arial"/>
                <w:sz w:val="22"/>
                <w:szCs w:val="22"/>
                <w:color w:val="0563C1"/>
              </w:rPr>
            </w:pPr>
            <w:hyperlink w:anchor="page58">
              <w:r>
                <w:rPr>
                  <w:rFonts w:ascii="Arial" w:cs="Arial" w:eastAsia="Arial" w:hAnsi="Arial"/>
                  <w:sz w:val="22"/>
                  <w:szCs w:val="22"/>
                  <w:color w:val="0563C1"/>
                </w:rPr>
                <w:t>Exchange Act of 1934</w:t>
              </w:r>
            </w:hyperlink>
          </w:p>
        </w:tc>
        <w:tc>
          <w:tcPr>
            <w:tcW w:w="520" w:type="dxa"/>
            <w:vAlign w:val="bottom"/>
            <w:tcBorders>
              <w:top w:val="single" w:sz="8" w:color="CCEEFF"/>
            </w:tcBorders>
            <w:gridSpan w:val="4"/>
            <w:shd w:val="clear" w:color="auto" w:fill="CCEEFF"/>
          </w:tcPr>
          <w:p>
            <w:pPr>
              <w:spacing w:after="0"/>
              <w:rPr>
                <w:sz w:val="18"/>
                <w:szCs w:val="18"/>
                <w:color w:val="auto"/>
              </w:rPr>
            </w:pPr>
          </w:p>
        </w:tc>
      </w:tr>
      <w:tr>
        <w:trPr>
          <w:trHeight w:val="229"/>
        </w:trPr>
        <w:tc>
          <w:tcPr>
            <w:tcW w:w="15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940" w:type="dxa"/>
            <w:vAlign w:val="bottom"/>
            <w:tcBorders>
              <w:top w:val="single" w:sz="8" w:color="0563C1"/>
            </w:tcBorders>
          </w:tcPr>
          <w:p>
            <w:pPr>
              <w:spacing w:after="0"/>
              <w:rPr>
                <w:sz w:val="19"/>
                <w:szCs w:val="19"/>
                <w:color w:val="auto"/>
              </w:rPr>
            </w:pPr>
          </w:p>
        </w:tc>
        <w:tc>
          <w:tcPr>
            <w:tcW w:w="2500" w:type="dxa"/>
            <w:vAlign w:val="bottom"/>
            <w:tcBorders>
              <w:top w:val="single" w:sz="8" w:color="CCEEFF"/>
            </w:tcBorders>
          </w:tcPr>
          <w:p>
            <w:pPr>
              <w:spacing w:after="0"/>
              <w:rPr>
                <w:sz w:val="19"/>
                <w:szCs w:val="19"/>
                <w:color w:val="auto"/>
              </w:rPr>
            </w:pPr>
          </w:p>
        </w:tc>
        <w:tc>
          <w:tcPr>
            <w:tcW w:w="29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0"/>
        </w:trPr>
        <w:tc>
          <w:tcPr>
            <w:tcW w:w="1540" w:type="dxa"/>
            <w:vAlign w:val="bottom"/>
            <w:shd w:val="clear" w:color="auto" w:fill="CCEEFF"/>
          </w:tcPr>
          <w:p>
            <w:pPr>
              <w:ind w:left="20"/>
              <w:spacing w:after="0" w:line="203" w:lineRule="exact"/>
              <w:rPr>
                <w:sz w:val="20"/>
                <w:szCs w:val="20"/>
                <w:color w:val="auto"/>
              </w:rPr>
            </w:pPr>
            <w:r>
              <w:rPr>
                <w:rFonts w:ascii="Arial" w:cs="Arial" w:eastAsia="Arial" w:hAnsi="Arial"/>
                <w:sz w:val="22"/>
                <w:szCs w:val="22"/>
                <w:color w:val="auto"/>
              </w:rPr>
              <w:t>32.1*</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980" w:type="dxa"/>
            <w:vAlign w:val="bottom"/>
            <w:gridSpan w:val="9"/>
            <w:shd w:val="clear" w:color="auto" w:fill="CCEEFF"/>
          </w:tcPr>
          <w:p>
            <w:pPr>
              <w:spacing w:after="0" w:line="203" w:lineRule="exact"/>
              <w:rPr>
                <w:rFonts w:ascii="Arial" w:cs="Arial" w:eastAsia="Arial" w:hAnsi="Arial"/>
                <w:sz w:val="22"/>
                <w:szCs w:val="22"/>
                <w:color w:val="0563C1"/>
              </w:rPr>
            </w:pPr>
            <w:hyperlink w:anchor="page59">
              <w:r>
                <w:rPr>
                  <w:rFonts w:ascii="Arial" w:cs="Arial" w:eastAsia="Arial" w:hAnsi="Arial"/>
                  <w:sz w:val="22"/>
                  <w:szCs w:val="22"/>
                  <w:color w:val="0563C1"/>
                </w:rPr>
                <w:t>Certification of Chief Executive Officer, furnished pursuant to 18 U.S.C. Section 1350</w:t>
              </w:r>
            </w:hyperlink>
          </w:p>
        </w:tc>
      </w:tr>
      <w:tr>
        <w:trPr>
          <w:trHeight w:val="229"/>
        </w:trPr>
        <w:tc>
          <w:tcPr>
            <w:tcW w:w="15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940" w:type="dxa"/>
            <w:vAlign w:val="bottom"/>
            <w:tcBorders>
              <w:top w:val="single" w:sz="8" w:color="0563C1"/>
            </w:tcBorders>
          </w:tcPr>
          <w:p>
            <w:pPr>
              <w:spacing w:after="0"/>
              <w:rPr>
                <w:sz w:val="19"/>
                <w:szCs w:val="19"/>
                <w:color w:val="auto"/>
              </w:rPr>
            </w:pPr>
          </w:p>
        </w:tc>
        <w:tc>
          <w:tcPr>
            <w:tcW w:w="2500" w:type="dxa"/>
            <w:vAlign w:val="bottom"/>
            <w:tcBorders>
              <w:top w:val="single" w:sz="8" w:color="0563C1"/>
            </w:tcBorders>
          </w:tcPr>
          <w:p>
            <w:pPr>
              <w:spacing w:after="0"/>
              <w:rPr>
                <w:sz w:val="19"/>
                <w:szCs w:val="19"/>
                <w:color w:val="auto"/>
              </w:rPr>
            </w:pPr>
          </w:p>
        </w:tc>
        <w:tc>
          <w:tcPr>
            <w:tcW w:w="298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9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0"/>
        </w:trPr>
        <w:tc>
          <w:tcPr>
            <w:tcW w:w="1540" w:type="dxa"/>
            <w:vAlign w:val="bottom"/>
            <w:shd w:val="clear" w:color="auto" w:fill="CCEEFF"/>
          </w:tcPr>
          <w:p>
            <w:pPr>
              <w:ind w:left="20"/>
              <w:spacing w:after="0" w:line="203" w:lineRule="exact"/>
              <w:rPr>
                <w:sz w:val="20"/>
                <w:szCs w:val="20"/>
                <w:color w:val="auto"/>
              </w:rPr>
            </w:pPr>
            <w:r>
              <w:rPr>
                <w:rFonts w:ascii="Arial" w:cs="Arial" w:eastAsia="Arial" w:hAnsi="Arial"/>
                <w:sz w:val="22"/>
                <w:szCs w:val="22"/>
                <w:color w:val="auto"/>
              </w:rPr>
              <w:t>32.2*</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980" w:type="dxa"/>
            <w:vAlign w:val="bottom"/>
            <w:gridSpan w:val="9"/>
            <w:shd w:val="clear" w:color="auto" w:fill="CCEEFF"/>
          </w:tcPr>
          <w:p>
            <w:pPr>
              <w:spacing w:after="0" w:line="203" w:lineRule="exact"/>
              <w:rPr>
                <w:rFonts w:ascii="Arial" w:cs="Arial" w:eastAsia="Arial" w:hAnsi="Arial"/>
                <w:sz w:val="22"/>
                <w:szCs w:val="22"/>
                <w:color w:val="0563C1"/>
              </w:rPr>
            </w:pPr>
            <w:hyperlink w:anchor="page60">
              <w:r>
                <w:rPr>
                  <w:rFonts w:ascii="Arial" w:cs="Arial" w:eastAsia="Arial" w:hAnsi="Arial"/>
                  <w:sz w:val="22"/>
                  <w:szCs w:val="22"/>
                  <w:color w:val="0563C1"/>
                </w:rPr>
                <w:t>Certification of Chief Financial Officer, furnished pursuant to 18 U.S.C. Section 1350</w:t>
              </w:r>
            </w:hyperlink>
          </w:p>
        </w:tc>
      </w:tr>
      <w:tr>
        <w:trPr>
          <w:trHeight w:val="229"/>
        </w:trPr>
        <w:tc>
          <w:tcPr>
            <w:tcW w:w="15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940" w:type="dxa"/>
            <w:vAlign w:val="bottom"/>
            <w:tcBorders>
              <w:top w:val="single" w:sz="8" w:color="0563C1"/>
            </w:tcBorders>
          </w:tcPr>
          <w:p>
            <w:pPr>
              <w:spacing w:after="0"/>
              <w:rPr>
                <w:sz w:val="19"/>
                <w:szCs w:val="19"/>
                <w:color w:val="auto"/>
              </w:rPr>
            </w:pPr>
          </w:p>
        </w:tc>
        <w:tc>
          <w:tcPr>
            <w:tcW w:w="2500" w:type="dxa"/>
            <w:vAlign w:val="bottom"/>
            <w:tcBorders>
              <w:top w:val="single" w:sz="8" w:color="0563C1"/>
            </w:tcBorders>
          </w:tcPr>
          <w:p>
            <w:pPr>
              <w:spacing w:after="0"/>
              <w:rPr>
                <w:sz w:val="19"/>
                <w:szCs w:val="19"/>
                <w:color w:val="auto"/>
              </w:rPr>
            </w:pPr>
          </w:p>
        </w:tc>
        <w:tc>
          <w:tcPr>
            <w:tcW w:w="2980" w:type="dxa"/>
            <w:vAlign w:val="bottom"/>
            <w:tcBorders>
              <w:top w:val="single" w:sz="8" w:color="0563C1"/>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8"/>
        </w:trPr>
        <w:tc>
          <w:tcPr>
            <w:tcW w:w="2120" w:type="dxa"/>
            <w:vAlign w:val="bottom"/>
            <w:gridSpan w:val="3"/>
            <w:shd w:val="clear" w:color="auto" w:fill="CCEEFF"/>
          </w:tcPr>
          <w:p>
            <w:pPr>
              <w:ind w:left="20"/>
              <w:spacing w:after="0" w:line="208" w:lineRule="exact"/>
              <w:rPr>
                <w:sz w:val="20"/>
                <w:szCs w:val="20"/>
                <w:color w:val="auto"/>
              </w:rPr>
            </w:pPr>
            <w:r>
              <w:rPr>
                <w:rFonts w:ascii="Arial" w:cs="Arial" w:eastAsia="Arial" w:hAnsi="Arial"/>
                <w:sz w:val="22"/>
                <w:szCs w:val="22"/>
                <w:color w:val="auto"/>
              </w:rPr>
              <w:t>101.INS</w:t>
            </w:r>
          </w:p>
        </w:tc>
        <w:tc>
          <w:tcPr>
            <w:tcW w:w="20" w:type="dxa"/>
            <w:vAlign w:val="bottom"/>
            <w:shd w:val="clear" w:color="auto" w:fill="CCEEFF"/>
          </w:tcPr>
          <w:p>
            <w:pPr>
              <w:spacing w:after="0"/>
              <w:rPr>
                <w:sz w:val="18"/>
                <w:szCs w:val="18"/>
                <w:color w:val="auto"/>
              </w:rPr>
            </w:pPr>
          </w:p>
        </w:tc>
        <w:tc>
          <w:tcPr>
            <w:tcW w:w="8980" w:type="dxa"/>
            <w:vAlign w:val="bottom"/>
            <w:gridSpan w:val="9"/>
            <w:shd w:val="clear" w:color="auto" w:fill="CCEEFF"/>
          </w:tcPr>
          <w:p>
            <w:pPr>
              <w:spacing w:after="0" w:line="208" w:lineRule="exact"/>
              <w:rPr>
                <w:sz w:val="20"/>
                <w:szCs w:val="20"/>
                <w:color w:val="auto"/>
              </w:rPr>
            </w:pPr>
            <w:r>
              <w:rPr>
                <w:rFonts w:ascii="Arial" w:cs="Arial" w:eastAsia="Arial" w:hAnsi="Arial"/>
                <w:sz w:val="22"/>
                <w:szCs w:val="22"/>
                <w:color w:val="auto"/>
                <w:w w:val="90"/>
              </w:rPr>
              <w:t>Inline XBRL Instance Document – The instance document does not appear in the Interactive Data File</w:t>
            </w:r>
          </w:p>
        </w:tc>
      </w:tr>
      <w:tr>
        <w:trPr>
          <w:trHeight w:val="251"/>
        </w:trPr>
        <w:tc>
          <w:tcPr>
            <w:tcW w:w="1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980" w:type="dxa"/>
            <w:vAlign w:val="bottom"/>
            <w:gridSpan w:val="9"/>
            <w:shd w:val="clear" w:color="auto" w:fill="CCEEFF"/>
          </w:tcPr>
          <w:p>
            <w:pPr>
              <w:spacing w:after="0" w:line="251" w:lineRule="exact"/>
              <w:rPr>
                <w:sz w:val="20"/>
                <w:szCs w:val="20"/>
                <w:color w:val="auto"/>
              </w:rPr>
            </w:pPr>
            <w:r>
              <w:rPr>
                <w:rFonts w:ascii="Arial" w:cs="Arial" w:eastAsia="Arial" w:hAnsi="Arial"/>
                <w:sz w:val="22"/>
                <w:szCs w:val="22"/>
                <w:color w:val="auto"/>
              </w:rPr>
              <w:t>because its XBRL tags are embedded within the Inline XBRL document.</w:t>
            </w:r>
          </w:p>
        </w:tc>
      </w:tr>
      <w:tr>
        <w:trPr>
          <w:trHeight w:val="229"/>
        </w:trPr>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120" w:type="dxa"/>
            <w:vAlign w:val="bottom"/>
            <w:gridSpan w:val="3"/>
            <w:shd w:val="clear" w:color="auto" w:fill="CCEEFF"/>
          </w:tcPr>
          <w:p>
            <w:pPr>
              <w:ind w:left="20"/>
              <w:spacing w:after="0" w:line="229" w:lineRule="exact"/>
              <w:rPr>
                <w:sz w:val="20"/>
                <w:szCs w:val="20"/>
                <w:color w:val="auto"/>
              </w:rPr>
            </w:pPr>
            <w:r>
              <w:rPr>
                <w:rFonts w:ascii="Arial" w:cs="Arial" w:eastAsia="Arial" w:hAnsi="Arial"/>
                <w:sz w:val="22"/>
                <w:szCs w:val="22"/>
                <w:color w:val="auto"/>
              </w:rPr>
              <w:t>101.SCH</w:t>
            </w:r>
          </w:p>
        </w:tc>
        <w:tc>
          <w:tcPr>
            <w:tcW w:w="20" w:type="dxa"/>
            <w:vAlign w:val="bottom"/>
            <w:shd w:val="clear" w:color="auto" w:fill="CCEEFF"/>
          </w:tcPr>
          <w:p>
            <w:pPr>
              <w:spacing w:after="0"/>
              <w:rPr>
                <w:sz w:val="19"/>
                <w:szCs w:val="19"/>
                <w:color w:val="auto"/>
              </w:rPr>
            </w:pPr>
          </w:p>
        </w:tc>
        <w:tc>
          <w:tcPr>
            <w:tcW w:w="8980" w:type="dxa"/>
            <w:vAlign w:val="bottom"/>
            <w:gridSpan w:val="9"/>
            <w:shd w:val="clear" w:color="auto" w:fill="CCEEFF"/>
          </w:tcPr>
          <w:p>
            <w:pPr>
              <w:spacing w:after="0" w:line="229" w:lineRule="exact"/>
              <w:rPr>
                <w:sz w:val="20"/>
                <w:szCs w:val="20"/>
                <w:color w:val="auto"/>
              </w:rPr>
            </w:pPr>
            <w:r>
              <w:rPr>
                <w:rFonts w:ascii="Arial" w:cs="Arial" w:eastAsia="Arial" w:hAnsi="Arial"/>
                <w:sz w:val="22"/>
                <w:szCs w:val="22"/>
                <w:color w:val="auto"/>
              </w:rPr>
              <w:t>Inline XBRL Taxonomy Extension Schema Document</w:t>
            </w:r>
          </w:p>
        </w:tc>
      </w:tr>
      <w:tr>
        <w:trPr>
          <w:trHeight w:val="229"/>
        </w:trPr>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120" w:type="dxa"/>
            <w:vAlign w:val="bottom"/>
            <w:gridSpan w:val="3"/>
            <w:shd w:val="clear" w:color="auto" w:fill="CCEEFF"/>
          </w:tcPr>
          <w:p>
            <w:pPr>
              <w:ind w:left="20"/>
              <w:spacing w:after="0" w:line="229" w:lineRule="exact"/>
              <w:rPr>
                <w:sz w:val="20"/>
                <w:szCs w:val="20"/>
                <w:color w:val="auto"/>
              </w:rPr>
            </w:pPr>
            <w:r>
              <w:rPr>
                <w:rFonts w:ascii="Arial" w:cs="Arial" w:eastAsia="Arial" w:hAnsi="Arial"/>
                <w:sz w:val="22"/>
                <w:szCs w:val="22"/>
                <w:color w:val="auto"/>
              </w:rPr>
              <w:t>101.CAL</w:t>
            </w:r>
          </w:p>
        </w:tc>
        <w:tc>
          <w:tcPr>
            <w:tcW w:w="20" w:type="dxa"/>
            <w:vAlign w:val="bottom"/>
            <w:shd w:val="clear" w:color="auto" w:fill="CCEEFF"/>
          </w:tcPr>
          <w:p>
            <w:pPr>
              <w:spacing w:after="0"/>
              <w:rPr>
                <w:sz w:val="19"/>
                <w:szCs w:val="19"/>
                <w:color w:val="auto"/>
              </w:rPr>
            </w:pPr>
          </w:p>
        </w:tc>
        <w:tc>
          <w:tcPr>
            <w:tcW w:w="8980" w:type="dxa"/>
            <w:vAlign w:val="bottom"/>
            <w:gridSpan w:val="9"/>
            <w:shd w:val="clear" w:color="auto" w:fill="CCEEFF"/>
          </w:tcPr>
          <w:p>
            <w:pPr>
              <w:spacing w:after="0" w:line="229" w:lineRule="exact"/>
              <w:rPr>
                <w:sz w:val="20"/>
                <w:szCs w:val="20"/>
                <w:color w:val="auto"/>
              </w:rPr>
            </w:pPr>
            <w:r>
              <w:rPr>
                <w:rFonts w:ascii="Arial" w:cs="Arial" w:eastAsia="Arial" w:hAnsi="Arial"/>
                <w:sz w:val="22"/>
                <w:szCs w:val="22"/>
                <w:color w:val="auto"/>
              </w:rPr>
              <w:t>Inline XBRL Taxonomy Extension Calculation Linkbase Document</w:t>
            </w:r>
          </w:p>
        </w:tc>
      </w:tr>
      <w:tr>
        <w:trPr>
          <w:trHeight w:val="230"/>
        </w:trPr>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120" w:type="dxa"/>
            <w:vAlign w:val="bottom"/>
            <w:gridSpan w:val="3"/>
            <w:shd w:val="clear" w:color="auto" w:fill="CCEEFF"/>
          </w:tcPr>
          <w:p>
            <w:pPr>
              <w:ind w:left="20"/>
              <w:spacing w:after="0" w:line="229" w:lineRule="exact"/>
              <w:rPr>
                <w:sz w:val="20"/>
                <w:szCs w:val="20"/>
                <w:color w:val="auto"/>
              </w:rPr>
            </w:pPr>
            <w:r>
              <w:rPr>
                <w:rFonts w:ascii="Arial" w:cs="Arial" w:eastAsia="Arial" w:hAnsi="Arial"/>
                <w:sz w:val="22"/>
                <w:szCs w:val="22"/>
                <w:color w:val="auto"/>
              </w:rPr>
              <w:t>101.DEF</w:t>
            </w:r>
          </w:p>
        </w:tc>
        <w:tc>
          <w:tcPr>
            <w:tcW w:w="20" w:type="dxa"/>
            <w:vAlign w:val="bottom"/>
            <w:shd w:val="clear" w:color="auto" w:fill="CCEEFF"/>
          </w:tcPr>
          <w:p>
            <w:pPr>
              <w:spacing w:after="0"/>
              <w:rPr>
                <w:sz w:val="19"/>
                <w:szCs w:val="19"/>
                <w:color w:val="auto"/>
              </w:rPr>
            </w:pPr>
          </w:p>
        </w:tc>
        <w:tc>
          <w:tcPr>
            <w:tcW w:w="8980" w:type="dxa"/>
            <w:vAlign w:val="bottom"/>
            <w:gridSpan w:val="9"/>
            <w:shd w:val="clear" w:color="auto" w:fill="CCEEFF"/>
          </w:tcPr>
          <w:p>
            <w:pPr>
              <w:spacing w:after="0" w:line="229" w:lineRule="exact"/>
              <w:rPr>
                <w:sz w:val="20"/>
                <w:szCs w:val="20"/>
                <w:color w:val="auto"/>
              </w:rPr>
            </w:pPr>
            <w:r>
              <w:rPr>
                <w:rFonts w:ascii="Arial" w:cs="Arial" w:eastAsia="Arial" w:hAnsi="Arial"/>
                <w:sz w:val="22"/>
                <w:szCs w:val="22"/>
                <w:color w:val="auto"/>
              </w:rPr>
              <w:t>Inline XBRL Taxonomy Extension Definition Linkbase Document</w:t>
            </w:r>
          </w:p>
        </w:tc>
      </w:tr>
      <w:tr>
        <w:trPr>
          <w:trHeight w:val="230"/>
        </w:trPr>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120" w:type="dxa"/>
            <w:vAlign w:val="bottom"/>
            <w:gridSpan w:val="3"/>
            <w:shd w:val="clear" w:color="auto" w:fill="CCEEFF"/>
          </w:tcPr>
          <w:p>
            <w:pPr>
              <w:ind w:left="20"/>
              <w:spacing w:after="0" w:line="229" w:lineRule="exact"/>
              <w:rPr>
                <w:sz w:val="20"/>
                <w:szCs w:val="20"/>
                <w:color w:val="auto"/>
              </w:rPr>
            </w:pPr>
            <w:r>
              <w:rPr>
                <w:rFonts w:ascii="Arial" w:cs="Arial" w:eastAsia="Arial" w:hAnsi="Arial"/>
                <w:sz w:val="22"/>
                <w:szCs w:val="22"/>
                <w:color w:val="auto"/>
              </w:rPr>
              <w:t>101.LAB</w:t>
            </w:r>
          </w:p>
        </w:tc>
        <w:tc>
          <w:tcPr>
            <w:tcW w:w="20" w:type="dxa"/>
            <w:vAlign w:val="bottom"/>
            <w:shd w:val="clear" w:color="auto" w:fill="CCEEFF"/>
          </w:tcPr>
          <w:p>
            <w:pPr>
              <w:spacing w:after="0"/>
              <w:rPr>
                <w:sz w:val="19"/>
                <w:szCs w:val="19"/>
                <w:color w:val="auto"/>
              </w:rPr>
            </w:pPr>
          </w:p>
        </w:tc>
        <w:tc>
          <w:tcPr>
            <w:tcW w:w="8980" w:type="dxa"/>
            <w:vAlign w:val="bottom"/>
            <w:gridSpan w:val="9"/>
            <w:shd w:val="clear" w:color="auto" w:fill="CCEEFF"/>
          </w:tcPr>
          <w:p>
            <w:pPr>
              <w:spacing w:after="0" w:line="229" w:lineRule="exact"/>
              <w:rPr>
                <w:sz w:val="20"/>
                <w:szCs w:val="20"/>
                <w:color w:val="auto"/>
              </w:rPr>
            </w:pPr>
            <w:r>
              <w:rPr>
                <w:rFonts w:ascii="Arial" w:cs="Arial" w:eastAsia="Arial" w:hAnsi="Arial"/>
                <w:sz w:val="22"/>
                <w:szCs w:val="22"/>
                <w:color w:val="auto"/>
              </w:rPr>
              <w:t>Inline XBRL Taxonomy Extension Label Linkbase Document</w:t>
            </w:r>
          </w:p>
        </w:tc>
      </w:tr>
      <w:tr>
        <w:trPr>
          <w:trHeight w:val="229"/>
        </w:trPr>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120" w:type="dxa"/>
            <w:vAlign w:val="bottom"/>
            <w:gridSpan w:val="3"/>
            <w:shd w:val="clear" w:color="auto" w:fill="CCEEFF"/>
          </w:tcPr>
          <w:p>
            <w:pPr>
              <w:ind w:left="20"/>
              <w:spacing w:after="0" w:line="229" w:lineRule="exact"/>
              <w:rPr>
                <w:sz w:val="20"/>
                <w:szCs w:val="20"/>
                <w:color w:val="auto"/>
              </w:rPr>
            </w:pPr>
            <w:r>
              <w:rPr>
                <w:rFonts w:ascii="Arial" w:cs="Arial" w:eastAsia="Arial" w:hAnsi="Arial"/>
                <w:sz w:val="22"/>
                <w:szCs w:val="22"/>
                <w:color w:val="auto"/>
              </w:rPr>
              <w:t>101.PRES</w:t>
            </w:r>
          </w:p>
        </w:tc>
        <w:tc>
          <w:tcPr>
            <w:tcW w:w="20" w:type="dxa"/>
            <w:vAlign w:val="bottom"/>
            <w:shd w:val="clear" w:color="auto" w:fill="CCEEFF"/>
          </w:tcPr>
          <w:p>
            <w:pPr>
              <w:spacing w:after="0"/>
              <w:rPr>
                <w:sz w:val="19"/>
                <w:szCs w:val="19"/>
                <w:color w:val="auto"/>
              </w:rPr>
            </w:pPr>
          </w:p>
        </w:tc>
        <w:tc>
          <w:tcPr>
            <w:tcW w:w="8980" w:type="dxa"/>
            <w:vAlign w:val="bottom"/>
            <w:gridSpan w:val="9"/>
            <w:shd w:val="clear" w:color="auto" w:fill="CCEEFF"/>
          </w:tcPr>
          <w:p>
            <w:pPr>
              <w:spacing w:after="0" w:line="229" w:lineRule="exact"/>
              <w:rPr>
                <w:sz w:val="20"/>
                <w:szCs w:val="20"/>
                <w:color w:val="auto"/>
              </w:rPr>
            </w:pPr>
            <w:r>
              <w:rPr>
                <w:rFonts w:ascii="Arial" w:cs="Arial" w:eastAsia="Arial" w:hAnsi="Arial"/>
                <w:sz w:val="22"/>
                <w:szCs w:val="22"/>
                <w:color w:val="auto"/>
              </w:rPr>
              <w:t>Inline XBRL Taxonomy Extension Presentation Linkbase Document</w:t>
            </w:r>
          </w:p>
        </w:tc>
      </w:tr>
      <w:tr>
        <w:trPr>
          <w:trHeight w:val="230"/>
        </w:trPr>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8"/>
        </w:trPr>
        <w:tc>
          <w:tcPr>
            <w:tcW w:w="1540" w:type="dxa"/>
            <w:vAlign w:val="bottom"/>
            <w:shd w:val="clear" w:color="auto" w:fill="CCEEFF"/>
          </w:tcPr>
          <w:p>
            <w:pPr>
              <w:ind w:left="20"/>
              <w:spacing w:after="0" w:line="208" w:lineRule="exact"/>
              <w:rPr>
                <w:sz w:val="20"/>
                <w:szCs w:val="20"/>
                <w:color w:val="auto"/>
              </w:rPr>
            </w:pPr>
            <w:r>
              <w:rPr>
                <w:rFonts w:ascii="Arial" w:cs="Arial" w:eastAsia="Arial" w:hAnsi="Arial"/>
                <w:sz w:val="22"/>
                <w:szCs w:val="22"/>
                <w:color w:val="auto"/>
              </w:rPr>
              <w:t>104</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980" w:type="dxa"/>
            <w:vAlign w:val="bottom"/>
            <w:gridSpan w:val="9"/>
            <w:shd w:val="clear" w:color="auto" w:fill="CCEEFF"/>
          </w:tcPr>
          <w:p>
            <w:pPr>
              <w:spacing w:after="0" w:line="208" w:lineRule="exact"/>
              <w:rPr>
                <w:sz w:val="20"/>
                <w:szCs w:val="20"/>
                <w:color w:val="auto"/>
              </w:rPr>
            </w:pPr>
            <w:r>
              <w:rPr>
                <w:rFonts w:ascii="Arial" w:cs="Arial" w:eastAsia="Arial" w:hAnsi="Arial"/>
                <w:sz w:val="22"/>
                <w:szCs w:val="22"/>
                <w:color w:val="auto"/>
                <w:w w:val="92"/>
              </w:rPr>
              <w:t>The cover page from the Company’s Quarterly Report on Form 10-Q for the quarter ended June 30,</w:t>
            </w:r>
          </w:p>
        </w:tc>
      </w:tr>
      <w:tr>
        <w:trPr>
          <w:trHeight w:val="251"/>
        </w:trPr>
        <w:tc>
          <w:tcPr>
            <w:tcW w:w="1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980" w:type="dxa"/>
            <w:vAlign w:val="bottom"/>
            <w:gridSpan w:val="9"/>
            <w:shd w:val="clear" w:color="auto" w:fill="CCEEFF"/>
          </w:tcPr>
          <w:p>
            <w:pPr>
              <w:spacing w:after="0" w:line="251" w:lineRule="exact"/>
              <w:rPr>
                <w:sz w:val="20"/>
                <w:szCs w:val="20"/>
                <w:color w:val="auto"/>
              </w:rPr>
            </w:pPr>
            <w:r>
              <w:rPr>
                <w:rFonts w:ascii="Arial" w:cs="Arial" w:eastAsia="Arial" w:hAnsi="Arial"/>
                <w:sz w:val="22"/>
                <w:szCs w:val="22"/>
                <w:color w:val="auto"/>
              </w:rPr>
              <w:t>2021, formatted in Inline XBRL (included in Exhibit 101)</w:t>
            </w:r>
          </w:p>
        </w:tc>
      </w:tr>
    </w:tbl>
    <w:p>
      <w:pPr>
        <w:spacing w:after="0" w:line="208" w:lineRule="exact"/>
        <w:rPr>
          <w:sz w:val="20"/>
          <w:szCs w:val="20"/>
          <w:color w:val="auto"/>
        </w:rPr>
      </w:pPr>
    </w:p>
    <w:p>
      <w:pPr>
        <w:ind w:left="340" w:hanging="332"/>
        <w:spacing w:after="0"/>
        <w:tabs>
          <w:tab w:leader="none" w:pos="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 xml:space="preserve">Represents a management </w:t>
      </w:r>
      <w:r>
        <w:rPr>
          <w:rFonts w:ascii="Arial" w:cs="Arial" w:eastAsia="Arial" w:hAnsi="Arial"/>
          <w:sz w:val="19"/>
          <w:szCs w:val="19"/>
          <w:color w:val="auto"/>
        </w:rPr>
        <w:t>contract or compensatory plan or arrangement.</w:t>
      </w:r>
    </w:p>
    <w:p>
      <w:pPr>
        <w:spacing w:after="0" w:line="8"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9" w:right="459" w:bottom="1440" w:gutter="0" w:footer="0" w:header="0"/>
        </w:sectPr>
      </w:pPr>
    </w:p>
    <w:bookmarkStart w:id="55" w:name="page56"/>
    <w:bookmarkEnd w:id="55"/>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SIGNATURES</w:t>
      </w:r>
    </w:p>
    <w:p>
      <w:pPr>
        <w:spacing w:after="0" w:line="71" w:lineRule="exact"/>
        <w:rPr>
          <w:sz w:val="20"/>
          <w:szCs w:val="20"/>
          <w:color w:val="auto"/>
        </w:rPr>
      </w:pPr>
    </w:p>
    <w:p>
      <w:pPr>
        <w:spacing w:after="0" w:line="207"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executed on its behalf by the undersigned thereunto duly authorized.</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August 6, 2021</w:t>
      </w:r>
    </w:p>
    <w:p>
      <w:pPr>
        <w:spacing w:after="0" w:line="152" w:lineRule="exact"/>
        <w:rPr>
          <w:sz w:val="20"/>
          <w:szCs w:val="20"/>
          <w:color w:val="auto"/>
        </w:rPr>
      </w:pPr>
    </w:p>
    <w:p>
      <w:pPr>
        <w:ind w:left="7100"/>
        <w:spacing w:after="0"/>
        <w:rPr>
          <w:sz w:val="20"/>
          <w:szCs w:val="20"/>
          <w:color w:val="auto"/>
        </w:rPr>
      </w:pPr>
      <w:r>
        <w:rPr>
          <w:rFonts w:ascii="Arial" w:cs="Arial" w:eastAsia="Arial" w:hAnsi="Arial"/>
          <w:sz w:val="22"/>
          <w:szCs w:val="22"/>
          <w:color w:val="auto"/>
        </w:rPr>
        <w:t>Essential Utilities,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-635</wp:posOffset>
            </wp:positionV>
            <wp:extent cx="26231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ind w:left="7100"/>
        <w:spacing w:after="0"/>
        <w:rPr>
          <w:sz w:val="20"/>
          <w:szCs w:val="20"/>
          <w:color w:val="auto"/>
        </w:rPr>
      </w:pPr>
      <w:r>
        <w:rPr>
          <w:rFonts w:ascii="Arial" w:cs="Arial" w:eastAsia="Arial" w:hAnsi="Arial"/>
          <w:sz w:val="22"/>
          <w:szCs w:val="22"/>
          <w:color w:val="auto"/>
        </w:rPr>
        <w:t>Registrant</w:t>
      </w:r>
    </w:p>
    <w:p>
      <w:pPr>
        <w:spacing w:after="0" w:line="200" w:lineRule="exact"/>
        <w:rPr>
          <w:sz w:val="20"/>
          <w:szCs w:val="20"/>
          <w:color w:val="auto"/>
        </w:rPr>
      </w:pPr>
    </w:p>
    <w:p>
      <w:pPr>
        <w:spacing w:after="0" w:line="366" w:lineRule="exact"/>
        <w:rPr>
          <w:sz w:val="20"/>
          <w:szCs w:val="20"/>
          <w:color w:val="auto"/>
        </w:rPr>
      </w:pPr>
    </w:p>
    <w:p>
      <w:pPr>
        <w:ind w:left="7100"/>
        <w:spacing w:after="0"/>
        <w:rPr>
          <w:sz w:val="20"/>
          <w:szCs w:val="20"/>
          <w:color w:val="auto"/>
        </w:rPr>
      </w:pPr>
      <w:r>
        <w:rPr>
          <w:rFonts w:ascii="Arial" w:cs="Arial" w:eastAsia="Arial" w:hAnsi="Arial"/>
          <w:sz w:val="22"/>
          <w:szCs w:val="22"/>
          <w:color w:val="auto"/>
        </w:rPr>
        <w:t>/s/ 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-635</wp:posOffset>
            </wp:positionV>
            <wp:extent cx="26231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ind w:left="7100"/>
        <w:spacing w:after="0" w:line="225" w:lineRule="auto"/>
        <w:rPr>
          <w:sz w:val="20"/>
          <w:szCs w:val="20"/>
          <w:color w:val="auto"/>
        </w:rPr>
      </w:pPr>
      <w:r>
        <w:rPr>
          <w:rFonts w:ascii="Arial" w:cs="Arial" w:eastAsia="Arial" w:hAnsi="Arial"/>
          <w:sz w:val="22"/>
          <w:szCs w:val="22"/>
          <w:color w:val="auto"/>
        </w:rPr>
        <w:t>Christopher H. Franklin</w:t>
      </w:r>
    </w:p>
    <w:p>
      <w:pPr>
        <w:ind w:left="7100"/>
        <w:spacing w:after="0" w:line="218" w:lineRule="auto"/>
        <w:rPr>
          <w:sz w:val="20"/>
          <w:szCs w:val="20"/>
          <w:color w:val="auto"/>
        </w:rPr>
      </w:pPr>
      <w:r>
        <w:rPr>
          <w:rFonts w:ascii="Arial" w:cs="Arial" w:eastAsia="Arial" w:hAnsi="Arial"/>
          <w:sz w:val="22"/>
          <w:szCs w:val="22"/>
          <w:color w:val="auto"/>
        </w:rPr>
        <w:t>Chairman, President and</w:t>
      </w:r>
    </w:p>
    <w:p>
      <w:pPr>
        <w:ind w:left="710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366" w:lineRule="exact"/>
        <w:rPr>
          <w:sz w:val="20"/>
          <w:szCs w:val="20"/>
          <w:color w:val="auto"/>
        </w:rPr>
      </w:pPr>
    </w:p>
    <w:p>
      <w:pPr>
        <w:ind w:left="7100"/>
        <w:spacing w:after="0"/>
        <w:rPr>
          <w:sz w:val="20"/>
          <w:szCs w:val="20"/>
          <w:color w:val="auto"/>
        </w:rPr>
      </w:pPr>
      <w:r>
        <w:rPr>
          <w:rFonts w:ascii="Arial" w:cs="Arial" w:eastAsia="Arial" w:hAnsi="Arial"/>
          <w:sz w:val="22"/>
          <w:szCs w:val="22"/>
          <w:color w:val="auto"/>
        </w:rPr>
        <w:t>/s/ 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-635</wp:posOffset>
            </wp:positionV>
            <wp:extent cx="262318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ind w:left="7100"/>
        <w:spacing w:after="0" w:line="225" w:lineRule="auto"/>
        <w:rPr>
          <w:sz w:val="20"/>
          <w:szCs w:val="20"/>
          <w:color w:val="auto"/>
        </w:rPr>
      </w:pPr>
      <w:r>
        <w:rPr>
          <w:rFonts w:ascii="Arial" w:cs="Arial" w:eastAsia="Arial" w:hAnsi="Arial"/>
          <w:sz w:val="22"/>
          <w:szCs w:val="22"/>
          <w:color w:val="auto"/>
        </w:rPr>
        <w:t>Daniel J. Schuller</w:t>
      </w:r>
    </w:p>
    <w:p>
      <w:pPr>
        <w:ind w:left="7100"/>
        <w:spacing w:after="0" w:line="218" w:lineRule="auto"/>
        <w:rPr>
          <w:sz w:val="20"/>
          <w:szCs w:val="20"/>
          <w:color w:val="auto"/>
        </w:rPr>
      </w:pPr>
      <w:r>
        <w:rPr>
          <w:rFonts w:ascii="Arial" w:cs="Arial" w:eastAsia="Arial" w:hAnsi="Arial"/>
          <w:sz w:val="22"/>
          <w:szCs w:val="22"/>
          <w:color w:val="auto"/>
        </w:rPr>
        <w:t>Executive Vice President and</w:t>
      </w:r>
    </w:p>
    <w:p>
      <w:pPr>
        <w:ind w:left="7100"/>
        <w:spacing w:after="0"/>
        <w:rPr>
          <w:sz w:val="20"/>
          <w:szCs w:val="20"/>
          <w:color w:val="auto"/>
        </w:rPr>
      </w:pPr>
      <w:r>
        <w:rPr>
          <w:rFonts w:ascii="Arial" w:cs="Arial" w:eastAsia="Arial" w:hAnsi="Arial"/>
          <w:sz w:val="22"/>
          <w:szCs w:val="22"/>
          <w:color w:val="auto"/>
        </w:rPr>
        <w:t>Chief Financial Officer</w:t>
      </w:r>
    </w:p>
    <w:p>
      <w:pPr>
        <w:spacing w:after="0" w:line="121"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100"/>
          </w:cols>
          <w:pgMar w:left="320" w:top="118" w:right="479" w:bottom="1440" w:gutter="0" w:footer="0" w:header="0"/>
        </w:sectPr>
      </w:pPr>
    </w:p>
    <w:bookmarkStart w:id="56" w:name="page57"/>
    <w:bookmarkEnd w:id="56"/>
    <w:p>
      <w:pPr>
        <w:ind w:left="8904"/>
        <w:spacing w:after="0"/>
        <w:rPr>
          <w:sz w:val="20"/>
          <w:szCs w:val="20"/>
          <w:color w:val="auto"/>
        </w:rPr>
      </w:pPr>
      <w:r>
        <w:rPr>
          <w:rFonts w:ascii="Arial" w:cs="Arial" w:eastAsia="Arial" w:hAnsi="Arial"/>
          <w:sz w:val="19"/>
          <w:szCs w:val="19"/>
          <w:color w:val="auto"/>
        </w:rPr>
        <w:t>Exhibit 31.1</w:t>
      </w:r>
    </w:p>
    <w:p>
      <w:pPr>
        <w:spacing w:after="0" w:line="133" w:lineRule="exact"/>
        <w:rPr>
          <w:sz w:val="20"/>
          <w:szCs w:val="20"/>
          <w:color w:val="auto"/>
        </w:rPr>
      </w:pPr>
    </w:p>
    <w:p>
      <w:pPr>
        <w:ind w:left="124"/>
        <w:spacing w:after="0"/>
        <w:rPr>
          <w:sz w:val="20"/>
          <w:szCs w:val="20"/>
          <w:color w:val="auto"/>
        </w:rPr>
      </w:pPr>
      <w:r>
        <w:rPr>
          <w:rFonts w:ascii="Arial" w:cs="Arial" w:eastAsia="Arial" w:hAnsi="Arial"/>
          <w:sz w:val="19"/>
          <w:szCs w:val="19"/>
          <w:color w:val="auto"/>
        </w:rPr>
        <w:t>CERTIFICATION OF CHIEF EXECUTIVE OFFICER, PURSUANT TO RULE 13A-14(A) UNDER THE SECURITIES</w:t>
      </w:r>
    </w:p>
    <w:p>
      <w:pPr>
        <w:jc w:val="center"/>
        <w:ind w:right="36"/>
        <w:spacing w:after="0"/>
        <w:rPr>
          <w:sz w:val="20"/>
          <w:szCs w:val="20"/>
          <w:color w:val="auto"/>
        </w:rPr>
      </w:pPr>
      <w:r>
        <w:rPr>
          <w:rFonts w:ascii="Arial" w:cs="Arial" w:eastAsia="Arial" w:hAnsi="Arial"/>
          <w:sz w:val="20"/>
          <w:szCs w:val="20"/>
          <w:color w:val="auto"/>
        </w:rPr>
        <w:t>AND EXCHANGE ACT OF 1934</w:t>
      </w:r>
    </w:p>
    <w:p>
      <w:pPr>
        <w:spacing w:after="0" w:line="132" w:lineRule="exact"/>
        <w:rPr>
          <w:sz w:val="20"/>
          <w:szCs w:val="20"/>
          <w:color w:val="auto"/>
        </w:rPr>
      </w:pPr>
    </w:p>
    <w:p>
      <w:pPr>
        <w:ind w:left="4"/>
        <w:spacing w:after="0"/>
        <w:rPr>
          <w:sz w:val="20"/>
          <w:szCs w:val="20"/>
          <w:color w:val="auto"/>
        </w:rPr>
      </w:pPr>
      <w:r>
        <w:rPr>
          <w:rFonts w:ascii="Arial" w:cs="Arial" w:eastAsia="Arial" w:hAnsi="Arial"/>
          <w:sz w:val="20"/>
          <w:szCs w:val="20"/>
          <w:color w:val="auto"/>
        </w:rPr>
        <w:t>I, Christopher H. Franklin, certify that:</w:t>
      </w:r>
    </w:p>
    <w:p>
      <w:pPr>
        <w:spacing w:after="0" w:line="123" w:lineRule="exact"/>
        <w:rPr>
          <w:sz w:val="20"/>
          <w:szCs w:val="20"/>
          <w:color w:val="auto"/>
        </w:rPr>
      </w:pPr>
    </w:p>
    <w:p>
      <w:pPr>
        <w:ind w:left="324" w:hanging="324"/>
        <w:spacing w:after="0"/>
        <w:tabs>
          <w:tab w:leader="none" w:pos="324" w:val="left"/>
        </w:tabs>
        <w:numPr>
          <w:ilvl w:val="0"/>
          <w:numId w:val="8"/>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Essential Utilities, Inc.;</w:t>
      </w:r>
    </w:p>
    <w:p>
      <w:pPr>
        <w:jc w:val="both"/>
        <w:ind w:left="324" w:right="220" w:hanging="324"/>
        <w:spacing w:after="0" w:line="197" w:lineRule="auto"/>
        <w:tabs>
          <w:tab w:leader="none" w:pos="324" w:val="left"/>
        </w:tabs>
        <w:numPr>
          <w:ilvl w:val="0"/>
          <w:numId w:val="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4" w:right="180" w:hanging="324"/>
        <w:spacing w:after="0" w:line="197" w:lineRule="auto"/>
        <w:tabs>
          <w:tab w:leader="none" w:pos="324" w:val="left"/>
        </w:tabs>
        <w:numPr>
          <w:ilvl w:val="0"/>
          <w:numId w:val="8"/>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24" w:right="100" w:hanging="324"/>
        <w:spacing w:after="0" w:line="207" w:lineRule="auto"/>
        <w:tabs>
          <w:tab w:leader="none" w:pos="324"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9"/>
          <w:szCs w:val="19"/>
          <w:color w:val="auto"/>
        </w:rPr>
      </w:pPr>
    </w:p>
    <w:p>
      <w:pPr>
        <w:ind w:left="644" w:hanging="320"/>
        <w:spacing w:after="0" w:line="197" w:lineRule="auto"/>
        <w:tabs>
          <w:tab w:leader="none" w:pos="644" w:val="left"/>
        </w:tabs>
        <w:numPr>
          <w:ilvl w:val="1"/>
          <w:numId w:val="8"/>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44" w:right="60" w:hanging="320"/>
        <w:spacing w:after="0" w:line="197" w:lineRule="auto"/>
        <w:tabs>
          <w:tab w:leader="none" w:pos="644" w:val="left"/>
        </w:tabs>
        <w:numPr>
          <w:ilvl w:val="1"/>
          <w:numId w:val="8"/>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44" w:right="100" w:hanging="320"/>
        <w:spacing w:after="0" w:line="197" w:lineRule="auto"/>
        <w:tabs>
          <w:tab w:leader="none" w:pos="644" w:val="left"/>
        </w:tabs>
        <w:numPr>
          <w:ilvl w:val="1"/>
          <w:numId w:val="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4" w:right="240" w:hanging="320"/>
        <w:spacing w:after="0" w:line="197" w:lineRule="auto"/>
        <w:tabs>
          <w:tab w:leader="none" w:pos="644" w:val="left"/>
        </w:tabs>
        <w:numPr>
          <w:ilvl w:val="1"/>
          <w:numId w:val="8"/>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324" w:right="40" w:hanging="324"/>
        <w:spacing w:after="0" w:line="197" w:lineRule="auto"/>
        <w:tabs>
          <w:tab w:leader="none" w:pos="324"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44" w:right="300" w:hanging="320"/>
        <w:spacing w:after="0" w:line="197" w:lineRule="auto"/>
        <w:tabs>
          <w:tab w:leader="none" w:pos="644" w:val="left"/>
        </w:tabs>
        <w:numPr>
          <w:ilvl w:val="1"/>
          <w:numId w:val="8"/>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44" w:right="80" w:hanging="320"/>
        <w:spacing w:after="0" w:line="220" w:lineRule="auto"/>
        <w:tabs>
          <w:tab w:leader="none" w:pos="644" w:val="left"/>
        </w:tabs>
        <w:numPr>
          <w:ilvl w:val="1"/>
          <w:numId w:val="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Christopher H. Franklin</w:t>
      </w:r>
    </w:p>
    <w:p>
      <w:pPr>
        <w:ind w:left="124"/>
        <w:spacing w:after="0" w:line="187" w:lineRule="auto"/>
        <w:rPr>
          <w:sz w:val="20"/>
          <w:szCs w:val="20"/>
          <w:color w:val="auto"/>
        </w:rPr>
      </w:pPr>
      <w:r>
        <w:rPr>
          <w:rFonts w:ascii="Arial" w:cs="Arial" w:eastAsia="Arial" w:hAnsi="Arial"/>
          <w:sz w:val="18"/>
          <w:szCs w:val="18"/>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30861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ind w:left="124"/>
        <w:spacing w:after="0" w:line="188"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August 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231775</wp:posOffset>
            </wp:positionV>
            <wp:extent cx="6351905" cy="508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24"/>
          </w:cols>
          <w:pgMar w:left="976" w:top="82" w:right="999" w:bottom="1440" w:gutter="0" w:footer="0" w:header="0"/>
        </w:sectPr>
      </w:pPr>
    </w:p>
    <w:bookmarkStart w:id="57" w:name="page58"/>
    <w:bookmarkEnd w:id="57"/>
    <w:p>
      <w:pPr>
        <w:jc w:val="right"/>
        <w:spacing w:after="0"/>
        <w:rPr>
          <w:sz w:val="20"/>
          <w:szCs w:val="20"/>
          <w:color w:val="auto"/>
        </w:rPr>
      </w:pPr>
      <w:r>
        <w:rPr>
          <w:rFonts w:ascii="Arial" w:cs="Arial" w:eastAsia="Arial" w:hAnsi="Arial"/>
          <w:sz w:val="20"/>
          <w:szCs w:val="20"/>
          <w:color w:val="auto"/>
        </w:rPr>
        <w:t>Exhibit 31.2</w:t>
      </w:r>
    </w:p>
    <w:p>
      <w:pPr>
        <w:spacing w:after="0" w:line="136" w:lineRule="exact"/>
        <w:rPr>
          <w:sz w:val="20"/>
          <w:szCs w:val="20"/>
          <w:color w:val="auto"/>
        </w:rPr>
      </w:pPr>
    </w:p>
    <w:p>
      <w:pPr>
        <w:ind w:left="144"/>
        <w:spacing w:after="0"/>
        <w:rPr>
          <w:sz w:val="20"/>
          <w:szCs w:val="20"/>
          <w:color w:val="auto"/>
        </w:rPr>
      </w:pPr>
      <w:r>
        <w:rPr>
          <w:rFonts w:ascii="Arial" w:cs="Arial" w:eastAsia="Arial" w:hAnsi="Arial"/>
          <w:sz w:val="19"/>
          <w:szCs w:val="19"/>
          <w:color w:val="auto"/>
        </w:rPr>
        <w:t>CERTIFICATION OF CHIEF FINANCIAL OFFICER, PURSUANT TO RULE 13A-14(A) UNDER THE SECURITIES</w:t>
      </w:r>
    </w:p>
    <w:p>
      <w:pPr>
        <w:jc w:val="center"/>
        <w:ind w:right="96"/>
        <w:spacing w:after="0"/>
        <w:rPr>
          <w:sz w:val="20"/>
          <w:szCs w:val="20"/>
          <w:color w:val="auto"/>
        </w:rPr>
      </w:pPr>
      <w:r>
        <w:rPr>
          <w:rFonts w:ascii="Arial" w:cs="Arial" w:eastAsia="Arial" w:hAnsi="Arial"/>
          <w:sz w:val="20"/>
          <w:szCs w:val="20"/>
          <w:color w:val="auto"/>
        </w:rPr>
        <w:t>AND EXCHANGE ACT OF 1934</w:t>
      </w:r>
    </w:p>
    <w:p>
      <w:pPr>
        <w:spacing w:after="0" w:line="132" w:lineRule="exact"/>
        <w:rPr>
          <w:sz w:val="20"/>
          <w:szCs w:val="20"/>
          <w:color w:val="auto"/>
        </w:rPr>
      </w:pPr>
    </w:p>
    <w:p>
      <w:pPr>
        <w:ind w:left="4"/>
        <w:spacing w:after="0"/>
        <w:rPr>
          <w:sz w:val="20"/>
          <w:szCs w:val="20"/>
          <w:color w:val="auto"/>
        </w:rPr>
      </w:pPr>
      <w:r>
        <w:rPr>
          <w:rFonts w:ascii="Arial" w:cs="Arial" w:eastAsia="Arial" w:hAnsi="Arial"/>
          <w:sz w:val="20"/>
          <w:szCs w:val="20"/>
          <w:color w:val="auto"/>
        </w:rPr>
        <w:t>I, Daniel J. Schuller, certify that:</w:t>
      </w:r>
    </w:p>
    <w:p>
      <w:pPr>
        <w:spacing w:after="0" w:line="123" w:lineRule="exact"/>
        <w:rPr>
          <w:sz w:val="20"/>
          <w:szCs w:val="20"/>
          <w:color w:val="auto"/>
        </w:rPr>
      </w:pPr>
    </w:p>
    <w:p>
      <w:pPr>
        <w:ind w:left="324" w:hanging="324"/>
        <w:spacing w:after="0"/>
        <w:tabs>
          <w:tab w:leader="none" w:pos="324" w:val="left"/>
        </w:tabs>
        <w:numPr>
          <w:ilvl w:val="0"/>
          <w:numId w:val="9"/>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Essential Utilities, Inc.;</w:t>
      </w:r>
    </w:p>
    <w:p>
      <w:pPr>
        <w:jc w:val="both"/>
        <w:ind w:left="324" w:right="240" w:hanging="324"/>
        <w:spacing w:after="0" w:line="197" w:lineRule="auto"/>
        <w:tabs>
          <w:tab w:leader="none" w:pos="324" w:val="left"/>
        </w:tabs>
        <w:numPr>
          <w:ilvl w:val="0"/>
          <w:numId w:val="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4" w:right="200" w:hanging="324"/>
        <w:spacing w:after="0" w:line="197" w:lineRule="auto"/>
        <w:tabs>
          <w:tab w:leader="none" w:pos="324" w:val="left"/>
        </w:tabs>
        <w:numPr>
          <w:ilvl w:val="0"/>
          <w:numId w:val="9"/>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24" w:right="120" w:hanging="324"/>
        <w:spacing w:after="0" w:line="207" w:lineRule="auto"/>
        <w:tabs>
          <w:tab w:leader="none" w:pos="324"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9"/>
          <w:szCs w:val="19"/>
          <w:color w:val="auto"/>
        </w:rPr>
      </w:pPr>
    </w:p>
    <w:p>
      <w:pPr>
        <w:ind w:left="644" w:right="20" w:hanging="320"/>
        <w:spacing w:after="0" w:line="197" w:lineRule="auto"/>
        <w:tabs>
          <w:tab w:leader="none" w:pos="644" w:val="left"/>
        </w:tabs>
        <w:numPr>
          <w:ilvl w:val="1"/>
          <w:numId w:val="9"/>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44" w:right="80" w:hanging="320"/>
        <w:spacing w:after="0" w:line="197" w:lineRule="auto"/>
        <w:tabs>
          <w:tab w:leader="none" w:pos="644" w:val="left"/>
        </w:tabs>
        <w:numPr>
          <w:ilvl w:val="1"/>
          <w:numId w:val="9"/>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44" w:right="120" w:hanging="320"/>
        <w:spacing w:after="0" w:line="197" w:lineRule="auto"/>
        <w:tabs>
          <w:tab w:leader="none" w:pos="644" w:val="left"/>
        </w:tabs>
        <w:numPr>
          <w:ilvl w:val="1"/>
          <w:numId w:val="9"/>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4" w:right="260" w:hanging="320"/>
        <w:spacing w:after="0" w:line="197" w:lineRule="auto"/>
        <w:tabs>
          <w:tab w:leader="none" w:pos="644" w:val="left"/>
        </w:tabs>
        <w:numPr>
          <w:ilvl w:val="1"/>
          <w:numId w:val="9"/>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324" w:right="60" w:hanging="324"/>
        <w:spacing w:after="0" w:line="197" w:lineRule="auto"/>
        <w:tabs>
          <w:tab w:leader="none" w:pos="324"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44" w:right="320" w:hanging="320"/>
        <w:spacing w:after="0" w:line="197" w:lineRule="auto"/>
        <w:tabs>
          <w:tab w:leader="none" w:pos="644" w:val="left"/>
        </w:tabs>
        <w:numPr>
          <w:ilvl w:val="1"/>
          <w:numId w:val="9"/>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44" w:right="100" w:hanging="320"/>
        <w:spacing w:after="0" w:line="220" w:lineRule="auto"/>
        <w:tabs>
          <w:tab w:leader="none" w:pos="644" w:val="left"/>
        </w:tabs>
        <w:numPr>
          <w:ilvl w:val="1"/>
          <w:numId w:val="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Daniel J. Schuller</w:t>
      </w:r>
    </w:p>
    <w:p>
      <w:pPr>
        <w:ind w:left="124"/>
        <w:spacing w:after="0" w:line="187" w:lineRule="auto"/>
        <w:rPr>
          <w:sz w:val="20"/>
          <w:szCs w:val="20"/>
          <w:color w:val="auto"/>
        </w:rPr>
      </w:pPr>
      <w:r>
        <w:rPr>
          <w:rFonts w:ascii="Arial" w:cs="Arial" w:eastAsia="Arial" w:hAnsi="Arial"/>
          <w:sz w:val="21"/>
          <w:szCs w:val="21"/>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330898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124"/>
        <w:spacing w:after="0" w:line="205" w:lineRule="auto"/>
        <w:rPr>
          <w:sz w:val="20"/>
          <w:szCs w:val="20"/>
          <w:color w:val="auto"/>
        </w:rPr>
      </w:pPr>
      <w:r>
        <w:rPr>
          <w:rFonts w:ascii="Arial" w:cs="Arial" w:eastAsia="Arial" w:hAnsi="Arial"/>
          <w:sz w:val="22"/>
          <w:szCs w:val="22"/>
          <w:color w:val="auto"/>
        </w:rPr>
        <w:t>Executive Vice President and Chief Financial Officer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August 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248920</wp:posOffset>
            </wp:positionV>
            <wp:extent cx="6351905" cy="508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4"/>
          </w:cols>
          <w:pgMar w:left="976" w:top="108" w:right="979" w:bottom="1440" w:gutter="0" w:footer="0" w:header="0"/>
        </w:sectPr>
      </w:pPr>
    </w:p>
    <w:bookmarkStart w:id="58" w:name="page59"/>
    <w:bookmarkEnd w:id="58"/>
    <w:p>
      <w:pPr>
        <w:jc w:val="right"/>
        <w:spacing w:after="0"/>
        <w:rPr>
          <w:sz w:val="20"/>
          <w:szCs w:val="20"/>
          <w:color w:val="auto"/>
        </w:rPr>
      </w:pPr>
      <w:r>
        <w:rPr>
          <w:rFonts w:ascii="Arial" w:cs="Arial" w:eastAsia="Arial" w:hAnsi="Arial"/>
          <w:sz w:val="22"/>
          <w:szCs w:val="22"/>
          <w:color w:val="auto"/>
        </w:rPr>
        <w:t>Exhibit 32.1</w:t>
      </w:r>
    </w:p>
    <w:p>
      <w:pPr>
        <w:spacing w:after="0" w:line="322"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CERTIFICATION OF CHIEF EXECUTIVE OFFICER PURSUANT TO</w:t>
      </w:r>
    </w:p>
    <w:p>
      <w:pPr>
        <w:jc w:val="center"/>
        <w:ind w:right="-3"/>
        <w:spacing w:after="0"/>
        <w:rPr>
          <w:sz w:val="20"/>
          <w:szCs w:val="20"/>
          <w:color w:val="auto"/>
        </w:rPr>
      </w:pPr>
      <w:r>
        <w:rPr>
          <w:rFonts w:ascii="Arial" w:cs="Arial" w:eastAsia="Arial" w:hAnsi="Arial"/>
          <w:sz w:val="22"/>
          <w:szCs w:val="22"/>
          <w:color w:val="auto"/>
        </w:rPr>
        <w:t>18 U.S.C. SECTION 1350</w:t>
      </w:r>
    </w:p>
    <w:p>
      <w:pPr>
        <w:spacing w:after="0" w:line="200" w:lineRule="exact"/>
        <w:rPr>
          <w:sz w:val="20"/>
          <w:szCs w:val="20"/>
          <w:color w:val="auto"/>
        </w:rPr>
      </w:pPr>
    </w:p>
    <w:p>
      <w:pPr>
        <w:spacing w:after="0" w:line="339" w:lineRule="exact"/>
        <w:rPr>
          <w:sz w:val="20"/>
          <w:szCs w:val="20"/>
          <w:color w:val="auto"/>
        </w:rPr>
      </w:pPr>
    </w:p>
    <w:p>
      <w:pPr>
        <w:jc w:val="both"/>
        <w:ind w:left="4" w:right="100"/>
        <w:spacing w:after="0" w:line="184" w:lineRule="auto"/>
        <w:rPr>
          <w:sz w:val="20"/>
          <w:szCs w:val="20"/>
          <w:color w:val="auto"/>
        </w:rPr>
      </w:pPr>
      <w:r>
        <w:rPr>
          <w:rFonts w:ascii="Arial" w:cs="Arial" w:eastAsia="Arial" w:hAnsi="Arial"/>
          <w:sz w:val="19"/>
          <w:szCs w:val="19"/>
          <w:color w:val="auto"/>
        </w:rPr>
        <w:t>In connection with the Quarterly Report on Form 10-Q for the period ended June 30, 2021 of Essential Utilities, Inc. (the “Company”) as filed with the Securities and Exchange Commission on the date hereof (the “Report”), I, Christopher H. Franklin, President and Chief Executive Officer of the Company, certify, pursuant to 18 U.S.C.</w:t>
      </w:r>
    </w:p>
    <w:p>
      <w:pPr>
        <w:spacing w:after="0" w:line="1" w:lineRule="exact"/>
        <w:rPr>
          <w:sz w:val="20"/>
          <w:szCs w:val="20"/>
          <w:color w:val="auto"/>
        </w:rPr>
      </w:pPr>
    </w:p>
    <w:p>
      <w:pPr>
        <w:ind w:left="4"/>
        <w:spacing w:after="0"/>
        <w:rPr>
          <w:sz w:val="20"/>
          <w:szCs w:val="20"/>
          <w:color w:val="auto"/>
        </w:rPr>
      </w:pPr>
      <w:r>
        <w:rPr>
          <w:rFonts w:ascii="Arial" w:cs="Arial" w:eastAsia="Arial" w:hAnsi="Arial"/>
          <w:sz w:val="19"/>
          <w:szCs w:val="19"/>
          <w:color w:val="auto"/>
        </w:rPr>
        <w:t>Section 1350, as adopted pursuant to Section 906 of the Sarbanes-Oxley Act of 2002, that, to my knowledge:</w:t>
      </w:r>
    </w:p>
    <w:p>
      <w:pPr>
        <w:spacing w:after="0" w:line="250" w:lineRule="exact"/>
        <w:rPr>
          <w:sz w:val="20"/>
          <w:szCs w:val="20"/>
          <w:color w:val="auto"/>
        </w:rPr>
      </w:pPr>
    </w:p>
    <w:p>
      <w:pPr>
        <w:ind w:left="324" w:right="220" w:hanging="324"/>
        <w:spacing w:after="0" w:line="207" w:lineRule="auto"/>
        <w:tabs>
          <w:tab w:leader="none" w:pos="324"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(15 U.S.C. Section 78m or Section 78o(d)); and</w:t>
      </w:r>
    </w:p>
    <w:p>
      <w:pPr>
        <w:spacing w:after="0" w:line="49" w:lineRule="exact"/>
        <w:rPr>
          <w:rFonts w:ascii="Arial" w:cs="Arial" w:eastAsia="Arial" w:hAnsi="Arial"/>
          <w:sz w:val="22"/>
          <w:szCs w:val="22"/>
          <w:color w:val="auto"/>
        </w:rPr>
      </w:pPr>
    </w:p>
    <w:p>
      <w:pPr>
        <w:ind w:left="324" w:right="320" w:hanging="324"/>
        <w:spacing w:after="0" w:line="207" w:lineRule="auto"/>
        <w:tabs>
          <w:tab w:leader="none" w:pos="324"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0"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Christopher H. Franklin</w:t>
      </w:r>
    </w:p>
    <w:p>
      <w:pPr>
        <w:ind w:left="124"/>
        <w:spacing w:after="0" w:line="187" w:lineRule="auto"/>
        <w:rPr>
          <w:sz w:val="20"/>
          <w:szCs w:val="20"/>
          <w:color w:val="auto"/>
        </w:rPr>
      </w:pPr>
      <w:r>
        <w:rPr>
          <w:rFonts w:ascii="Arial" w:cs="Arial" w:eastAsia="Arial" w:hAnsi="Arial"/>
          <w:sz w:val="18"/>
          <w:szCs w:val="18"/>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29571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ind w:left="124"/>
        <w:spacing w:after="0" w:line="188"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August 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231775</wp:posOffset>
            </wp:positionV>
            <wp:extent cx="6351905" cy="508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884"/>
          </w:cols>
          <w:pgMar w:left="976" w:top="78" w:right="1039" w:bottom="1440" w:gutter="0" w:footer="0" w:header="0"/>
        </w:sectPr>
      </w:pPr>
    </w:p>
    <w:bookmarkStart w:id="59" w:name="page60"/>
    <w:bookmarkEnd w:id="59"/>
    <w:p>
      <w:pPr>
        <w:jc w:val="right"/>
        <w:spacing w:after="0"/>
        <w:rPr>
          <w:sz w:val="20"/>
          <w:szCs w:val="20"/>
          <w:color w:val="auto"/>
        </w:rPr>
      </w:pPr>
      <w:r>
        <w:rPr>
          <w:rFonts w:ascii="Arial" w:cs="Arial" w:eastAsia="Arial" w:hAnsi="Arial"/>
          <w:sz w:val="22"/>
          <w:szCs w:val="22"/>
          <w:color w:val="auto"/>
        </w:rPr>
        <w:t>Exhibit 32.2</w:t>
      </w:r>
    </w:p>
    <w:p>
      <w:pPr>
        <w:spacing w:after="0" w:line="322"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CERTIFICATION OF CHIEF FINANCIAL OFFICER PURSUANT TO</w:t>
      </w:r>
    </w:p>
    <w:p>
      <w:pPr>
        <w:jc w:val="center"/>
        <w:ind w:right="-3"/>
        <w:spacing w:after="0"/>
        <w:rPr>
          <w:sz w:val="20"/>
          <w:szCs w:val="20"/>
          <w:color w:val="auto"/>
        </w:rPr>
      </w:pPr>
      <w:r>
        <w:rPr>
          <w:rFonts w:ascii="Arial" w:cs="Arial" w:eastAsia="Arial" w:hAnsi="Arial"/>
          <w:sz w:val="22"/>
          <w:szCs w:val="22"/>
          <w:color w:val="auto"/>
        </w:rPr>
        <w:t>18 U.S.C. SECTION 1350</w:t>
      </w:r>
    </w:p>
    <w:p>
      <w:pPr>
        <w:spacing w:after="0" w:line="200" w:lineRule="exact"/>
        <w:rPr>
          <w:sz w:val="20"/>
          <w:szCs w:val="20"/>
          <w:color w:val="auto"/>
        </w:rPr>
      </w:pPr>
    </w:p>
    <w:p>
      <w:pPr>
        <w:spacing w:after="0" w:line="339" w:lineRule="exact"/>
        <w:rPr>
          <w:sz w:val="20"/>
          <w:szCs w:val="20"/>
          <w:color w:val="auto"/>
        </w:rPr>
      </w:pPr>
    </w:p>
    <w:p>
      <w:pPr>
        <w:ind w:left="4" w:right="100"/>
        <w:spacing w:after="0" w:line="208" w:lineRule="auto"/>
        <w:rPr>
          <w:sz w:val="20"/>
          <w:szCs w:val="20"/>
          <w:color w:val="auto"/>
        </w:rPr>
      </w:pPr>
      <w:r>
        <w:rPr>
          <w:rFonts w:ascii="Arial" w:cs="Arial" w:eastAsia="Arial" w:hAnsi="Arial"/>
          <w:sz w:val="19"/>
          <w:szCs w:val="19"/>
          <w:color w:val="auto"/>
        </w:rPr>
        <w:t>In connection with the Quarterly Report on Form 10-Q for the period ended June 30, 2021 of Essential Utilities, Inc. (the “Company”) as filed with the Securities and Exchange Commission on the date hereof (the “Report”), I, Daniel J. Schuller, Chief Financial Officer of the Company, certify, pursuant to 18 U.S.C. Section 1350, as adopted pursuant to Section 906 of the Sarbanes-Oxley Act of 2002, that, to my knowledge:</w:t>
      </w:r>
    </w:p>
    <w:p>
      <w:pPr>
        <w:spacing w:after="0" w:line="215" w:lineRule="exact"/>
        <w:rPr>
          <w:sz w:val="20"/>
          <w:szCs w:val="20"/>
          <w:color w:val="auto"/>
        </w:rPr>
      </w:pPr>
    </w:p>
    <w:p>
      <w:pPr>
        <w:ind w:left="324" w:right="220" w:hanging="324"/>
        <w:spacing w:after="0" w:line="207" w:lineRule="auto"/>
        <w:tabs>
          <w:tab w:leader="none" w:pos="324"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(15 U.S.C. Section 78m or Section 78o(d)); and</w:t>
      </w:r>
    </w:p>
    <w:p>
      <w:pPr>
        <w:spacing w:after="0" w:line="49" w:lineRule="exact"/>
        <w:rPr>
          <w:rFonts w:ascii="Arial" w:cs="Arial" w:eastAsia="Arial" w:hAnsi="Arial"/>
          <w:sz w:val="22"/>
          <w:szCs w:val="22"/>
          <w:color w:val="auto"/>
        </w:rPr>
      </w:pPr>
    </w:p>
    <w:p>
      <w:pPr>
        <w:ind w:left="324" w:right="320" w:hanging="324"/>
        <w:spacing w:after="0" w:line="207" w:lineRule="auto"/>
        <w:tabs>
          <w:tab w:leader="none" w:pos="324"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0"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Daniel J. Schuller</w:t>
      </w:r>
    </w:p>
    <w:p>
      <w:pPr>
        <w:ind w:left="124"/>
        <w:spacing w:after="0" w:line="187" w:lineRule="auto"/>
        <w:rPr>
          <w:sz w:val="20"/>
          <w:szCs w:val="20"/>
          <w:color w:val="auto"/>
        </w:rPr>
      </w:pPr>
      <w:r>
        <w:rPr>
          <w:rFonts w:ascii="Arial" w:cs="Arial" w:eastAsia="Arial" w:hAnsi="Arial"/>
          <w:sz w:val="21"/>
          <w:szCs w:val="21"/>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34029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ind w:left="124"/>
        <w:spacing w:after="0" w:line="205" w:lineRule="auto"/>
        <w:rPr>
          <w:sz w:val="20"/>
          <w:szCs w:val="20"/>
          <w:color w:val="auto"/>
        </w:rPr>
      </w:pPr>
      <w:r>
        <w:rPr>
          <w:rFonts w:ascii="Arial" w:cs="Arial" w:eastAsia="Arial" w:hAnsi="Arial"/>
          <w:sz w:val="22"/>
          <w:szCs w:val="22"/>
          <w:color w:val="auto"/>
        </w:rPr>
        <w:t>Executive Vice President and Chief Financial Officer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August 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248920</wp:posOffset>
            </wp:positionV>
            <wp:extent cx="6351905"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sectPr>
      <w:pgSz w:w="11900" w:h="16838" w:orient="portrait"/>
      <w:cols w:equalWidth="0" w:num="1">
        <w:col w:w="9884"/>
      </w:cols>
      <w:pgMar w:left="976" w:top="78"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l"/>
      <w:numFmt w:val="bullet"/>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lowerLetter"/>
      <w:start w:val="2"/>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68" Type="http://schemas.openxmlformats.org/officeDocument/2006/relationships/hyperlink" Target="http://www.sec.gov/Archives/edgar/data/78128/000155278121000554/e21455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2021-08-06T17:05:48Z</dcterms:created>
  <dcterms:modified xsi:type="dcterms:W3CDTF">2021-08-06T17:05:48Z</dcterms:modified>
</cp:coreProperties>
</file>