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jc w:val="center"/>
        <w:ind w:right="12"/>
        <w:spacing w:after="0" w:line="235" w:lineRule="auto"/>
        <w:rPr>
          <w:sz w:val="20"/>
          <w:szCs w:val="20"/>
          <w:color w:val="auto"/>
        </w:rPr>
      </w:pPr>
      <w:r>
        <w:rPr>
          <w:rFonts w:ascii="Times New Roman" w:cs="Times New Roman" w:eastAsia="Times New Roman" w:hAnsi="Times New Roman"/>
          <w:sz w:val="16"/>
          <w:szCs w:val="16"/>
          <w:b w:val="1"/>
          <w:bCs w:val="1"/>
          <w:color w:val="auto"/>
        </w:rPr>
        <w:t>UNITED STATES</w:t>
      </w:r>
    </w:p>
    <w:p>
      <w:pPr>
        <w:jc w:val="center"/>
        <w:ind w:right="12"/>
        <w:spacing w:after="0" w:line="226" w:lineRule="auto"/>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FORM 10-Q</w:t>
      </w:r>
    </w:p>
    <w:p>
      <w:pPr>
        <w:ind w:left="8"/>
        <w:spacing w:after="0" w:line="195" w:lineRule="auto"/>
        <w:rPr>
          <w:sz w:val="20"/>
          <w:szCs w:val="20"/>
          <w:color w:val="auto"/>
        </w:rPr>
      </w:pPr>
      <w:r>
        <w:rPr>
          <w:rFonts w:ascii="Times New Roman" w:cs="Times New Roman" w:eastAsia="Times New Roman" w:hAnsi="Times New Roman"/>
          <w:sz w:val="16"/>
          <w:szCs w:val="16"/>
          <w:color w:val="auto"/>
        </w:rPr>
        <w:t>(Mark One)</w:t>
      </w:r>
    </w:p>
    <w:p>
      <w:pPr>
        <w:spacing w:after="0" w:line="1"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highlight w:val="black"/>
        </w:rPr>
        <w:t xml:space="preserve">S </w:t>
      </w:r>
      <w:r>
        <w:rPr>
          <w:rFonts w:ascii="Times New Roman" w:cs="Times New Roman" w:eastAsia="Times New Roman" w:hAnsi="Times New Roman"/>
          <w:sz w:val="16"/>
          <w:szCs w:val="16"/>
          <w:color w:val="auto"/>
        </w:rPr>
        <w:t>QUARTERLY REPORT PURSUANT TO SECTION 13 or 15 (d) OF THE SECURITIES EXCHANGE ACT OF 1934.</w:t>
      </w:r>
    </w:p>
    <w:p>
      <w:pPr>
        <w:spacing w:after="0" w:line="63" w:lineRule="exact"/>
        <w:rPr>
          <w:sz w:val="24"/>
          <w:szCs w:val="24"/>
          <w:color w:val="auto"/>
        </w:rPr>
      </w:pPr>
    </w:p>
    <w:p>
      <w:pPr>
        <w:ind w:left="4168"/>
        <w:spacing w:after="0"/>
        <w:rPr>
          <w:sz w:val="20"/>
          <w:szCs w:val="20"/>
          <w:color w:val="auto"/>
        </w:rPr>
      </w:pPr>
      <w:r>
        <w:rPr>
          <w:rFonts w:ascii="Times New Roman" w:cs="Times New Roman" w:eastAsia="Times New Roman" w:hAnsi="Times New Roman"/>
          <w:sz w:val="16"/>
          <w:szCs w:val="16"/>
          <w:color w:val="auto"/>
        </w:rPr>
        <w:t>For the quarterly period ended June 30, 2025</w:t>
      </w:r>
    </w:p>
    <w:p>
      <w:pPr>
        <w:spacing w:after="0" w:line="82" w:lineRule="exact"/>
        <w:rPr>
          <w:sz w:val="24"/>
          <w:szCs w:val="24"/>
          <w:color w:val="auto"/>
        </w:rPr>
      </w:pPr>
    </w:p>
    <w:p>
      <w:pPr>
        <w:ind w:left="3348" w:right="3240" w:hanging="3348"/>
        <w:spacing w:after="0" w:line="260" w:lineRule="auto"/>
        <w:tabs>
          <w:tab w:leader="none" w:pos="175" w:val="left"/>
        </w:tabs>
        <w:numPr>
          <w:ilvl w:val="0"/>
          <w:numId w:val="1"/>
        </w:numPr>
        <w:rPr>
          <w:rFonts w:ascii="Arial" w:cs="Arial" w:eastAsia="Arial" w:hAnsi="Arial"/>
          <w:sz w:val="12"/>
          <w:szCs w:val="12"/>
          <w:b w:val="1"/>
          <w:bCs w:val="1"/>
          <w:color w:val="auto"/>
          <w:highlight w:val="black"/>
        </w:rPr>
      </w:pPr>
      <w:r>
        <w:rPr>
          <w:rFonts w:ascii="Times New Roman" w:cs="Times New Roman" w:eastAsia="Times New Roman" w:hAnsi="Times New Roman"/>
          <w:sz w:val="16"/>
          <w:szCs w:val="16"/>
          <w:color w:val="auto"/>
        </w:rPr>
        <w:t>TRANSITION REPORT PURSUANT TO SECTION 13 OR 15(d) OF THE SECURITIES EXCHANGE ACT OF 1934. For the transition period from_______________ to _______________</w:t>
      </w:r>
    </w:p>
    <w:p>
      <w:pPr>
        <w:spacing w:after="0" w:line="40" w:lineRule="exact"/>
        <w:rPr>
          <w:sz w:val="24"/>
          <w:szCs w:val="24"/>
          <w:color w:val="auto"/>
        </w:rPr>
      </w:pPr>
    </w:p>
    <w:tbl>
      <w:tblPr>
        <w:tblLayout w:type="fixed"/>
        <w:tblInd w:w="1028" w:type="dxa"/>
        <w:tblCellMar>
          <w:top w:w="0" w:type="dxa"/>
          <w:left w:w="0" w:type="dxa"/>
          <w:bottom w:w="0" w:type="dxa"/>
          <w:right w:w="0" w:type="dxa"/>
        </w:tblCellMar>
      </w:tblPr>
      <w:tr>
        <w:trPr>
          <w:trHeight w:val="210"/>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Commission File Number 1-6659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ESSENTIAL UTILITIES, INC.</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charter)</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(Exact name of registrant as specified in its</w:t>
            </w:r>
          </w:p>
        </w:tc>
        <w:tc>
          <w:tcPr>
            <w:tcW w:w="8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3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Pennsylvania</w:t>
            </w:r>
          </w:p>
        </w:tc>
        <w:tc>
          <w:tcPr>
            <w:tcW w:w="4340" w:type="dxa"/>
            <w:vAlign w:val="bottom"/>
            <w:gridSpan w:val="4"/>
          </w:tcPr>
          <w:p>
            <w:pPr>
              <w:spacing w:after="0"/>
              <w:rPr>
                <w:sz w:val="24"/>
                <w:szCs w:val="24"/>
                <w:color w:val="auto"/>
              </w:rPr>
            </w:pPr>
          </w:p>
        </w:tc>
        <w:tc>
          <w:tcPr>
            <w:tcW w:w="460" w:type="dxa"/>
            <w:vAlign w:val="bottom"/>
            <w:gridSpan w:val="2"/>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23-1702594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500" w:type="dxa"/>
            <w:vAlign w:val="bottom"/>
            <w:gridSpan w:val="6"/>
          </w:tcPr>
          <w:p>
            <w:pPr>
              <w:jc w:val="center"/>
              <w:ind w:right="2979"/>
              <w:spacing w:after="0" w:line="153"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1460" w:type="dxa"/>
            <w:vAlign w:val="bottom"/>
            <w:gridSpan w:val="5"/>
          </w:tcPr>
          <w:p>
            <w:pPr>
              <w:jc w:val="center"/>
              <w:ind w:left="159"/>
              <w:spacing w:after="0" w:line="153"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6500" w:type="dxa"/>
            <w:vAlign w:val="bottom"/>
            <w:gridSpan w:val="6"/>
          </w:tcPr>
          <w:p>
            <w:pPr>
              <w:jc w:val="center"/>
              <w:ind w:right="2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460" w:type="dxa"/>
            <w:vAlign w:val="bottom"/>
            <w:gridSpan w:val="5"/>
          </w:tcPr>
          <w:p>
            <w:pPr>
              <w:jc w:val="center"/>
              <w:ind w:left="17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330"/>
        </w:trPr>
        <w:tc>
          <w:tcPr>
            <w:tcW w:w="6500" w:type="dxa"/>
            <w:vAlign w:val="bottom"/>
            <w:gridSpan w:val="6"/>
          </w:tcPr>
          <w:p>
            <w:pPr>
              <w:jc w:val="center"/>
              <w:ind w:right="2979"/>
              <w:spacing w:after="0"/>
              <w:rPr>
                <w:sz w:val="20"/>
                <w:szCs w:val="20"/>
                <w:color w:val="auto"/>
              </w:rPr>
            </w:pPr>
            <w:r>
              <w:rPr>
                <w:rFonts w:ascii="Times New Roman" w:cs="Times New Roman" w:eastAsia="Times New Roman" w:hAnsi="Times New Roman"/>
                <w:sz w:val="16"/>
                <w:szCs w:val="16"/>
                <w:color w:val="auto"/>
              </w:rPr>
              <w:t>762 W. Lancaster Avenue, Bryn Mawr, Pennsylvania</w:t>
            </w:r>
          </w:p>
        </w:tc>
        <w:tc>
          <w:tcPr>
            <w:tcW w:w="146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19010 -3489</w:t>
            </w:r>
          </w:p>
        </w:tc>
        <w:tc>
          <w:tcPr>
            <w:tcW w:w="0" w:type="dxa"/>
            <w:vAlign w:val="bottom"/>
          </w:tcPr>
          <w:p>
            <w:pPr>
              <w:spacing w:after="0"/>
              <w:rPr>
                <w:sz w:val="1"/>
                <w:szCs w:val="1"/>
                <w:color w:val="auto"/>
              </w:rPr>
            </w:pPr>
          </w:p>
        </w:tc>
      </w:tr>
      <w:tr>
        <w:trPr>
          <w:trHeight w:val="182"/>
        </w:trPr>
        <w:tc>
          <w:tcPr>
            <w:tcW w:w="3440" w:type="dxa"/>
            <w:vAlign w:val="bottom"/>
            <w:tcBorders>
              <w:top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color w:val="auto"/>
              </w:rPr>
              <w:t>(Address of principal executive offices)</w:t>
            </w:r>
          </w:p>
        </w:tc>
        <w:tc>
          <w:tcPr>
            <w:tcW w:w="3060" w:type="dxa"/>
            <w:vAlign w:val="bottom"/>
            <w:gridSpan w:val="3"/>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color w:val="auto"/>
              </w:rPr>
              <w:t>(Zip Code)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6"/>
          <w:szCs w:val="16"/>
          <w:u w:val="single" w:color="auto"/>
          <w:color w:val="auto"/>
        </w:rPr>
        <w:t>(610) 527-8000</w:t>
      </w:r>
    </w:p>
    <w:p>
      <w:pPr>
        <w:jc w:val="center"/>
        <w:ind w:right="12"/>
        <w:spacing w:after="0" w:line="235" w:lineRule="auto"/>
        <w:rPr>
          <w:sz w:val="20"/>
          <w:szCs w:val="20"/>
          <w:color w:val="auto"/>
        </w:rPr>
      </w:pPr>
      <w:r>
        <w:rPr>
          <w:rFonts w:ascii="Times New Roman" w:cs="Times New Roman" w:eastAsia="Times New Roman" w:hAnsi="Times New Roman"/>
          <w:sz w:val="16"/>
          <w:szCs w:val="16"/>
          <w:color w:val="auto"/>
        </w:rPr>
        <w:t>(Registrant’s telephone number, including area code)</w:t>
      </w:r>
    </w:p>
    <w:p>
      <w:pPr>
        <w:jc w:val="center"/>
        <w:ind w:right="12"/>
        <w:spacing w:after="0" w:line="226" w:lineRule="auto"/>
        <w:rPr>
          <w:sz w:val="20"/>
          <w:szCs w:val="20"/>
          <w:color w:val="auto"/>
        </w:rPr>
      </w:pPr>
      <w:r>
        <w:rPr>
          <w:rFonts w:ascii="Times New Roman" w:cs="Times New Roman" w:eastAsia="Times New Roman" w:hAnsi="Times New Roman"/>
          <w:sz w:val="16"/>
          <w:szCs w:val="16"/>
          <w:u w:val="single" w:color="auto"/>
          <w:color w:val="auto"/>
        </w:rPr>
        <w:t>N/A</w:t>
      </w:r>
    </w:p>
    <w:p>
      <w:pPr>
        <w:jc w:val="center"/>
        <w:ind w:right="12"/>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45" w:lineRule="exact"/>
        <w:rPr>
          <w:sz w:val="24"/>
          <w:szCs w:val="24"/>
          <w:color w:val="auto"/>
        </w:rPr>
      </w:pPr>
    </w:p>
    <w:p>
      <w:pPr>
        <w:ind w:left="8" w:right="60"/>
        <w:spacing w:after="0" w:line="24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1"/>
          <w:szCs w:val="11"/>
          <w:b w:val="1"/>
          <w:bCs w:val="1"/>
          <w:color w:val="auto"/>
          <w:highlight w:val="black"/>
        </w:rPr>
        <w:t>S</w:t>
      </w:r>
      <w:r>
        <w:rPr>
          <w:rFonts w:ascii="Times New Roman" w:cs="Times New Roman" w:eastAsia="Times New Roman" w:hAnsi="Times New Roman"/>
          <w:sz w:val="16"/>
          <w:szCs w:val="16"/>
          <w:color w:val="auto"/>
        </w:rPr>
        <w:t xml:space="preserve"> No </w:t>
      </w:r>
      <w:r>
        <w:rPr>
          <w:rFonts w:ascii="Arial" w:cs="Arial" w:eastAsia="Arial" w:hAnsi="Arial"/>
          <w:sz w:val="11"/>
          <w:szCs w:val="11"/>
          <w:b w:val="1"/>
          <w:bCs w:val="1"/>
          <w:color w:val="auto"/>
          <w:highlight w:val="black"/>
        </w:rPr>
        <w:t>£</w:t>
      </w:r>
    </w:p>
    <w:p>
      <w:pPr>
        <w:spacing w:after="0" w:line="319" w:lineRule="exact"/>
        <w:rPr>
          <w:sz w:val="24"/>
          <w:szCs w:val="24"/>
          <w:color w:val="auto"/>
        </w:rPr>
      </w:pPr>
    </w:p>
    <w:p>
      <w:pPr>
        <w:ind w:left="8" w:right="460"/>
        <w:spacing w:after="0" w:line="26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1"/>
          <w:szCs w:val="11"/>
          <w:b w:val="1"/>
          <w:bCs w:val="1"/>
          <w:color w:val="auto"/>
          <w:highlight w:val="black"/>
        </w:rPr>
        <w:t>S</w:t>
      </w:r>
      <w:r>
        <w:rPr>
          <w:rFonts w:ascii="Times New Roman" w:cs="Times New Roman" w:eastAsia="Times New Roman" w:hAnsi="Times New Roman"/>
          <w:sz w:val="16"/>
          <w:szCs w:val="16"/>
          <w:color w:val="auto"/>
        </w:rPr>
        <w:t xml:space="preserve"> No </w:t>
      </w:r>
      <w:r>
        <w:rPr>
          <w:rFonts w:ascii="Arial" w:cs="Arial" w:eastAsia="Arial" w:hAnsi="Arial"/>
          <w:sz w:val="11"/>
          <w:szCs w:val="11"/>
          <w:b w:val="1"/>
          <w:bCs w:val="1"/>
          <w:color w:val="auto"/>
          <w:highlight w:val="black"/>
        </w:rPr>
        <w:t>£</w:t>
      </w:r>
    </w:p>
    <w:p>
      <w:pPr>
        <w:spacing w:after="0" w:line="133" w:lineRule="exact"/>
        <w:rPr>
          <w:sz w:val="24"/>
          <w:szCs w:val="24"/>
          <w:color w:val="auto"/>
        </w:rPr>
      </w:pPr>
    </w:p>
    <w:p>
      <w:pPr>
        <w:ind w:left="8" w:right="80"/>
        <w:spacing w:after="0" w:line="24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8"/>
          </w:cols>
          <w:pgMar w:left="312" w:top="209" w:right="319" w:bottom="1440" w:gutter="0" w:footer="0" w:header="0"/>
        </w:sectPr>
      </w:pPr>
    </w:p>
    <w:p>
      <w:pPr>
        <w:spacing w:after="0" w:line="13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w:cs="Arial" w:eastAsia="Arial" w:hAnsi="Arial"/>
          <w:sz w:val="11"/>
          <w:szCs w:val="11"/>
          <w:b w:val="1"/>
          <w:bCs w:val="1"/>
          <w:color w:val="auto"/>
          <w:highlight w:val="black"/>
        </w:rPr>
        <w:t>S</w:t>
      </w:r>
    </w:p>
    <w:p>
      <w:pPr>
        <w:ind w:left="8"/>
        <w:spacing w:after="0" w:line="235" w:lineRule="auto"/>
        <w:rPr>
          <w:sz w:val="20"/>
          <w:szCs w:val="20"/>
          <w:color w:val="auto"/>
        </w:rPr>
      </w:pPr>
      <w:r>
        <w:rPr>
          <w:rFonts w:ascii="Times New Roman" w:cs="Times New Roman" w:eastAsia="Times New Roman" w:hAnsi="Times New Roman"/>
          <w:sz w:val="16"/>
          <w:szCs w:val="16"/>
          <w:color w:val="auto"/>
        </w:rPr>
        <w:t xml:space="preserve">Non-Accelerated Filer </w:t>
      </w:r>
      <w:r>
        <w:rPr>
          <w:rFonts w:ascii="Arial" w:cs="Arial" w:eastAsia="Arial" w:hAnsi="Arial"/>
          <w:sz w:val="11"/>
          <w:szCs w:val="11"/>
          <w:b w:val="1"/>
          <w:bCs w:val="1"/>
          <w:color w:val="auto"/>
          <w:highlight w:val="black"/>
        </w:rPr>
        <w:t>£</w:t>
      </w:r>
    </w:p>
    <w:p>
      <w:pPr>
        <w:ind w:left="8"/>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w:cs="Arial" w:eastAsia="Arial" w:hAnsi="Arial"/>
          <w:sz w:val="11"/>
          <w:szCs w:val="11"/>
          <w:b w:val="1"/>
          <w:bCs w:val="1"/>
          <w:color w:val="auto"/>
          <w:highlight w:val="black"/>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Arial" w:cs="Arial" w:eastAsia="Arial" w:hAnsi="Arial"/>
          <w:sz w:val="11"/>
          <w:szCs w:val="11"/>
          <w:b w:val="1"/>
          <w:bCs w:val="1"/>
          <w:color w:val="auto"/>
          <w:highlight w:val="black"/>
        </w:rPr>
        <w:t>£</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w:cs="Arial" w:eastAsia="Arial" w:hAnsi="Arial"/>
          <w:sz w:val="11"/>
          <w:szCs w:val="11"/>
          <w:b w:val="1"/>
          <w:bCs w:val="1"/>
          <w:color w:val="auto"/>
          <w:highlight w:val="black"/>
        </w:rPr>
        <w:t>£</w:t>
      </w:r>
    </w:p>
    <w:p>
      <w:pPr>
        <w:spacing w:after="0" w:line="318" w:lineRule="exact"/>
        <w:rPr>
          <w:sz w:val="24"/>
          <w:szCs w:val="24"/>
          <w:color w:val="auto"/>
        </w:rPr>
      </w:pPr>
    </w:p>
    <w:p>
      <w:pPr>
        <w:sectPr>
          <w:pgSz w:w="11900" w:h="16838" w:orient="portrait"/>
          <w:cols w:equalWidth="0" w:num="2">
            <w:col w:w="6748" w:space="720"/>
            <w:col w:w="3800"/>
          </w:cols>
          <w:pgMar w:left="312" w:top="209" w:right="319" w:bottom="1440" w:gutter="0" w:footer="0" w:header="0"/>
          <w:type w:val="continuous"/>
        </w:sectPr>
      </w:pPr>
    </w:p>
    <w:p>
      <w:pPr>
        <w:ind w:left="8" w:right="20"/>
        <w:spacing w:after="0" w:line="26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1"/>
          <w:szCs w:val="11"/>
          <w:b w:val="1"/>
          <w:bCs w:val="1"/>
          <w:color w:val="auto"/>
          <w:highlight w:val="black"/>
        </w:rPr>
        <w:t>£</w:t>
      </w:r>
    </w:p>
    <w:p>
      <w:pPr>
        <w:spacing w:after="0" w:line="12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w:cs="Arial" w:eastAsia="Arial" w:hAnsi="Arial"/>
          <w:sz w:val="11"/>
          <w:szCs w:val="11"/>
          <w:b w:val="1"/>
          <w:bCs w:val="1"/>
          <w:color w:val="auto"/>
          <w:highlight w:val="black"/>
        </w:rPr>
        <w:t>£</w:t>
      </w:r>
      <w:r>
        <w:rPr>
          <w:rFonts w:ascii="Times New Roman" w:cs="Times New Roman" w:eastAsia="Times New Roman" w:hAnsi="Times New Roman"/>
          <w:sz w:val="16"/>
          <w:szCs w:val="16"/>
          <w:color w:val="auto"/>
        </w:rPr>
        <w:t xml:space="preserve"> No </w:t>
      </w:r>
      <w:r>
        <w:rPr>
          <w:rFonts w:ascii="Arial" w:cs="Arial" w:eastAsia="Arial" w:hAnsi="Arial"/>
          <w:sz w:val="11"/>
          <w:szCs w:val="11"/>
          <w:b w:val="1"/>
          <w:bCs w:val="1"/>
          <w:color w:val="auto"/>
          <w:highlight w:val="black"/>
        </w:rPr>
        <w:t>S</w:t>
      </w:r>
    </w:p>
    <w:p>
      <w:pPr>
        <w:spacing w:after="0" w:line="233" w:lineRule="exact"/>
        <w:rPr>
          <w:sz w:val="24"/>
          <w:szCs w:val="24"/>
          <w:color w:val="auto"/>
        </w:rPr>
      </w:pPr>
    </w:p>
    <w:tbl>
      <w:tblPr>
        <w:tblLayout w:type="fixed"/>
        <w:tblInd w:w="8"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408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16"/>
                <w:szCs w:val="16"/>
                <w:color w:val="auto"/>
              </w:rPr>
            </w:pPr>
          </w:p>
        </w:tc>
      </w:tr>
      <w:tr>
        <w:trPr>
          <w:trHeight w:val="197"/>
        </w:trPr>
        <w:tc>
          <w:tcPr>
            <w:tcW w:w="344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Title of each class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color w:val="auto"/>
              </w:rPr>
              <w:t>Trading Symbol(s)</w:t>
            </w:r>
          </w:p>
        </w:tc>
        <w:tc>
          <w:tcPr>
            <w:tcW w:w="3740" w:type="dxa"/>
            <w:vAlign w:val="bottom"/>
          </w:tcPr>
          <w:p>
            <w:pPr>
              <w:jc w:val="center"/>
              <w:ind w:right="7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2"/>
        </w:trPr>
        <w:tc>
          <w:tcPr>
            <w:tcW w:w="3440" w:type="dxa"/>
            <w:vAlign w:val="bottom"/>
            <w:tcBorders>
              <w:top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rPr>
              <w:t>Common stock, $0.50 par value</w:t>
            </w: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WTRG</w:t>
            </w: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jc w:val="center"/>
              <w:ind w:right="719"/>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8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July 28, 2025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280,468,669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422275</wp:posOffset>
            </wp:positionV>
            <wp:extent cx="717740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20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gridSpan w:val="11"/>
          </w:tcPr>
          <w:p>
            <w:pPr>
              <w:jc w:val="center"/>
              <w:ind w:right="3060"/>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5040" w:type="dxa"/>
            <w:vAlign w:val="bottom"/>
            <w:gridSpan w:val="12"/>
            <w:shd w:val="clear" w:color="auto" w:fill="CCEEFF"/>
          </w:tcPr>
          <w:p>
            <w:pPr>
              <w:jc w:val="center"/>
              <w:ind w:right="2920"/>
              <w:spacing w:after="0" w:line="170" w:lineRule="exact"/>
              <w:rPr>
                <w:sz w:val="20"/>
                <w:szCs w:val="20"/>
                <w:color w:val="auto"/>
              </w:rPr>
            </w:pPr>
            <w:r>
              <w:rPr>
                <w:rFonts w:ascii="Times New Roman" w:cs="Times New Roman" w:eastAsia="Times New Roman" w:hAnsi="Times New Roman"/>
                <w:sz w:val="18"/>
                <w:szCs w:val="18"/>
                <w:color w:val="0563C1"/>
                <w:w w:val="98"/>
              </w:rPr>
              <w:t>Part I – Financial Information</w:t>
            </w:r>
          </w:p>
        </w:tc>
        <w:tc>
          <w:tcPr>
            <w:tcW w:w="13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1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1.</w:t>
            </w:r>
          </w:p>
        </w:tc>
        <w:tc>
          <w:tcPr>
            <w:tcW w:w="9080" w:type="dxa"/>
            <w:vAlign w:val="bottom"/>
            <w:gridSpan w:val="22"/>
            <w:shd w:val="clear" w:color="auto" w:fill="CCEEFF"/>
          </w:tcPr>
          <w:p>
            <w:pPr>
              <w:ind w:left="40"/>
              <w:spacing w:after="0" w:line="162" w:lineRule="exact"/>
              <w:rPr>
                <w:sz w:val="20"/>
                <w:szCs w:val="20"/>
                <w:color w:val="auto"/>
              </w:rPr>
            </w:pPr>
            <w:r>
              <w:rPr>
                <w:rFonts w:ascii="Times New Roman" w:cs="Times New Roman" w:eastAsia="Times New Roman" w:hAnsi="Times New Roman"/>
                <w:sz w:val="18"/>
                <w:szCs w:val="18"/>
                <w:color w:val="0563C1"/>
              </w:rPr>
              <w:t>Financial Statements:</w:t>
            </w: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8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Condensed Consolidated Balance Sheets (unaudited) – June 30, 2025 and December 31, 2024</w:t>
            </w:r>
          </w:p>
        </w:tc>
        <w:tc>
          <w:tcPr>
            <w:tcW w:w="172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2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1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8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Condensed Consolidated Statements of Operations and Comprehensive Income (unaudited) – Three Months Ended June 30,</w:t>
            </w:r>
          </w:p>
        </w:tc>
        <w:tc>
          <w:tcPr>
            <w:tcW w:w="17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563C1"/>
            </w:tcBorders>
            <w:shd w:val="clear" w:color="auto" w:fill="CCEEFF"/>
          </w:tcPr>
          <w:p>
            <w:pPr>
              <w:spacing w:after="0"/>
              <w:rPr>
                <w:sz w:val="15"/>
                <w:szCs w:val="15"/>
                <w:color w:val="auto"/>
              </w:rPr>
            </w:pPr>
          </w:p>
        </w:tc>
        <w:tc>
          <w:tcPr>
            <w:tcW w:w="80" w:type="dxa"/>
            <w:vAlign w:val="bottom"/>
            <w:tcBorders>
              <w:top w:val="single" w:sz="8" w:color="0563C1"/>
            </w:tcBorders>
            <w:shd w:val="clear" w:color="auto" w:fill="CCEEFF"/>
          </w:tcPr>
          <w:p>
            <w:pPr>
              <w:spacing w:after="0"/>
              <w:rPr>
                <w:sz w:val="15"/>
                <w:szCs w:val="15"/>
                <w:color w:val="auto"/>
              </w:rPr>
            </w:pPr>
          </w:p>
        </w:tc>
        <w:tc>
          <w:tcPr>
            <w:tcW w:w="8560" w:type="dxa"/>
            <w:vAlign w:val="bottom"/>
            <w:tcBorders>
              <w:top w:val="single" w:sz="8" w:color="0563C1"/>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563C1"/>
              </w:rPr>
              <w:t>2025 and 2024</w:t>
            </w:r>
          </w:p>
        </w:tc>
        <w:tc>
          <w:tcPr>
            <w:tcW w:w="24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080" w:type="dxa"/>
            <w:vAlign w:val="bottom"/>
            <w:tcBorders>
              <w:bottom w:val="single" w:sz="8" w:color="0563C1"/>
            </w:tcBorders>
            <w:gridSpan w:val="2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8"/>
              </w:rPr>
              <w:t>Condensed Consolidated Statements of Operations and Comprehensive Income (unaudited) – Six Months Ended June 30, 2025</w:t>
            </w:r>
          </w:p>
        </w:tc>
        <w:tc>
          <w:tcPr>
            <w:tcW w:w="1720" w:type="dxa"/>
            <w:vAlign w:val="bottom"/>
            <w:tcBorders>
              <w:bottom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563C1"/>
              </w:rPr>
              <w:t>and 2024</w:t>
            </w:r>
          </w:p>
        </w:tc>
        <w:tc>
          <w:tcPr>
            <w:tcW w:w="17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8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Condensed Consolidated Statements of Capitalization (unaudited) - June 30, 2025 and December 31, 2024</w:t>
            </w:r>
          </w:p>
        </w:tc>
        <w:tc>
          <w:tcPr>
            <w:tcW w:w="172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2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1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78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8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Condensed Consolidated Statements of Equity (unaudited) – Three and Six Months Ended June 30, 2025</w:t>
            </w:r>
          </w:p>
        </w:tc>
        <w:tc>
          <w:tcPr>
            <w:tcW w:w="172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2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1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780" w:type="dxa"/>
            <w:vAlign w:val="bottom"/>
            <w:tcBorders>
              <w:top w:val="single" w:sz="8" w:color="0563C1"/>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8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Condensed Consolidated Statements of Equity (unaudited) – Three and Six Months Ended June 30, 2024</w:t>
            </w:r>
          </w:p>
        </w:tc>
        <w:tc>
          <w:tcPr>
            <w:tcW w:w="172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2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1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780" w:type="dxa"/>
            <w:vAlign w:val="bottom"/>
            <w:tcBorders>
              <w:top w:val="single" w:sz="8" w:color="0563C1"/>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8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Condensed Consolidated Statements of Cash Flow (unaudited) – Six Months Ended June 30, 2025 and 2024</w:t>
            </w:r>
          </w:p>
        </w:tc>
        <w:tc>
          <w:tcPr>
            <w:tcW w:w="172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2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1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78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8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Notes to Condensed Consolidated Financial Statements (unaudited)</w:t>
            </w:r>
          </w:p>
        </w:tc>
        <w:tc>
          <w:tcPr>
            <w:tcW w:w="16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2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2.</w:t>
            </w:r>
          </w:p>
        </w:tc>
        <w:tc>
          <w:tcPr>
            <w:tcW w:w="9080" w:type="dxa"/>
            <w:vAlign w:val="bottom"/>
            <w:gridSpan w:val="22"/>
            <w:shd w:val="clear" w:color="auto" w:fill="CCEEFF"/>
          </w:tcPr>
          <w:p>
            <w:pPr>
              <w:ind w:left="40"/>
              <w:spacing w:after="0" w:line="162"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16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2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1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3.</w:t>
            </w:r>
          </w:p>
        </w:tc>
        <w:tc>
          <w:tcPr>
            <w:tcW w:w="9080" w:type="dxa"/>
            <w:vAlign w:val="bottom"/>
            <w:gridSpan w:val="22"/>
            <w:shd w:val="clear" w:color="auto" w:fill="CCEEFF"/>
          </w:tcPr>
          <w:p>
            <w:pPr>
              <w:ind w:left="40"/>
              <w:spacing w:after="0" w:line="162"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16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226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4.</w:t>
            </w:r>
          </w:p>
        </w:tc>
        <w:tc>
          <w:tcPr>
            <w:tcW w:w="9080" w:type="dxa"/>
            <w:vAlign w:val="bottom"/>
            <w:gridSpan w:val="22"/>
            <w:shd w:val="clear" w:color="auto" w:fill="CCEEFF"/>
          </w:tcPr>
          <w:p>
            <w:pPr>
              <w:ind w:left="40"/>
              <w:spacing w:after="0" w:line="162" w:lineRule="exact"/>
              <w:rPr>
                <w:sz w:val="20"/>
                <w:szCs w:val="20"/>
                <w:color w:val="auto"/>
              </w:rPr>
            </w:pPr>
            <w:r>
              <w:rPr>
                <w:rFonts w:ascii="Times New Roman" w:cs="Times New Roman" w:eastAsia="Times New Roman" w:hAnsi="Times New Roman"/>
                <w:sz w:val="18"/>
                <w:szCs w:val="18"/>
                <w:color w:val="0563C1"/>
              </w:rPr>
              <w:t>Controls and Procedures</w:t>
            </w:r>
          </w:p>
        </w:tc>
        <w:tc>
          <w:tcPr>
            <w:tcW w:w="16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940" w:type="dxa"/>
            <w:vAlign w:val="bottom"/>
            <w:gridSpan w:val="11"/>
            <w:shd w:val="clear" w:color="auto" w:fill="CCEEFF"/>
          </w:tcPr>
          <w:p>
            <w:pPr>
              <w:jc w:val="center"/>
              <w:ind w:right="3020"/>
              <w:spacing w:after="0" w:line="162" w:lineRule="exact"/>
              <w:rPr>
                <w:sz w:val="20"/>
                <w:szCs w:val="20"/>
                <w:color w:val="auto"/>
              </w:rPr>
            </w:pPr>
            <w:r>
              <w:rPr>
                <w:rFonts w:ascii="Times New Roman" w:cs="Times New Roman" w:eastAsia="Times New Roman" w:hAnsi="Times New Roman"/>
                <w:sz w:val="18"/>
                <w:szCs w:val="18"/>
                <w:color w:val="0563C1"/>
                <w:w w:val="98"/>
              </w:rPr>
              <w:t>Part II – Other Information</w:t>
            </w: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1260" w:type="dxa"/>
            <w:vAlign w:val="bottom"/>
            <w:tcBorders>
              <w:top w:val="single" w:sz="8" w:color="0563C1"/>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1.</w:t>
            </w:r>
          </w:p>
        </w:tc>
        <w:tc>
          <w:tcPr>
            <w:tcW w:w="9080" w:type="dxa"/>
            <w:vAlign w:val="bottom"/>
            <w:gridSpan w:val="22"/>
            <w:shd w:val="clear" w:color="auto" w:fill="CCEEFF"/>
          </w:tcPr>
          <w:p>
            <w:pPr>
              <w:ind w:left="40"/>
              <w:spacing w:after="0" w:line="162" w:lineRule="exact"/>
              <w:rPr>
                <w:sz w:val="20"/>
                <w:szCs w:val="20"/>
                <w:color w:val="auto"/>
              </w:rPr>
            </w:pPr>
            <w:r>
              <w:rPr>
                <w:rFonts w:ascii="Times New Roman" w:cs="Times New Roman" w:eastAsia="Times New Roman" w:hAnsi="Times New Roman"/>
                <w:sz w:val="18"/>
                <w:szCs w:val="18"/>
                <w:color w:val="0563C1"/>
              </w:rPr>
              <w:t>Legal Proceedings</w:t>
            </w:r>
          </w:p>
        </w:tc>
        <w:tc>
          <w:tcPr>
            <w:tcW w:w="16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0" w:type="dxa"/>
            <w:vAlign w:val="bottom"/>
            <w:tcBorders>
              <w:top w:val="single" w:sz="8" w:color="0563C1"/>
            </w:tcBorders>
            <w:gridSpan w:val="2"/>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Item 1A. Risk Factors</w:t>
            </w:r>
          </w:p>
        </w:tc>
        <w:tc>
          <w:tcPr>
            <w:tcW w:w="16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5.</w:t>
            </w:r>
          </w:p>
        </w:tc>
        <w:tc>
          <w:tcPr>
            <w:tcW w:w="9080" w:type="dxa"/>
            <w:vAlign w:val="bottom"/>
            <w:gridSpan w:val="22"/>
            <w:shd w:val="clear" w:color="auto" w:fill="CCEEFF"/>
          </w:tcPr>
          <w:p>
            <w:pPr>
              <w:ind w:left="40"/>
              <w:spacing w:after="0" w:line="162" w:lineRule="exact"/>
              <w:rPr>
                <w:sz w:val="20"/>
                <w:szCs w:val="20"/>
                <w:color w:val="auto"/>
              </w:rPr>
            </w:pPr>
            <w:r>
              <w:rPr>
                <w:rFonts w:ascii="Times New Roman" w:cs="Times New Roman" w:eastAsia="Times New Roman" w:hAnsi="Times New Roman"/>
                <w:sz w:val="18"/>
                <w:szCs w:val="18"/>
                <w:color w:val="0563C1"/>
              </w:rPr>
              <w:t>Other Information</w:t>
            </w:r>
          </w:p>
        </w:tc>
        <w:tc>
          <w:tcPr>
            <w:tcW w:w="16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6.</w:t>
            </w:r>
          </w:p>
        </w:tc>
        <w:tc>
          <w:tcPr>
            <w:tcW w:w="9080" w:type="dxa"/>
            <w:vAlign w:val="bottom"/>
            <w:gridSpan w:val="22"/>
            <w:shd w:val="clear" w:color="auto" w:fill="CCEEFF"/>
          </w:tcPr>
          <w:p>
            <w:pPr>
              <w:ind w:left="40"/>
              <w:spacing w:after="0" w:line="162" w:lineRule="exact"/>
              <w:rPr>
                <w:sz w:val="20"/>
                <w:szCs w:val="20"/>
                <w:color w:val="auto"/>
              </w:rPr>
            </w:pPr>
            <w:r>
              <w:rPr>
                <w:rFonts w:ascii="Times New Roman" w:cs="Times New Roman" w:eastAsia="Times New Roman" w:hAnsi="Times New Roman"/>
                <w:sz w:val="18"/>
                <w:szCs w:val="18"/>
                <w:color w:val="0563C1"/>
              </w:rPr>
              <w:t>Exhibits</w:t>
            </w:r>
          </w:p>
        </w:tc>
        <w:tc>
          <w:tcPr>
            <w:tcW w:w="16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0" w:type="dxa"/>
            <w:vAlign w:val="bottom"/>
            <w:tcBorders>
              <w:top w:val="single" w:sz="8" w:color="0563C1"/>
            </w:tcBorders>
            <w:gridSpan w:val="2"/>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tcBorders>
              <w:bottom w:val="single" w:sz="8" w:color="0563C1"/>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2"/>
              </w:rPr>
              <w:t>Signatures</w:t>
            </w:r>
          </w:p>
        </w:tc>
        <w:tc>
          <w:tcPr>
            <w:tcW w:w="8880" w:type="dxa"/>
            <w:vAlign w:val="bottom"/>
            <w:tcBorders>
              <w:bottom w:val="single" w:sz="8" w:color="CCEEFF"/>
            </w:tcBorders>
            <w:gridSpan w:val="21"/>
            <w:shd w:val="clear" w:color="auto" w:fill="CCEEFF"/>
          </w:tcPr>
          <w:p>
            <w:pPr>
              <w:spacing w:after="0"/>
              <w:rPr>
                <w:sz w:val="15"/>
                <w:szCs w:val="15"/>
                <w:color w:val="auto"/>
              </w:rPr>
            </w:pPr>
          </w:p>
        </w:tc>
        <w:tc>
          <w:tcPr>
            <w:tcW w:w="1680" w:type="dxa"/>
            <w:vAlign w:val="bottom"/>
            <w:tcBorders>
              <w:bottom w:val="single" w:sz="8" w:color="CCEEFF"/>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9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jc w:val="center"/>
        <w:ind w:right="60"/>
        <w:spacing w:after="0" w:line="214"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Borders>
              <w:bottom w:val="single" w:sz="8" w:color="CCEEFF"/>
            </w:tcBorders>
          </w:tcPr>
          <w:p>
            <w:pPr>
              <w:ind w:left="3940"/>
              <w:spacing w:after="0"/>
              <w:rPr>
                <w:sz w:val="20"/>
                <w:szCs w:val="20"/>
                <w:color w:val="auto"/>
              </w:rPr>
            </w:pPr>
            <w:r>
              <w:rPr>
                <w:rFonts w:ascii="Times New Roman" w:cs="Times New Roman" w:eastAsia="Times New Roman" w:hAnsi="Times New Roman"/>
                <w:sz w:val="14"/>
                <w:szCs w:val="14"/>
                <w:color w:val="auto"/>
              </w:rPr>
              <w:t>Assets</w:t>
            </w:r>
          </w:p>
        </w:tc>
        <w:tc>
          <w:tcPr>
            <w:tcW w:w="18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Property, plant and equipment, at cost</w:t>
            </w:r>
          </w:p>
        </w:tc>
        <w:tc>
          <w:tcPr>
            <w:tcW w:w="18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16,857,483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16,275,377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tcBorders>
              <w:bottom w:val="single" w:sz="8" w:color="CCEEFF"/>
            </w:tcBorders>
          </w:tcPr>
          <w:p>
            <w:pPr>
              <w:spacing w:after="0" w:line="150"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18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3,278,033</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3,131,901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property, plant and equipment</w:t>
            </w:r>
          </w:p>
        </w:tc>
        <w:tc>
          <w:tcPr>
            <w:tcW w:w="18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13,579,450</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13,143,476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Current assets:</w:t>
            </w:r>
          </w:p>
        </w:tc>
        <w:tc>
          <w:tcPr>
            <w:tcW w:w="1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Cash and cash equivalents</w:t>
            </w: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25,071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9,156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Accounts receivable, net</w:t>
            </w:r>
          </w:p>
        </w:tc>
        <w:tc>
          <w:tcPr>
            <w:tcW w:w="1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198,500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166,522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Unbilled revenues</w:t>
            </w: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82,300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142,310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Inventory - materials and supplies</w:t>
            </w:r>
          </w:p>
        </w:tc>
        <w:tc>
          <w:tcPr>
            <w:tcW w:w="1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51,116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48,619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Inventory - gas stored</w:t>
            </w: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39,376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45,311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1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29,430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41,139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tcBorders>
              <w:bottom w:val="single" w:sz="8" w:color="CCEEFF"/>
            </w:tcBorders>
          </w:tcPr>
          <w:p>
            <w:pPr>
              <w:ind w:left="60"/>
              <w:spacing w:after="0" w:line="150" w:lineRule="exact"/>
              <w:rPr>
                <w:sz w:val="20"/>
                <w:szCs w:val="20"/>
                <w:color w:val="auto"/>
              </w:rPr>
            </w:pPr>
            <w:r>
              <w:rPr>
                <w:rFonts w:ascii="Times New Roman" w:cs="Times New Roman" w:eastAsia="Times New Roman" w:hAnsi="Times New Roman"/>
                <w:sz w:val="14"/>
                <w:szCs w:val="14"/>
                <w:color w:val="auto"/>
              </w:rPr>
              <w:t>Regulatory assets</w:t>
            </w:r>
          </w:p>
        </w:tc>
        <w:tc>
          <w:tcPr>
            <w:tcW w:w="18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13,585</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32,854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8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439,378</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485,911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Regulatory assets</w:t>
            </w:r>
          </w:p>
        </w:tc>
        <w:tc>
          <w:tcPr>
            <w:tcW w:w="1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2,058,316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1,907,786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Deferred charges and other assets, net</w:t>
            </w: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103,381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112,712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Funds restricted for construction activity</w:t>
            </w:r>
          </w:p>
        </w:tc>
        <w:tc>
          <w:tcPr>
            <w:tcW w:w="1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1,433</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1,420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Goodwill</w:t>
            </w: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2,340,709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2,340,713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28,506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31,263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tcBorders>
              <w:bottom w:val="single" w:sz="8" w:color="CCEEFF"/>
            </w:tcBorders>
          </w:tcPr>
          <w:p>
            <w:pPr>
              <w:spacing w:after="0" w:line="150" w:lineRule="exact"/>
              <w:rPr>
                <w:sz w:val="20"/>
                <w:szCs w:val="20"/>
                <w:color w:val="auto"/>
              </w:rPr>
            </w:pPr>
            <w:r>
              <w:rPr>
                <w:rFonts w:ascii="Times New Roman" w:cs="Times New Roman" w:eastAsia="Times New Roman" w:hAnsi="Times New Roman"/>
                <w:sz w:val="14"/>
                <w:szCs w:val="14"/>
                <w:color w:val="auto"/>
              </w:rPr>
              <w:t>Intangible assets</w:t>
            </w:r>
          </w:p>
        </w:tc>
        <w:tc>
          <w:tcPr>
            <w:tcW w:w="18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3,112</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3,273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8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18,554,285</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18,026,554</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64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178435</wp:posOffset>
            </wp:positionV>
            <wp:extent cx="71774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jc w:val="center"/>
        <w:ind w:right="60"/>
        <w:spacing w:after="0" w:line="214"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Liabilities and Equity</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42"/>
        </w:trPr>
        <w:tc>
          <w:tcPr>
            <w:tcW w:w="8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0" w:type="dxa"/>
            <w:vAlign w:val="bottom"/>
            <w:shd w:val="clear" w:color="auto" w:fill="CCEEFF"/>
          </w:tcPr>
          <w:p>
            <w:pPr>
              <w:ind w:left="60"/>
              <w:spacing w:after="0" w:line="127" w:lineRule="exact"/>
              <w:rPr>
                <w:sz w:val="20"/>
                <w:szCs w:val="20"/>
                <w:color w:val="auto"/>
              </w:rPr>
            </w:pPr>
            <w:r>
              <w:rPr>
                <w:rFonts w:ascii="Times New Roman" w:cs="Times New Roman" w:eastAsia="Times New Roman" w:hAnsi="Times New Roman"/>
                <w:sz w:val="14"/>
                <w:szCs w:val="14"/>
                <w:color w:val="auto"/>
              </w:rPr>
              <w:t>Common stock at $0.50 par value, authorized 600,000,000 shares, issued 283,901,142 and 278,209,660 as of June 30, 2025 and December 31,</w:t>
            </w: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141,951</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139,105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Capital in excess of par value</w:t>
            </w:r>
          </w:p>
        </w:tc>
        <w:tc>
          <w:tcPr>
            <w:tcW w:w="2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4,420,240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4,199,836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2,249,401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1,949,492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Treasury stock, at cost, 3,434,542 and 3,386,069 shares as of June 30, 2025 and December 31, 2024</w:t>
            </w:r>
          </w:p>
        </w:tc>
        <w:tc>
          <w:tcPr>
            <w:tcW w:w="260" w:type="dxa"/>
            <w:vAlign w:val="bottom"/>
          </w:tcPr>
          <w:p>
            <w:pPr>
              <w:spacing w:after="0"/>
              <w:rPr>
                <w:sz w:val="13"/>
                <w:szCs w:val="13"/>
                <w:color w:val="auto"/>
              </w:rPr>
            </w:pPr>
          </w:p>
        </w:tc>
        <w:tc>
          <w:tcPr>
            <w:tcW w:w="1220" w:type="dxa"/>
            <w:vAlign w:val="bottom"/>
            <w:gridSpan w:val="2"/>
          </w:tcPr>
          <w:p>
            <w:pPr>
              <w:jc w:val="right"/>
              <w:ind w:right="100"/>
              <w:spacing w:after="0" w:line="150" w:lineRule="exact"/>
              <w:rPr>
                <w:sz w:val="20"/>
                <w:szCs w:val="20"/>
                <w:color w:val="auto"/>
              </w:rPr>
            </w:pPr>
            <w:r>
              <w:rPr>
                <w:rFonts w:ascii="Times New Roman" w:cs="Times New Roman" w:eastAsia="Times New Roman" w:hAnsi="Times New Roman"/>
                <w:sz w:val="14"/>
                <w:szCs w:val="14"/>
                <w:color w:val="auto"/>
              </w:rPr>
              <w:t>(91,390)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(89,624)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6,720,202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6,198,809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84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Long-term debt, excluding current portion</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7,669,795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7,416,289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Borders>
              <w:bottom w:val="single" w:sz="8" w:color="CCEEFF"/>
            </w:tcBorders>
          </w:tcPr>
          <w:p>
            <w:pPr>
              <w:spacing w:after="0" w:line="150" w:lineRule="exact"/>
              <w:rPr>
                <w:sz w:val="20"/>
                <w:szCs w:val="20"/>
                <w:color w:val="auto"/>
              </w:rPr>
            </w:pPr>
            <w:r>
              <w:rPr>
                <w:rFonts w:ascii="Times New Roman" w:cs="Times New Roman" w:eastAsia="Times New Roman" w:hAnsi="Times New Roman"/>
                <w:sz w:val="14"/>
                <w:szCs w:val="14"/>
                <w:color w:val="auto"/>
              </w:rPr>
              <w:t>Less: debt issuance costs and unamortized discount on debt</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46,801</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47,908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Long-term debt, excluding current portion, net of debt issuance costs and unamortized discount on debt</w:t>
            </w:r>
          </w:p>
        </w:tc>
        <w:tc>
          <w:tcPr>
            <w:tcW w:w="2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7,622,994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7,368,381</w:t>
            </w:r>
          </w:p>
        </w:tc>
        <w:tc>
          <w:tcPr>
            <w:tcW w:w="0" w:type="dxa"/>
            <w:vAlign w:val="bottom"/>
          </w:tcPr>
          <w:p>
            <w:pPr>
              <w:spacing w:after="0"/>
              <w:rPr>
                <w:sz w:val="1"/>
                <w:szCs w:val="1"/>
                <w:color w:val="auto"/>
              </w:rPr>
            </w:pPr>
          </w:p>
        </w:tc>
      </w:tr>
      <w:tr>
        <w:trPr>
          <w:trHeight w:val="195"/>
        </w:trPr>
        <w:tc>
          <w:tcPr>
            <w:tcW w:w="8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Commitments and contingencies (See Note 14)</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84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132,138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142,807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Loans payable</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18,040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186,542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198,132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258,615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Book overdraft</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5,453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47,714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Accrued interest</w:t>
            </w:r>
          </w:p>
        </w:tc>
        <w:tc>
          <w:tcPr>
            <w:tcW w:w="2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72,158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72,281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Accrued taxes</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24,483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38,219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Regulatory liabilities</w:t>
            </w:r>
          </w:p>
        </w:tc>
        <w:tc>
          <w:tcPr>
            <w:tcW w:w="2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1,709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1,770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Dividends payable</w:t>
            </w: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line="150"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89,441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Borders>
              <w:bottom w:val="single" w:sz="8" w:color="CCEEFF"/>
            </w:tcBorders>
          </w:tcPr>
          <w:p>
            <w:pPr>
              <w:ind w:left="60"/>
              <w:spacing w:after="0" w:line="150" w:lineRule="exact"/>
              <w:rPr>
                <w:sz w:val="20"/>
                <w:szCs w:val="20"/>
                <w:color w:val="auto"/>
              </w:rPr>
            </w:pPr>
            <w:r>
              <w:rPr>
                <w:rFonts w:ascii="Times New Roman" w:cs="Times New Roman" w:eastAsia="Times New Roman" w:hAnsi="Times New Roman"/>
                <w:sz w:val="14"/>
                <w:szCs w:val="14"/>
                <w:color w:val="auto"/>
              </w:rPr>
              <w:t>Other accrued liabilities</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146,650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137,279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598,763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974,668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84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Deferred credits and other liabilities:</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Deferred income taxes and investment tax credits</w:t>
            </w:r>
          </w:p>
        </w:tc>
        <w:tc>
          <w:tcPr>
            <w:tcW w:w="2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2,002,082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1,831,868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Customers' advances for construction</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113,268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113,323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Regulatory liabilities</w:t>
            </w:r>
          </w:p>
        </w:tc>
        <w:tc>
          <w:tcPr>
            <w:tcW w:w="2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721,488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764,745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24,482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27,447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Pension and other postretirement benefit liabilities</w:t>
            </w:r>
          </w:p>
        </w:tc>
        <w:tc>
          <w:tcPr>
            <w:tcW w:w="2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36,699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33,680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0" w:type="dxa"/>
            <w:vAlign w:val="bottom"/>
            <w:shd w:val="clear" w:color="auto" w:fill="CCEEFF"/>
          </w:tcPr>
          <w:p>
            <w:pPr>
              <w:ind w:left="60"/>
              <w:spacing w:after="0" w:line="150"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23,540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24,788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2,921,559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2,795,851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84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Contributions in aid of construction</w:t>
            </w: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690,767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688,845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18,554,285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18,026,554</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84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9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w:t>
      </w:r>
    </w:p>
    <w:p>
      <w:pPr>
        <w:jc w:val="center"/>
        <w:ind w:right="60"/>
        <w:spacing w:after="0" w:line="184" w:lineRule="auto"/>
        <w:rPr>
          <w:sz w:val="20"/>
          <w:szCs w:val="20"/>
          <w:color w:val="auto"/>
        </w:rPr>
      </w:pPr>
      <w:r>
        <w:rPr>
          <w:rFonts w:ascii="Times New Roman" w:cs="Times New Roman" w:eastAsia="Times New Roman" w:hAnsi="Times New Roman"/>
          <w:sz w:val="17"/>
          <w:szCs w:val="17"/>
          <w:color w:val="auto"/>
        </w:rPr>
        <w:t>(In thousands,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gridSpan w:val="4"/>
          </w:tcPr>
          <w:p>
            <w:pPr>
              <w:jc w:val="right"/>
              <w:ind w:right="888"/>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8"/>
                <w:szCs w:val="18"/>
                <w:color w:val="auto"/>
              </w:rPr>
              <w:t>June 30,</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Operating revenues</w:t>
            </w:r>
          </w:p>
        </w:tc>
        <w:tc>
          <w:tcPr>
            <w:tcW w:w="18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514,907</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434,406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Operations and maintenance</w:t>
            </w: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148,510</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142,512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Purchased gas</w:t>
            </w:r>
          </w:p>
        </w:tc>
        <w:tc>
          <w:tcPr>
            <w:tcW w:w="1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56,735</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33,728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99,542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89,578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Amortization</w:t>
            </w:r>
          </w:p>
        </w:tc>
        <w:tc>
          <w:tcPr>
            <w:tcW w:w="1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3,977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8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20,872</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329,636</w:t>
            </w:r>
          </w:p>
        </w:tc>
        <w:tc>
          <w:tcPr>
            <w:tcW w:w="2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289,119</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185,271</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145,287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expense (income):</w:t>
            </w:r>
          </w:p>
        </w:tc>
        <w:tc>
          <w:tcPr>
            <w:tcW w:w="1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79,809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73,045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Interest income</w:t>
            </w:r>
          </w:p>
        </w:tc>
        <w:tc>
          <w:tcPr>
            <w:tcW w:w="1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(7,027)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Gain on sale of other assets</w:t>
            </w:r>
          </w:p>
        </w:tc>
        <w:tc>
          <w:tcPr>
            <w:tcW w:w="1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(256)</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Other, net</w:t>
            </w:r>
          </w:p>
        </w:tc>
        <w:tc>
          <w:tcPr>
            <w:tcW w:w="18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Income before income taxes</w:t>
            </w:r>
          </w:p>
        </w:tc>
        <w:tc>
          <w:tcPr>
            <w:tcW w:w="1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112,399</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77,249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Income tax expense</w:t>
            </w:r>
          </w:p>
        </w:tc>
        <w:tc>
          <w:tcPr>
            <w:tcW w:w="18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4,572</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Net income</w:t>
            </w:r>
          </w:p>
        </w:tc>
        <w:tc>
          <w:tcPr>
            <w:tcW w:w="18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107,827</w:t>
            </w: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75,385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5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2200" w:type="dxa"/>
            <w:vAlign w:val="bottom"/>
            <w:gridSpan w:val="2"/>
            <w:shd w:val="clear" w:color="auto" w:fill="CCEEFF"/>
          </w:tcPr>
          <w:p>
            <w:pPr>
              <w:jc w:val="right"/>
              <w:ind w:right="19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107,827</w:t>
            </w:r>
          </w:p>
        </w:tc>
        <w:tc>
          <w:tcPr>
            <w:tcW w:w="640" w:type="dxa"/>
            <w:vAlign w:val="bottom"/>
            <w:gridSpan w:val="2"/>
            <w:shd w:val="clear" w:color="auto" w:fill="CCEEFF"/>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90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Basic</w:t>
            </w:r>
          </w:p>
        </w:tc>
        <w:tc>
          <w:tcPr>
            <w:tcW w:w="2200" w:type="dxa"/>
            <w:vAlign w:val="bottom"/>
            <w:gridSpan w:val="2"/>
            <w:shd w:val="clear" w:color="auto" w:fill="CCEEFF"/>
          </w:tcPr>
          <w:p>
            <w:pPr>
              <w:jc w:val="right"/>
              <w:ind w:right="19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640" w:type="dxa"/>
            <w:vAlign w:val="bottom"/>
            <w:gridSpan w:val="2"/>
            <w:shd w:val="clear" w:color="auto" w:fill="CCEEFF"/>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8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360" w:type="dxa"/>
            <w:vAlign w:val="bottom"/>
            <w:tcBorders>
              <w:bottom w:val="single" w:sz="8" w:color="auto"/>
            </w:tcBorders>
          </w:tcPr>
          <w:p>
            <w:pPr>
              <w:jc w:val="right"/>
              <w:ind w:right="193"/>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0.38</w:t>
            </w:r>
          </w:p>
        </w:tc>
        <w:tc>
          <w:tcPr>
            <w:tcW w:w="220" w:type="dxa"/>
            <w:vAlign w:val="bottom"/>
            <w:vMerge w:val="continue"/>
          </w:tcPr>
          <w:p>
            <w:pPr>
              <w:spacing w:after="0"/>
              <w:rPr>
                <w:sz w:val="14"/>
                <w:szCs w:val="14"/>
                <w:color w:val="auto"/>
              </w:rPr>
            </w:pPr>
          </w:p>
        </w:tc>
        <w:tc>
          <w:tcPr>
            <w:tcW w:w="420" w:type="dxa"/>
            <w:vAlign w:val="bottom"/>
            <w:tcBorders>
              <w:bottom w:val="single" w:sz="8" w:color="auto"/>
            </w:tcBorders>
          </w:tcPr>
          <w:p>
            <w:pPr>
              <w:jc w:val="right"/>
              <w:ind w:right="253"/>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Average common shares outstanding during the period:</w:t>
            </w: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90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Basic</w:t>
            </w:r>
          </w:p>
        </w:tc>
        <w:tc>
          <w:tcPr>
            <w:tcW w:w="18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280,275</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273,567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
              <w:spacing w:after="0" w:line="171" w:lineRule="exact"/>
              <w:rPr>
                <w:sz w:val="20"/>
                <w:szCs w:val="20"/>
                <w:color w:val="auto"/>
              </w:rPr>
            </w:pPr>
            <w:r>
              <w:rPr>
                <w:rFonts w:ascii="Times New Roman" w:cs="Times New Roman" w:eastAsia="Times New Roman" w:hAnsi="Times New Roman"/>
                <w:sz w:val="18"/>
                <w:szCs w:val="18"/>
                <w:color w:val="auto"/>
              </w:rPr>
              <w:t>280,725</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
              <w:spacing w:after="0" w:line="171" w:lineRule="exact"/>
              <w:rPr>
                <w:sz w:val="20"/>
                <w:szCs w:val="20"/>
                <w:color w:val="auto"/>
              </w:rPr>
            </w:pPr>
            <w:r>
              <w:rPr>
                <w:rFonts w:ascii="Times New Roman" w:cs="Times New Roman" w:eastAsia="Times New Roman" w:hAnsi="Times New Roman"/>
                <w:sz w:val="18"/>
                <w:szCs w:val="18"/>
                <w:color w:val="auto"/>
              </w:rPr>
              <w:t>273,953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9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w:t>
      </w:r>
    </w:p>
    <w:p>
      <w:pPr>
        <w:jc w:val="center"/>
        <w:ind w:right="60"/>
        <w:spacing w:after="0" w:line="184" w:lineRule="auto"/>
        <w:rPr>
          <w:sz w:val="20"/>
          <w:szCs w:val="20"/>
          <w:color w:val="auto"/>
        </w:rPr>
      </w:pPr>
      <w:r>
        <w:rPr>
          <w:rFonts w:ascii="Times New Roman" w:cs="Times New Roman" w:eastAsia="Times New Roman" w:hAnsi="Times New Roman"/>
          <w:sz w:val="17"/>
          <w:szCs w:val="17"/>
          <w:color w:val="auto"/>
        </w:rPr>
        <w:t>(In thousands,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Operating revenues</w:t>
            </w:r>
          </w:p>
        </w:tc>
        <w:tc>
          <w:tcPr>
            <w:tcW w:w="17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0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1,298,533</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1,046,475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Operations and maintenance</w:t>
            </w: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286,334</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279,412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Purchased gas</w:t>
            </w:r>
          </w:p>
        </w:tc>
        <w:tc>
          <w:tcPr>
            <w:tcW w:w="1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241,376</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163,403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196,306</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178,294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Amortization</w:t>
            </w:r>
          </w:p>
        </w:tc>
        <w:tc>
          <w:tcPr>
            <w:tcW w:w="1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6,590</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7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43,751</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47,257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Total operating expenses</w:t>
            </w:r>
          </w:p>
        </w:tc>
        <w:tc>
          <w:tcPr>
            <w:tcW w:w="17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774,357</w:t>
            </w:r>
          </w:p>
        </w:tc>
        <w:tc>
          <w:tcPr>
            <w:tcW w:w="2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670,522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524,176</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375,953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expense (income):</w:t>
            </w:r>
          </w:p>
        </w:tc>
        <w:tc>
          <w:tcPr>
            <w:tcW w:w="1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161,874</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146,318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Interest income</w:t>
            </w:r>
          </w:p>
        </w:tc>
        <w:tc>
          <w:tcPr>
            <w:tcW w:w="1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(530)</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(12,859)</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Gain on sale of other assets</w:t>
            </w:r>
          </w:p>
        </w:tc>
        <w:tc>
          <w:tcPr>
            <w:tcW w:w="1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(91,828)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Other, net</w:t>
            </w:r>
          </w:p>
        </w:tc>
        <w:tc>
          <w:tcPr>
            <w:tcW w:w="17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591</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Income before income taxes</w:t>
            </w:r>
          </w:p>
        </w:tc>
        <w:tc>
          <w:tcPr>
            <w:tcW w:w="1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375,593</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332,379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Income tax benefit</w:t>
            </w:r>
          </w:p>
        </w:tc>
        <w:tc>
          <w:tcPr>
            <w:tcW w:w="17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(16,023)</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0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391,616</w:t>
            </w: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7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341,157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5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17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0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391,616</w:t>
            </w: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341,157</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78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shd w:val="clear" w:color="auto" w:fill="CCEEFF"/>
          </w:tcPr>
          <w:p>
            <w:pPr>
              <w:jc w:val="right"/>
              <w:ind w:right="2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Borders>
              <w:bottom w:val="single" w:sz="8" w:color="CCEEFF"/>
            </w:tcBorders>
            <w:vMerge w:val="continue"/>
          </w:tcPr>
          <w:p>
            <w:pPr>
              <w:spacing w:after="0"/>
              <w:rPr>
                <w:sz w:val="18"/>
                <w:szCs w:val="18"/>
                <w:color w:val="auto"/>
              </w:rPr>
            </w:pPr>
          </w:p>
        </w:tc>
        <w:tc>
          <w:tcPr>
            <w:tcW w:w="170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jc w:val="right"/>
              <w:ind w:right="208"/>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473"/>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57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Average common shares outstanding during the period:</w:t>
            </w: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Basic</w:t>
            </w:r>
          </w:p>
        </w:tc>
        <w:tc>
          <w:tcPr>
            <w:tcW w:w="17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277,748</w:t>
            </w: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273,472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278,335</w:t>
            </w: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273,869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9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CONDENSED CONSOLIDATED STATEMENTS OF CAPITALIZATION</w:t>
      </w:r>
    </w:p>
    <w:p>
      <w:pPr>
        <w:jc w:val="center"/>
        <w:ind w:right="60"/>
        <w:spacing w:after="0" w:line="184" w:lineRule="auto"/>
        <w:rPr>
          <w:sz w:val="20"/>
          <w:szCs w:val="20"/>
          <w:color w:val="auto"/>
        </w:rPr>
      </w:pPr>
      <w:r>
        <w:rPr>
          <w:rFonts w:ascii="Times New Roman" w:cs="Times New Roman" w:eastAsia="Times New Roman" w:hAnsi="Times New Roman"/>
          <w:sz w:val="17"/>
          <w:szCs w:val="17"/>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rPr>
              <w:t>June 30,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48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208"/>
        </w:trPr>
        <w:tc>
          <w:tcPr>
            <w:tcW w:w="47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rPr>
              <w:t>2024</w:t>
            </w:r>
          </w:p>
        </w:tc>
        <w:tc>
          <w:tcPr>
            <w:tcW w:w="0" w:type="dxa"/>
            <w:vAlign w:val="bottom"/>
          </w:tcPr>
          <w:p>
            <w:pPr>
              <w:spacing w:after="0"/>
              <w:rPr>
                <w:sz w:val="1"/>
                <w:szCs w:val="1"/>
                <w:color w:val="auto"/>
              </w:rPr>
            </w:pPr>
          </w:p>
        </w:tc>
      </w:tr>
      <w:tr>
        <w:trPr>
          <w:trHeight w:val="153"/>
        </w:trPr>
        <w:tc>
          <w:tcPr>
            <w:tcW w:w="4700" w:type="dxa"/>
            <w:vAlign w:val="bottom"/>
            <w:gridSpan w:val="4"/>
            <w:vMerge w:val="continue"/>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$0.50 par value</w:t>
            </w:r>
          </w:p>
        </w:tc>
        <w:tc>
          <w:tcPr>
            <w:tcW w:w="1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141,951</w:t>
            </w:r>
          </w:p>
        </w:tc>
        <w:tc>
          <w:tcPr>
            <w:tcW w:w="5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139,105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Capital in excess of par value</w:t>
            </w: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4,420,240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4,199,836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Retained earnings</w:t>
            </w:r>
          </w:p>
        </w:tc>
        <w:tc>
          <w:tcPr>
            <w:tcW w:w="1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2,249,401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1,949,492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5"/>
                <w:szCs w:val="15"/>
                <w:color w:val="auto"/>
              </w:rPr>
              <w:t>Treasury stock, at cost</w:t>
            </w:r>
          </w:p>
        </w:tc>
        <w:tc>
          <w:tcPr>
            <w:tcW w:w="13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(91,390)</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(89,624)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gridSpan w:val="3"/>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Total stockholders' equity</w:t>
            </w:r>
          </w:p>
        </w:tc>
        <w:tc>
          <w:tcPr>
            <w:tcW w:w="1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6,720,202</w:t>
            </w:r>
          </w:p>
        </w:tc>
        <w:tc>
          <w:tcPr>
            <w:tcW w:w="2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6,198,809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debt of subsidiaries (substantially collateralized by utility plant):</w:t>
            </w:r>
          </w:p>
        </w:tc>
        <w:tc>
          <w:tcPr>
            <w:tcW w:w="1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Interest Rate Range</w:t>
            </w:r>
          </w:p>
        </w:tc>
        <w:tc>
          <w:tcPr>
            <w:tcW w:w="2180" w:type="dxa"/>
            <w:vAlign w:val="bottom"/>
          </w:tcPr>
          <w:p>
            <w:pPr>
              <w:spacing w:after="0"/>
              <w:rPr>
                <w:sz w:val="14"/>
                <w:szCs w:val="14"/>
                <w:color w:val="auto"/>
              </w:rPr>
            </w:pPr>
          </w:p>
        </w:tc>
        <w:tc>
          <w:tcPr>
            <w:tcW w:w="2060" w:type="dxa"/>
            <w:vAlign w:val="bottom"/>
            <w:gridSpan w:val="2"/>
          </w:tcPr>
          <w:p>
            <w:pPr>
              <w:jc w:val="center"/>
              <w:ind w:right="760"/>
              <w:spacing w:after="0" w:line="162" w:lineRule="exact"/>
              <w:rPr>
                <w:sz w:val="20"/>
                <w:szCs w:val="20"/>
                <w:color w:val="auto"/>
              </w:rPr>
            </w:pPr>
            <w:r>
              <w:rPr>
                <w:rFonts w:ascii="Times New Roman" w:cs="Times New Roman" w:eastAsia="Times New Roman" w:hAnsi="Times New Roman"/>
                <w:sz w:val="15"/>
                <w:szCs w:val="15"/>
                <w:color w:val="auto"/>
              </w:rPr>
              <w:t>Maturity Date Range</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0.00% to 0.99%</w:t>
            </w:r>
          </w:p>
        </w:tc>
        <w:tc>
          <w:tcPr>
            <w:tcW w:w="2180" w:type="dxa"/>
            <w:vAlign w:val="bottom"/>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2028 to 2053</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2,679</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gridSpan w:val="2"/>
          </w:tcPr>
          <w:p>
            <w:pPr>
              <w:jc w:val="center"/>
              <w:ind w:right="2180"/>
              <w:spacing w:after="0"/>
              <w:rPr>
                <w:sz w:val="20"/>
                <w:szCs w:val="20"/>
                <w:color w:val="auto"/>
              </w:rPr>
            </w:pPr>
            <w:r>
              <w:rPr>
                <w:rFonts w:ascii="Times New Roman" w:cs="Times New Roman" w:eastAsia="Times New Roman" w:hAnsi="Times New Roman"/>
                <w:sz w:val="15"/>
                <w:szCs w:val="15"/>
                <w:color w:val="auto"/>
              </w:rPr>
              <w:t>1.00% to 1.99%</w:t>
            </w:r>
          </w:p>
        </w:tc>
        <w:tc>
          <w:tcPr>
            <w:tcW w:w="2060" w:type="dxa"/>
            <w:vAlign w:val="bottom"/>
            <w:gridSpan w:val="2"/>
          </w:tcPr>
          <w:p>
            <w:pPr>
              <w:jc w:val="center"/>
              <w:ind w:right="740"/>
              <w:spacing w:after="0"/>
              <w:rPr>
                <w:sz w:val="20"/>
                <w:szCs w:val="20"/>
                <w:color w:val="auto"/>
              </w:rPr>
            </w:pPr>
            <w:r>
              <w:rPr>
                <w:rFonts w:ascii="Times New Roman" w:cs="Times New Roman" w:eastAsia="Times New Roman" w:hAnsi="Times New Roman"/>
                <w:sz w:val="15"/>
                <w:szCs w:val="15"/>
                <w:color w:val="auto"/>
              </w:rPr>
              <w:t>2030 to 2046</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11,732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jc w:val="center"/>
              <w:ind w:right="2180"/>
              <w:spacing w:after="0"/>
              <w:rPr>
                <w:sz w:val="20"/>
                <w:szCs w:val="20"/>
                <w:color w:val="auto"/>
              </w:rPr>
            </w:pPr>
            <w:r>
              <w:rPr>
                <w:rFonts w:ascii="Times New Roman" w:cs="Times New Roman" w:eastAsia="Times New Roman" w:hAnsi="Times New Roman"/>
                <w:sz w:val="15"/>
                <w:szCs w:val="15"/>
                <w:color w:val="auto"/>
              </w:rPr>
              <w:t>2.00% to 2.99%</w:t>
            </w:r>
          </w:p>
        </w:tc>
        <w:tc>
          <w:tcPr>
            <w:tcW w:w="206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5"/>
                <w:szCs w:val="15"/>
                <w:color w:val="auto"/>
              </w:rPr>
              <w:t>2025 to 2058</w:t>
            </w: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205,559</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206,297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gridSpan w:val="2"/>
          </w:tcPr>
          <w:p>
            <w:pPr>
              <w:jc w:val="center"/>
              <w:ind w:right="2180"/>
              <w:spacing w:after="0"/>
              <w:rPr>
                <w:sz w:val="20"/>
                <w:szCs w:val="20"/>
                <w:color w:val="auto"/>
              </w:rPr>
            </w:pPr>
            <w:r>
              <w:rPr>
                <w:rFonts w:ascii="Times New Roman" w:cs="Times New Roman" w:eastAsia="Times New Roman" w:hAnsi="Times New Roman"/>
                <w:sz w:val="15"/>
                <w:szCs w:val="15"/>
                <w:color w:val="auto"/>
              </w:rPr>
              <w:t>3.00% to 3.99%</w:t>
            </w:r>
          </w:p>
        </w:tc>
        <w:tc>
          <w:tcPr>
            <w:tcW w:w="2060" w:type="dxa"/>
            <w:vAlign w:val="bottom"/>
            <w:gridSpan w:val="2"/>
          </w:tcPr>
          <w:p>
            <w:pPr>
              <w:jc w:val="center"/>
              <w:ind w:right="740"/>
              <w:spacing w:after="0"/>
              <w:rPr>
                <w:sz w:val="20"/>
                <w:szCs w:val="20"/>
                <w:color w:val="auto"/>
              </w:rPr>
            </w:pPr>
            <w:r>
              <w:rPr>
                <w:rFonts w:ascii="Times New Roman" w:cs="Times New Roman" w:eastAsia="Times New Roman" w:hAnsi="Times New Roman"/>
                <w:sz w:val="15"/>
                <w:szCs w:val="15"/>
                <w:color w:val="auto"/>
              </w:rPr>
              <w:t>2026 to 2056</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1,255,225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1,258,003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jc w:val="center"/>
              <w:ind w:right="2180"/>
              <w:spacing w:after="0"/>
              <w:rPr>
                <w:sz w:val="20"/>
                <w:szCs w:val="20"/>
                <w:color w:val="auto"/>
              </w:rPr>
            </w:pPr>
            <w:r>
              <w:rPr>
                <w:rFonts w:ascii="Times New Roman" w:cs="Times New Roman" w:eastAsia="Times New Roman" w:hAnsi="Times New Roman"/>
                <w:sz w:val="15"/>
                <w:szCs w:val="15"/>
                <w:color w:val="auto"/>
              </w:rPr>
              <w:t>4.00% to 4.99%</w:t>
            </w:r>
          </w:p>
        </w:tc>
        <w:tc>
          <w:tcPr>
            <w:tcW w:w="206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5"/>
                <w:szCs w:val="15"/>
                <w:color w:val="auto"/>
              </w:rPr>
              <w:t>2025 to 2059</w:t>
            </w: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1,237,573</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1,239,032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gridSpan w:val="2"/>
          </w:tcPr>
          <w:p>
            <w:pPr>
              <w:jc w:val="center"/>
              <w:ind w:right="2180"/>
              <w:spacing w:after="0"/>
              <w:rPr>
                <w:sz w:val="20"/>
                <w:szCs w:val="20"/>
                <w:color w:val="auto"/>
              </w:rPr>
            </w:pPr>
            <w:r>
              <w:rPr>
                <w:rFonts w:ascii="Times New Roman" w:cs="Times New Roman" w:eastAsia="Times New Roman" w:hAnsi="Times New Roman"/>
                <w:sz w:val="15"/>
                <w:szCs w:val="15"/>
                <w:color w:val="auto"/>
              </w:rPr>
              <w:t>5.00% to 5.99%</w:t>
            </w:r>
          </w:p>
        </w:tc>
        <w:tc>
          <w:tcPr>
            <w:tcW w:w="2060" w:type="dxa"/>
            <w:vAlign w:val="bottom"/>
            <w:gridSpan w:val="2"/>
          </w:tcPr>
          <w:p>
            <w:pPr>
              <w:jc w:val="center"/>
              <w:ind w:right="740"/>
              <w:spacing w:after="0"/>
              <w:rPr>
                <w:sz w:val="20"/>
                <w:szCs w:val="20"/>
                <w:color w:val="auto"/>
              </w:rPr>
            </w:pPr>
            <w:r>
              <w:rPr>
                <w:rFonts w:ascii="Times New Roman" w:cs="Times New Roman" w:eastAsia="Times New Roman" w:hAnsi="Times New Roman"/>
                <w:sz w:val="15"/>
                <w:szCs w:val="15"/>
                <w:color w:val="auto"/>
              </w:rPr>
              <w:t>2028 to 2061</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412,260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312,260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jc w:val="center"/>
              <w:ind w:right="2180"/>
              <w:spacing w:after="0"/>
              <w:rPr>
                <w:sz w:val="20"/>
                <w:szCs w:val="20"/>
                <w:color w:val="auto"/>
              </w:rPr>
            </w:pPr>
            <w:r>
              <w:rPr>
                <w:rFonts w:ascii="Times New Roman" w:cs="Times New Roman" w:eastAsia="Times New Roman" w:hAnsi="Times New Roman"/>
                <w:sz w:val="15"/>
                <w:szCs w:val="15"/>
                <w:color w:val="auto"/>
              </w:rPr>
              <w:t>6.00% to 6.99%</w:t>
            </w:r>
          </w:p>
        </w:tc>
        <w:tc>
          <w:tcPr>
            <w:tcW w:w="206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5"/>
                <w:szCs w:val="15"/>
                <w:color w:val="auto"/>
              </w:rPr>
              <w:t>2026 to 2036</w:t>
            </w: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31,000</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gridSpan w:val="2"/>
          </w:tcPr>
          <w:p>
            <w:pPr>
              <w:jc w:val="center"/>
              <w:ind w:right="2180"/>
              <w:spacing w:after="0"/>
              <w:rPr>
                <w:sz w:val="20"/>
                <w:szCs w:val="20"/>
                <w:color w:val="auto"/>
              </w:rPr>
            </w:pPr>
            <w:r>
              <w:rPr>
                <w:rFonts w:ascii="Times New Roman" w:cs="Times New Roman" w:eastAsia="Times New Roman" w:hAnsi="Times New Roman"/>
                <w:sz w:val="15"/>
                <w:szCs w:val="15"/>
                <w:color w:val="auto"/>
              </w:rPr>
              <w:t>7.00% to 7.99%</w:t>
            </w:r>
          </w:p>
        </w:tc>
        <w:tc>
          <w:tcPr>
            <w:tcW w:w="2060" w:type="dxa"/>
            <w:vAlign w:val="bottom"/>
            <w:gridSpan w:val="2"/>
          </w:tcPr>
          <w:p>
            <w:pPr>
              <w:jc w:val="center"/>
              <w:ind w:right="740"/>
              <w:spacing w:after="0"/>
              <w:rPr>
                <w:sz w:val="20"/>
                <w:szCs w:val="20"/>
                <w:color w:val="auto"/>
              </w:rPr>
            </w:pPr>
            <w:r>
              <w:rPr>
                <w:rFonts w:ascii="Times New Roman" w:cs="Times New Roman" w:eastAsia="Times New Roman" w:hAnsi="Times New Roman"/>
                <w:sz w:val="15"/>
                <w:szCs w:val="15"/>
                <w:color w:val="auto"/>
              </w:rPr>
              <w:t>2025 to 2027</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12,770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27,888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jc w:val="center"/>
              <w:ind w:right="2180"/>
              <w:spacing w:after="0"/>
              <w:rPr>
                <w:sz w:val="20"/>
                <w:szCs w:val="20"/>
                <w:color w:val="auto"/>
              </w:rPr>
            </w:pPr>
            <w:r>
              <w:rPr>
                <w:rFonts w:ascii="Times New Roman" w:cs="Times New Roman" w:eastAsia="Times New Roman" w:hAnsi="Times New Roman"/>
                <w:sz w:val="15"/>
                <w:szCs w:val="15"/>
                <w:color w:val="auto"/>
              </w:rPr>
              <w:t>8.00% to 8.99%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2025</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gridSpan w:val="2"/>
          </w:tcPr>
          <w:p>
            <w:pPr>
              <w:jc w:val="center"/>
              <w:ind w:right="2180"/>
              <w:spacing w:after="0"/>
              <w:rPr>
                <w:sz w:val="20"/>
                <w:szCs w:val="20"/>
                <w:color w:val="auto"/>
              </w:rPr>
            </w:pPr>
            <w:r>
              <w:rPr>
                <w:rFonts w:ascii="Times New Roman" w:cs="Times New Roman" w:eastAsia="Times New Roman" w:hAnsi="Times New Roman"/>
                <w:sz w:val="15"/>
                <w:szCs w:val="15"/>
                <w:color w:val="auto"/>
              </w:rPr>
              <w:t>9.00% to 9.99%</w:t>
            </w: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2026</w:t>
            </w:r>
          </w:p>
        </w:tc>
        <w:tc>
          <w:tcPr>
            <w:tcW w:w="7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11,800</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3,189,533</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3,101,096</w:t>
            </w:r>
          </w:p>
        </w:tc>
        <w:tc>
          <w:tcPr>
            <w:tcW w:w="0" w:type="dxa"/>
            <w:vAlign w:val="bottom"/>
          </w:tcPr>
          <w:p>
            <w:pPr>
              <w:spacing w:after="0"/>
              <w:rPr>
                <w:sz w:val="1"/>
                <w:szCs w:val="1"/>
                <w:color w:val="auto"/>
              </w:rPr>
            </w:pPr>
          </w:p>
        </w:tc>
      </w:tr>
      <w:tr>
        <w:trPr>
          <w:trHeight w:val="162"/>
        </w:trPr>
        <w:tc>
          <w:tcPr>
            <w:tcW w:w="130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348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6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Notes payable to bank under revolving credit agreement, variable rate, due 2027</w:t>
            </w: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413,000</w:t>
            </w:r>
          </w:p>
        </w:tc>
        <w:tc>
          <w:tcPr>
            <w:tcW w:w="0" w:type="dxa"/>
            <w:vAlign w:val="bottom"/>
          </w:tcPr>
          <w:p>
            <w:pPr>
              <w:spacing w:after="0"/>
              <w:rPr>
                <w:sz w:val="1"/>
                <w:szCs w:val="1"/>
                <w:color w:val="auto"/>
              </w:rPr>
            </w:pPr>
          </w:p>
        </w:tc>
      </w:tr>
      <w:tr>
        <w:trPr>
          <w:trHeight w:val="254"/>
        </w:trPr>
        <w:tc>
          <w:tcPr>
            <w:tcW w:w="20" w:type="dxa"/>
            <w:vAlign w:val="bottom"/>
            <w:vMerge w:val="restart"/>
          </w:tcPr>
          <w:p>
            <w:pPr>
              <w:spacing w:after="0"/>
              <w:rPr>
                <w:sz w:val="22"/>
                <w:szCs w:val="22"/>
                <w:color w:val="auto"/>
              </w:rPr>
            </w:pP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Unsecured notes payable:</w:t>
            </w:r>
          </w:p>
        </w:tc>
        <w:tc>
          <w:tcPr>
            <w:tcW w:w="1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Commercial paper program (See Note 6)</w:t>
            </w: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567,400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Notes at 2.40% due 2031</w:t>
            </w:r>
          </w:p>
        </w:tc>
        <w:tc>
          <w:tcPr>
            <w:tcW w:w="1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Notes at 2.704% due 2030</w:t>
            </w: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Notes ranging from 3.01% to 3.59% due 2029 through 2050</w:t>
            </w:r>
          </w:p>
        </w:tc>
        <w:tc>
          <w:tcPr>
            <w:tcW w:w="1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1,125,000</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Notes at 4.276%, due 2049</w:t>
            </w: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Notes at 4.80%, due 2027</w:t>
            </w:r>
          </w:p>
        </w:tc>
        <w:tc>
          <w:tcPr>
            <w:tcW w:w="1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Notes at 5.30%, due 2052</w:t>
            </w: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Notes at 5.375%, due 2034</w:t>
            </w:r>
          </w:p>
        </w:tc>
        <w:tc>
          <w:tcPr>
            <w:tcW w:w="1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5"/>
                <w:szCs w:val="15"/>
                <w:color w:val="auto"/>
              </w:rPr>
              <w:t>Notes at 5.95%, due 2033 through 2034</w:t>
            </w:r>
          </w:p>
        </w:tc>
        <w:tc>
          <w:tcPr>
            <w:tcW w:w="13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80" w:type="dxa"/>
            <w:vAlign w:val="bottom"/>
            <w:gridSpan w:val="3"/>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Total long-term debt</w:t>
            </w:r>
          </w:p>
        </w:tc>
        <w:tc>
          <w:tcPr>
            <w:tcW w:w="1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7,801,933</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7,559,096</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1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132,138</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142,807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80" w:type="dxa"/>
            <w:vAlign w:val="bottom"/>
            <w:gridSpan w:val="3"/>
          </w:tcPr>
          <w:p>
            <w:pPr>
              <w:spacing w:after="0" w:line="154" w:lineRule="exact"/>
              <w:rPr>
                <w:sz w:val="20"/>
                <w:szCs w:val="20"/>
                <w:color w:val="auto"/>
              </w:rPr>
            </w:pPr>
            <w:r>
              <w:rPr>
                <w:rFonts w:ascii="Times New Roman" w:cs="Times New Roman" w:eastAsia="Times New Roman" w:hAnsi="Times New Roman"/>
                <w:sz w:val="15"/>
                <w:szCs w:val="15"/>
                <w:color w:val="auto"/>
              </w:rPr>
              <w:t>Long-term debt, excluding current portion</w:t>
            </w: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7,669,795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7,416,289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debt issuance costs and unamortized discount on debt</w:t>
            </w:r>
          </w:p>
        </w:tc>
        <w:tc>
          <w:tcPr>
            <w:tcW w:w="1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46,801</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47,908</w:t>
            </w:r>
          </w:p>
        </w:tc>
        <w:tc>
          <w:tcPr>
            <w:tcW w:w="0" w:type="dxa"/>
            <w:vAlign w:val="bottom"/>
          </w:tcPr>
          <w:p>
            <w:pPr>
              <w:spacing w:after="0"/>
              <w:rPr>
                <w:sz w:val="1"/>
                <w:szCs w:val="1"/>
                <w:color w:val="auto"/>
              </w:rPr>
            </w:pPr>
          </w:p>
        </w:tc>
      </w:tr>
      <w:tr>
        <w:trPr>
          <w:trHeight w:val="338"/>
        </w:trPr>
        <w:tc>
          <w:tcPr>
            <w:tcW w:w="67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Long-term debt, excluding current portion, net of debt issuance costs and unamortized discount on debt</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7,622,994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7,368,381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600" w:type="dxa"/>
            <w:vAlign w:val="bottom"/>
            <w:tcBorders>
              <w:top w:val="single" w:sz="8" w:color="auto"/>
              <w:bottom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58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80" w:type="dxa"/>
            <w:vAlign w:val="bottom"/>
            <w:gridSpan w:val="3"/>
          </w:tcPr>
          <w:p>
            <w:pPr>
              <w:spacing w:after="0" w:line="154" w:lineRule="exact"/>
              <w:rPr>
                <w:sz w:val="20"/>
                <w:szCs w:val="20"/>
                <w:color w:val="auto"/>
              </w:rPr>
            </w:pPr>
            <w:r>
              <w:rPr>
                <w:rFonts w:ascii="Times New Roman" w:cs="Times New Roman" w:eastAsia="Times New Roman" w:hAnsi="Times New Roman"/>
                <w:sz w:val="15"/>
                <w:szCs w:val="15"/>
                <w:color w:val="auto"/>
              </w:rPr>
              <w:t>Total capitalization</w:t>
            </w: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Borders>
              <w:bottom w:val="single" w:sz="8" w:color="auto"/>
            </w:tcBorders>
          </w:tcPr>
          <w:p>
            <w:pPr>
              <w:jc w:val="right"/>
              <w:ind w:right="24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14,343,196</w:t>
            </w:r>
          </w:p>
        </w:tc>
        <w:tc>
          <w:tcPr>
            <w:tcW w:w="220" w:type="dxa"/>
            <w:vAlign w:val="bottom"/>
          </w:tcPr>
          <w:p>
            <w:pPr>
              <w:spacing w:after="0"/>
              <w:rPr>
                <w:sz w:val="13"/>
                <w:szCs w:val="13"/>
                <w:color w:val="auto"/>
              </w:rPr>
            </w:pPr>
          </w:p>
        </w:tc>
        <w:tc>
          <w:tcPr>
            <w:tcW w:w="320" w:type="dxa"/>
            <w:vAlign w:val="bottom"/>
            <w:tcBorders>
              <w:bottom w:val="single" w:sz="8" w:color="auto"/>
            </w:tcBorders>
          </w:tcPr>
          <w:p>
            <w:pPr>
              <w:jc w:val="right"/>
              <w:ind w:right="16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13,567,190</w:t>
            </w:r>
          </w:p>
        </w:tc>
        <w:tc>
          <w:tcPr>
            <w:tcW w:w="0" w:type="dxa"/>
            <w:vAlign w:val="bottom"/>
          </w:tcPr>
          <w:p>
            <w:pPr>
              <w:spacing w:after="0"/>
              <w:rPr>
                <w:sz w:val="1"/>
                <w:szCs w:val="1"/>
                <w:color w:val="auto"/>
              </w:rPr>
            </w:pPr>
          </w:p>
        </w:tc>
      </w:tr>
      <w:tr>
        <w:trPr>
          <w:trHeight w:val="20"/>
        </w:trPr>
        <w:tc>
          <w:tcPr>
            <w:tcW w:w="676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6760" w:type="dxa"/>
            <w:vAlign w:val="bottom"/>
            <w:gridSpan w:val="6"/>
            <w:vMerge w:val="continue"/>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EQUITY</w:t>
      </w:r>
    </w:p>
    <w:p>
      <w:pPr>
        <w:jc w:val="center"/>
        <w:spacing w:after="0" w:line="200"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Capital in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60"/>
              <w:spacing w:after="0" w:line="150" w:lineRule="exact"/>
              <w:rPr>
                <w:sz w:val="20"/>
                <w:szCs w:val="20"/>
                <w:color w:val="auto"/>
              </w:rPr>
            </w:pPr>
            <w:r>
              <w:rPr>
                <w:rFonts w:ascii="Times New Roman" w:cs="Times New Roman" w:eastAsia="Times New Roman" w:hAnsi="Times New Roman"/>
                <w:sz w:val="14"/>
                <w:szCs w:val="14"/>
                <w:color w:val="auto"/>
                <w:w w:val="99"/>
              </w:rPr>
              <w:t>Common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4"/>
                <w:szCs w:val="14"/>
                <w:color w:val="auto"/>
              </w:rPr>
              <w:t>Excess of</w:t>
            </w:r>
          </w:p>
        </w:tc>
        <w:tc>
          <w:tcPr>
            <w:tcW w:w="140" w:type="dxa"/>
            <w:vAlign w:val="bottom"/>
          </w:tcPr>
          <w:p>
            <w:pPr>
              <w:spacing w:after="0"/>
              <w:rPr>
                <w:sz w:val="13"/>
                <w:szCs w:val="13"/>
                <w:color w:val="auto"/>
              </w:rPr>
            </w:pPr>
          </w:p>
        </w:tc>
        <w:tc>
          <w:tcPr>
            <w:tcW w:w="880" w:type="dxa"/>
            <w:vAlign w:val="bottom"/>
            <w:gridSpan w:val="2"/>
          </w:tcPr>
          <w:p>
            <w:pPr>
              <w:jc w:val="right"/>
              <w:ind w:right="300"/>
              <w:spacing w:after="0" w:line="150" w:lineRule="exact"/>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760" w:type="dxa"/>
            <w:vAlign w:val="bottom"/>
            <w:gridSpan w:val="2"/>
          </w:tcPr>
          <w:p>
            <w:pPr>
              <w:jc w:val="right"/>
              <w:ind w:right="220"/>
              <w:spacing w:after="0" w:line="150" w:lineRule="exact"/>
              <w:rPr>
                <w:sz w:val="20"/>
                <w:szCs w:val="20"/>
                <w:color w:val="auto"/>
              </w:rPr>
            </w:pPr>
            <w:r>
              <w:rPr>
                <w:rFonts w:ascii="Times New Roman" w:cs="Times New Roman" w:eastAsia="Times New Roman" w:hAnsi="Times New Roman"/>
                <w:sz w:val="14"/>
                <w:szCs w:val="14"/>
                <w:color w:val="auto"/>
              </w:rPr>
              <w:t>Treasury</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4"/>
        </w:trPr>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5"/>
                <w:szCs w:val="15"/>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r>
      <w:tr>
        <w:trPr>
          <w:trHeight w:val="142"/>
        </w:trPr>
        <w:tc>
          <w:tcPr>
            <w:tcW w:w="6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139,105</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4,199,836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1,949,492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(89,624)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6,198,809</w:t>
            </w:r>
          </w:p>
        </w:tc>
      </w:tr>
      <w:tr>
        <w:trPr>
          <w:trHeight w:val="150"/>
        </w:trPr>
        <w:tc>
          <w:tcPr>
            <w:tcW w:w="6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283,789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283,789</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Dividends of March 1, 2025 ($0.3255 per share)</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(22)</w:t>
            </w:r>
          </w:p>
        </w:tc>
      </w:tr>
      <w:tr>
        <w:trPr>
          <w:trHeight w:val="150"/>
        </w:trPr>
        <w:tc>
          <w:tcPr>
            <w:tcW w:w="6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Dividends of June 2, 2025 declared ($0.3255 per share)</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(90,054)</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(90,054)</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Issuance of common stock under dividend reinvestment plan (104,369 shares)</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3,760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3,812</w:t>
            </w:r>
          </w:p>
        </w:tc>
      </w:tr>
      <w:tr>
        <w:trPr>
          <w:trHeight w:val="150"/>
        </w:trPr>
        <w:tc>
          <w:tcPr>
            <w:tcW w:w="6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Issuance of common stock from at-the-market sale agreements (1,627,009 shares)</w:t>
            </w:r>
          </w:p>
        </w:tc>
        <w:tc>
          <w:tcPr>
            <w:tcW w:w="12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813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62,267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63,080</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Repurchase of stock (61,455 shares)</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(2,234)</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(2,234)</w:t>
            </w:r>
          </w:p>
        </w:tc>
      </w:tr>
      <w:tr>
        <w:trPr>
          <w:trHeight w:val="150"/>
        </w:trPr>
        <w:tc>
          <w:tcPr>
            <w:tcW w:w="6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Equity compensation plan (155,823 shares)</w:t>
            </w:r>
          </w:p>
        </w:tc>
        <w:tc>
          <w:tcPr>
            <w:tcW w:w="12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Exercise of stock options (9,703 shares)</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342</w:t>
            </w:r>
          </w:p>
        </w:tc>
      </w:tr>
      <w:tr>
        <w:trPr>
          <w:trHeight w:val="150"/>
        </w:trPr>
        <w:tc>
          <w:tcPr>
            <w:tcW w:w="6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2,592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2,407</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162</w:t>
            </w:r>
          </w:p>
        </w:tc>
      </w:tr>
      <w:tr>
        <w:trPr>
          <w:trHeight w:val="142"/>
        </w:trPr>
        <w:tc>
          <w:tcPr>
            <w:tcW w:w="6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140,053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4,268,626</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2,143,020</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(91,608)</w:t>
            </w: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6,460,091</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107,827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107,827</w:t>
            </w:r>
          </w:p>
        </w:tc>
      </w:tr>
      <w:tr>
        <w:trPr>
          <w:trHeight w:val="150"/>
        </w:trPr>
        <w:tc>
          <w:tcPr>
            <w:tcW w:w="6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Dividends of June 2, 2025 ($0.3255 per share)</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(1,197)</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(1,197)</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Issuance of common stock under dividend reinvestment plan (105,842 shares)</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3,704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3,757</w:t>
            </w:r>
          </w:p>
        </w:tc>
      </w:tr>
      <w:tr>
        <w:trPr>
          <w:trHeight w:val="150"/>
        </w:trPr>
        <w:tc>
          <w:tcPr>
            <w:tcW w:w="6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Issuance of common stock from at-the-market sale agreements (3,664,762 shares)</w:t>
            </w:r>
          </w:p>
        </w:tc>
        <w:tc>
          <w:tcPr>
            <w:tcW w:w="12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1,833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143,663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145,496</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Repurchase of stock (75 shares)</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r>
      <w:tr>
        <w:trPr>
          <w:trHeight w:val="150"/>
        </w:trPr>
        <w:tc>
          <w:tcPr>
            <w:tcW w:w="6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Equity compensation plan (21,857 shares)</w:t>
            </w:r>
          </w:p>
        </w:tc>
        <w:tc>
          <w:tcPr>
            <w:tcW w:w="12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Exercise of stock options (2,117 shares)</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75</w:t>
            </w:r>
          </w:p>
        </w:tc>
      </w:tr>
      <w:tr>
        <w:trPr>
          <w:trHeight w:val="150"/>
        </w:trPr>
        <w:tc>
          <w:tcPr>
            <w:tcW w:w="6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4,292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4,043</w:t>
            </w:r>
          </w:p>
        </w:tc>
      </w:tr>
      <w:tr>
        <w:trPr>
          <w:trHeight w:val="150"/>
        </w:trPr>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(108)</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113</w:t>
            </w:r>
          </w:p>
        </w:tc>
      </w:tr>
      <w:tr>
        <w:trPr>
          <w:trHeight w:val="142"/>
        </w:trPr>
        <w:tc>
          <w:tcPr>
            <w:tcW w:w="6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141,951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4,420,240</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2,249,401</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(91,390)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6,720,202</w:t>
            </w: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178435</wp:posOffset>
            </wp:positionV>
            <wp:extent cx="71774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EQUITY</w:t>
      </w:r>
    </w:p>
    <w:p>
      <w:pPr>
        <w:jc w:val="center"/>
        <w:spacing w:after="0" w:line="200"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Capital in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Common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color w:val="auto"/>
              </w:rPr>
              <w:t>Excess of</w:t>
            </w:r>
          </w:p>
        </w:tc>
        <w:tc>
          <w:tcPr>
            <w:tcW w:w="140" w:type="dxa"/>
            <w:vAlign w:val="bottom"/>
          </w:tcPr>
          <w:p>
            <w:pPr>
              <w:spacing w:after="0"/>
              <w:rPr>
                <w:sz w:val="14"/>
                <w:szCs w:val="14"/>
                <w:color w:val="auto"/>
              </w:rPr>
            </w:pPr>
          </w:p>
        </w:tc>
        <w:tc>
          <w:tcPr>
            <w:tcW w:w="88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color w:val="auto"/>
              </w:rPr>
              <w:t>Retained</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Treasury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8"/>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Par Value</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Earnings</w:t>
            </w:r>
          </w:p>
        </w:tc>
        <w:tc>
          <w:tcPr>
            <w:tcW w:w="10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Stock</w:t>
            </w:r>
          </w:p>
        </w:tc>
        <w:tc>
          <w:tcPr>
            <w:tcW w:w="200" w:type="dxa"/>
            <w:vAlign w:val="bottom"/>
          </w:tcPr>
          <w:p>
            <w:pPr>
              <w:spacing w:after="0"/>
              <w:rPr>
                <w:sz w:val="16"/>
                <w:szCs w:val="16"/>
                <w:color w:val="auto"/>
              </w:rPr>
            </w:pPr>
          </w:p>
        </w:tc>
        <w:tc>
          <w:tcPr>
            <w:tcW w:w="8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Total</w:t>
            </w:r>
          </w:p>
        </w:tc>
      </w:tr>
      <w:tr>
        <w:trPr>
          <w:trHeight w:val="153"/>
        </w:trPr>
        <w:tc>
          <w:tcPr>
            <w:tcW w:w="64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Balance at December 31, 2023</w:t>
            </w: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138,297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4,137,696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1,706,675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(86,485)</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5,896,183</w:t>
            </w:r>
          </w:p>
        </w:tc>
      </w:tr>
      <w:tr>
        <w:trPr>
          <w:trHeight w:val="162"/>
        </w:trPr>
        <w:tc>
          <w:tcPr>
            <w:tcW w:w="6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265,772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265,772</w:t>
            </w:r>
          </w:p>
        </w:tc>
      </w:tr>
      <w:tr>
        <w:trPr>
          <w:trHeight w:val="162"/>
        </w:trPr>
        <w:tc>
          <w:tcPr>
            <w:tcW w:w="6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Dividends of March 1, 2024 ($0.3071 per share)</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162"/>
        </w:trPr>
        <w:tc>
          <w:tcPr>
            <w:tcW w:w="6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Dividends of June 1, 2024 declared ($0.3071 per share)</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(83,998)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(83,998)</w:t>
            </w:r>
          </w:p>
        </w:tc>
      </w:tr>
      <w:tr>
        <w:trPr>
          <w:trHeight w:val="162"/>
        </w:trPr>
        <w:tc>
          <w:tcPr>
            <w:tcW w:w="6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under dividend reinvestment plan (117,210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3,882</w:t>
            </w:r>
          </w:p>
        </w:tc>
      </w:tr>
      <w:tr>
        <w:trPr>
          <w:trHeight w:val="162"/>
        </w:trPr>
        <w:tc>
          <w:tcPr>
            <w:tcW w:w="6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Repurchase of stock (62,872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(2,231)</w:t>
            </w:r>
          </w:p>
        </w:tc>
      </w:tr>
      <w:tr>
        <w:trPr>
          <w:trHeight w:val="162"/>
        </w:trPr>
        <w:tc>
          <w:tcPr>
            <w:tcW w:w="6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Equity compensation plan (160,694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 (4,971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175</w:t>
            </w:r>
          </w:p>
        </w:tc>
      </w:tr>
      <w:tr>
        <w:trPr>
          <w:trHeight w:val="162"/>
        </w:trPr>
        <w:tc>
          <w:tcPr>
            <w:tcW w:w="6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1,122</w:t>
            </w:r>
          </w:p>
        </w:tc>
      </w:tr>
      <w:tr>
        <w:trPr>
          <w:trHeight w:val="162"/>
        </w:trPr>
        <w:tc>
          <w:tcPr>
            <w:tcW w:w="642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223</w:t>
            </w:r>
          </w:p>
        </w:tc>
      </w:tr>
      <w:tr>
        <w:trPr>
          <w:trHeight w:val="153"/>
        </w:trPr>
        <w:tc>
          <w:tcPr>
            <w:tcW w:w="64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Balance at March 31, 2024</w:t>
            </w:r>
          </w:p>
        </w:tc>
        <w:tc>
          <w:tcPr>
            <w:tcW w:w="1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138,438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4,142,610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1,888,521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(88,442)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6,081,127</w:t>
            </w:r>
          </w:p>
        </w:tc>
      </w:tr>
      <w:tr>
        <w:trPr>
          <w:trHeight w:val="162"/>
        </w:trPr>
        <w:tc>
          <w:tcPr>
            <w:tcW w:w="6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75,385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75,385</w:t>
            </w:r>
          </w:p>
        </w:tc>
      </w:tr>
      <w:tr>
        <w:trPr>
          <w:trHeight w:val="162"/>
        </w:trPr>
        <w:tc>
          <w:tcPr>
            <w:tcW w:w="6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Dividends of June 1, 2024 ($0.3071 per share)</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162"/>
        </w:trPr>
        <w:tc>
          <w:tcPr>
            <w:tcW w:w="6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under dividend reinvestment plan (108,544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3,790</w:t>
            </w:r>
          </w:p>
        </w:tc>
      </w:tr>
      <w:tr>
        <w:trPr>
          <w:trHeight w:val="162"/>
        </w:trPr>
        <w:tc>
          <w:tcPr>
            <w:tcW w:w="6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Repurchase of stock (30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162"/>
        </w:trPr>
        <w:tc>
          <w:tcPr>
            <w:tcW w:w="6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Equity compensation plan (23,142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 (7,117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248</w:t>
            </w:r>
          </w:p>
        </w:tc>
      </w:tr>
      <w:tr>
        <w:trPr>
          <w:trHeight w:val="162"/>
        </w:trPr>
        <w:tc>
          <w:tcPr>
            <w:tcW w:w="6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2,562</w:t>
            </w:r>
          </w:p>
        </w:tc>
      </w:tr>
      <w:tr>
        <w:trPr>
          <w:trHeight w:val="162"/>
        </w:trPr>
        <w:tc>
          <w:tcPr>
            <w:tcW w:w="6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124</w:t>
            </w:r>
          </w:p>
        </w:tc>
      </w:tr>
      <w:tr>
        <w:trPr>
          <w:trHeight w:val="153"/>
        </w:trPr>
        <w:tc>
          <w:tcPr>
            <w:tcW w:w="642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Balance at June 30, 2024</w:t>
            </w:r>
          </w:p>
        </w:tc>
        <w:tc>
          <w:tcPr>
            <w:tcW w:w="1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138,508</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4,149,208</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1,963,716</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(88,198)</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6,163,234</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Click or tap here to enter text.</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178435</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0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CONDENSED CONSOLIDATED STATEMENTS OF CASH FLOW</w:t>
      </w:r>
    </w:p>
    <w:p>
      <w:pPr>
        <w:ind w:left="4700"/>
        <w:spacing w:after="0" w:line="180" w:lineRule="auto"/>
        <w:rPr>
          <w:sz w:val="20"/>
          <w:szCs w:val="20"/>
          <w:color w:val="auto"/>
        </w:rPr>
      </w:pPr>
      <w:r>
        <w:rPr>
          <w:rFonts w:ascii="Times New Roman" w:cs="Times New Roman" w:eastAsia="Times New Roman" w:hAnsi="Times New Roman"/>
          <w:sz w:val="16"/>
          <w:szCs w:val="16"/>
          <w:color w:val="auto"/>
        </w:rPr>
        <w:t>(In thousands of dollars)</w:t>
      </w:r>
    </w:p>
    <w:p>
      <w:pPr>
        <w:spacing w:after="0" w:line="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color w:val="auto"/>
              </w:rPr>
              <w:t>June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42"/>
        </w:trPr>
        <w:tc>
          <w:tcPr>
            <w:tcW w:w="8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gridSpan w:val="2"/>
            <w:shd w:val="clear" w:color="auto" w:fill="CCEEFF"/>
          </w:tcPr>
          <w:p>
            <w:pPr>
              <w:jc w:val="right"/>
              <w:ind w:right="131"/>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391,616</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311"/>
              <w:spacing w:after="0" w:line="150"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341,157</w:t>
            </w:r>
          </w:p>
        </w:tc>
        <w:tc>
          <w:tcPr>
            <w:tcW w:w="0" w:type="dxa"/>
            <w:vAlign w:val="bottom"/>
          </w:tcPr>
          <w:p>
            <w:pPr>
              <w:spacing w:after="0"/>
              <w:rPr>
                <w:sz w:val="1"/>
                <w:szCs w:val="1"/>
                <w:color w:val="auto"/>
              </w:rPr>
            </w:pPr>
          </w:p>
        </w:tc>
      </w:tr>
      <w:tr>
        <w:trPr>
          <w:trHeight w:val="150"/>
        </w:trPr>
        <w:tc>
          <w:tcPr>
            <w:tcW w:w="82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Adjustments to reconcile net income to net cash flows from operating activities: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line="150"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202,896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180,450</w:t>
            </w:r>
          </w:p>
        </w:tc>
        <w:tc>
          <w:tcPr>
            <w:tcW w:w="0" w:type="dxa"/>
            <w:vAlign w:val="bottom"/>
          </w:tcPr>
          <w:p>
            <w:pPr>
              <w:spacing w:after="0"/>
              <w:rPr>
                <w:sz w:val="1"/>
                <w:szCs w:val="1"/>
                <w:color w:val="auto"/>
              </w:rPr>
            </w:pPr>
          </w:p>
        </w:tc>
      </w:tr>
      <w:tr>
        <w:trPr>
          <w:trHeight w:val="150"/>
        </w:trPr>
        <w:tc>
          <w:tcPr>
            <w:tcW w:w="8240" w:type="dxa"/>
            <w:vAlign w:val="bottom"/>
          </w:tcPr>
          <w:p>
            <w:pPr>
              <w:ind w:left="180"/>
              <w:spacing w:after="0" w:line="150" w:lineRule="exact"/>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(16,704)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(12,404)</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line="150"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8,620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13,843</w:t>
            </w:r>
          </w:p>
        </w:tc>
        <w:tc>
          <w:tcPr>
            <w:tcW w:w="0" w:type="dxa"/>
            <w:vAlign w:val="bottom"/>
          </w:tcPr>
          <w:p>
            <w:pPr>
              <w:spacing w:after="0"/>
              <w:rPr>
                <w:sz w:val="1"/>
                <w:szCs w:val="1"/>
                <w:color w:val="auto"/>
              </w:rPr>
            </w:pPr>
          </w:p>
        </w:tc>
      </w:tr>
      <w:tr>
        <w:trPr>
          <w:trHeight w:val="150"/>
        </w:trPr>
        <w:tc>
          <w:tcPr>
            <w:tcW w:w="8240" w:type="dxa"/>
            <w:vAlign w:val="bottom"/>
          </w:tcPr>
          <w:p>
            <w:pPr>
              <w:ind w:left="180"/>
              <w:spacing w:after="0" w:line="150" w:lineRule="exact"/>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6,909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3,825</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line="150" w:lineRule="exact"/>
              <w:rPr>
                <w:sz w:val="20"/>
                <w:szCs w:val="20"/>
                <w:color w:val="auto"/>
              </w:rPr>
            </w:pPr>
            <w:r>
              <w:rPr>
                <w:rFonts w:ascii="Times New Roman" w:cs="Times New Roman" w:eastAsia="Times New Roman" w:hAnsi="Times New Roman"/>
                <w:sz w:val="14"/>
                <w:szCs w:val="14"/>
                <w:color w:val="auto"/>
              </w:rPr>
              <w:t>Gain on sale of utility systems and other assets</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(493)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(91,828)</w:t>
            </w:r>
          </w:p>
        </w:tc>
        <w:tc>
          <w:tcPr>
            <w:tcW w:w="0" w:type="dxa"/>
            <w:vAlign w:val="bottom"/>
          </w:tcPr>
          <w:p>
            <w:pPr>
              <w:spacing w:after="0"/>
              <w:rPr>
                <w:sz w:val="1"/>
                <w:szCs w:val="1"/>
                <w:color w:val="auto"/>
              </w:rPr>
            </w:pPr>
          </w:p>
        </w:tc>
      </w:tr>
      <w:tr>
        <w:trPr>
          <w:trHeight w:val="150"/>
        </w:trPr>
        <w:tc>
          <w:tcPr>
            <w:tcW w:w="8240" w:type="dxa"/>
            <w:vAlign w:val="bottom"/>
          </w:tcPr>
          <w:p>
            <w:pPr>
              <w:ind w:left="180"/>
              <w:spacing w:after="0" w:line="150" w:lineRule="exact"/>
              <w:rPr>
                <w:sz w:val="20"/>
                <w:szCs w:val="20"/>
                <w:color w:val="auto"/>
              </w:rPr>
            </w:pPr>
            <w:r>
              <w:rPr>
                <w:rFonts w:ascii="Times New Roman" w:cs="Times New Roman" w:eastAsia="Times New Roman" w:hAnsi="Times New Roman"/>
                <w:sz w:val="14"/>
                <w:szCs w:val="14"/>
                <w:color w:val="auto"/>
              </w:rPr>
              <w:t>Net change in receivables, deferred purchased gas costs, inventory and prepayments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35,915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21,222</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line="150" w:lineRule="exact"/>
              <w:rPr>
                <w:sz w:val="20"/>
                <w:szCs w:val="20"/>
                <w:color w:val="auto"/>
              </w:rPr>
            </w:pPr>
            <w:r>
              <w:rPr>
                <w:rFonts w:ascii="Times New Roman" w:cs="Times New Roman" w:eastAsia="Times New Roman" w:hAnsi="Times New Roman"/>
                <w:sz w:val="14"/>
                <w:szCs w:val="14"/>
                <w:color w:val="auto"/>
              </w:rPr>
              <w:t>Net change in payables, accrued interest, accrued taxes and other accrued liabilities</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(44,062)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(24,245)</w:t>
            </w:r>
          </w:p>
        </w:tc>
        <w:tc>
          <w:tcPr>
            <w:tcW w:w="0" w:type="dxa"/>
            <w:vAlign w:val="bottom"/>
          </w:tcPr>
          <w:p>
            <w:pPr>
              <w:spacing w:after="0"/>
              <w:rPr>
                <w:sz w:val="1"/>
                <w:szCs w:val="1"/>
                <w:color w:val="auto"/>
              </w:rPr>
            </w:pPr>
          </w:p>
        </w:tc>
      </w:tr>
      <w:tr>
        <w:trPr>
          <w:trHeight w:val="150"/>
        </w:trPr>
        <w:tc>
          <w:tcPr>
            <w:tcW w:w="8240" w:type="dxa"/>
            <w:vAlign w:val="bottom"/>
          </w:tcPr>
          <w:p>
            <w:pPr>
              <w:ind w:left="180"/>
              <w:spacing w:after="0" w:line="150" w:lineRule="exact"/>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(12,863)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(5,594)</w:t>
            </w:r>
          </w:p>
        </w:tc>
        <w:tc>
          <w:tcPr>
            <w:tcW w:w="0" w:type="dxa"/>
            <w:vAlign w:val="bottom"/>
          </w:tcPr>
          <w:p>
            <w:pPr>
              <w:spacing w:after="0"/>
              <w:rPr>
                <w:sz w:val="1"/>
                <w:szCs w:val="1"/>
                <w:color w:val="auto"/>
              </w:rPr>
            </w:pPr>
          </w:p>
        </w:tc>
      </w:tr>
      <w:tr>
        <w:trPr>
          <w:trHeight w:val="142"/>
        </w:trPr>
        <w:tc>
          <w:tcPr>
            <w:tcW w:w="8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flows from operating activities</w:t>
            </w: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571,834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426,426</w:t>
            </w:r>
          </w:p>
        </w:tc>
        <w:tc>
          <w:tcPr>
            <w:tcW w:w="0" w:type="dxa"/>
            <w:vAlign w:val="bottom"/>
          </w:tcPr>
          <w:p>
            <w:pPr>
              <w:spacing w:after="0"/>
              <w:rPr>
                <w:sz w:val="1"/>
                <w:szCs w:val="1"/>
                <w:color w:val="auto"/>
              </w:rPr>
            </w:pPr>
          </w:p>
        </w:tc>
      </w:tr>
      <w:tr>
        <w:trPr>
          <w:trHeight w:val="142"/>
        </w:trPr>
        <w:tc>
          <w:tcPr>
            <w:tcW w:w="8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Property, plant and equipment additions, including the debt component of allowance for funds used during construction of $4,145 and $3,482</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(612,629)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(548,868)</w:t>
            </w:r>
          </w:p>
        </w:tc>
        <w:tc>
          <w:tcPr>
            <w:tcW w:w="0" w:type="dxa"/>
            <w:vAlign w:val="bottom"/>
          </w:tcPr>
          <w:p>
            <w:pPr>
              <w:spacing w:after="0"/>
              <w:rPr>
                <w:sz w:val="1"/>
                <w:szCs w:val="1"/>
                <w:color w:val="auto"/>
              </w:rPr>
            </w:pPr>
          </w:p>
        </w:tc>
      </w:tr>
      <w:tr>
        <w:trPr>
          <w:trHeight w:val="150"/>
        </w:trPr>
        <w:tc>
          <w:tcPr>
            <w:tcW w:w="8240" w:type="dxa"/>
            <w:vAlign w:val="bottom"/>
          </w:tcPr>
          <w:p>
            <w:pPr>
              <w:ind w:left="80"/>
              <w:spacing w:after="0" w:line="150" w:lineRule="exact"/>
              <w:rPr>
                <w:sz w:val="20"/>
                <w:szCs w:val="20"/>
                <w:color w:val="auto"/>
              </w:rPr>
            </w:pPr>
            <w:r>
              <w:rPr>
                <w:rFonts w:ascii="Times New Roman" w:cs="Times New Roman" w:eastAsia="Times New Roman" w:hAnsi="Times New Roman"/>
                <w:sz w:val="14"/>
                <w:szCs w:val="14"/>
                <w:color w:val="auto"/>
              </w:rPr>
              <w:t>Acquisitions of utility systems, net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(20,536)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Net proceeds from the sale of utility systems and other assets</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166,982</w:t>
            </w:r>
          </w:p>
        </w:tc>
        <w:tc>
          <w:tcPr>
            <w:tcW w:w="0" w:type="dxa"/>
            <w:vAlign w:val="bottom"/>
          </w:tcPr>
          <w:p>
            <w:pPr>
              <w:spacing w:after="0"/>
              <w:rPr>
                <w:sz w:val="1"/>
                <w:szCs w:val="1"/>
                <w:color w:val="auto"/>
              </w:rPr>
            </w:pPr>
          </w:p>
        </w:tc>
      </w:tr>
      <w:tr>
        <w:trPr>
          <w:trHeight w:val="150"/>
        </w:trPr>
        <w:tc>
          <w:tcPr>
            <w:tcW w:w="8240" w:type="dxa"/>
            <w:vAlign w:val="bottom"/>
          </w:tcPr>
          <w:p>
            <w:pPr>
              <w:ind w:left="80"/>
              <w:spacing w:after="0" w:line="150" w:lineRule="exact"/>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42"/>
        </w:trPr>
        <w:tc>
          <w:tcPr>
            <w:tcW w:w="8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(632,829)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(382,111)</w:t>
            </w:r>
          </w:p>
        </w:tc>
        <w:tc>
          <w:tcPr>
            <w:tcW w:w="0" w:type="dxa"/>
            <w:vAlign w:val="bottom"/>
          </w:tcPr>
          <w:p>
            <w:pPr>
              <w:spacing w:after="0"/>
              <w:rPr>
                <w:sz w:val="1"/>
                <w:szCs w:val="1"/>
                <w:color w:val="auto"/>
              </w:rPr>
            </w:pPr>
          </w:p>
        </w:tc>
      </w:tr>
      <w:tr>
        <w:trPr>
          <w:trHeight w:val="142"/>
        </w:trPr>
        <w:tc>
          <w:tcPr>
            <w:tcW w:w="8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Customers' advances and contributions in aid of construction</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10,154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7,361</w:t>
            </w:r>
          </w:p>
        </w:tc>
        <w:tc>
          <w:tcPr>
            <w:tcW w:w="0" w:type="dxa"/>
            <w:vAlign w:val="bottom"/>
          </w:tcPr>
          <w:p>
            <w:pPr>
              <w:spacing w:after="0"/>
              <w:rPr>
                <w:sz w:val="1"/>
                <w:szCs w:val="1"/>
                <w:color w:val="auto"/>
              </w:rPr>
            </w:pPr>
          </w:p>
        </w:tc>
      </w:tr>
      <w:tr>
        <w:trPr>
          <w:trHeight w:val="150"/>
        </w:trPr>
        <w:tc>
          <w:tcPr>
            <w:tcW w:w="8240" w:type="dxa"/>
            <w:vAlign w:val="bottom"/>
          </w:tcPr>
          <w:p>
            <w:pPr>
              <w:ind w:left="80"/>
              <w:spacing w:after="0" w:line="150" w:lineRule="exact"/>
              <w:rPr>
                <w:sz w:val="20"/>
                <w:szCs w:val="20"/>
                <w:color w:val="auto"/>
              </w:rPr>
            </w:pPr>
            <w:r>
              <w:rPr>
                <w:rFonts w:ascii="Times New Roman" w:cs="Times New Roman" w:eastAsia="Times New Roman" w:hAnsi="Times New Roman"/>
                <w:sz w:val="14"/>
                <w:szCs w:val="14"/>
                <w:color w:val="auto"/>
              </w:rPr>
              <w:t>Repayments of customers' advances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(2,192)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(3,009)</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Net repayments of short-term debt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(168,502)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(66,857)</w:t>
            </w:r>
          </w:p>
        </w:tc>
        <w:tc>
          <w:tcPr>
            <w:tcW w:w="0" w:type="dxa"/>
            <w:vAlign w:val="bottom"/>
          </w:tcPr>
          <w:p>
            <w:pPr>
              <w:spacing w:after="0"/>
              <w:rPr>
                <w:sz w:val="1"/>
                <w:szCs w:val="1"/>
                <w:color w:val="auto"/>
              </w:rPr>
            </w:pPr>
          </w:p>
        </w:tc>
      </w:tr>
      <w:tr>
        <w:trPr>
          <w:trHeight w:val="150"/>
        </w:trPr>
        <w:tc>
          <w:tcPr>
            <w:tcW w:w="8240" w:type="dxa"/>
            <w:vAlign w:val="bottom"/>
          </w:tcPr>
          <w:p>
            <w:pPr>
              <w:ind w:left="80"/>
              <w:spacing w:after="0" w:line="150" w:lineRule="exact"/>
              <w:rPr>
                <w:sz w:val="20"/>
                <w:szCs w:val="20"/>
                <w:color w:val="auto"/>
              </w:rPr>
            </w:pPr>
            <w:r>
              <w:rPr>
                <w:rFonts w:ascii="Times New Roman" w:cs="Times New Roman" w:eastAsia="Times New Roman" w:hAnsi="Times New Roman"/>
                <w:sz w:val="14"/>
                <w:szCs w:val="14"/>
                <w:color w:val="auto"/>
              </w:rPr>
              <w:t>Net proceeds from commercial paper program</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567,400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Proceeds from other long-term debt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985,725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789,946</w:t>
            </w:r>
          </w:p>
        </w:tc>
        <w:tc>
          <w:tcPr>
            <w:tcW w:w="0" w:type="dxa"/>
            <w:vAlign w:val="bottom"/>
          </w:tcPr>
          <w:p>
            <w:pPr>
              <w:spacing w:after="0"/>
              <w:rPr>
                <w:sz w:val="1"/>
                <w:szCs w:val="1"/>
                <w:color w:val="auto"/>
              </w:rPr>
            </w:pPr>
          </w:p>
        </w:tc>
      </w:tr>
      <w:tr>
        <w:trPr>
          <w:trHeight w:val="150"/>
        </w:trPr>
        <w:tc>
          <w:tcPr>
            <w:tcW w:w="8240" w:type="dxa"/>
            <w:vAlign w:val="bottom"/>
          </w:tcPr>
          <w:p>
            <w:pPr>
              <w:ind w:left="80"/>
              <w:spacing w:after="0" w:line="150" w:lineRule="exact"/>
              <w:rPr>
                <w:sz w:val="20"/>
                <w:szCs w:val="20"/>
                <w:color w:val="auto"/>
              </w:rPr>
            </w:pPr>
            <w:r>
              <w:rPr>
                <w:rFonts w:ascii="Times New Roman" w:cs="Times New Roman" w:eastAsia="Times New Roman" w:hAnsi="Times New Roman"/>
                <w:sz w:val="14"/>
                <w:szCs w:val="14"/>
                <w:color w:val="auto"/>
              </w:rPr>
              <w:t>Repayments of other long-term debt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(1,307,301)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(597,972)</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Change in cash overdraft position</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(42,261)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2,143</w:t>
            </w:r>
          </w:p>
        </w:tc>
        <w:tc>
          <w:tcPr>
            <w:tcW w:w="0" w:type="dxa"/>
            <w:vAlign w:val="bottom"/>
          </w:tcPr>
          <w:p>
            <w:pPr>
              <w:spacing w:after="0"/>
              <w:rPr>
                <w:sz w:val="1"/>
                <w:szCs w:val="1"/>
                <w:color w:val="auto"/>
              </w:rPr>
            </w:pPr>
          </w:p>
        </w:tc>
      </w:tr>
      <w:tr>
        <w:trPr>
          <w:trHeight w:val="150"/>
        </w:trPr>
        <w:tc>
          <w:tcPr>
            <w:tcW w:w="8240" w:type="dxa"/>
            <w:vAlign w:val="bottom"/>
          </w:tcPr>
          <w:p>
            <w:pPr>
              <w:ind w:left="80"/>
              <w:spacing w:after="0" w:line="150" w:lineRule="exact"/>
              <w:rPr>
                <w:sz w:val="20"/>
                <w:szCs w:val="20"/>
                <w:color w:val="auto"/>
              </w:rPr>
            </w:pPr>
            <w:r>
              <w:rPr>
                <w:rFonts w:ascii="Times New Roman" w:cs="Times New Roman" w:eastAsia="Times New Roman" w:hAnsi="Times New Roman"/>
                <w:sz w:val="14"/>
                <w:szCs w:val="14"/>
                <w:color w:val="auto"/>
              </w:rPr>
              <w:t>Proceeds from issuance of common stock under dividend reinvestment plan</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7,569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7,672</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Proceeds from issuance of common stock from at-the-market sale agreement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208,576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8240" w:type="dxa"/>
            <w:vAlign w:val="bottom"/>
          </w:tcPr>
          <w:p>
            <w:pPr>
              <w:ind w:left="80"/>
              <w:spacing w:after="0" w:line="150" w:lineRule="exact"/>
              <w:rPr>
                <w:sz w:val="20"/>
                <w:szCs w:val="20"/>
                <w:color w:val="auto"/>
              </w:rPr>
            </w:pPr>
            <w:r>
              <w:rPr>
                <w:rFonts w:ascii="Times New Roman" w:cs="Times New Roman" w:eastAsia="Times New Roman" w:hAnsi="Times New Roman"/>
                <w:sz w:val="14"/>
                <w:szCs w:val="14"/>
                <w:color w:val="auto"/>
              </w:rPr>
              <w:t>Proceeds from exercised stock options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Repurchase of common stock</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(2,237)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(2,232)</w:t>
            </w:r>
          </w:p>
        </w:tc>
        <w:tc>
          <w:tcPr>
            <w:tcW w:w="0" w:type="dxa"/>
            <w:vAlign w:val="bottom"/>
          </w:tcPr>
          <w:p>
            <w:pPr>
              <w:spacing w:after="0"/>
              <w:rPr>
                <w:sz w:val="1"/>
                <w:szCs w:val="1"/>
                <w:color w:val="auto"/>
              </w:rPr>
            </w:pPr>
          </w:p>
        </w:tc>
      </w:tr>
      <w:tr>
        <w:trPr>
          <w:trHeight w:val="150"/>
        </w:trPr>
        <w:tc>
          <w:tcPr>
            <w:tcW w:w="8240" w:type="dxa"/>
            <w:vAlign w:val="bottom"/>
          </w:tcPr>
          <w:p>
            <w:pPr>
              <w:ind w:left="80"/>
              <w:spacing w:after="0" w:line="150" w:lineRule="exact"/>
              <w:rPr>
                <w:sz w:val="20"/>
                <w:szCs w:val="20"/>
                <w:color w:val="auto"/>
              </w:rPr>
            </w:pPr>
            <w:r>
              <w:rPr>
                <w:rFonts w:ascii="Times New Roman" w:cs="Times New Roman" w:eastAsia="Times New Roman" w:hAnsi="Times New Roman"/>
                <w:sz w:val="14"/>
                <w:szCs w:val="14"/>
                <w:color w:val="auto"/>
              </w:rPr>
              <w:t>Dividends paid on common stock</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(180,713)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(167,930)</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Other, net</w:t>
            </w:r>
          </w:p>
        </w:tc>
        <w:tc>
          <w:tcPr>
            <w:tcW w:w="3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42"/>
        </w:trPr>
        <w:tc>
          <w:tcPr>
            <w:tcW w:w="82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flows from (used in) financing activities</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76,910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(30,108)</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14,207</w:t>
            </w:r>
          </w:p>
        </w:tc>
        <w:tc>
          <w:tcPr>
            <w:tcW w:w="0" w:type="dxa"/>
            <w:vAlign w:val="bottom"/>
          </w:tcPr>
          <w:p>
            <w:pPr>
              <w:spacing w:after="0"/>
              <w:rPr>
                <w:sz w:val="1"/>
                <w:szCs w:val="1"/>
                <w:color w:val="auto"/>
              </w:rPr>
            </w:pPr>
          </w:p>
        </w:tc>
      </w:tr>
      <w:tr>
        <w:trPr>
          <w:trHeight w:val="150"/>
        </w:trPr>
        <w:tc>
          <w:tcPr>
            <w:tcW w:w="8240" w:type="dxa"/>
            <w:vAlign w:val="bottom"/>
            <w:tcBorders>
              <w:bottom w:val="single" w:sz="8" w:color="CCEEFF"/>
            </w:tcBorders>
          </w:tcPr>
          <w:p>
            <w:pPr>
              <w:spacing w:after="0" w:line="150"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9,156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4,612</w:t>
            </w:r>
          </w:p>
        </w:tc>
        <w:tc>
          <w:tcPr>
            <w:tcW w:w="0" w:type="dxa"/>
            <w:vAlign w:val="bottom"/>
          </w:tcPr>
          <w:p>
            <w:pPr>
              <w:spacing w:after="0"/>
              <w:rPr>
                <w:sz w:val="1"/>
                <w:szCs w:val="1"/>
                <w:color w:val="auto"/>
              </w:rPr>
            </w:pPr>
          </w:p>
        </w:tc>
      </w:tr>
      <w:tr>
        <w:trPr>
          <w:trHeight w:val="142"/>
        </w:trPr>
        <w:tc>
          <w:tcPr>
            <w:tcW w:w="8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25,071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1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18,819</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2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80"/>
              <w:spacing w:after="0" w:line="150" w:lineRule="exact"/>
              <w:rPr>
                <w:sz w:val="20"/>
                <w:szCs w:val="20"/>
                <w:color w:val="auto"/>
              </w:rPr>
            </w:pPr>
            <w:r>
              <w:rPr>
                <w:rFonts w:ascii="Times New Roman" w:cs="Times New Roman" w:eastAsia="Times New Roman" w:hAnsi="Times New Roman"/>
                <w:sz w:val="14"/>
                <w:szCs w:val="14"/>
                <w:color w:val="auto"/>
              </w:rPr>
              <w:t>Property, plant and equipment additions purchased at the period end, but not yet paid for</w:t>
            </w:r>
          </w:p>
        </w:tc>
        <w:tc>
          <w:tcPr>
            <w:tcW w:w="580" w:type="dxa"/>
            <w:vAlign w:val="bottom"/>
            <w:gridSpan w:val="2"/>
            <w:shd w:val="clear" w:color="auto" w:fill="CCEEFF"/>
          </w:tcPr>
          <w:p>
            <w:pPr>
              <w:jc w:val="right"/>
              <w:ind w:right="131"/>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123,154</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311"/>
              <w:spacing w:after="0" w:line="150"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131,189</w:t>
            </w:r>
          </w:p>
        </w:tc>
        <w:tc>
          <w:tcPr>
            <w:tcW w:w="0" w:type="dxa"/>
            <w:vAlign w:val="bottom"/>
          </w:tcPr>
          <w:p>
            <w:pPr>
              <w:spacing w:after="0"/>
              <w:rPr>
                <w:sz w:val="1"/>
                <w:szCs w:val="1"/>
                <w:color w:val="auto"/>
              </w:rPr>
            </w:pPr>
          </w:p>
        </w:tc>
      </w:tr>
      <w:tr>
        <w:trPr>
          <w:trHeight w:val="182"/>
        </w:trPr>
        <w:tc>
          <w:tcPr>
            <w:tcW w:w="8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Non-cash utility property contributions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18,791</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ESSENTIAL UTILITIES, INC. AND SUBSIDIARIES NOTES TO CONDENSED CONSOLIDATED FINANCIAL STATEMENTS (In thousands of dollars, except per share amounts) (UNAUDITED)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Basis of Presentation</w:t>
      </w:r>
    </w:p>
    <w:p>
      <w:pPr>
        <w:spacing w:after="0" w:line="18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accompanying unaudited condensed consolidated balance sheets and statements of capitalization of Essential Utilities, Inc. and subsidiaries (collectively, the “Company”, “we”, “us” or “our”) at June 30, 2025, the unaudited condensed consolidated statements of operations and comprehensive income and of equity for the three and six months ended June 30, 2025 and 2024, and the unaudited condensed consolidated statements of cash flows for the six months ended June 30, 2025 and 2024,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2024. Interim results are not necessarily indicative of results for a full year. In the opinion of management, all adjustments, consisting of only recurring accruals, which are necessary to present a fair statement of its condensed consolidated balance sheets, condensed consolidated statements of capitalization, condensed consolidated statements of equity, condensed consolidated statements of operations and comprehensive income, and condensed consolidated statements of cash flow for the periods presented, have been made.</w:t>
      </w:r>
    </w:p>
    <w:p>
      <w:pPr>
        <w:spacing w:after="0" w:line="15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condensed consolidated balance sheets, the revenues and expenses in its condensed consolidated statements of operations and comprehensive income, and the information that is contained in its summary of significant accounting policies and notes to condensed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volatility of interest rates. As these continue to evolve, future events and effects related to these conditions cannot be determined with precision. Accordingly, actual amounts or future results can differ materially from those estimates that the Company includes currently in its condensed consolidated financial statements, summary of significant accounting policies, and notes.</w:t>
      </w:r>
    </w:p>
    <w:p>
      <w:pPr>
        <w:spacing w:after="0" w:line="1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summary of significant accounting policies previously identified in the Company’s Annual Report on Form 10-K for the year ended December 31, 2024.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Revenue Recognition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major source and customer class: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color w:val="auto"/>
              </w:rPr>
              <w:t>Three Months Ended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100"/>
              <w:spacing w:after="0"/>
              <w:rPr>
                <w:sz w:val="20"/>
                <w:szCs w:val="20"/>
                <w:color w:val="auto"/>
              </w:rPr>
            </w:pPr>
            <w:r>
              <w:rPr>
                <w:rFonts w:ascii="Times New Roman" w:cs="Times New Roman" w:eastAsia="Times New Roman" w:hAnsi="Times New Roman"/>
                <w:sz w:val="12"/>
                <w:szCs w:val="12"/>
                <w:color w:val="auto"/>
              </w:rPr>
              <w:t>Three Months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2"/>
                <w:szCs w:val="12"/>
                <w:color w:val="auto"/>
              </w:rPr>
              <w:t>June 30, 2025</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2"/>
                <w:szCs w:val="12"/>
                <w:color w:val="auto"/>
              </w:rPr>
              <w:t>June 30, 2024</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w w:val="98"/>
              </w:rPr>
              <w:t>Water Revenues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right"/>
              <w:ind w:right="300"/>
              <w:spacing w:after="0" w:line="111" w:lineRule="exact"/>
              <w:rPr>
                <w:sz w:val="20"/>
                <w:szCs w:val="20"/>
                <w:color w:val="auto"/>
              </w:rPr>
            </w:pPr>
            <w:r>
              <w:rPr>
                <w:rFonts w:ascii="Times New Roman" w:cs="Times New Roman" w:eastAsia="Times New Roman" w:hAnsi="Times New Roman"/>
                <w:sz w:val="12"/>
                <w:szCs w:val="12"/>
                <w:color w:val="auto"/>
              </w:rPr>
              <w:t>Wastewater</w:t>
            </w:r>
          </w:p>
        </w:tc>
        <w:tc>
          <w:tcPr>
            <w:tcW w:w="120" w:type="dxa"/>
            <w:vAlign w:val="bottom"/>
          </w:tcPr>
          <w:p>
            <w:pPr>
              <w:spacing w:after="0"/>
              <w:rPr>
                <w:sz w:val="9"/>
                <w:szCs w:val="9"/>
                <w:color w:val="auto"/>
              </w:rPr>
            </w:pPr>
          </w:p>
        </w:tc>
        <w:tc>
          <w:tcPr>
            <w:tcW w:w="98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color w:val="auto"/>
              </w:rPr>
              <w:t>Natural Gas</w:t>
            </w:r>
          </w:p>
        </w:tc>
        <w:tc>
          <w:tcPr>
            <w:tcW w:w="100" w:type="dxa"/>
            <w:vAlign w:val="bottom"/>
          </w:tcPr>
          <w:p>
            <w:pPr>
              <w:spacing w:after="0"/>
              <w:rPr>
                <w:sz w:val="9"/>
                <w:szCs w:val="9"/>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Other Revenues</w:t>
            </w:r>
          </w:p>
        </w:tc>
        <w:tc>
          <w:tcPr>
            <w:tcW w:w="60" w:type="dxa"/>
            <w:vAlign w:val="bottom"/>
          </w:tcPr>
          <w:p>
            <w:pPr>
              <w:spacing w:after="0"/>
              <w:rPr>
                <w:sz w:val="9"/>
                <w:szCs w:val="9"/>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auto"/>
              </w:rPr>
              <w:t>Water Revenues</w:t>
            </w:r>
          </w:p>
        </w:tc>
        <w:tc>
          <w:tcPr>
            <w:tcW w:w="100" w:type="dxa"/>
            <w:vAlign w:val="bottom"/>
          </w:tcPr>
          <w:p>
            <w:pPr>
              <w:spacing w:after="0"/>
              <w:rPr>
                <w:sz w:val="9"/>
                <w:szCs w:val="9"/>
                <w:color w:val="auto"/>
              </w:rPr>
            </w:pPr>
          </w:p>
        </w:tc>
        <w:tc>
          <w:tcPr>
            <w:tcW w:w="840" w:type="dxa"/>
            <w:vAlign w:val="bottom"/>
            <w:gridSpan w:val="2"/>
          </w:tcPr>
          <w:p>
            <w:pPr>
              <w:jc w:val="right"/>
              <w:ind w:right="240"/>
              <w:spacing w:after="0" w:line="111" w:lineRule="exact"/>
              <w:rPr>
                <w:sz w:val="20"/>
                <w:szCs w:val="20"/>
                <w:color w:val="auto"/>
              </w:rPr>
            </w:pPr>
            <w:r>
              <w:rPr>
                <w:rFonts w:ascii="Times New Roman" w:cs="Times New Roman" w:eastAsia="Times New Roman" w:hAnsi="Times New Roman"/>
                <w:sz w:val="12"/>
                <w:szCs w:val="12"/>
                <w:color w:val="auto"/>
              </w:rPr>
              <w:t>Wastewater</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ind w:left="40"/>
              <w:spacing w:after="0" w:line="111" w:lineRule="exact"/>
              <w:rPr>
                <w:sz w:val="20"/>
                <w:szCs w:val="20"/>
                <w:color w:val="auto"/>
              </w:rPr>
            </w:pPr>
            <w:r>
              <w:rPr>
                <w:rFonts w:ascii="Times New Roman" w:cs="Times New Roman" w:eastAsia="Times New Roman" w:hAnsi="Times New Roman"/>
                <w:sz w:val="12"/>
                <w:szCs w:val="12"/>
                <w:color w:val="auto"/>
              </w:rPr>
              <w:t>Natural Gas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Other Revenues</w:t>
            </w:r>
          </w:p>
        </w:tc>
        <w:tc>
          <w:tcPr>
            <w:tcW w:w="0" w:type="dxa"/>
            <w:vAlign w:val="bottom"/>
          </w:tcPr>
          <w:p>
            <w:pPr>
              <w:spacing w:after="0"/>
              <w:rPr>
                <w:sz w:val="1"/>
                <w:szCs w:val="1"/>
                <w:color w:val="auto"/>
              </w:rPr>
            </w:pPr>
          </w:p>
        </w:tc>
      </w:tr>
      <w:tr>
        <w:trPr>
          <w:trHeight w:val="147"/>
        </w:trPr>
        <w:tc>
          <w:tcPr>
            <w:tcW w:w="28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Revenues from contracts with customers:</w:t>
            </w: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Revenues</w:t>
            </w:r>
          </w:p>
        </w:tc>
        <w:tc>
          <w:tcPr>
            <w:tcW w:w="12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Revenues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Revenues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Revenues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vMerge w:val="continue"/>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Residential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185,221</w:t>
            </w: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165,412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36,053</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70,597</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Commercial</w:t>
            </w: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52,033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Fire protection</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11,875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Industrial</w:t>
            </w: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Gas transportation &amp; storage</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water</w:t>
            </w: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wastewater</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utility</w:t>
            </w:r>
          </w:p>
        </w:tc>
        <w:tc>
          <w:tcPr>
            <w:tcW w:w="6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2,901</w:t>
            </w:r>
          </w:p>
        </w:tc>
        <w:tc>
          <w:tcPr>
            <w:tcW w:w="0" w:type="dxa"/>
            <w:vAlign w:val="bottom"/>
          </w:tcPr>
          <w:p>
            <w:pPr>
              <w:spacing w:after="0"/>
              <w:rPr>
                <w:sz w:val="1"/>
                <w:szCs w:val="1"/>
                <w:color w:val="auto"/>
              </w:rPr>
            </w:pPr>
          </w:p>
        </w:tc>
      </w:tr>
      <w:tr>
        <w:trPr>
          <w:trHeight w:val="130"/>
        </w:trPr>
        <w:tc>
          <w:tcPr>
            <w:tcW w:w="284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Revenues from contracts with customers</w:t>
            </w: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273,612</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55,732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172,608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2,684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250,481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48,187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128,203</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2,901</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Alternative revenue program</w:t>
            </w: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and eliminations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3,739</w:t>
            </w:r>
          </w:p>
        </w:tc>
        <w:tc>
          <w:tcPr>
            <w:tcW w:w="0" w:type="dxa"/>
            <w:vAlign w:val="bottom"/>
          </w:tcPr>
          <w:p>
            <w:pPr>
              <w:spacing w:after="0"/>
              <w:rPr>
                <w:sz w:val="1"/>
                <w:szCs w:val="1"/>
                <w:color w:val="auto"/>
              </w:rPr>
            </w:pPr>
          </w:p>
        </w:tc>
      </w:tr>
      <w:tr>
        <w:trPr>
          <w:trHeight w:val="130"/>
        </w:trPr>
        <w:tc>
          <w:tcPr>
            <w:tcW w:w="28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Consolidated</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273,636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55,962</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177,321</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7,988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251,505</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48,073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128,188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6,640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color w:val="auto"/>
              </w:rPr>
              <w:t>Six Months Ended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6"/>
          </w:tcPr>
          <w:p>
            <w:pPr>
              <w:jc w:val="center"/>
              <w:ind w:right="100"/>
              <w:spacing w:after="0"/>
              <w:rPr>
                <w:sz w:val="20"/>
                <w:szCs w:val="20"/>
                <w:color w:val="auto"/>
              </w:rPr>
            </w:pPr>
            <w:r>
              <w:rPr>
                <w:rFonts w:ascii="Times New Roman" w:cs="Times New Roman" w:eastAsia="Times New Roman" w:hAnsi="Times New Roman"/>
                <w:sz w:val="12"/>
                <w:szCs w:val="12"/>
                <w:color w:val="auto"/>
              </w:rPr>
              <w:t>Six Months Ended</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2"/>
                <w:szCs w:val="12"/>
                <w:color w:val="auto"/>
              </w:rPr>
              <w:t>June 30, 2025</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2"/>
                <w:szCs w:val="12"/>
                <w:color w:val="auto"/>
              </w:rPr>
              <w:t>June 30, 2024</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w w:val="98"/>
              </w:rPr>
              <w:t>Water Revenues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right"/>
              <w:ind w:right="300"/>
              <w:spacing w:after="0" w:line="111" w:lineRule="exact"/>
              <w:rPr>
                <w:sz w:val="20"/>
                <w:szCs w:val="20"/>
                <w:color w:val="auto"/>
              </w:rPr>
            </w:pPr>
            <w:r>
              <w:rPr>
                <w:rFonts w:ascii="Times New Roman" w:cs="Times New Roman" w:eastAsia="Times New Roman" w:hAnsi="Times New Roman"/>
                <w:sz w:val="12"/>
                <w:szCs w:val="12"/>
                <w:color w:val="auto"/>
              </w:rPr>
              <w:t>Wastewater</w:t>
            </w:r>
          </w:p>
        </w:tc>
        <w:tc>
          <w:tcPr>
            <w:tcW w:w="120" w:type="dxa"/>
            <w:vAlign w:val="bottom"/>
          </w:tcPr>
          <w:p>
            <w:pPr>
              <w:spacing w:after="0"/>
              <w:rPr>
                <w:sz w:val="9"/>
                <w:szCs w:val="9"/>
                <w:color w:val="auto"/>
              </w:rPr>
            </w:pPr>
          </w:p>
        </w:tc>
        <w:tc>
          <w:tcPr>
            <w:tcW w:w="98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color w:val="auto"/>
              </w:rPr>
              <w:t>Natural Gas</w:t>
            </w:r>
          </w:p>
        </w:tc>
        <w:tc>
          <w:tcPr>
            <w:tcW w:w="100" w:type="dxa"/>
            <w:vAlign w:val="bottom"/>
          </w:tcPr>
          <w:p>
            <w:pPr>
              <w:spacing w:after="0"/>
              <w:rPr>
                <w:sz w:val="9"/>
                <w:szCs w:val="9"/>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Other Revenues</w:t>
            </w:r>
          </w:p>
        </w:tc>
        <w:tc>
          <w:tcPr>
            <w:tcW w:w="60" w:type="dxa"/>
            <w:vAlign w:val="bottom"/>
          </w:tcPr>
          <w:p>
            <w:pPr>
              <w:spacing w:after="0"/>
              <w:rPr>
                <w:sz w:val="9"/>
                <w:szCs w:val="9"/>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auto"/>
              </w:rPr>
              <w:t>Water Revenues</w:t>
            </w:r>
          </w:p>
        </w:tc>
        <w:tc>
          <w:tcPr>
            <w:tcW w:w="100" w:type="dxa"/>
            <w:vAlign w:val="bottom"/>
          </w:tcPr>
          <w:p>
            <w:pPr>
              <w:spacing w:after="0"/>
              <w:rPr>
                <w:sz w:val="9"/>
                <w:szCs w:val="9"/>
                <w:color w:val="auto"/>
              </w:rPr>
            </w:pPr>
          </w:p>
        </w:tc>
        <w:tc>
          <w:tcPr>
            <w:tcW w:w="840" w:type="dxa"/>
            <w:vAlign w:val="bottom"/>
            <w:gridSpan w:val="2"/>
          </w:tcPr>
          <w:p>
            <w:pPr>
              <w:jc w:val="right"/>
              <w:ind w:right="240"/>
              <w:spacing w:after="0" w:line="111" w:lineRule="exact"/>
              <w:rPr>
                <w:sz w:val="20"/>
                <w:szCs w:val="20"/>
                <w:color w:val="auto"/>
              </w:rPr>
            </w:pPr>
            <w:r>
              <w:rPr>
                <w:rFonts w:ascii="Times New Roman" w:cs="Times New Roman" w:eastAsia="Times New Roman" w:hAnsi="Times New Roman"/>
                <w:sz w:val="12"/>
                <w:szCs w:val="12"/>
                <w:color w:val="auto"/>
              </w:rPr>
              <w:t>Wastewater</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ind w:left="40"/>
              <w:spacing w:after="0" w:line="111" w:lineRule="exact"/>
              <w:rPr>
                <w:sz w:val="20"/>
                <w:szCs w:val="20"/>
                <w:color w:val="auto"/>
              </w:rPr>
            </w:pPr>
            <w:r>
              <w:rPr>
                <w:rFonts w:ascii="Times New Roman" w:cs="Times New Roman" w:eastAsia="Times New Roman" w:hAnsi="Times New Roman"/>
                <w:sz w:val="12"/>
                <w:szCs w:val="12"/>
                <w:color w:val="auto"/>
              </w:rPr>
              <w:t>Natural Gas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Other Revenues</w:t>
            </w: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Revenues</w:t>
            </w:r>
          </w:p>
        </w:tc>
        <w:tc>
          <w:tcPr>
            <w:tcW w:w="12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Revenues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Revenues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Revenues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Revenues from contracts with customers:</w:t>
            </w: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Residential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349,098</w:t>
            </w:r>
          </w:p>
        </w:tc>
        <w:tc>
          <w:tcPr>
            <w:tcW w:w="4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79,811</w:t>
            </w:r>
          </w:p>
        </w:tc>
        <w:tc>
          <w:tcPr>
            <w:tcW w:w="14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405,005</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317,243</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71,647</w:t>
            </w:r>
          </w:p>
        </w:tc>
        <w:tc>
          <w:tcPr>
            <w:tcW w:w="80" w:type="dxa"/>
            <w:vAlign w:val="bottom"/>
          </w:tcPr>
          <w:p>
            <w:pPr>
              <w:spacing w:after="0"/>
              <w:rPr>
                <w:sz w:val="12"/>
                <w:szCs w:val="12"/>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277,523</w:t>
            </w:r>
          </w:p>
        </w:tc>
        <w:tc>
          <w:tcPr>
            <w:tcW w:w="8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Commercial</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97,510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19,704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56,579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Fire protection</w:t>
            </w: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23,029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Industrial</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19,238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Gas transportation &amp; storage</w:t>
            </w:r>
          </w:p>
        </w:tc>
        <w:tc>
          <w:tcPr>
            <w:tcW w:w="6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105,882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water</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31,964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wastewater</w:t>
            </w:r>
          </w:p>
        </w:tc>
        <w:tc>
          <w:tcPr>
            <w:tcW w:w="6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utility</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18,181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5,711</w:t>
            </w:r>
          </w:p>
        </w:tc>
        <w:tc>
          <w:tcPr>
            <w:tcW w:w="0" w:type="dxa"/>
            <w:vAlign w:val="bottom"/>
          </w:tcPr>
          <w:p>
            <w:pPr>
              <w:spacing w:after="0"/>
              <w:rPr>
                <w:sz w:val="1"/>
                <w:szCs w:val="1"/>
                <w:color w:val="auto"/>
              </w:rPr>
            </w:pPr>
          </w:p>
        </w:tc>
      </w:tr>
      <w:tr>
        <w:trPr>
          <w:trHeight w:val="130"/>
        </w:trPr>
        <w:tc>
          <w:tcPr>
            <w:tcW w:w="28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Revenues from contracts with customers</w:t>
            </w: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520,839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107,035</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644,593</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5,575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478,179</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96,929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451,383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5,711</w:t>
            </w: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Alternative revenue program</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Other and eliminations</w:t>
            </w:r>
          </w:p>
        </w:tc>
        <w:tc>
          <w:tcPr>
            <w:tcW w:w="6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11,584</w:t>
            </w:r>
          </w:p>
        </w:tc>
        <w:tc>
          <w:tcPr>
            <w:tcW w:w="0" w:type="dxa"/>
            <w:vAlign w:val="bottom"/>
          </w:tcPr>
          <w:p>
            <w:pPr>
              <w:spacing w:after="0"/>
              <w:rPr>
                <w:sz w:val="1"/>
                <w:szCs w:val="1"/>
                <w:color w:val="auto"/>
              </w:rPr>
            </w:pPr>
          </w:p>
        </w:tc>
      </w:tr>
      <w:tr>
        <w:trPr>
          <w:trHeight w:val="130"/>
        </w:trPr>
        <w:tc>
          <w:tcPr>
            <w:tcW w:w="284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Consolidated</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520,558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106,997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648,118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22,860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479,859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96,802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452,519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17,295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Water and Wastewater Utility Acquisitions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Acquisitions</w:t>
      </w:r>
    </w:p>
    <w:p>
      <w:pPr>
        <w:spacing w:after="0" w:line="192" w:lineRule="exact"/>
        <w:rPr>
          <w:sz w:val="20"/>
          <w:szCs w:val="20"/>
          <w:color w:val="auto"/>
        </w:rPr>
      </w:pPr>
    </w:p>
    <w:p>
      <w:pPr>
        <w:ind w:right="780"/>
        <w:spacing w:after="0" w:line="253" w:lineRule="auto"/>
        <w:rPr>
          <w:sz w:val="20"/>
          <w:szCs w:val="20"/>
          <w:color w:val="auto"/>
        </w:rPr>
      </w:pPr>
      <w:r>
        <w:rPr>
          <w:rFonts w:ascii="Times New Roman" w:cs="Times New Roman" w:eastAsia="Times New Roman" w:hAnsi="Times New Roman"/>
          <w:sz w:val="18"/>
          <w:szCs w:val="18"/>
          <w:color w:val="auto"/>
        </w:rPr>
        <w:t>In July 2025, the Company acquired the wastewater utility system of the City of Beaver Falls, Pennsylvania for $37,750. The system serves approximately 3,200 customers in the City of Beaver Falls and also provides bulk transmission and treatment service for approximately 3,800 equivalent dwelling units in seven nearby municipalities.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acquired the Village of Midvale’s water system in Ohio, which serves approximately 1,000 customers for $2,950.</w:t>
      </w:r>
    </w:p>
    <w:p>
      <w:pPr>
        <w:spacing w:after="0" w:line="197" w:lineRule="exact"/>
        <w:rPr>
          <w:sz w:val="20"/>
          <w:szCs w:val="20"/>
          <w:color w:val="auto"/>
        </w:rPr>
      </w:pPr>
    </w:p>
    <w:p>
      <w:pPr>
        <w:ind w:right="540"/>
        <w:spacing w:after="0" w:line="239" w:lineRule="auto"/>
        <w:rPr>
          <w:sz w:val="20"/>
          <w:szCs w:val="20"/>
          <w:color w:val="auto"/>
        </w:rPr>
      </w:pPr>
      <w:r>
        <w:rPr>
          <w:rFonts w:ascii="Times New Roman" w:cs="Times New Roman" w:eastAsia="Times New Roman" w:hAnsi="Times New Roman"/>
          <w:sz w:val="18"/>
          <w:szCs w:val="18"/>
          <w:color w:val="auto"/>
        </w:rPr>
        <w:t>In January 2025, the Company acquired Greenville Sanitary Authority’s wastewater utility assets, which serve approximately 2,300 customers in Greenville, Pennsylvania for $18,000.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158750</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ind w:right="-19"/>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2024, the Company acquired wastewater utility assets in Morgan County, Indiana, which serve approximately 100 customers for $500.</w:t>
      </w:r>
    </w:p>
    <w:p>
      <w:pPr>
        <w:spacing w:after="0" w:line="19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May 2024, the Company acquired the wastewater utility assets of Westfield HOA, which serve approximately 200 customers within Westfield Homeowners Subdivision in Glenview, Illinois for a cash purchase price of $67.</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for these acquisitions consisted primarily of property, plant and equipment.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Acquisitions</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October 2024, the Company entered into a purchase agreement to acquire Integra Water Texas, LLC’s wastewater system assets in Bastrop County, Texas, which serve approximately 1,100 customers for $4,400.</w:t>
      </w:r>
    </w:p>
    <w:p>
      <w:pPr>
        <w:spacing w:after="0" w:line="14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purchase agreement to acquire private water and wastewater utility assets in Harris County, Texas, which serve approximately 400 equivalent retail customers for $1,125.</w:t>
      </w:r>
    </w:p>
    <w:p>
      <w:pPr>
        <w:spacing w:after="0" w:line="14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September 2023, the Company entered into a purchase agreement to acquire Greenville Municipal Water Authority’s water system in Greenville, Pennsylvania which serves approximately 3,000 customers for $18,000.</w:t>
      </w:r>
    </w:p>
    <w:p>
      <w:pPr>
        <w:spacing w:after="0" w:line="8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commercial paper program and revolving credit facility until permanent debt and common equity are secured. These pending acquisitions are expected to close in 2025. Closings for our utility acquisitions are subject to the timing of the respective regulatory approval processes.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East Whiteland Purchase Agreement</w:t>
      </w:r>
    </w:p>
    <w:p>
      <w:pPr>
        <w:spacing w:after="0" w:line="19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 Pennsylvania Commonwealth Court agreed with the OCA and reversed the PUC order which approved the acquisition. On September 26, 2023, the Pennsylvania Commonwealth Court denied our motion for reargument. On October 26, 2023, the Company, the Pennsylvania Public Utility Commission, and East Whiteland Township filed an appeal to the Pennsylvania Supreme Court. East Whiteland Township filed to Supplement its Petition for Allowance of Appeal on January 2, 2024. On January 16, 2024, the Company, the OCA and the PUC filed Answers to East Whiteland Township’s Petition. On June 14,</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158750</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2024, the Pennsylvania Supreme Court granted the Petitions for Allowance of Appeal of the Pennsylvania Public Utility Commission, the Company, and East Whiteland Township. The Company, the Pennsylvania Public Utility Commission, East Whiteland Township, and several Amicus Curiae filed Initial Briefs on September 26, 2024. The OCA submitted its Brief on December 10, 2024 and the Company, the Pennsylvania Public Utility Commission, and East Whiteland Township submitted Reply Briefs. Oral arguments before the Pennsylvania Supreme Court took place on May 14, 2025. The Company is currently awaiting a decision from the Pennsylvania Supreme Court. Management believes the final resolution of this matter will not have a material adverse effect on the Company’s financial position, results of operations, or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DELCORA Purchase Agreement</w:t>
      </w:r>
    </w:p>
    <w:p>
      <w:pPr>
        <w:spacing w:after="0" w:line="201"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8"/>
          <w:szCs w:val="18"/>
          <w:color w:val="auto"/>
        </w:rPr>
        <w:t>In 2019, the Company entered into a purchase agreement to acquire the wastewater utility system assets of the Delaware County Regional Water Quality Control Authority (“DELCORA”), which consist of approximately 16,000 customers, or the equivalent of 198,000 retail customers, in 42 municipalities in Southeast Pennsylvania for $276,500. There are several legal proceedings involving the Company as a result of the purchase agreement that are on-going.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commercial paper program and revolving credit facility until permanent debt is secured. Closing of our acquisition of DELCORA is subject to regulatory approval and on-going litigation.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Dispositions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the Company entered into an agreement to sell its interest in three non-utility local microgrid and distributed energy projects for</w:t>
      </w:r>
    </w:p>
    <w:p>
      <w:pPr>
        <w:spacing w:after="0" w:line="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$165,000. The sale was completed in January 2024, and the Company recognized a gain of $91,236 during the first quarter of 2024, which is included in other expense (income) in the accompanying condensed consolidated statement of operations.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Goodwill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goodwill, by business segment: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Regulated Natural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Regulated Water</w:t>
            </w:r>
          </w:p>
        </w:tc>
        <w:tc>
          <w:tcPr>
            <w:tcW w:w="100" w:type="dxa"/>
            <w:vAlign w:val="bottom"/>
          </w:tcPr>
          <w:p>
            <w:pPr>
              <w:spacing w:after="0"/>
              <w:rPr>
                <w:sz w:val="16"/>
                <w:szCs w:val="16"/>
                <w:color w:val="auto"/>
              </w:rPr>
            </w:pPr>
          </w:p>
        </w:tc>
        <w:tc>
          <w:tcPr>
            <w:tcW w:w="14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Gas</w:t>
            </w:r>
          </w:p>
        </w:tc>
        <w:tc>
          <w:tcPr>
            <w:tcW w:w="20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6"/>
                <w:szCs w:val="16"/>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Consolidated</w:t>
            </w:r>
          </w:p>
        </w:tc>
      </w:tr>
      <w:tr>
        <w:trPr>
          <w:trHeight w:val="153"/>
        </w:trPr>
        <w:tc>
          <w:tcPr>
            <w:tcW w:w="55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Balance at December 31, 2024</w:t>
            </w: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58,425</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2,277,447</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4,841</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2,340,713</w:t>
            </w:r>
          </w:p>
        </w:tc>
      </w:tr>
      <w:tr>
        <w:trPr>
          <w:trHeight w:val="162"/>
        </w:trPr>
        <w:tc>
          <w:tcPr>
            <w:tcW w:w="550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Reclassification to utility plant acquisition adjustment</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r>
      <w:tr>
        <w:trPr>
          <w:trHeight w:val="153"/>
        </w:trPr>
        <w:tc>
          <w:tcPr>
            <w:tcW w:w="5500" w:type="dxa"/>
            <w:vAlign w:val="bottom"/>
            <w:tcBorders>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Balance at June 30, 2025</w:t>
            </w: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58,421</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2,277,447</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4,841</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2,340,709</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One of our subsidiaries in the Regulated Water segment has a mechanism that allows the reclassification of goodwill to utility plant acquisition adjustment. The mechanism provides for the transfer over time, and the recovery through customer rates, of goodwill associated with some acquisitions upon achieving specific objectives.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Capitalization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03"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18"/>
          <w:szCs w:val="18"/>
          <w:color w:val="auto"/>
        </w:rPr>
        <w:t>On August 13, 2024, the Company established a new at-the-market equity sales program (“ATM”), under which it may issue and sell shares of its common stock up to an aggregate offering price of $1,000,000 (“2024 ATM”). During the three months ended June 30, 2025, we issued 3,664,762 shares of common stock for net proceeds of approximately $145,500 under the 2024 ATM. During the six months ended June 30, 2025, we issued 5,291,771 shares of common stock for net proceeds of approximately $208,600 under the 2024 ATM. As of June 30, 2025, the 2024 ATM had approximately $753,000 of equity available for issuance. The Company used the net proceeds from the sales of shares through the 2024 ATM for working capital, capital expenditures, water and wastewater utility acquisitions, and repaying a portion of outstanding indebtedness.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March 19, 2025, the Company established a commercial paper program (the “CP Program”) that allows it to issue, through private placement, short-term, unsecured commercial paper notes (the “CP Notes”) in an aggregate principal amount not to exceed $1,000,000. Maturities of CP Notes may vary, but cannot exceed 364 days from the date of issue. Amounts available under the Program may be borrowed, repaid, and re-borrowed from time to time. The CP Program is reinforced by the Company’s revolving credit facility, as amounts undrawn under the Company’s revolving credit facility are available to repay the CP Notes. Notes issued under the CP Program rank equally with the Company’s present and future unsecured indebtedness. The Company utilizes the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w:t>
      </w:r>
    </w:p>
    <w:p>
      <w:pPr>
        <w:spacing w:after="0" w:line="15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As of June 30, 2025, outstanding borrowings under the Company’s commercial paper program were $566,543, net of unamortized discount on issuance of $857, with a weighted average interest rate of 4.69% and weighted average remaining term of 13 days. Outstanding CP Notes are classified as long-term debt in the accompanying condensed consolidated balance sheets and condensed consolidated statements of capitalization since the Company has the intent and ability to refinance the CP Notes on a long-term basis using the Company’s revolving credit facility. The carrying value of CP Notes approximates their fair value, primarily due to their market interest rates, and are classified as Level 2 in the fair value hierarchy (see Note 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and Short-Term Debt</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condensed consolidated statements of capitalization provide a summary of the Company’s long-term and short-term debt as of June 30, 2025 and December 31 2024.</w:t>
      </w:r>
    </w:p>
    <w:p>
      <w:pPr>
        <w:spacing w:after="0" w:line="13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On June 3, 2025, Aqua Pennsylvania and PNG Companies, LLC amended and restated their respective $100,000 and $300,000 revolving credit agreements extending the maturity date by another 364-day period. The funds borrowed under these agreements are classified as loans payable and are used to provide working capital.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158750</wp:posOffset>
            </wp:positionV>
            <wp:extent cx="717740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70"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8"/>
          <w:szCs w:val="18"/>
          <w:color w:val="auto"/>
        </w:rPr>
        <w:t>On May 29, 2025, the Company’s subsidiary, Aqua Pennsylvania, issued $100,000 in aggregate principal amount of first mortgage bonds. The bonds consisted of $75,000 of 5.38% first mortgage bonds due in 2035, and $25,000 of 5.63% first mortgage bonds due in 2040. The proceeds from these bonds were used to repay existing indebtedness and for general corporate purposes.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The Company was in compliance with its debt covenants under its loan and debt agreements as of June 30, 2025.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Financial Instruments</w:t>
      </w:r>
    </w:p>
    <w:p>
      <w:pPr>
        <w:spacing w:after="0" w:line="1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six months ended June 30, 2025.</w:t>
      </w:r>
    </w:p>
    <w:p>
      <w:pPr>
        <w:spacing w:after="0" w:line="16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The fair value of loans payable is determined based on its carrying amount and utilizing Level 1 methods and assumptions. As of June 30, 2025 and December 31, 2024, the carrying amount of the Company’s loans payable was $18,040 and $186,542, respectively, which equates to their estimated fair value. The fair value of cash and cash equivalents is determined based on Level 1 methods and assumptions. As of June 30, 2025 and December 31, 2024, the carrying amounts of the Company's cash and cash equivalents was $25,071 and $9,156,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June 30, 2025 and December 31, 2024, the carrying amount of these securities was $31,262 and $31,324, respectively, which equates to their fair value, and is reported in the condensed consolidated balance sheet in deferred charges and other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 and loss on equity securities held in conjunction with our non-qualified pension plan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198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Three Months Ended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235"/>
              <w:spacing w:after="0"/>
              <w:rPr>
                <w:sz w:val="20"/>
                <w:szCs w:val="20"/>
                <w:color w:val="auto"/>
              </w:rPr>
            </w:pPr>
            <w:r>
              <w:rPr>
                <w:rFonts w:ascii="Times New Roman" w:cs="Times New Roman" w:eastAsia="Times New Roman" w:hAnsi="Times New Roman"/>
                <w:sz w:val="17"/>
                <w:szCs w:val="17"/>
                <w:color w:val="auto"/>
              </w:rPr>
              <w:t>Six Months Ended</w:t>
            </w:r>
          </w:p>
        </w:tc>
        <w:tc>
          <w:tcPr>
            <w:tcW w:w="0" w:type="dxa"/>
            <w:vAlign w:val="bottom"/>
          </w:tcPr>
          <w:p>
            <w:pPr>
              <w:spacing w:after="0"/>
              <w:rPr>
                <w:sz w:val="1"/>
                <w:szCs w:val="1"/>
                <w:color w:val="auto"/>
              </w:rPr>
            </w:pPr>
          </w:p>
        </w:tc>
      </w:tr>
      <w:tr>
        <w:trPr>
          <w:trHeight w:val="215"/>
        </w:trPr>
        <w:tc>
          <w:tcPr>
            <w:tcW w:w="68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7"/>
                <w:szCs w:val="17"/>
                <w:color w:val="auto"/>
              </w:rPr>
              <w:t>June 30,</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2025</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line="176" w:lineRule="exact"/>
              <w:rPr>
                <w:sz w:val="20"/>
                <w:szCs w:val="20"/>
                <w:color w:val="auto"/>
              </w:rPr>
            </w:pPr>
            <w:r>
              <w:rPr>
                <w:rFonts w:ascii="Times New Roman" w:cs="Times New Roman" w:eastAsia="Times New Roman" w:hAnsi="Times New Roman"/>
                <w:sz w:val="17"/>
                <w:szCs w:val="17"/>
                <w:color w:val="auto"/>
              </w:rPr>
              <w:t>2025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5"/>
              <w:spacing w:after="0" w:line="176" w:lineRule="exact"/>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Net gain/(loss) recognized during the period on equity securities</w:t>
            </w:r>
          </w:p>
        </w:tc>
        <w:tc>
          <w:tcPr>
            <w:tcW w:w="760" w:type="dxa"/>
            <w:vAlign w:val="bottom"/>
            <w:shd w:val="clear" w:color="auto" w:fill="CCEEFF"/>
          </w:tcPr>
          <w:p>
            <w:pPr>
              <w:jc w:val="right"/>
              <w:ind w:right="59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(29)</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1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93"/>
              </w:rPr>
              <w:t>197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622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618</w:t>
            </w:r>
          </w:p>
        </w:tc>
        <w:tc>
          <w:tcPr>
            <w:tcW w:w="0" w:type="dxa"/>
            <w:vAlign w:val="bottom"/>
          </w:tcPr>
          <w:p>
            <w:pPr>
              <w:spacing w:after="0"/>
              <w:rPr>
                <w:sz w:val="1"/>
                <w:szCs w:val="1"/>
                <w:color w:val="auto"/>
              </w:rPr>
            </w:pPr>
          </w:p>
        </w:tc>
      </w:tr>
      <w:tr>
        <w:trPr>
          <w:trHeight w:val="185"/>
        </w:trPr>
        <w:tc>
          <w:tcPr>
            <w:tcW w:w="6840" w:type="dxa"/>
            <w:vAlign w:val="bottom"/>
            <w:tcBorders>
              <w:bottom w:val="single" w:sz="8" w:color="CCEEFF"/>
            </w:tcBorders>
          </w:tcPr>
          <w:p>
            <w:pPr>
              <w:spacing w:after="0" w:line="185" w:lineRule="exact"/>
              <w:rPr>
                <w:sz w:val="20"/>
                <w:szCs w:val="20"/>
                <w:color w:val="auto"/>
              </w:rPr>
            </w:pPr>
            <w:r>
              <w:rPr>
                <w:rFonts w:ascii="Times New Roman" w:cs="Times New Roman" w:eastAsia="Times New Roman" w:hAnsi="Times New Roman"/>
                <w:sz w:val="17"/>
                <w:szCs w:val="17"/>
                <w:color w:val="auto"/>
              </w:rPr>
              <w:t>Less: net gain recognized during the period on equity securities sold during the period</w:t>
            </w: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Unrealized gain/(loss) recognized during the reporting period on equity securities still held at the</w:t>
            </w:r>
          </w:p>
        </w:tc>
        <w:tc>
          <w:tcPr>
            <w:tcW w:w="760" w:type="dxa"/>
            <w:vAlign w:val="bottom"/>
            <w:vMerge w:val="restart"/>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w:t>
            </w:r>
          </w:p>
        </w:tc>
        <w:tc>
          <w:tcPr>
            <w:tcW w:w="680" w:type="dxa"/>
            <w:vAlign w:val="bottom"/>
            <w:vMerge w:val="restart"/>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197</w:t>
            </w:r>
          </w:p>
        </w:tc>
        <w:tc>
          <w:tcPr>
            <w:tcW w:w="400" w:type="dxa"/>
            <w:vAlign w:val="bottom"/>
            <w:gridSpan w:val="2"/>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400" w:type="dxa"/>
            <w:vAlign w:val="bottom"/>
            <w:gridSpan w:val="2"/>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reporting date</w:t>
            </w:r>
          </w:p>
        </w:tc>
        <w:tc>
          <w:tcPr>
            <w:tcW w:w="760" w:type="dxa"/>
            <w:vAlign w:val="bottom"/>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net gain/(loss) recognized on equity securities is presented on the condensed consolidated statements of operations and comprehensive income on the line item “Other, net”.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estimated fair values of the Company’s long-term debt (which includes CP Notes)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June 30, 2025</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rPr>
              <w:t>December 31, 2024</w:t>
            </w:r>
          </w:p>
        </w:tc>
      </w:tr>
      <w:tr>
        <w:trPr>
          <w:trHeight w:val="176"/>
        </w:trPr>
        <w:tc>
          <w:tcPr>
            <w:tcW w:w="4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Carrying amount</w:t>
            </w:r>
          </w:p>
        </w:tc>
        <w:tc>
          <w:tcPr>
            <w:tcW w:w="2180" w:type="dxa"/>
            <w:vAlign w:val="bottom"/>
            <w:shd w:val="clear" w:color="auto" w:fill="CCEEFF"/>
          </w:tcPr>
          <w:p>
            <w:pPr>
              <w:jc w:val="right"/>
              <w:ind w:right="1995"/>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7,801,933</w:t>
            </w: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5"/>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7,559,096</w:t>
            </w:r>
          </w:p>
        </w:tc>
      </w:tr>
      <w:tr>
        <w:trPr>
          <w:trHeight w:val="219"/>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Estimated fair value</w:t>
            </w:r>
          </w:p>
        </w:tc>
        <w:tc>
          <w:tcPr>
            <w:tcW w:w="2180" w:type="dxa"/>
            <w:vAlign w:val="bottom"/>
          </w:tcPr>
          <w:p>
            <w:pPr>
              <w:jc w:val="right"/>
              <w:ind w:right="19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6,802,766</w:t>
            </w:r>
          </w:p>
        </w:tc>
        <w:tc>
          <w:tcPr>
            <w:tcW w:w="38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6,431,777</w:t>
            </w:r>
          </w:p>
        </w:tc>
      </w:tr>
    </w:tbl>
    <w:p>
      <w:pPr>
        <w:spacing w:after="0" w:line="151"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Net Income per Common Share</w:t>
      </w:r>
    </w:p>
    <w:p>
      <w:pPr>
        <w:spacing w:after="0" w:line="203"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7"/>
                <w:szCs w:val="17"/>
                <w:color w:val="auto"/>
              </w:rPr>
            </w:pPr>
          </w:p>
        </w:tc>
        <w:tc>
          <w:tcPr>
            <w:tcW w:w="276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color w:val="auto"/>
                <w:w w:val="98"/>
              </w:rPr>
              <w:t>Three Months Ended</w:t>
            </w: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9"/>
              </w:rPr>
              <w:t>Six Months Ended</w:t>
            </w:r>
          </w:p>
        </w:tc>
      </w:tr>
      <w:tr>
        <w:trPr>
          <w:trHeight w:val="215"/>
        </w:trPr>
        <w:tc>
          <w:tcPr>
            <w:tcW w:w="602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815"/>
              <w:spacing w:after="0"/>
              <w:rPr>
                <w:sz w:val="20"/>
                <w:szCs w:val="20"/>
                <w:color w:val="auto"/>
              </w:rPr>
            </w:pPr>
            <w:r>
              <w:rPr>
                <w:rFonts w:ascii="Times New Roman" w:cs="Times New Roman" w:eastAsia="Times New Roman" w:hAnsi="Times New Roman"/>
                <w:sz w:val="17"/>
                <w:szCs w:val="17"/>
                <w:color w:val="auto"/>
                <w:w w:val="98"/>
              </w:rPr>
              <w:t>June 30,</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Borders>
              <w:bottom w:val="single" w:sz="8" w:color="auto"/>
            </w:tcBorders>
            <w:gridSpan w:val="3"/>
          </w:tcPr>
          <w:p>
            <w:pPr>
              <w:jc w:val="center"/>
              <w:ind w:left="775"/>
              <w:spacing w:after="0"/>
              <w:rPr>
                <w:sz w:val="20"/>
                <w:szCs w:val="20"/>
                <w:color w:val="auto"/>
              </w:rPr>
            </w:pPr>
            <w:r>
              <w:rPr>
                <w:rFonts w:ascii="Times New Roman" w:cs="Times New Roman" w:eastAsia="Times New Roman" w:hAnsi="Times New Roman"/>
                <w:sz w:val="17"/>
                <w:szCs w:val="17"/>
                <w:color w:val="auto"/>
                <w:w w:val="98"/>
              </w:rPr>
              <w:t>June 30,</w:t>
            </w:r>
          </w:p>
        </w:tc>
        <w:tc>
          <w:tcPr>
            <w:tcW w:w="860" w:type="dxa"/>
            <w:vAlign w:val="bottom"/>
            <w:tcBorders>
              <w:bottom w:val="single" w:sz="8" w:color="auto"/>
            </w:tcBorders>
          </w:tcPr>
          <w:p>
            <w:pPr>
              <w:spacing w:after="0"/>
              <w:rPr>
                <w:sz w:val="18"/>
                <w:szCs w:val="18"/>
                <w:color w:val="auto"/>
              </w:rPr>
            </w:pPr>
          </w:p>
        </w:tc>
      </w:tr>
      <w:tr>
        <w:trPr>
          <w:trHeight w:val="176"/>
        </w:trPr>
        <w:tc>
          <w:tcPr>
            <w:tcW w:w="60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15"/>
              <w:spacing w:after="0" w:line="176" w:lineRule="exact"/>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5"/>
              <w:spacing w:after="0" w:line="176" w:lineRule="exact"/>
              <w:rPr>
                <w:sz w:val="20"/>
                <w:szCs w:val="20"/>
                <w:color w:val="auto"/>
              </w:rPr>
            </w:pPr>
            <w:r>
              <w:rPr>
                <w:rFonts w:ascii="Times New Roman" w:cs="Times New Roman" w:eastAsia="Times New Roman" w:hAnsi="Times New Roman"/>
                <w:sz w:val="17"/>
                <w:szCs w:val="17"/>
                <w:color w:val="auto"/>
              </w:rPr>
              <w:t>2024</w:t>
            </w:r>
          </w:p>
        </w:tc>
        <w:tc>
          <w:tcPr>
            <w:tcW w:w="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295"/>
              <w:spacing w:after="0" w:line="176" w:lineRule="exact"/>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line="176" w:lineRule="exact"/>
              <w:rPr>
                <w:sz w:val="20"/>
                <w:szCs w:val="20"/>
                <w:color w:val="auto"/>
              </w:rPr>
            </w:pPr>
            <w:r>
              <w:rPr>
                <w:rFonts w:ascii="Times New Roman" w:cs="Times New Roman" w:eastAsia="Times New Roman" w:hAnsi="Times New Roman"/>
                <w:sz w:val="17"/>
                <w:szCs w:val="17"/>
                <w:color w:val="auto"/>
              </w:rPr>
              <w:t>2024</w:t>
            </w:r>
          </w:p>
        </w:tc>
      </w:tr>
      <w:tr>
        <w:trPr>
          <w:trHeight w:val="176"/>
        </w:trPr>
        <w:tc>
          <w:tcPr>
            <w:tcW w:w="6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Average common shares outstanding during the period for basic computation</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280,275</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273,567</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277,748</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273,472</w:t>
            </w:r>
          </w:p>
        </w:tc>
      </w:tr>
      <w:tr>
        <w:trPr>
          <w:trHeight w:val="185"/>
        </w:trPr>
        <w:tc>
          <w:tcPr>
            <w:tcW w:w="60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Effect of dilutive securities:</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6020" w:type="dxa"/>
            <w:vAlign w:val="bottom"/>
            <w:shd w:val="clear" w:color="auto" w:fill="CCEEFF"/>
          </w:tcPr>
          <w:p>
            <w:pPr>
              <w:ind w:left="80"/>
              <w:spacing w:after="0" w:line="185" w:lineRule="exact"/>
              <w:rPr>
                <w:sz w:val="20"/>
                <w:szCs w:val="20"/>
                <w:color w:val="auto"/>
              </w:rPr>
            </w:pPr>
            <w:r>
              <w:rPr>
                <w:rFonts w:ascii="Times New Roman" w:cs="Times New Roman" w:eastAsia="Times New Roman" w:hAnsi="Times New Roman"/>
                <w:sz w:val="17"/>
                <w:szCs w:val="17"/>
                <w:color w:val="auto"/>
              </w:rPr>
              <w:t>Employee stock-based compensation</w:t>
            </w:r>
          </w:p>
        </w:tc>
        <w:tc>
          <w:tcPr>
            <w:tcW w:w="11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450</w:t>
            </w:r>
          </w:p>
        </w:tc>
        <w:tc>
          <w:tcPr>
            <w:tcW w:w="1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386</w:t>
            </w:r>
          </w:p>
        </w:tc>
        <w:tc>
          <w:tcPr>
            <w:tcW w:w="2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587</w:t>
            </w:r>
          </w:p>
        </w:tc>
        <w:tc>
          <w:tcPr>
            <w:tcW w:w="1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397</w:t>
            </w:r>
          </w:p>
        </w:tc>
      </w:tr>
      <w:tr>
        <w:trPr>
          <w:trHeight w:val="176"/>
        </w:trPr>
        <w:tc>
          <w:tcPr>
            <w:tcW w:w="60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Average common shares outstanding during the period for diluted computation</w:t>
            </w:r>
          </w:p>
        </w:tc>
        <w:tc>
          <w:tcPr>
            <w:tcW w:w="1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280,725</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273,953</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278,335</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273,869</w:t>
            </w:r>
          </w:p>
        </w:tc>
      </w:tr>
      <w:tr>
        <w:trPr>
          <w:trHeight w:val="20"/>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number of outstanding employee stock options, in thousands, that were not included in the diluted earnings per share calculation because the effect would have been anti-dilutive was: 441 for the three and six months ended June 30, 2025; and 265 for the three and six months ended June 30, 2024. Additionally, the dilutive effect of performance share units and restricted share units granted are included in the Company’s calculation of diluted net income per share.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Stock-based Compensation</w:t>
      </w:r>
    </w:p>
    <w:p>
      <w:pPr>
        <w:spacing w:after="0" w:line="192"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Under the Company’s Amended and Restated Equity Compensation Plan (the “Plan”), stock options, stock units, stock awards, stock appreciation rights, dividend equivalents, and other stock-based awards may be granted to employees, non-employee directors, and consultants and advisors. At June 30, 2025, 694,331 shares were still available for issuance under the Plan.</w:t>
      </w:r>
    </w:p>
    <w:p>
      <w:pPr>
        <w:spacing w:after="0" w:line="13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Share Units </w:t>
      </w:r>
      <w:r>
        <w:rPr>
          <w:rFonts w:ascii="Times New Roman" w:cs="Times New Roman" w:eastAsia="Times New Roman" w:hAnsi="Times New Roman"/>
          <w:sz w:val="18"/>
          <w:szCs w:val="18"/>
          <w:color w:val="auto"/>
        </w:rPr>
        <w:t>– A performance share unit (“PSU”) represents the right to receive a share of the Company’s common stock if specified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goals of the 2025 grants consisted of the following metrics: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Metric 1 – Company’s total shareholder return (“TSR”) compared to the TSR for a specific peer group of investor-owned</w:t>
            </w:r>
          </w:p>
        </w:tc>
        <w:tc>
          <w:tcPr>
            <w:tcW w:w="3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148"/>
        </w:trPr>
        <w:tc>
          <w:tcPr>
            <w:tcW w:w="4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(a market-based condition)</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7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0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Metric 2 – Achievement of a three-year average return on equity target (a performance-based condition)</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173"/>
        </w:trPr>
        <w:tc>
          <w:tcPr>
            <w:tcW w:w="868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Metric 3 – Achievement of a consolidated operations and maintenance expense target over a three-year measurement</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148"/>
        </w:trPr>
        <w:tc>
          <w:tcPr>
            <w:tcW w:w="4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(a performance-based condition)</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7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14"/>
        </w:trPr>
        <w:tc>
          <w:tcPr>
            <w:tcW w:w="6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were the assumptions used in the pricing model for the 2025 grants: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7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Expected term (years)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41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compensation expense for PSUs: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4"/>
          </w:tcPr>
          <w:p>
            <w:pPr>
              <w:jc w:val="right"/>
              <w:ind w:right="768"/>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19"/>
        </w:trPr>
        <w:tc>
          <w:tcPr>
            <w:tcW w:w="4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June 30,</w:t>
            </w:r>
          </w:p>
        </w:tc>
        <w:tc>
          <w:tcPr>
            <w:tcW w:w="11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53"/>
        </w:trPr>
        <w:tc>
          <w:tcPr>
            <w:tcW w:w="47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Stock-based compensation within operations and</w:t>
            </w: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expenses</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3,247</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20"/>
                <w:szCs w:val="20"/>
                <w:color w:val="auto"/>
              </w:rPr>
            </w:pP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370"/>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78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50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PSU transactions for the six months ended June 30, 2025:</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48"/>
        </w:trPr>
        <w:tc>
          <w:tcPr>
            <w:tcW w:w="80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48"/>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196"/>
        </w:trPr>
        <w:tc>
          <w:tcPr>
            <w:tcW w:w="804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of</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28"/>
              <w:spacing w:after="0" w:line="196" w:lineRule="exact"/>
              <w:rPr>
                <w:sz w:val="20"/>
                <w:szCs w:val="20"/>
                <w:color w:val="auto"/>
              </w:rPr>
            </w:pPr>
            <w:r>
              <w:rPr>
                <w:rFonts w:ascii="Times New Roman" w:cs="Times New Roman" w:eastAsia="Times New Roman" w:hAnsi="Times New Roman"/>
                <w:sz w:val="18"/>
                <w:szCs w:val="18"/>
                <w:color w:val="auto"/>
                <w:w w:val="98"/>
              </w:rPr>
              <w:t>Average</w:t>
            </w:r>
          </w:p>
        </w:tc>
      </w:tr>
      <w:tr>
        <w:trPr>
          <w:trHeight w:val="219"/>
        </w:trPr>
        <w:tc>
          <w:tcPr>
            <w:tcW w:w="80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 Units</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188"/>
        </w:trPr>
        <w:tc>
          <w:tcPr>
            <w:tcW w:w="80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Nonvested share units at beginning of period</w:t>
            </w:r>
          </w:p>
        </w:tc>
        <w:tc>
          <w:tcPr>
            <w:tcW w:w="15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563,656</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38.61</w:t>
            </w:r>
          </w:p>
        </w:tc>
      </w:tr>
      <w:tr>
        <w:trPr>
          <w:trHeight w:val="196"/>
        </w:trPr>
        <w:tc>
          <w:tcPr>
            <w:tcW w:w="80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195,300</w:t>
            </w:r>
          </w:p>
        </w:tc>
        <w:tc>
          <w:tcPr>
            <w:tcW w:w="440" w:type="dxa"/>
            <w:vAlign w:val="bottom"/>
            <w:gridSpan w:val="2"/>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34.25</w:t>
            </w:r>
          </w:p>
        </w:tc>
      </w:tr>
      <w:tr>
        <w:trPr>
          <w:trHeight w:val="196"/>
        </w:trPr>
        <w:tc>
          <w:tcPr>
            <w:tcW w:w="8040" w:type="dxa"/>
            <w:vAlign w:val="bottom"/>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Performance criteria adjustment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(58,379)</w:t>
            </w:r>
          </w:p>
        </w:tc>
        <w:tc>
          <w:tcPr>
            <w:tcW w:w="440" w:type="dxa"/>
            <w:vAlign w:val="bottom"/>
            <w:gridSpan w:val="2"/>
            <w:shd w:val="clear" w:color="auto" w:fill="CCEEFF"/>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36.22</w:t>
            </w:r>
          </w:p>
        </w:tc>
      </w:tr>
      <w:tr>
        <w:trPr>
          <w:trHeight w:val="196"/>
        </w:trPr>
        <w:tc>
          <w:tcPr>
            <w:tcW w:w="80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Share units issued</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(103,775)</w:t>
            </w:r>
          </w:p>
        </w:tc>
        <w:tc>
          <w:tcPr>
            <w:tcW w:w="440" w:type="dxa"/>
            <w:vAlign w:val="bottom"/>
            <w:gridSpan w:val="2"/>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42.77</w:t>
            </w:r>
          </w:p>
        </w:tc>
      </w:tr>
      <w:tr>
        <w:trPr>
          <w:trHeight w:val="196"/>
        </w:trPr>
        <w:tc>
          <w:tcPr>
            <w:tcW w:w="8040" w:type="dxa"/>
            <w:vAlign w:val="bottom"/>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(5,494)</w:t>
            </w:r>
          </w:p>
        </w:tc>
        <w:tc>
          <w:tcPr>
            <w:tcW w:w="440" w:type="dxa"/>
            <w:vAlign w:val="bottom"/>
            <w:gridSpan w:val="2"/>
            <w:shd w:val="clear" w:color="auto" w:fill="CCEEFF"/>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38.00</w:t>
            </w:r>
          </w:p>
        </w:tc>
      </w:tr>
      <w:tr>
        <w:trPr>
          <w:trHeight w:val="188"/>
        </w:trPr>
        <w:tc>
          <w:tcPr>
            <w:tcW w:w="80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Nonvested share units at end of period</w:t>
            </w:r>
          </w:p>
        </w:tc>
        <w:tc>
          <w:tcPr>
            <w:tcW w:w="15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591,308</w:t>
            </w:r>
          </w:p>
        </w:tc>
        <w:tc>
          <w:tcPr>
            <w:tcW w:w="440" w:type="dxa"/>
            <w:vAlign w:val="bottom"/>
            <w:gridSpan w:val="2"/>
          </w:tcPr>
          <w:p>
            <w:pPr>
              <w:jc w:val="right"/>
              <w:ind w:right="53"/>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36.68</w:t>
            </w: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The per unit weighted-average fair value at the date of grant for PSUs granted during the six months ended June 30, 2025 and 2024 was $34.25 and $38.10, respectively.</w:t>
      </w:r>
    </w:p>
    <w:p>
      <w:pPr>
        <w:spacing w:after="0" w:line="11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restricted stock unit (“RSU”) represents the right to receive a share of the Company’s common stock. In prior years, RSUs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eligible to be earned at the end of a specified restricted period, which is generally three years, beginning on the date of grant. RSUs granted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vest 33% each year. The following table provides the compensation expense and income tax benefit for RSUs: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Three Months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gridSpan w:val="6"/>
          </w:tcPr>
          <w:p>
            <w:pPr>
              <w:jc w:val="right"/>
              <w:ind w:right="908"/>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19"/>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June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June 30,</w:t>
            </w:r>
          </w:p>
        </w:tc>
        <w:tc>
          <w:tcPr>
            <w:tcW w:w="1280" w:type="dxa"/>
            <w:vAlign w:val="bottom"/>
            <w:tcBorders>
              <w:bottom w:val="single" w:sz="8" w:color="auto"/>
            </w:tcBorders>
          </w:tcPr>
          <w:p>
            <w:pPr>
              <w:spacing w:after="0"/>
              <w:rPr>
                <w:sz w:val="19"/>
                <w:szCs w:val="19"/>
                <w:color w:val="auto"/>
              </w:rPr>
            </w:pPr>
          </w:p>
        </w:tc>
      </w:tr>
      <w:tr>
        <w:trPr>
          <w:trHeight w:val="188"/>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8"/>
              <w:spacing w:after="0" w:line="188" w:lineRule="exact"/>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8"/>
              <w:spacing w:after="0" w:line="188" w:lineRule="exact"/>
              <w:rPr>
                <w:sz w:val="20"/>
                <w:szCs w:val="20"/>
                <w:color w:val="auto"/>
              </w:rPr>
            </w:pPr>
            <w:r>
              <w:rPr>
                <w:rFonts w:ascii="Times New Roman" w:cs="Times New Roman" w:eastAsia="Times New Roman" w:hAnsi="Times New Roman"/>
                <w:sz w:val="18"/>
                <w:szCs w:val="18"/>
                <w:color w:val="auto"/>
                <w:w w:val="99"/>
              </w:rPr>
              <w:t>2024</w:t>
            </w:r>
          </w:p>
        </w:tc>
      </w:tr>
      <w:tr>
        <w:trPr>
          <w:trHeight w:val="153"/>
        </w:trPr>
        <w:tc>
          <w:tcPr>
            <w:tcW w:w="47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Stock-based compensation within operations and maintenance</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3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41"/>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393"/>
        </w:trPr>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summarizes the RSU transactions for the six months ended June 30, 2025: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7"/>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center"/>
              <w:ind w:right="248"/>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196"/>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of</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center"/>
              <w:ind w:right="248"/>
              <w:spacing w:after="0" w:line="196" w:lineRule="exact"/>
              <w:rPr>
                <w:sz w:val="20"/>
                <w:szCs w:val="20"/>
                <w:color w:val="auto"/>
              </w:rPr>
            </w:pPr>
            <w:r>
              <w:rPr>
                <w:rFonts w:ascii="Times New Roman" w:cs="Times New Roman" w:eastAsia="Times New Roman" w:hAnsi="Times New Roman"/>
                <w:sz w:val="18"/>
                <w:szCs w:val="18"/>
                <w:color w:val="auto"/>
              </w:rPr>
              <w:t>Average</w:t>
            </w:r>
          </w:p>
        </w:tc>
      </w:tr>
      <w:tr>
        <w:trPr>
          <w:trHeight w:val="219"/>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Stock Units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center"/>
              <w:ind w:right="268"/>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188"/>
        </w:trPr>
        <w:tc>
          <w:tcPr>
            <w:tcW w:w="472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Nonvested stock units at beginning of period</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210,249</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gridSpan w:val="2"/>
            <w:shd w:val="clear" w:color="auto" w:fill="CCEEFF"/>
          </w:tcPr>
          <w:p>
            <w:pPr>
              <w:jc w:val="right"/>
              <w:ind w:right="24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41.40</w:t>
            </w:r>
          </w:p>
        </w:tc>
      </w:tr>
      <w:tr>
        <w:trPr>
          <w:trHeight w:val="196"/>
        </w:trPr>
        <w:tc>
          <w:tcPr>
            <w:tcW w:w="4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156,225</w:t>
            </w:r>
          </w:p>
        </w:tc>
        <w:tc>
          <w:tcPr>
            <w:tcW w:w="40" w:type="dxa"/>
            <w:vAlign w:val="bottom"/>
          </w:tcPr>
          <w:p>
            <w:pPr>
              <w:spacing w:after="0"/>
              <w:rPr>
                <w:sz w:val="17"/>
                <w:szCs w:val="17"/>
                <w:color w:val="auto"/>
              </w:rPr>
            </w:pPr>
          </w:p>
        </w:tc>
        <w:tc>
          <w:tcPr>
            <w:tcW w:w="520" w:type="dxa"/>
            <w:vAlign w:val="bottom"/>
            <w:gridSpan w:val="3"/>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35.54</w:t>
            </w:r>
          </w:p>
        </w:tc>
      </w:tr>
      <w:tr>
        <w:trPr>
          <w:trHeight w:val="196"/>
        </w:trPr>
        <w:tc>
          <w:tcPr>
            <w:tcW w:w="4720" w:type="dxa"/>
            <w:vAlign w:val="bottom"/>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Stock units vested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(54,145)</w:t>
            </w:r>
          </w:p>
        </w:tc>
        <w:tc>
          <w:tcPr>
            <w:tcW w:w="4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44.84</w:t>
            </w:r>
          </w:p>
        </w:tc>
      </w:tr>
      <w:tr>
        <w:trPr>
          <w:trHeight w:val="196"/>
        </w:trPr>
        <w:tc>
          <w:tcPr>
            <w:tcW w:w="4720" w:type="dxa"/>
            <w:vAlign w:val="bottom"/>
            <w:tcBorders>
              <w:bottom w:val="single" w:sz="8" w:color="CCEEFF"/>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(2,184)</w:t>
            </w:r>
          </w:p>
        </w:tc>
        <w:tc>
          <w:tcPr>
            <w:tcW w:w="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gridSpan w:val="3"/>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38.27</w:t>
            </w:r>
          </w:p>
        </w:tc>
      </w:tr>
      <w:tr>
        <w:trPr>
          <w:trHeight w:val="188"/>
        </w:trPr>
        <w:tc>
          <w:tcPr>
            <w:tcW w:w="472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Nonvested stock units at end of period</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310,145</w:t>
            </w:r>
          </w:p>
        </w:tc>
        <w:tc>
          <w:tcPr>
            <w:tcW w:w="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2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37.54</w:t>
            </w: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per unit weighted-average fair value at the date of grant for RSUs granted during the six months ended June 30, 2025 and 2024 was $35.54 and $36.61, respectively.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 A stock option represents the option to purchase a number of shares of common stock of the Company as specified in the stock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following table provides the compensation cost and income tax benefit for stock-based compensation related to stock options: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2520" w:type="dxa"/>
            <w:vAlign w:val="bottom"/>
            <w:gridSpan w:val="4"/>
          </w:tcPr>
          <w:p>
            <w:pPr>
              <w:jc w:val="right"/>
              <w:ind w:right="208"/>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4"/>
          </w:tcPr>
          <w:p>
            <w:pPr>
              <w:jc w:val="right"/>
              <w:ind w:right="648"/>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19"/>
        </w:trPr>
        <w:tc>
          <w:tcPr>
            <w:tcW w:w="53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8"/>
                <w:szCs w:val="18"/>
                <w:color w:val="auto"/>
              </w:rPr>
              <w:t>June 30,</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19"/>
                <w:szCs w:val="19"/>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line="188" w:lineRule="exact"/>
              <w:rPr>
                <w:sz w:val="20"/>
                <w:szCs w:val="20"/>
                <w:color w:val="auto"/>
              </w:rPr>
            </w:pPr>
            <w:r>
              <w:rPr>
                <w:rFonts w:ascii="Times New Roman" w:cs="Times New Roman" w:eastAsia="Times New Roman" w:hAnsi="Times New Roman"/>
                <w:sz w:val="18"/>
                <w:szCs w:val="18"/>
                <w:color w:val="auto"/>
              </w:rPr>
              <w:t>2024</w:t>
            </w:r>
          </w:p>
        </w:tc>
      </w:tr>
      <w:tr>
        <w:trPr>
          <w:trHeight w:val="153"/>
        </w:trPr>
        <w:tc>
          <w:tcPr>
            <w:tcW w:w="53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Stock-based compensation within operations and maintenance</w:t>
            </w: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3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96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w:t>
            </w:r>
          </w:p>
        </w:tc>
        <w:tc>
          <w:tcPr>
            <w:tcW w:w="98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1,109</w:t>
            </w:r>
          </w:p>
        </w:tc>
        <w:tc>
          <w:tcPr>
            <w:tcW w:w="40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60" w:type="dxa"/>
            <w:vAlign w:val="bottom"/>
          </w:tcPr>
          <w:p>
            <w:pPr>
              <w:jc w:val="right"/>
              <w:ind w:right="76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980" w:type="dxa"/>
            <w:vAlign w:val="bottom"/>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0"/>
                <w:szCs w:val="20"/>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400" w:type="dxa"/>
            <w:vAlign w:val="bottom"/>
          </w:tcPr>
          <w:p>
            <w:pPr>
              <w:jc w:val="right"/>
              <w:ind w:right="2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1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fair value of options was estimated at the grant date using the Black-Scholes option-pricing model. The following assumptions were used in the application of this valuation model for the 2025 grant: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8"/>
                <w:szCs w:val="18"/>
                <w:color w:val="auto"/>
              </w:rPr>
              <w:t>2025</w:t>
            </w:r>
          </w:p>
        </w:tc>
      </w:tr>
      <w:tr>
        <w:trPr>
          <w:trHeight w:val="188"/>
        </w:trPr>
        <w:tc>
          <w:tcPr>
            <w:tcW w:w="56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Expected term (years)</w:t>
            </w:r>
          </w:p>
        </w:tc>
        <w:tc>
          <w:tcPr>
            <w:tcW w:w="3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5.54</w:t>
            </w:r>
          </w:p>
        </w:tc>
      </w:tr>
      <w:tr>
        <w:trPr>
          <w:trHeight w:val="196"/>
        </w:trPr>
        <w:tc>
          <w:tcPr>
            <w:tcW w:w="5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Risk-free interest rate</w:t>
            </w:r>
          </w:p>
        </w:tc>
        <w:tc>
          <w:tcPr>
            <w:tcW w:w="3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4.22%</w:t>
            </w:r>
          </w:p>
        </w:tc>
      </w:tr>
      <w:tr>
        <w:trPr>
          <w:trHeight w:val="196"/>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volatility</w:t>
            </w:r>
          </w:p>
        </w:tc>
        <w:tc>
          <w:tcPr>
            <w:tcW w:w="3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28.50%</w:t>
            </w:r>
          </w:p>
        </w:tc>
      </w:tr>
      <w:tr>
        <w:trPr>
          <w:trHeight w:val="196"/>
        </w:trPr>
        <w:tc>
          <w:tcPr>
            <w:tcW w:w="5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Dividend yield</w:t>
            </w:r>
          </w:p>
        </w:tc>
        <w:tc>
          <w:tcPr>
            <w:tcW w:w="3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3.69%</w:t>
            </w:r>
          </w:p>
        </w:tc>
      </w:tr>
      <w:tr>
        <w:trPr>
          <w:trHeight w:val="196"/>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Grant date fair value per option</w:t>
            </w:r>
          </w:p>
        </w:tc>
        <w:tc>
          <w:tcPr>
            <w:tcW w:w="3840" w:type="dxa"/>
            <w:vAlign w:val="bottom"/>
            <w:gridSpan w:val="2"/>
            <w:shd w:val="clear" w:color="auto" w:fill="CCEEFF"/>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7.95</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six months ended June 30, 2025:</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Weighted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Weighted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rPr>
              <w:t>Average</w:t>
            </w: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Average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28"/>
              <w:spacing w:after="0" w:line="196" w:lineRule="exact"/>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rPr>
              <w:t>Exercise</w:t>
            </w: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28"/>
              <w:spacing w:after="0" w:line="196" w:lineRule="exact"/>
              <w:rPr>
                <w:sz w:val="20"/>
                <w:szCs w:val="20"/>
                <w:color w:val="auto"/>
              </w:rPr>
            </w:pPr>
            <w:r>
              <w:rPr>
                <w:rFonts w:ascii="Times New Roman" w:cs="Times New Roman" w:eastAsia="Times New Roman" w:hAnsi="Times New Roman"/>
                <w:sz w:val="18"/>
                <w:szCs w:val="18"/>
                <w:color w:val="auto"/>
              </w:rPr>
              <w:t>Intrinsic</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360" w:type="dxa"/>
            <w:vAlign w:val="bottom"/>
          </w:tcPr>
          <w:p>
            <w:pPr>
              <w:jc w:val="right"/>
              <w:ind w:right="328"/>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Price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Life (years)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28"/>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Outstanding at beginning of period</w:t>
            </w:r>
          </w:p>
        </w:tc>
        <w:tc>
          <w:tcPr>
            <w:tcW w:w="136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906,902</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36.87</w:t>
            </w:r>
          </w:p>
        </w:tc>
        <w:tc>
          <w:tcPr>
            <w:tcW w:w="2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197,684</w:t>
            </w:r>
          </w:p>
        </w:tc>
        <w:tc>
          <w:tcPr>
            <w:tcW w:w="420" w:type="dxa"/>
            <w:vAlign w:val="bottom"/>
            <w:gridSpan w:val="2"/>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35.33</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(11,820)</w:t>
            </w:r>
          </w:p>
        </w:tc>
        <w:tc>
          <w:tcPr>
            <w:tcW w:w="420" w:type="dxa"/>
            <w:vAlign w:val="bottom"/>
            <w:gridSpan w:val="2"/>
            <w:shd w:val="clear" w:color="auto" w:fill="CCEEFF"/>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35.31</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Outstanding at end of period</w:t>
            </w:r>
          </w:p>
        </w:tc>
        <w:tc>
          <w:tcPr>
            <w:tcW w:w="136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1,092,766</w:t>
            </w:r>
          </w:p>
        </w:tc>
        <w:tc>
          <w:tcPr>
            <w:tcW w:w="420" w:type="dxa"/>
            <w:vAlign w:val="bottom"/>
            <w:tcBorders>
              <w:bottom w:val="single" w:sz="8" w:color="auto"/>
            </w:tcBorders>
            <w:gridSpan w:val="2"/>
          </w:tcPr>
          <w:p>
            <w:pPr>
              <w:jc w:val="right"/>
              <w:ind w:right="33"/>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36.61</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5.5</w:t>
            </w:r>
          </w:p>
        </w:tc>
        <w:tc>
          <w:tcPr>
            <w:tcW w:w="420" w:type="dxa"/>
            <w:vAlign w:val="bottom"/>
            <w:tcBorders>
              <w:bottom w:val="single" w:sz="8" w:color="auto"/>
            </w:tcBorders>
            <w:gridSpan w:val="2"/>
          </w:tcPr>
          <w:p>
            <w:pPr>
              <w:jc w:val="right"/>
              <w:ind w:righ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end of period</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800,993</w:t>
            </w:r>
          </w:p>
        </w:tc>
        <w:tc>
          <w:tcPr>
            <w:tcW w:w="420" w:type="dxa"/>
            <w:vAlign w:val="bottom"/>
            <w:tcBorders>
              <w:bottom w:val="single" w:sz="8" w:color="auto"/>
            </w:tcBorders>
            <w:gridSpan w:val="2"/>
            <w:shd w:val="clear" w:color="auto" w:fill="CCEEFF"/>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36.76</w:t>
            </w: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2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jc w:val="right"/>
              <w:ind w:right="548"/>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5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2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4"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 </w:t>
      </w:r>
      <w:r>
        <w:rPr>
          <w:rFonts w:ascii="Times New Roman" w:cs="Times New Roman" w:eastAsia="Times New Roman" w:hAnsi="Times New Roman"/>
          <w:sz w:val="18"/>
          <w:szCs w:val="18"/>
          <w:color w:val="auto"/>
        </w:rPr>
        <w:t>Restricted stock awards provide the grantee with the rights of a shareholder, including the right to receive dividends and to vote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but not the right to sell or otherwise transfer the shares during the restriction period. Nonvested shares of restricted stock were 1,268 as of June 30, 2025 and December 31, 2024. There were no restricted stock awards granted and vested during the first half of 2025. The following table provides the compensation cost and income tax benefit for stock-based compensation related to restricted stock:</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720" w:type="dxa"/>
            <w:vAlign w:val="bottom"/>
            <w:gridSpan w:val="4"/>
          </w:tcPr>
          <w:p>
            <w:pPr>
              <w:jc w:val="right"/>
              <w:ind w:right="308"/>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4"/>
          </w:tcPr>
          <w:p>
            <w:pPr>
              <w:jc w:val="right"/>
              <w:ind w:right="748"/>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19"/>
        </w:trPr>
        <w:tc>
          <w:tcPr>
            <w:tcW w:w="48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8"/>
                <w:szCs w:val="18"/>
                <w:color w:val="auto"/>
              </w:rPr>
              <w:t>June 30,</w:t>
            </w:r>
          </w:p>
        </w:tc>
        <w:tc>
          <w:tcPr>
            <w:tcW w:w="3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June 30,</w:t>
            </w:r>
          </w:p>
        </w:tc>
        <w:tc>
          <w:tcPr>
            <w:tcW w:w="1060" w:type="dxa"/>
            <w:vAlign w:val="bottom"/>
            <w:tcBorders>
              <w:bottom w:val="single" w:sz="8" w:color="auto"/>
            </w:tcBorders>
          </w:tcPr>
          <w:p>
            <w:pPr>
              <w:spacing w:after="0"/>
              <w:rPr>
                <w:sz w:val="19"/>
                <w:szCs w:val="19"/>
                <w:color w:val="auto"/>
              </w:rPr>
            </w:pPr>
          </w:p>
        </w:tc>
      </w:tr>
      <w:tr>
        <w:trPr>
          <w:trHeight w:val="188"/>
        </w:trPr>
        <w:tc>
          <w:tcPr>
            <w:tcW w:w="48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line="188" w:lineRule="exact"/>
              <w:rPr>
                <w:sz w:val="20"/>
                <w:szCs w:val="20"/>
                <w:color w:val="auto"/>
              </w:rPr>
            </w:pPr>
            <w:r>
              <w:rPr>
                <w:rFonts w:ascii="Times New Roman" w:cs="Times New Roman" w:eastAsia="Times New Roman" w:hAnsi="Times New Roman"/>
                <w:sz w:val="18"/>
                <w:szCs w:val="18"/>
                <w:color w:val="auto"/>
              </w:rPr>
              <w:t>2024</w:t>
            </w:r>
          </w:p>
        </w:tc>
      </w:tr>
      <w:tr>
        <w:trPr>
          <w:trHeight w:val="165"/>
        </w:trPr>
        <w:tc>
          <w:tcPr>
            <w:tcW w:w="48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Stock-based compensation within operations and maintenance</w:t>
            </w: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8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80" w:type="dxa"/>
            <w:vAlign w:val="bottom"/>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jc w:val="right"/>
              <w:ind w:right="84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3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Awards </w:t>
      </w:r>
      <w:r>
        <w:rPr>
          <w:rFonts w:ascii="Times New Roman" w:cs="Times New Roman" w:eastAsia="Times New Roman" w:hAnsi="Times New Roman"/>
          <w:sz w:val="18"/>
          <w:szCs w:val="18"/>
          <w:color w:val="auto"/>
        </w:rPr>
        <w:t>– Stock awards represent the issuance of the Company’s common stock, without restriction. The issuance of stock awards results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5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Six Months Ended</w:t>
            </w:r>
          </w:p>
        </w:tc>
        <w:tc>
          <w:tcPr>
            <w:tcW w:w="1000" w:type="dxa"/>
            <w:vAlign w:val="bottom"/>
          </w:tcPr>
          <w:p>
            <w:pPr>
              <w:spacing w:after="0"/>
              <w:rPr>
                <w:sz w:val="17"/>
                <w:szCs w:val="17"/>
                <w:color w:val="auto"/>
              </w:rPr>
            </w:pPr>
          </w:p>
        </w:tc>
      </w:tr>
      <w:tr>
        <w:trPr>
          <w:trHeight w:val="219"/>
        </w:trPr>
        <w:tc>
          <w:tcPr>
            <w:tcW w:w="46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June 30,</w:t>
            </w:r>
          </w:p>
        </w:tc>
        <w:tc>
          <w:tcPr>
            <w:tcW w:w="1000" w:type="dxa"/>
            <w:vAlign w:val="bottom"/>
            <w:tcBorders>
              <w:bottom w:val="single" w:sz="8" w:color="auto"/>
            </w:tcBorders>
          </w:tcPr>
          <w:p>
            <w:pPr>
              <w:spacing w:after="0"/>
              <w:rPr>
                <w:sz w:val="19"/>
                <w:szCs w:val="19"/>
                <w:color w:val="auto"/>
              </w:rPr>
            </w:pPr>
          </w:p>
        </w:tc>
      </w:tr>
      <w:tr>
        <w:trPr>
          <w:trHeight w:val="188"/>
        </w:trPr>
        <w:tc>
          <w:tcPr>
            <w:tcW w:w="4680" w:type="dxa"/>
            <w:vAlign w:val="bottom"/>
          </w:tcPr>
          <w:p>
            <w:pPr>
              <w:spacing w:after="0"/>
              <w:rPr>
                <w:sz w:val="16"/>
                <w:szCs w:val="16"/>
                <w:color w:val="auto"/>
              </w:rPr>
            </w:pPr>
          </w:p>
        </w:tc>
        <w:tc>
          <w:tcPr>
            <w:tcW w:w="10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6"/>
                <w:szCs w:val="16"/>
                <w:color w:val="auto"/>
              </w:rPr>
            </w:pPr>
          </w:p>
        </w:tc>
        <w:tc>
          <w:tcPr>
            <w:tcW w:w="1180" w:type="dxa"/>
            <w:vAlign w:val="bottom"/>
            <w:gridSpan w:val="2"/>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2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28"/>
              <w:spacing w:after="0" w:line="188" w:lineRule="exact"/>
              <w:rPr>
                <w:sz w:val="20"/>
                <w:szCs w:val="20"/>
                <w:color w:val="auto"/>
              </w:rPr>
            </w:pPr>
            <w:r>
              <w:rPr>
                <w:rFonts w:ascii="Times New Roman" w:cs="Times New Roman" w:eastAsia="Times New Roman" w:hAnsi="Times New Roman"/>
                <w:sz w:val="18"/>
                <w:szCs w:val="18"/>
                <w:color w:val="auto"/>
                <w:w w:val="99"/>
              </w:rPr>
              <w:t>2024</w:t>
            </w:r>
          </w:p>
        </w:tc>
      </w:tr>
      <w:tr>
        <w:trPr>
          <w:trHeight w:val="165"/>
        </w:trPr>
        <w:tc>
          <w:tcPr>
            <w:tcW w:w="468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Stock-based compensation within operations and</w:t>
            </w: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21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expenses</w:t>
            </w:r>
          </w:p>
        </w:tc>
        <w:tc>
          <w:tcPr>
            <w:tcW w:w="10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4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Pr>
          <w:p>
            <w:pPr>
              <w:jc w:val="right"/>
              <w:ind w:right="83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Pension Plans and Other Postretirement Benefits</w:t>
      </w:r>
    </w:p>
    <w:p>
      <w:pPr>
        <w:spacing w:after="0" w:line="20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maintains a qualified defined benefit pension plan (the “Pension Plan”), a nonqualified pension plan, and other postretirement benefit plans for certain of its employees.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the components of net periodic benefit cost for the Company’s pension and other postretirement benefit plans: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ind w:left="328"/>
              <w:spacing w:after="0"/>
              <w:rPr>
                <w:sz w:val="20"/>
                <w:szCs w:val="20"/>
                <w:color w:val="auto"/>
              </w:rPr>
            </w:pPr>
            <w:r>
              <w:rPr>
                <w:rFonts w:ascii="Times New Roman" w:cs="Times New Roman" w:eastAsia="Times New Roman" w:hAnsi="Times New Roman"/>
                <w:sz w:val="18"/>
                <w:szCs w:val="18"/>
                <w:color w:val="auto"/>
              </w:rPr>
              <w:t>Pension Benefits</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65"/>
        </w:trPr>
        <w:tc>
          <w:tcPr>
            <w:tcW w:w="4440" w:type="dxa"/>
            <w:vAlign w:val="bottom"/>
          </w:tcPr>
          <w:p>
            <w:pPr>
              <w:spacing w:after="0"/>
              <w:rPr>
                <w:sz w:val="14"/>
                <w:szCs w:val="14"/>
                <w:color w:val="auto"/>
              </w:rPr>
            </w:pPr>
          </w:p>
        </w:tc>
        <w:tc>
          <w:tcPr>
            <w:tcW w:w="3220" w:type="dxa"/>
            <w:vAlign w:val="bottom"/>
            <w:gridSpan w:val="6"/>
          </w:tcPr>
          <w:p>
            <w:pPr>
              <w:jc w:val="right"/>
              <w:ind w:right="900"/>
              <w:spacing w:after="0" w:line="165" w:lineRule="exact"/>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8"/>
                <w:szCs w:val="18"/>
                <w:color w:val="auto"/>
              </w:rPr>
              <w:t>Six Months Ended</w:t>
            </w:r>
          </w:p>
        </w:tc>
        <w:tc>
          <w:tcPr>
            <w:tcW w:w="1020" w:type="dxa"/>
            <w:vAlign w:val="bottom"/>
          </w:tcPr>
          <w:p>
            <w:pPr>
              <w:spacing w:after="0"/>
              <w:rPr>
                <w:sz w:val="14"/>
                <w:szCs w:val="14"/>
                <w:color w:val="auto"/>
              </w:rPr>
            </w:pPr>
          </w:p>
        </w:tc>
      </w:tr>
      <w:tr>
        <w:trPr>
          <w:trHeight w:val="219"/>
        </w:trPr>
        <w:tc>
          <w:tcPr>
            <w:tcW w:w="44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8"/>
                <w:szCs w:val="18"/>
                <w:color w:val="auto"/>
              </w:rPr>
              <w:t>June 30,</w:t>
            </w:r>
          </w:p>
        </w:tc>
        <w:tc>
          <w:tcPr>
            <w:tcW w:w="1020" w:type="dxa"/>
            <w:vAlign w:val="bottom"/>
            <w:tcBorders>
              <w:bottom w:val="single" w:sz="8" w:color="auto"/>
            </w:tcBorders>
          </w:tcPr>
          <w:p>
            <w:pPr>
              <w:spacing w:after="0"/>
              <w:rPr>
                <w:sz w:val="19"/>
                <w:szCs w:val="19"/>
                <w:color w:val="auto"/>
              </w:rPr>
            </w:pPr>
          </w:p>
        </w:tc>
      </w:tr>
      <w:tr>
        <w:trPr>
          <w:trHeight w:val="188"/>
        </w:trPr>
        <w:tc>
          <w:tcPr>
            <w:tcW w:w="4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8"/>
              <w:spacing w:after="0" w:line="188" w:lineRule="exact"/>
              <w:rPr>
                <w:sz w:val="20"/>
                <w:szCs w:val="20"/>
                <w:color w:val="auto"/>
              </w:rPr>
            </w:pPr>
            <w:r>
              <w:rPr>
                <w:rFonts w:ascii="Times New Roman" w:cs="Times New Roman" w:eastAsia="Times New Roman" w:hAnsi="Times New Roman"/>
                <w:sz w:val="18"/>
                <w:szCs w:val="18"/>
                <w:color w:val="auto"/>
              </w:rPr>
              <w:t>2024</w:t>
            </w:r>
          </w:p>
        </w:tc>
      </w:tr>
      <w:tr>
        <w:trPr>
          <w:trHeight w:val="188"/>
        </w:trPr>
        <w:tc>
          <w:tcPr>
            <w:tcW w:w="44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shd w:val="clear" w:color="auto" w:fill="CCEEFF"/>
          </w:tcPr>
          <w:p>
            <w:pPr>
              <w:jc w:val="right"/>
              <w:ind w:right="74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304</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ind w:right="82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0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714</w:t>
            </w:r>
          </w:p>
        </w:tc>
      </w:tr>
      <w:tr>
        <w:trPr>
          <w:trHeight w:val="196"/>
        </w:trPr>
        <w:tc>
          <w:tcPr>
            <w:tcW w:w="4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3,991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7,816</w:t>
            </w:r>
          </w:p>
        </w:tc>
      </w:tr>
      <w:tr>
        <w:trPr>
          <w:trHeight w:val="196"/>
        </w:trPr>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return on plan assets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(4,266)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(4,696)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(8,532)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(9,392)</w:t>
            </w:r>
          </w:p>
        </w:tc>
      </w:tr>
      <w:tr>
        <w:trPr>
          <w:trHeight w:val="196"/>
        </w:trPr>
        <w:tc>
          <w:tcPr>
            <w:tcW w:w="4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Amortization of prior service cost</w:t>
            </w:r>
          </w:p>
        </w:tc>
        <w:tc>
          <w:tcPr>
            <w:tcW w:w="9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196"/>
        </w:trPr>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actuarial loss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833</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1,502</w:t>
            </w:r>
          </w:p>
        </w:tc>
      </w:tr>
      <w:tr>
        <w:trPr>
          <w:trHeight w:val="188"/>
        </w:trPr>
        <w:tc>
          <w:tcPr>
            <w:tcW w:w="44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Net periodic benefit cost</w:t>
            </w:r>
          </w:p>
        </w:tc>
        <w:tc>
          <w:tcPr>
            <w:tcW w:w="940" w:type="dxa"/>
            <w:vAlign w:val="bottom"/>
            <w:tcBorders>
              <w:bottom w:val="single" w:sz="8" w:color="auto"/>
            </w:tcBorders>
          </w:tcPr>
          <w:p>
            <w:pPr>
              <w:jc w:val="right"/>
              <w:ind w:right="74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940</w:t>
            </w:r>
          </w:p>
        </w:tc>
        <w:tc>
          <w:tcPr>
            <w:tcW w:w="240" w:type="dxa"/>
            <w:vAlign w:val="bottom"/>
          </w:tcPr>
          <w:p>
            <w:pPr>
              <w:spacing w:after="0"/>
              <w:rPr>
                <w:sz w:val="16"/>
                <w:szCs w:val="16"/>
                <w:color w:val="auto"/>
              </w:rPr>
            </w:pPr>
          </w:p>
        </w:tc>
        <w:tc>
          <w:tcPr>
            <w:tcW w:w="280" w:type="dxa"/>
            <w:vAlign w:val="bottom"/>
            <w:tcBorders>
              <w:bottom w:val="single" w:sz="8" w:color="auto"/>
            </w:tcBorders>
          </w:tcPr>
          <w:p>
            <w:pPr>
              <w:jc w:val="right"/>
              <w:ind w:right="11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center"/>
              <w:ind w:right="82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0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802</w:t>
            </w:r>
          </w:p>
        </w:tc>
      </w:tr>
      <w:tr>
        <w:trPr>
          <w:trHeight w:val="20"/>
        </w:trPr>
        <w:tc>
          <w:tcPr>
            <w:tcW w:w="4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89"/>
        </w:trPr>
        <w:tc>
          <w:tcPr>
            <w:tcW w:w="4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9"/>
        </w:trPr>
        <w:tc>
          <w:tcPr>
            <w:tcW w:w="444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jc w:val="center"/>
              <w:ind w:right="608"/>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9"/>
        </w:trPr>
        <w:tc>
          <w:tcPr>
            <w:tcW w:w="44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center"/>
              <w:ind w:left="248"/>
              <w:spacing w:after="0"/>
              <w:rPr>
                <w:sz w:val="20"/>
                <w:szCs w:val="20"/>
                <w:color w:val="auto"/>
              </w:rPr>
            </w:pPr>
            <w:r>
              <w:rPr>
                <w:rFonts w:ascii="Times New Roman" w:cs="Times New Roman" w:eastAsia="Times New Roman" w:hAnsi="Times New Roman"/>
                <w:sz w:val="18"/>
                <w:szCs w:val="18"/>
                <w:color w:val="auto"/>
              </w:rPr>
              <w:t>Postretirement Benefits</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165"/>
        </w:trPr>
        <w:tc>
          <w:tcPr>
            <w:tcW w:w="4440" w:type="dxa"/>
            <w:vAlign w:val="bottom"/>
          </w:tcPr>
          <w:p>
            <w:pPr>
              <w:spacing w:after="0"/>
              <w:rPr>
                <w:sz w:val="14"/>
                <w:szCs w:val="14"/>
                <w:color w:val="auto"/>
              </w:rPr>
            </w:pPr>
          </w:p>
        </w:tc>
        <w:tc>
          <w:tcPr>
            <w:tcW w:w="3120" w:type="dxa"/>
            <w:vAlign w:val="bottom"/>
            <w:gridSpan w:val="6"/>
          </w:tcPr>
          <w:p>
            <w:pPr>
              <w:jc w:val="right"/>
              <w:ind w:right="680"/>
              <w:spacing w:after="0" w:line="165" w:lineRule="exact"/>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4"/>
          </w:tcPr>
          <w:p>
            <w:pPr>
              <w:jc w:val="right"/>
              <w:ind w:right="248"/>
              <w:spacing w:after="0" w:line="165" w:lineRule="exact"/>
              <w:rPr>
                <w:sz w:val="20"/>
                <w:szCs w:val="20"/>
                <w:color w:val="auto"/>
              </w:rPr>
            </w:pPr>
            <w:r>
              <w:rPr>
                <w:rFonts w:ascii="Times New Roman" w:cs="Times New Roman" w:eastAsia="Times New Roman" w:hAnsi="Times New Roman"/>
                <w:sz w:val="18"/>
                <w:szCs w:val="18"/>
                <w:color w:val="auto"/>
              </w:rPr>
              <w:t>Six Months Ended</w:t>
            </w:r>
          </w:p>
        </w:tc>
        <w:tc>
          <w:tcPr>
            <w:tcW w:w="580" w:type="dxa"/>
            <w:vAlign w:val="bottom"/>
          </w:tcPr>
          <w:p>
            <w:pPr>
              <w:spacing w:after="0"/>
              <w:rPr>
                <w:sz w:val="14"/>
                <w:szCs w:val="14"/>
                <w:color w:val="auto"/>
              </w:rPr>
            </w:pPr>
          </w:p>
        </w:tc>
      </w:tr>
      <w:tr>
        <w:trPr>
          <w:trHeight w:val="219"/>
        </w:trPr>
        <w:tc>
          <w:tcPr>
            <w:tcW w:w="44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June 30,</w:t>
            </w:r>
          </w:p>
        </w:tc>
        <w:tc>
          <w:tcPr>
            <w:tcW w:w="9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June 30,</w:t>
            </w:r>
          </w:p>
        </w:tc>
        <w:tc>
          <w:tcPr>
            <w:tcW w:w="580" w:type="dxa"/>
            <w:vAlign w:val="bottom"/>
            <w:tcBorders>
              <w:bottom w:val="single" w:sz="8" w:color="auto"/>
            </w:tcBorders>
          </w:tcPr>
          <w:p>
            <w:pPr>
              <w:spacing w:after="0"/>
              <w:rPr>
                <w:sz w:val="19"/>
                <w:szCs w:val="19"/>
                <w:color w:val="auto"/>
              </w:rPr>
            </w:pPr>
          </w:p>
        </w:tc>
      </w:tr>
      <w:tr>
        <w:trPr>
          <w:trHeight w:val="188"/>
        </w:trPr>
        <w:tc>
          <w:tcPr>
            <w:tcW w:w="444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38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16"/>
                <w:szCs w:val="16"/>
                <w:color w:val="auto"/>
              </w:rPr>
            </w:pPr>
          </w:p>
        </w:tc>
      </w:tr>
      <w:tr>
        <w:trPr>
          <w:trHeight w:val="188"/>
        </w:trPr>
        <w:tc>
          <w:tcPr>
            <w:tcW w:w="444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Borders>
              <w:top w:val="single" w:sz="8" w:color="auto"/>
            </w:tcBorders>
            <w:shd w:val="clear" w:color="auto" w:fill="CCEEFF"/>
          </w:tcPr>
          <w:p>
            <w:pPr>
              <w:jc w:val="right"/>
              <w:ind w:right="74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372</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7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363</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ind w:right="84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84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726</w:t>
            </w:r>
          </w:p>
        </w:tc>
      </w:tr>
      <w:tr>
        <w:trPr>
          <w:trHeight w:val="196"/>
        </w:trPr>
        <w:tc>
          <w:tcPr>
            <w:tcW w:w="4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2,224</w:t>
            </w:r>
          </w:p>
        </w:tc>
      </w:tr>
      <w:tr>
        <w:trPr>
          <w:trHeight w:val="196"/>
        </w:trPr>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return on plan assets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(1,105)</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(2,210)</w:t>
            </w:r>
          </w:p>
        </w:tc>
      </w:tr>
      <w:tr>
        <w:trPr>
          <w:trHeight w:val="196"/>
        </w:trPr>
        <w:tc>
          <w:tcPr>
            <w:tcW w:w="4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9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(267)</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(534)</w:t>
            </w:r>
          </w:p>
        </w:tc>
      </w:tr>
      <w:tr>
        <w:trPr>
          <w:trHeight w:val="188"/>
        </w:trPr>
        <w:tc>
          <w:tcPr>
            <w:tcW w:w="4440" w:type="dxa"/>
            <w:vAlign w:val="bottom"/>
            <w:tcBorders>
              <w:top w:val="single" w:sz="8" w:color="CCEEFF"/>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Net periodic benefit cost</w:t>
            </w:r>
          </w:p>
        </w:tc>
        <w:tc>
          <w:tcPr>
            <w:tcW w:w="940" w:type="dxa"/>
            <w:vAlign w:val="bottom"/>
            <w:tcBorders>
              <w:top w:val="single" w:sz="8" w:color="auto"/>
              <w:bottom w:val="single" w:sz="8" w:color="auto"/>
            </w:tcBorders>
            <w:shd w:val="clear" w:color="auto" w:fill="CCEEFF"/>
          </w:tcPr>
          <w:p>
            <w:pPr>
              <w:jc w:val="right"/>
              <w:ind w:right="74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center"/>
              <w:ind w:right="84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4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206</w:t>
            </w:r>
          </w:p>
        </w:tc>
      </w:tr>
      <w:tr>
        <w:trPr>
          <w:trHeight w:val="20"/>
        </w:trPr>
        <w:tc>
          <w:tcPr>
            <w:tcW w:w="4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condensed consolidated statements of operations and comprehensive income on the line item “Other”.</w:t>
      </w:r>
    </w:p>
    <w:p>
      <w:pPr>
        <w:spacing w:after="0" w:line="1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did not make cash contributions to its Pension Plan during the first half of 2025 and intends to make cash contributions of $3,945 later in the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Rate Activity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Completed Rate Case Proceedings</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July 1, 2025, the Company’s natural gas operating subsidiary in Kentucky received an order from the Kentucky Public Service Commission approving the settlement agreement that allowed base rate increases designed to increase total annual operating revenue by $7,700 or 11.2%. New rates went into effect on July 1, 2025.</w:t>
      </w:r>
    </w:p>
    <w:p>
      <w:pPr>
        <w:spacing w:after="0" w:line="142"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On February 7, 2025, the Pennsylvania Public Utility Commission (“PAPUC”) issued an order approving, with certain minor modifications, the joint petition for non-unanimous partial settlement filed by Aqua Pennsylvania, Office of Consumer Advocate, and other groups, that allowed a base rate increase designed to increase total annual operating revenues by $73,000. New rates went into effect on February 22, 2025. At the time the rate order was received, the rates in effect also included $37,940 in Distribution System Improvement Charges (“DSIC”), which was 6.73% above prior base rates. Consequently, the aggregate annual base rates increased by $110,940 since the last base rate increase and DSIC was reset to zero.</w:t>
      </w:r>
    </w:p>
    <w:p>
      <w:pPr>
        <w:spacing w:after="0" w:line="166"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During the first six months of 2025, two of the Company’s water utility operating divisions in Ohio and its water and wastewater utility operating divisions in North Carolina also implemented approved base rate increases designed to increase total operating revenues on an annual basis by $5,820. Further, during the first six months of 2025, the Company implemented infrastructure rehabilitation surcharges designed to increase total operating revenues on an annual basis by $10,808 in its water and wastewater utility operating divisions in Pennsylvania and Ohio, by $2,468 in its water utility operating division in New Jersey, and by $542 in its natural gas operating division in Kentucky.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On November 21, 2024, Aqua Illinois received an order from the Illinois Commerce Commission designed to provide an increase in revenues of $11,632 or 11.4% on an annual basis. New rates went into effect on December 5, 2024.</w:t>
      </w:r>
    </w:p>
    <w:p>
      <w:pPr>
        <w:spacing w:after="0" w:line="142"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On October 9, 2024, Aqua New Jersey received an order from the New Jersey Board of Public Utilities that was designed to provide an increase in water rates of $2,250 on an annual basis. The order also approved the recovery of customer-side lead service line replacement costs of $11,535, that have been deferred from April 2021 through June 2024, through the use of a customer surcharge over a three-year period. New rates went into effect on October 15, 2024.</w:t>
      </w:r>
    </w:p>
    <w:p>
      <w:pPr>
        <w:spacing w:after="0" w:line="16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On September 12, 2024, the PAPUC issued an order approving the settlement agreement to the general rate case filed by the Company’s regulated natural gas operating subsidiary, Peoples Natural Gas, that allowed base rate increases designed to increase total annual operating revenues by $93,000 or 11.1%. At the time the rate order was received, the rates in effect included various surcharges and credits, such as the DSIC and Tax Cuts and Jobs Act (“TCJA”) amortization credits totaling approximately $21,000 on an annual basis. The order also provided an annualized change in gathering and other operating revenues of approximately $3,000. Consequently, the aggregate annual base rates increased approximately $111,000 as the DSIC was reset to zero, and the TCJA amortization credit, other surcharges and other operating revenues were adjusted. New rates went into effect on September 27, 2024. The order also approved the implementation of a weather normalization adjustment mechanism (WNA), which is applied to customer bills during the heating season of October through May each year. The weather normalization adjustment mechanism is designed to stabilize our residential and commercial customers’ distribution charges by adjusting billings based on temperature variances from average weather, which effectively decreases rates when the weather is colder than average, and increases rates when the weather is warmer than average. The Company expects the weather normalization adjustment mechanism to result in reduced earnings volatility during the heating season. On October 11, 2024, the Pennsylvania Office of Consumer Advocate appealed this rate case to the Commonwealth Court. On February 12, 2025, the Pennsylvania Office of Consumer Advocate discontinued its appeal on all but one non-revenue matter which can potentially be resolved through settlement.</w:t>
      </w:r>
    </w:p>
    <w:p>
      <w:pPr>
        <w:spacing w:after="0" w:line="17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On September 12, 2024, the Company’s regulated water and wastewater operating subsidiary in Virginia, Aqua Virginia, received an order from the State Corporation Commission approving an increase in revenues by $5,490 or 23.8% on an annual basis. The Company implemented interim rates in February 2024 and refunded to customers the difference between interim and final approved rates in December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Base Rate Cases</w:t>
      </w:r>
    </w:p>
    <w:p>
      <w:pPr>
        <w:spacing w:after="0" w:line="19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On July 30, 2025, the Company’s regulated water and wastewater operating subsidiary in Virginia, Aqua Virginia, filed an application with the State Corporation Commission designed to increase revenues by $7,927 annually.</w:t>
      </w:r>
    </w:p>
    <w:p>
      <w:pPr>
        <w:spacing w:after="0" w:line="118" w:lineRule="exact"/>
        <w:rPr>
          <w:sz w:val="20"/>
          <w:szCs w:val="20"/>
          <w:color w:val="auto"/>
        </w:rPr>
      </w:pPr>
    </w:p>
    <w:p>
      <w:pPr>
        <w:ind w:right="680"/>
        <w:spacing w:after="0" w:line="246" w:lineRule="auto"/>
        <w:rPr>
          <w:sz w:val="20"/>
          <w:szCs w:val="20"/>
          <w:color w:val="auto"/>
        </w:rPr>
      </w:pPr>
      <w:r>
        <w:rPr>
          <w:rFonts w:ascii="Times New Roman" w:cs="Times New Roman" w:eastAsia="Times New Roman" w:hAnsi="Times New Roman"/>
          <w:sz w:val="18"/>
          <w:szCs w:val="18"/>
          <w:color w:val="auto"/>
        </w:rPr>
        <w:t>On June 30, 2025, the Company’s regulated water and wastewater operating subsidiaries in Ohio, Aqua Ohio and Aqua Ohio Wastewater, filed applications with the Public Utilities Commission of Ohio designed to increase rates in total by $14,653.</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158750</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ind w:left="8"/>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8"/>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8"/>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ind w:right="-7"/>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ind w:right="-7"/>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70" w:lineRule="exact"/>
        <w:rPr>
          <w:sz w:val="20"/>
          <w:szCs w:val="20"/>
          <w:color w:val="auto"/>
        </w:rPr>
      </w:pPr>
    </w:p>
    <w:p>
      <w:pPr>
        <w:ind w:left="8" w:right="500"/>
        <w:spacing w:after="0" w:line="266" w:lineRule="auto"/>
        <w:rPr>
          <w:sz w:val="20"/>
          <w:szCs w:val="20"/>
          <w:color w:val="auto"/>
        </w:rPr>
      </w:pPr>
      <w:r>
        <w:rPr>
          <w:rFonts w:ascii="Times New Roman" w:cs="Times New Roman" w:eastAsia="Times New Roman" w:hAnsi="Times New Roman"/>
          <w:sz w:val="18"/>
          <w:szCs w:val="18"/>
          <w:color w:val="auto"/>
        </w:rPr>
        <w:t>On June 20, 2025, the Company’s regulated water and wastewater operating subsidiary in Texas, Aqua Texas, filed an application with the Public Utility Commission of Texas designed to increase rates by $29,149.</w:t>
      </w:r>
    </w:p>
    <w:p>
      <w:pPr>
        <w:spacing w:after="0" w:line="142" w:lineRule="exact"/>
        <w:rPr>
          <w:sz w:val="20"/>
          <w:szCs w:val="20"/>
          <w:color w:val="auto"/>
        </w:rPr>
      </w:pPr>
    </w:p>
    <w:p>
      <w:pPr>
        <w:ind w:left="8" w:right="60"/>
        <w:spacing w:after="0" w:line="247" w:lineRule="auto"/>
        <w:rPr>
          <w:sz w:val="20"/>
          <w:szCs w:val="20"/>
          <w:color w:val="auto"/>
        </w:rPr>
      </w:pPr>
      <w:r>
        <w:rPr>
          <w:rFonts w:ascii="Times New Roman" w:cs="Times New Roman" w:eastAsia="Times New Roman" w:hAnsi="Times New Roman"/>
          <w:sz w:val="18"/>
          <w:szCs w:val="18"/>
          <w:color w:val="auto"/>
        </w:rPr>
        <w:t>On April 30, 2025, the Company’s regulated water and wastewater operating subsidiary in North Carolina, Aqua North Carolina, filed an application with the North Carolina Utilities Commission designed to increase rates by $32,847 in the first year of new rates being implemented, then an additional $5,915 and $6,000 in the second and third years, respectively.</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Taxes Other than Income Taxes</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table provides the components of taxes other than income taxes:</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 Ended</w:t>
            </w:r>
          </w:p>
        </w:tc>
        <w:tc>
          <w:tcPr>
            <w:tcW w:w="10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020" w:type="dxa"/>
            <w:vAlign w:val="bottom"/>
          </w:tcPr>
          <w:p>
            <w:pPr>
              <w:spacing w:after="0"/>
              <w:rPr>
                <w:sz w:val="17"/>
                <w:szCs w:val="17"/>
                <w:color w:val="auto"/>
              </w:rPr>
            </w:pPr>
          </w:p>
        </w:tc>
      </w:tr>
      <w:tr>
        <w:trPr>
          <w:trHeight w:val="219"/>
        </w:trPr>
        <w:tc>
          <w:tcPr>
            <w:tcW w:w="4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June 30,</w:t>
            </w: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June 30,</w:t>
            </w:r>
          </w:p>
        </w:tc>
        <w:tc>
          <w:tcPr>
            <w:tcW w:w="1020" w:type="dxa"/>
            <w:vAlign w:val="bottom"/>
            <w:tcBorders>
              <w:bottom w:val="single" w:sz="8" w:color="auto"/>
            </w:tcBorders>
          </w:tcPr>
          <w:p>
            <w:pPr>
              <w:spacing w:after="0"/>
              <w:rPr>
                <w:sz w:val="19"/>
                <w:szCs w:val="19"/>
                <w:color w:val="auto"/>
              </w:rPr>
            </w:pPr>
          </w:p>
        </w:tc>
      </w:tr>
      <w:tr>
        <w:trPr>
          <w:trHeight w:val="188"/>
        </w:trPr>
        <w:tc>
          <w:tcPr>
            <w:tcW w:w="4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8"/>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8"/>
              <w:spacing w:after="0" w:line="188" w:lineRule="exact"/>
              <w:rPr>
                <w:sz w:val="20"/>
                <w:szCs w:val="20"/>
                <w:color w:val="auto"/>
              </w:rPr>
            </w:pPr>
            <w:r>
              <w:rPr>
                <w:rFonts w:ascii="Times New Roman" w:cs="Times New Roman" w:eastAsia="Times New Roman" w:hAnsi="Times New Roman"/>
                <w:sz w:val="18"/>
                <w:szCs w:val="18"/>
                <w:color w:val="auto"/>
              </w:rPr>
              <w:t>2024</w:t>
            </w:r>
          </w:p>
        </w:tc>
      </w:tr>
      <w:tr>
        <w:trPr>
          <w:trHeight w:val="188"/>
        </w:trPr>
        <w:tc>
          <w:tcPr>
            <w:tcW w:w="44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Property</w:t>
            </w:r>
          </w:p>
        </w:tc>
        <w:tc>
          <w:tcPr>
            <w:tcW w:w="300" w:type="dxa"/>
            <w:vAlign w:val="bottom"/>
            <w:shd w:val="clear" w:color="auto" w:fill="CCEEFF"/>
          </w:tcPr>
          <w:p>
            <w:pPr>
              <w:jc w:val="right"/>
              <w:ind w:right="10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9,085</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8,535</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2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18,156</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0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17,411</w:t>
            </w:r>
          </w:p>
        </w:tc>
      </w:tr>
      <w:tr>
        <w:trPr>
          <w:trHeight w:val="196"/>
        </w:trPr>
        <w:tc>
          <w:tcPr>
            <w:tcW w:w="4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Gross receipts, excise and franchise</w:t>
            </w:r>
          </w:p>
        </w:tc>
        <w:tc>
          <w:tcPr>
            <w:tcW w:w="300" w:type="dxa"/>
            <w:vAlign w:val="bottom"/>
          </w:tcPr>
          <w:p>
            <w:pPr>
              <w:spacing w:after="0"/>
              <w:rPr>
                <w:sz w:val="17"/>
                <w:szCs w:val="17"/>
                <w:color w:val="auto"/>
              </w:rPr>
            </w:pPr>
          </w:p>
        </w:tc>
        <w:tc>
          <w:tcPr>
            <w:tcW w:w="13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4,600</w:t>
            </w: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4,297</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7,486</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8,600</w:t>
            </w:r>
          </w:p>
        </w:tc>
      </w:tr>
      <w:tr>
        <w:trPr>
          <w:trHeight w:val="196"/>
        </w:trPr>
        <w:tc>
          <w:tcPr>
            <w:tcW w:w="4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Payroll</w:t>
            </w: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5,405</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5,009</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12,366</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12,520</w:t>
            </w:r>
          </w:p>
        </w:tc>
      </w:tr>
      <w:tr>
        <w:trPr>
          <w:trHeight w:val="196"/>
        </w:trPr>
        <w:tc>
          <w:tcPr>
            <w:tcW w:w="4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Regulatory assessments</w:t>
            </w:r>
          </w:p>
        </w:tc>
        <w:tc>
          <w:tcPr>
            <w:tcW w:w="300" w:type="dxa"/>
            <w:vAlign w:val="bottom"/>
          </w:tcPr>
          <w:p>
            <w:pPr>
              <w:spacing w:after="0"/>
              <w:rPr>
                <w:sz w:val="17"/>
                <w:szCs w:val="17"/>
                <w:color w:val="auto"/>
              </w:rPr>
            </w:pPr>
          </w:p>
        </w:tc>
        <w:tc>
          <w:tcPr>
            <w:tcW w:w="13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2,017</w:t>
            </w: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1,925</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4,052</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3,825</w:t>
            </w:r>
          </w:p>
        </w:tc>
      </w:tr>
      <w:tr>
        <w:trPr>
          <w:trHeight w:val="196"/>
        </w:trPr>
        <w:tc>
          <w:tcPr>
            <w:tcW w:w="4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Pumping fees</w:t>
            </w: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1,964</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1,882</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3,304</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3,377</w:t>
            </w:r>
          </w:p>
        </w:tc>
      </w:tr>
      <w:tr>
        <w:trPr>
          <w:trHeight w:val="196"/>
        </w:trPr>
        <w:tc>
          <w:tcPr>
            <w:tcW w:w="4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7"/>
                <w:szCs w:val="17"/>
                <w:color w:val="auto"/>
              </w:rPr>
            </w:pPr>
          </w:p>
        </w:tc>
        <w:tc>
          <w:tcPr>
            <w:tcW w:w="13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(2,199)</w:t>
            </w: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(1,613)</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1,524</w:t>
            </w:r>
          </w:p>
        </w:tc>
      </w:tr>
      <w:tr>
        <w:trPr>
          <w:trHeight w:val="188"/>
        </w:trPr>
        <w:tc>
          <w:tcPr>
            <w:tcW w:w="4480" w:type="dxa"/>
            <w:vAlign w:val="bottom"/>
            <w:tcBorders>
              <w:top w:val="single" w:sz="8" w:color="CCEEFF"/>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Total taxes other than income</w:t>
            </w:r>
          </w:p>
        </w:tc>
        <w:tc>
          <w:tcPr>
            <w:tcW w:w="300" w:type="dxa"/>
            <w:vAlign w:val="bottom"/>
            <w:tcBorders>
              <w:top w:val="single" w:sz="8" w:color="auto"/>
              <w:bottom w:val="single" w:sz="8" w:color="auto"/>
            </w:tcBorders>
            <w:shd w:val="clear" w:color="auto" w:fill="CCEEFF"/>
          </w:tcPr>
          <w:p>
            <w:pPr>
              <w:jc w:val="right"/>
              <w:ind w:right="10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20,872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13"/>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22,233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2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43,751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0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47,257</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 xml:space="preserve">Note 13 – </w:t>
      </w:r>
      <w:r>
        <w:rPr>
          <w:rFonts w:ascii="Times New Roman" w:cs="Times New Roman" w:eastAsia="Times New Roman" w:hAnsi="Times New Roman"/>
          <w:sz w:val="18"/>
          <w:szCs w:val="18"/>
          <w:b w:val="1"/>
          <w:bCs w:val="1"/>
          <w:i w:val="1"/>
          <w:iCs w:val="1"/>
          <w:color w:val="auto"/>
        </w:rPr>
        <w:t>Segment Information</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Company identifies a business as an operating segment if: i) it engages in business activities from which it may earn revenues and incur expenses;</w:t>
      </w:r>
    </w:p>
    <w:p>
      <w:pPr>
        <w:spacing w:after="0" w:line="9" w:lineRule="exact"/>
        <w:rPr>
          <w:sz w:val="20"/>
          <w:szCs w:val="20"/>
          <w:color w:val="auto"/>
        </w:rPr>
      </w:pPr>
    </w:p>
    <w:p>
      <w:pPr>
        <w:ind w:left="8" w:right="20" w:hanging="8"/>
        <w:spacing w:after="0" w:line="236" w:lineRule="auto"/>
        <w:tabs>
          <w:tab w:leader="none" w:pos="2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operating results are regularly reviewed by the chief operating decision maker (“CODM”), who is the Company’s Chief Executive Officer, to make decisions about resources to be allocated to the segment and assess its performance; and iii) it has available discrete financial information. The CODM reviews financial information, such as budget-to-actual variances and comparisons against prior period, at the operating segment level, and uses that information when making decisions about the allocation of operating and capital resources to each segment. The CODM evaluates the performance of the Company’s reportable segments based on a number of factors, the primary measure being the net income (loss) of each segment.</w:t>
      </w:r>
    </w:p>
    <w:p>
      <w:pPr>
        <w:spacing w:after="0" w:line="164" w:lineRule="exact"/>
        <w:rPr>
          <w:sz w:val="20"/>
          <w:szCs w:val="20"/>
          <w:color w:val="auto"/>
        </w:rPr>
      </w:pPr>
    </w:p>
    <w:p>
      <w:pPr>
        <w:ind w:left="8" w:right="20"/>
        <w:spacing w:after="0" w:line="235" w:lineRule="auto"/>
        <w:rPr>
          <w:sz w:val="20"/>
          <w:szCs w:val="20"/>
          <w:color w:val="auto"/>
        </w:rPr>
      </w:pPr>
      <w:r>
        <w:rPr>
          <w:rFonts w:ascii="Times New Roman" w:cs="Times New Roman" w:eastAsia="Times New Roman" w:hAnsi="Times New Roman"/>
          <w:sz w:val="18"/>
          <w:szCs w:val="18"/>
          <w:color w:val="auto"/>
        </w:rPr>
        <w:t>The Company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w:t>
      </w:r>
    </w:p>
    <w:p>
      <w:pPr>
        <w:jc w:val="center"/>
        <w:ind w:right="-7"/>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ind w:right="-39"/>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7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is comprised of one operating segment representing the Company’s natural gas utility companies, which provide natural gas distribution to retail, commercial, and industrial customers.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Company’s two reportable segments, the Company includes two operating segments within the Other category below. These segments are not quantitatively significant and are comprised of its non-regulated natural gas operations and Aqua Resources.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5" w:name="page26"/>
    <w:bookmarkEnd w:id="25"/>
    <w:p>
      <w:pPr>
        <w:ind w:left="8"/>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8"/>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8"/>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ind w:right="72"/>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ind w:right="72"/>
        <w:spacing w:after="0"/>
        <w:rPr>
          <w:sz w:val="20"/>
          <w:szCs w:val="20"/>
          <w:color w:val="auto"/>
        </w:rPr>
      </w:pPr>
      <w:r>
        <w:rPr>
          <w:rFonts w:ascii="Times New Roman" w:cs="Times New Roman" w:eastAsia="Times New Roman" w:hAnsi="Times New Roman"/>
          <w:sz w:val="18"/>
          <w:szCs w:val="18"/>
          <w:color w:val="auto"/>
        </w:rPr>
        <w:t>(UNAUDITED)</w:t>
      </w:r>
    </w:p>
    <w:p>
      <w:pPr>
        <w:spacing w:after="0" w:line="374" w:lineRule="exact"/>
        <w:rPr>
          <w:sz w:val="20"/>
          <w:szCs w:val="20"/>
          <w:color w:val="auto"/>
        </w:rPr>
      </w:pPr>
    </w:p>
    <w:p>
      <w:pPr>
        <w:ind w:left="8" w:right="18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reportable segments and reconciliations to consolidated amounts. Asset information by segment is not utilized for purposes of assessing performance or allocating resources, and, as a result, such information is not presented.</w:t>
      </w: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gridSpan w:val="6"/>
          </w:tcPr>
          <w:p>
            <w:pPr>
              <w:jc w:val="center"/>
              <w:ind w:left="262"/>
              <w:spacing w:after="0"/>
              <w:rPr>
                <w:sz w:val="20"/>
                <w:szCs w:val="20"/>
                <w:color w:val="auto"/>
              </w:rPr>
            </w:pPr>
            <w:r>
              <w:rPr>
                <w:rFonts w:ascii="Times New Roman" w:cs="Times New Roman" w:eastAsia="Times New Roman" w:hAnsi="Times New Roman"/>
                <w:sz w:val="12"/>
                <w:szCs w:val="12"/>
                <w:color w:val="auto"/>
                <w:w w:val="96"/>
              </w:rPr>
              <w:t>Three Months Ended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5"/>
          </w:tcPr>
          <w:p>
            <w:pPr>
              <w:jc w:val="center"/>
              <w:ind w:right="40"/>
              <w:spacing w:after="0"/>
              <w:rPr>
                <w:sz w:val="20"/>
                <w:szCs w:val="20"/>
                <w:color w:val="auto"/>
              </w:rPr>
            </w:pPr>
            <w:r>
              <w:rPr>
                <w:rFonts w:ascii="Times New Roman" w:cs="Times New Roman" w:eastAsia="Times New Roman" w:hAnsi="Times New Roman"/>
                <w:sz w:val="12"/>
                <w:szCs w:val="12"/>
                <w:color w:val="auto"/>
                <w:w w:val="94"/>
              </w:rPr>
              <w:t>Three Months Ended</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2"/>
                <w:szCs w:val="12"/>
                <w:color w:val="auto"/>
                <w:w w:val="95"/>
              </w:rPr>
              <w:t>June 30, 2025</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2"/>
                <w:szCs w:val="12"/>
                <w:color w:val="auto"/>
                <w:w w:val="95"/>
              </w:rPr>
              <w:t>June 30, 2024</w:t>
            </w:r>
          </w:p>
        </w:tc>
        <w:tc>
          <w:tcPr>
            <w:tcW w:w="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tcPr>
          <w:p>
            <w:pPr>
              <w:jc w:val="center"/>
              <w:ind w:right="400"/>
              <w:spacing w:after="0" w:line="97" w:lineRule="exact"/>
              <w:rPr>
                <w:sz w:val="20"/>
                <w:szCs w:val="20"/>
                <w:color w:val="auto"/>
              </w:rPr>
            </w:pPr>
            <w:r>
              <w:rPr>
                <w:rFonts w:ascii="Times New Roman" w:cs="Times New Roman" w:eastAsia="Times New Roman" w:hAnsi="Times New Roman"/>
                <w:sz w:val="10"/>
                <w:szCs w:val="10"/>
                <w:color w:val="auto"/>
              </w:rPr>
              <w:t>Total</w:t>
            </w:r>
          </w:p>
        </w:tc>
        <w:tc>
          <w:tcPr>
            <w:tcW w:w="6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2"/>
                <w:szCs w:val="12"/>
                <w:color w:val="auto"/>
              </w:rPr>
              <w:t>Other and</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2"/>
                <w:szCs w:val="12"/>
                <w:color w:val="auto"/>
              </w:rPr>
              <w:t>Regulated</w:t>
            </w:r>
          </w:p>
        </w:tc>
        <w:tc>
          <w:tcPr>
            <w:tcW w:w="148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2"/>
                <w:szCs w:val="12"/>
                <w:color w:val="auto"/>
                <w:w w:val="96"/>
              </w:rPr>
              <w:t>Total Reportable</w:t>
            </w: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auto"/>
              </w:rPr>
              <w:t>Regulated Water</w:t>
            </w:r>
          </w:p>
        </w:tc>
        <w:tc>
          <w:tcPr>
            <w:tcW w:w="12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w w:val="98"/>
              </w:rPr>
              <w:t>Regulated Natural Gas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2"/>
                <w:szCs w:val="12"/>
                <w:color w:val="auto"/>
                <w:w w:val="98"/>
              </w:rPr>
              <w:t>Reportable</w:t>
            </w:r>
          </w:p>
        </w:tc>
        <w:tc>
          <w:tcPr>
            <w:tcW w:w="620" w:type="dxa"/>
            <w:vAlign w:val="bottom"/>
            <w:gridSpan w:val="2"/>
            <w:vMerge w:val="continue"/>
          </w:tcPr>
          <w:p>
            <w:pPr>
              <w:spacing w:after="0"/>
              <w:rPr>
                <w:sz w:val="10"/>
                <w:szCs w:val="10"/>
                <w:color w:val="auto"/>
              </w:rPr>
            </w:pPr>
          </w:p>
        </w:tc>
        <w:tc>
          <w:tcPr>
            <w:tcW w:w="9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2"/>
                <w:szCs w:val="12"/>
                <w:color w:val="auto"/>
              </w:rPr>
              <w:t>Consolidated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2"/>
                <w:szCs w:val="12"/>
                <w:color w:val="auto"/>
                <w:w w:val="96"/>
              </w:rPr>
              <w:t>Regulated Water</w:t>
            </w:r>
          </w:p>
        </w:tc>
        <w:tc>
          <w:tcPr>
            <w:tcW w:w="720" w:type="dxa"/>
            <w:vAlign w:val="bottom"/>
            <w:gridSpan w:val="3"/>
            <w:vMerge w:val="continue"/>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Consoli</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Segments</w:t>
            </w:r>
          </w:p>
        </w:tc>
        <w:tc>
          <w:tcPr>
            <w:tcW w:w="200" w:type="dxa"/>
            <w:vAlign w:val="bottom"/>
          </w:tcPr>
          <w:p>
            <w:pPr>
              <w:spacing w:after="0"/>
              <w:rPr>
                <w:sz w:val="12"/>
                <w:szCs w:val="12"/>
                <w:color w:val="auto"/>
              </w:rPr>
            </w:pPr>
          </w:p>
        </w:tc>
        <w:tc>
          <w:tcPr>
            <w:tcW w:w="420" w:type="dxa"/>
            <w:vAlign w:val="bottom"/>
          </w:tcPr>
          <w:p>
            <w:pPr>
              <w:jc w:val="right"/>
              <w:ind w:right="85"/>
              <w:spacing w:after="0"/>
              <w:rPr>
                <w:sz w:val="20"/>
                <w:szCs w:val="20"/>
                <w:color w:val="auto"/>
              </w:rPr>
            </w:pPr>
            <w:r>
              <w:rPr>
                <w:rFonts w:ascii="Times New Roman" w:cs="Times New Roman" w:eastAsia="Times New Roman" w:hAnsi="Times New Roman"/>
                <w:sz w:val="12"/>
                <w:szCs w:val="12"/>
                <w:color w:val="auto"/>
                <w:w w:val="92"/>
              </w:rPr>
              <w:t>Elims</w:t>
            </w: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Natural Gas</w:t>
            </w:r>
          </w:p>
        </w:tc>
        <w:tc>
          <w:tcPr>
            <w:tcW w:w="820" w:type="dxa"/>
            <w:vAlign w:val="bottom"/>
            <w:gridSpan w:val="3"/>
          </w:tcPr>
          <w:p>
            <w:pPr>
              <w:jc w:val="center"/>
              <w:ind w:left="202"/>
              <w:spacing w:after="0"/>
              <w:rPr>
                <w:sz w:val="20"/>
                <w:szCs w:val="20"/>
                <w:color w:val="auto"/>
              </w:rPr>
            </w:pPr>
            <w:r>
              <w:rPr>
                <w:rFonts w:ascii="Times New Roman" w:cs="Times New Roman" w:eastAsia="Times New Roman" w:hAnsi="Times New Roman"/>
                <w:sz w:val="12"/>
                <w:szCs w:val="12"/>
                <w:color w:val="auto"/>
                <w:w w:val="94"/>
              </w:rPr>
              <w:t>Segments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Other and Elims</w:t>
            </w: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80" w:type="dxa"/>
            <w:vAlign w:val="bottom"/>
            <w:tcBorders>
              <w:top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Revenues from external customers</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332,282</w:t>
            </w: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176,761</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509,043</w:t>
            </w: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gridSpan w:val="2"/>
            <w:shd w:val="clear" w:color="auto" w:fill="CCEEFF"/>
          </w:tcPr>
          <w:p>
            <w:pPr>
              <w:jc w:val="right"/>
              <w:ind w:right="305"/>
              <w:spacing w:after="0" w:line="120"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5,864</w:t>
            </w:r>
          </w:p>
        </w:tc>
        <w:tc>
          <w:tcPr>
            <w:tcW w:w="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514,907</w:t>
            </w:r>
          </w:p>
        </w:tc>
        <w:tc>
          <w:tcPr>
            <w:tcW w:w="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302,479</w:t>
            </w:r>
          </w:p>
        </w:tc>
        <w:tc>
          <w:tcPr>
            <w:tcW w:w="360" w:type="dxa"/>
            <w:vAlign w:val="bottom"/>
            <w:tcBorders>
              <w:top w:val="single" w:sz="8" w:color="auto"/>
            </w:tcBorders>
            <w:gridSpan w:val="2"/>
            <w:shd w:val="clear" w:color="auto" w:fill="CCEEFF"/>
          </w:tcPr>
          <w:p>
            <w:pPr>
              <w:jc w:val="right"/>
              <w:ind w:right="208"/>
              <w:spacing w:after="0" w:line="12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w w:val="97"/>
              </w:rPr>
              <w:t>127,801</w:t>
            </w: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right="182"/>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430,280</w:t>
            </w: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4,126</w:t>
            </w:r>
          </w:p>
        </w:tc>
        <w:tc>
          <w:tcPr>
            <w:tcW w:w="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Intersegment revenues</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560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560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(560)</w:t>
            </w:r>
          </w:p>
        </w:tc>
        <w:tc>
          <w:tcPr>
            <w:tcW w:w="400" w:type="dxa"/>
            <w:vAlign w:val="bottom"/>
          </w:tcPr>
          <w:p>
            <w:pPr>
              <w:spacing w:after="0"/>
              <w:rPr>
                <w:sz w:val="11"/>
                <w:szCs w:val="11"/>
                <w:color w:val="auto"/>
              </w:rPr>
            </w:pP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387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387</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(387)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8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Total operating revenues</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332,282</w:t>
            </w: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177,321</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509,603</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5,304</w:t>
            </w: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gridSpan w:val="3"/>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514,907</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302,479</w:t>
            </w:r>
          </w:p>
        </w:tc>
        <w:tc>
          <w:tcPr>
            <w:tcW w:w="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w w:val="97"/>
              </w:rPr>
              <w:t>128,188</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right="182"/>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430,667</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3,739</w:t>
            </w: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Operations and maintenance expense</w:t>
            </w:r>
          </w:p>
        </w:tc>
        <w:tc>
          <w:tcPr>
            <w:tcW w:w="300" w:type="dxa"/>
            <w:vAlign w:val="bottom"/>
            <w:gridSpan w:val="2"/>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100,149</w:t>
            </w:r>
          </w:p>
        </w:tc>
        <w:tc>
          <w:tcPr>
            <w:tcW w:w="8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49,786</w:t>
            </w:r>
          </w:p>
        </w:tc>
        <w:tc>
          <w:tcPr>
            <w:tcW w:w="60" w:type="dxa"/>
            <w:vAlign w:val="bottom"/>
          </w:tcPr>
          <w:p>
            <w:pPr>
              <w:spacing w:after="0"/>
              <w:rPr>
                <w:sz w:val="11"/>
                <w:szCs w:val="11"/>
                <w:color w:val="auto"/>
              </w:rPr>
            </w:pP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149,935</w:t>
            </w:r>
          </w:p>
        </w:tc>
        <w:tc>
          <w:tcPr>
            <w:tcW w:w="120" w:type="dxa"/>
            <w:vAlign w:val="bottom"/>
          </w:tcPr>
          <w:p>
            <w:pPr>
              <w:spacing w:after="0"/>
              <w:rPr>
                <w:sz w:val="11"/>
                <w:szCs w:val="11"/>
                <w:color w:val="auto"/>
              </w:rPr>
            </w:pPr>
          </w:p>
        </w:tc>
        <w:tc>
          <w:tcPr>
            <w:tcW w:w="620" w:type="dxa"/>
            <w:vAlign w:val="bottom"/>
            <w:gridSpan w:val="2"/>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(1,425)</w:t>
            </w:r>
          </w:p>
        </w:tc>
        <w:tc>
          <w:tcPr>
            <w:tcW w:w="400" w:type="dxa"/>
            <w:vAlign w:val="bottom"/>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148,510</w:t>
            </w:r>
          </w:p>
        </w:tc>
        <w:tc>
          <w:tcPr>
            <w:tcW w:w="6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95,575</w:t>
            </w:r>
          </w:p>
        </w:tc>
        <w:tc>
          <w:tcPr>
            <w:tcW w:w="360" w:type="dxa"/>
            <w:vAlign w:val="bottom"/>
            <w:gridSpan w:val="2"/>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49,709</w:t>
            </w:r>
          </w:p>
        </w:tc>
        <w:tc>
          <w:tcPr>
            <w:tcW w:w="100" w:type="dxa"/>
            <w:vAlign w:val="bottom"/>
          </w:tcPr>
          <w:p>
            <w:pPr>
              <w:spacing w:after="0"/>
              <w:rPr>
                <w:sz w:val="11"/>
                <w:szCs w:val="11"/>
                <w:color w:val="auto"/>
              </w:rPr>
            </w:pPr>
          </w:p>
        </w:tc>
        <w:tc>
          <w:tcPr>
            <w:tcW w:w="300" w:type="dxa"/>
            <w:vAlign w:val="bottom"/>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145,284</w:t>
            </w:r>
          </w:p>
        </w:tc>
        <w:tc>
          <w:tcPr>
            <w:tcW w:w="100" w:type="dxa"/>
            <w:vAlign w:val="bottom"/>
          </w:tcPr>
          <w:p>
            <w:pPr>
              <w:spacing w:after="0"/>
              <w:rPr>
                <w:sz w:val="11"/>
                <w:szCs w:val="11"/>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(2,772)</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Purchased gas</w:t>
            </w:r>
          </w:p>
        </w:tc>
        <w:tc>
          <w:tcPr>
            <w:tcW w:w="300" w:type="dxa"/>
            <w:vAlign w:val="bottom"/>
            <w:gridSpan w:val="2"/>
            <w:shd w:val="clear" w:color="auto" w:fill="CCEEFF"/>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53,532</w:t>
            </w: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53,532</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3,203</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56,735</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 $</w:t>
            </w: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32,680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32,680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1,048</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gridSpan w:val="2"/>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64,731</w:t>
            </w:r>
          </w:p>
        </w:tc>
        <w:tc>
          <w:tcPr>
            <w:tcW w:w="8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38,299</w:t>
            </w:r>
          </w:p>
        </w:tc>
        <w:tc>
          <w:tcPr>
            <w:tcW w:w="60" w:type="dxa"/>
            <w:vAlign w:val="bottom"/>
          </w:tcPr>
          <w:p>
            <w:pPr>
              <w:spacing w:after="0"/>
              <w:rPr>
                <w:sz w:val="11"/>
                <w:szCs w:val="11"/>
                <w:color w:val="auto"/>
              </w:rPr>
            </w:pP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103,030</w:t>
            </w:r>
          </w:p>
        </w:tc>
        <w:tc>
          <w:tcPr>
            <w:tcW w:w="120" w:type="dxa"/>
            <w:vAlign w:val="bottom"/>
          </w:tcPr>
          <w:p>
            <w:pPr>
              <w:spacing w:after="0"/>
              <w:rPr>
                <w:sz w:val="11"/>
                <w:szCs w:val="11"/>
                <w:color w:val="auto"/>
              </w:rPr>
            </w:pPr>
          </w:p>
        </w:tc>
        <w:tc>
          <w:tcPr>
            <w:tcW w:w="620" w:type="dxa"/>
            <w:vAlign w:val="bottom"/>
            <w:gridSpan w:val="2"/>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489</w:t>
            </w:r>
          </w:p>
        </w:tc>
        <w:tc>
          <w:tcPr>
            <w:tcW w:w="40" w:type="dxa"/>
            <w:vAlign w:val="bottom"/>
          </w:tcPr>
          <w:p>
            <w:pPr>
              <w:spacing w:after="0"/>
              <w:rPr>
                <w:sz w:val="11"/>
                <w:szCs w:val="11"/>
                <w:color w:val="auto"/>
              </w:rPr>
            </w:pPr>
          </w:p>
        </w:tc>
        <w:tc>
          <w:tcPr>
            <w:tcW w:w="400" w:type="dxa"/>
            <w:vAlign w:val="bottom"/>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103,519</w:t>
            </w:r>
          </w:p>
        </w:tc>
        <w:tc>
          <w:tcPr>
            <w:tcW w:w="6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57,625</w:t>
            </w:r>
          </w:p>
        </w:tc>
        <w:tc>
          <w:tcPr>
            <w:tcW w:w="360" w:type="dxa"/>
            <w:vAlign w:val="bottom"/>
            <w:gridSpan w:val="2"/>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32,632</w:t>
            </w:r>
          </w:p>
        </w:tc>
        <w:tc>
          <w:tcPr>
            <w:tcW w:w="100" w:type="dxa"/>
            <w:vAlign w:val="bottom"/>
          </w:tcPr>
          <w:p>
            <w:pPr>
              <w:spacing w:after="0"/>
              <w:rPr>
                <w:sz w:val="11"/>
                <w:szCs w:val="11"/>
                <w:color w:val="auto"/>
              </w:rPr>
            </w:pPr>
          </w:p>
        </w:tc>
        <w:tc>
          <w:tcPr>
            <w:tcW w:w="300" w:type="dxa"/>
            <w:vAlign w:val="bottom"/>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90,257</w:t>
            </w:r>
          </w:p>
        </w:tc>
        <w:tc>
          <w:tcPr>
            <w:tcW w:w="100" w:type="dxa"/>
            <w:vAlign w:val="bottom"/>
          </w:tcPr>
          <w:p>
            <w:pPr>
              <w:spacing w:after="0"/>
              <w:rPr>
                <w:sz w:val="11"/>
                <w:szCs w:val="11"/>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389</w:t>
            </w:r>
          </w:p>
        </w:tc>
        <w:tc>
          <w:tcPr>
            <w:tcW w:w="4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Taxes other than income taxes</w:t>
            </w:r>
          </w:p>
        </w:tc>
        <w:tc>
          <w:tcPr>
            <w:tcW w:w="300" w:type="dxa"/>
            <w:vAlign w:val="bottom"/>
            <w:gridSpan w:val="2"/>
            <w:shd w:val="clear" w:color="auto" w:fill="CCEEFF"/>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17,655</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2,491</w:t>
            </w: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20,146</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726</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20,872</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16,425</w:t>
            </w:r>
          </w:p>
        </w:tc>
        <w:tc>
          <w:tcPr>
            <w:tcW w:w="360" w:type="dxa"/>
            <w:vAlign w:val="bottom"/>
            <w:gridSpan w:val="2"/>
            <w:shd w:val="clear" w:color="auto" w:fill="CCEEFF"/>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5,103</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21,528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705</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Interest expense, net</w:t>
            </w:r>
          </w:p>
        </w:tc>
        <w:tc>
          <w:tcPr>
            <w:tcW w:w="300" w:type="dxa"/>
            <w:vAlign w:val="bottom"/>
            <w:gridSpan w:val="2"/>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37,032</w:t>
            </w:r>
          </w:p>
        </w:tc>
        <w:tc>
          <w:tcPr>
            <w:tcW w:w="8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25,833</w:t>
            </w:r>
          </w:p>
        </w:tc>
        <w:tc>
          <w:tcPr>
            <w:tcW w:w="60" w:type="dxa"/>
            <w:vAlign w:val="bottom"/>
          </w:tcPr>
          <w:p>
            <w:pPr>
              <w:spacing w:after="0"/>
              <w:rPr>
                <w:sz w:val="11"/>
                <w:szCs w:val="11"/>
                <w:color w:val="auto"/>
              </w:rPr>
            </w:pP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62,865</w:t>
            </w:r>
          </w:p>
        </w:tc>
        <w:tc>
          <w:tcPr>
            <w:tcW w:w="120" w:type="dxa"/>
            <w:vAlign w:val="bottom"/>
          </w:tcPr>
          <w:p>
            <w:pPr>
              <w:spacing w:after="0"/>
              <w:rPr>
                <w:sz w:val="11"/>
                <w:szCs w:val="11"/>
                <w:color w:val="auto"/>
              </w:rPr>
            </w:pPr>
          </w:p>
        </w:tc>
        <w:tc>
          <w:tcPr>
            <w:tcW w:w="620" w:type="dxa"/>
            <w:vAlign w:val="bottom"/>
            <w:gridSpan w:val="2"/>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16,643</w:t>
            </w:r>
          </w:p>
        </w:tc>
        <w:tc>
          <w:tcPr>
            <w:tcW w:w="40" w:type="dxa"/>
            <w:vAlign w:val="bottom"/>
          </w:tcPr>
          <w:p>
            <w:pPr>
              <w:spacing w:after="0"/>
              <w:rPr>
                <w:sz w:val="11"/>
                <w:szCs w:val="11"/>
                <w:color w:val="auto"/>
              </w:rPr>
            </w:pPr>
          </w:p>
        </w:tc>
        <w:tc>
          <w:tcPr>
            <w:tcW w:w="400" w:type="dxa"/>
            <w:vAlign w:val="bottom"/>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79,508</w:t>
            </w:r>
          </w:p>
        </w:tc>
        <w:tc>
          <w:tcPr>
            <w:tcW w:w="6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34,450</w:t>
            </w:r>
          </w:p>
        </w:tc>
        <w:tc>
          <w:tcPr>
            <w:tcW w:w="360" w:type="dxa"/>
            <w:vAlign w:val="bottom"/>
            <w:gridSpan w:val="2"/>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20,869</w:t>
            </w:r>
          </w:p>
        </w:tc>
        <w:tc>
          <w:tcPr>
            <w:tcW w:w="100" w:type="dxa"/>
            <w:vAlign w:val="bottom"/>
          </w:tcPr>
          <w:p>
            <w:pPr>
              <w:spacing w:after="0"/>
              <w:rPr>
                <w:sz w:val="11"/>
                <w:szCs w:val="11"/>
                <w:color w:val="auto"/>
              </w:rPr>
            </w:pPr>
          </w:p>
        </w:tc>
        <w:tc>
          <w:tcPr>
            <w:tcW w:w="300" w:type="dxa"/>
            <w:vAlign w:val="bottom"/>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55,319</w:t>
            </w:r>
          </w:p>
        </w:tc>
        <w:tc>
          <w:tcPr>
            <w:tcW w:w="100" w:type="dxa"/>
            <w:vAlign w:val="bottom"/>
          </w:tcPr>
          <w:p>
            <w:pPr>
              <w:spacing w:after="0"/>
              <w:rPr>
                <w:sz w:val="11"/>
                <w:szCs w:val="11"/>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17,450</w:t>
            </w:r>
          </w:p>
        </w:tc>
        <w:tc>
          <w:tcPr>
            <w:tcW w:w="4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w w:val="98"/>
              </w:rPr>
              <w:t>Allowance for funds used during construction</w:t>
            </w:r>
          </w:p>
        </w:tc>
        <w:tc>
          <w:tcPr>
            <w:tcW w:w="300" w:type="dxa"/>
            <w:vAlign w:val="bottom"/>
            <w:gridSpan w:val="2"/>
            <w:shd w:val="clear" w:color="auto" w:fill="CCEEFF"/>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(5,622)</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(1,405)</w:t>
            </w:r>
          </w:p>
        </w:tc>
        <w:tc>
          <w:tcPr>
            <w:tcW w:w="2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(7,027)</w:t>
            </w:r>
          </w:p>
        </w:tc>
        <w:tc>
          <w:tcPr>
            <w:tcW w:w="620" w:type="dxa"/>
            <w:vAlign w:val="bottom"/>
            <w:gridSpan w:val="2"/>
            <w:shd w:val="clear" w:color="auto" w:fill="CCEEFF"/>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3"/>
            <w:shd w:val="clear" w:color="auto" w:fill="CCEEFF"/>
          </w:tcPr>
          <w:p>
            <w:pPr>
              <w:jc w:val="right"/>
              <w:ind w:right="288"/>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(7,027)</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7"/>
              </w:rPr>
              <w:t>(3,962)</w:t>
            </w:r>
          </w:p>
        </w:tc>
        <w:tc>
          <w:tcPr>
            <w:tcW w:w="360" w:type="dxa"/>
            <w:vAlign w:val="bottom"/>
            <w:gridSpan w:val="2"/>
            <w:shd w:val="clear" w:color="auto" w:fill="CCEEFF"/>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(1,267)</w:t>
            </w:r>
          </w:p>
        </w:tc>
        <w:tc>
          <w:tcPr>
            <w:tcW w:w="300" w:type="dxa"/>
            <w:vAlign w:val="bottom"/>
            <w:shd w:val="clear" w:color="auto" w:fill="CCEEFF"/>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(5,229)</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3"/>
            <w:shd w:val="clear" w:color="auto" w:fill="CCEEFF"/>
          </w:tcPr>
          <w:p>
            <w:pPr>
              <w:jc w:val="right"/>
              <w:ind w:right="108"/>
              <w:spacing w:after="0" w:line="128"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Gain on sale of other assets</w:t>
            </w:r>
          </w:p>
        </w:tc>
        <w:tc>
          <w:tcPr>
            <w:tcW w:w="300" w:type="dxa"/>
            <w:vAlign w:val="bottom"/>
            <w:gridSpan w:val="2"/>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(256)</w:t>
            </w:r>
          </w:p>
        </w:tc>
        <w:tc>
          <w:tcPr>
            <w:tcW w:w="8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(256)</w:t>
            </w:r>
          </w:p>
        </w:tc>
        <w:tc>
          <w:tcPr>
            <w:tcW w:w="620" w:type="dxa"/>
            <w:vAlign w:val="bottom"/>
            <w:gridSpan w:val="2"/>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3"/>
          </w:tcPr>
          <w:p>
            <w:pPr>
              <w:jc w:val="right"/>
              <w:ind w:right="288"/>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(256)</w:t>
            </w:r>
          </w:p>
        </w:tc>
        <w:tc>
          <w:tcPr>
            <w:tcW w:w="6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(197)</w:t>
            </w:r>
          </w:p>
        </w:tc>
        <w:tc>
          <w:tcPr>
            <w:tcW w:w="360" w:type="dxa"/>
            <w:vAlign w:val="bottom"/>
            <w:gridSpan w:val="2"/>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(197)</w:t>
            </w:r>
          </w:p>
        </w:tc>
        <w:tc>
          <w:tcPr>
            <w:tcW w:w="100" w:type="dxa"/>
            <w:vAlign w:val="bottom"/>
          </w:tcPr>
          <w:p>
            <w:pPr>
              <w:spacing w:after="0"/>
              <w:rPr>
                <w:sz w:val="11"/>
                <w:szCs w:val="11"/>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(6)</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18"/>
                <w:szCs w:val="18"/>
                <w:color w:val="auto"/>
                <w:vertAlign w:val="superscript"/>
              </w:rPr>
              <w:t>(b)</w:t>
            </w:r>
          </w:p>
        </w:tc>
        <w:tc>
          <w:tcPr>
            <w:tcW w:w="30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3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center"/>
              <w:ind w:right="18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Provision for income taxes (benefit)</w:t>
            </w:r>
          </w:p>
        </w:tc>
        <w:tc>
          <w:tcPr>
            <w:tcW w:w="300" w:type="dxa"/>
            <w:vAlign w:val="bottom"/>
            <w:gridSpan w:val="2"/>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17,840</w:t>
            </w:r>
          </w:p>
        </w:tc>
        <w:tc>
          <w:tcPr>
            <w:tcW w:w="8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(8,604)</w:t>
            </w: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9,236</w:t>
            </w:r>
          </w:p>
        </w:tc>
        <w:tc>
          <w:tcPr>
            <w:tcW w:w="120" w:type="dxa"/>
            <w:vAlign w:val="bottom"/>
          </w:tcPr>
          <w:p>
            <w:pPr>
              <w:spacing w:after="0"/>
              <w:rPr>
                <w:sz w:val="11"/>
                <w:szCs w:val="11"/>
                <w:color w:val="auto"/>
              </w:rPr>
            </w:pPr>
          </w:p>
        </w:tc>
        <w:tc>
          <w:tcPr>
            <w:tcW w:w="620" w:type="dxa"/>
            <w:vAlign w:val="bottom"/>
            <w:gridSpan w:val="2"/>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(4,664)</w:t>
            </w:r>
          </w:p>
        </w:tc>
        <w:tc>
          <w:tcPr>
            <w:tcW w:w="400" w:type="dxa"/>
            <w:vAlign w:val="bottom"/>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4,572</w:t>
            </w:r>
          </w:p>
        </w:tc>
        <w:tc>
          <w:tcPr>
            <w:tcW w:w="6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14,505</w:t>
            </w:r>
          </w:p>
        </w:tc>
        <w:tc>
          <w:tcPr>
            <w:tcW w:w="360" w:type="dxa"/>
            <w:vAlign w:val="bottom"/>
            <w:gridSpan w:val="2"/>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(9,830)</w:t>
            </w:r>
          </w:p>
        </w:tc>
        <w:tc>
          <w:tcPr>
            <w:tcW w:w="300" w:type="dxa"/>
            <w:vAlign w:val="bottom"/>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4,675</w:t>
            </w:r>
          </w:p>
        </w:tc>
        <w:tc>
          <w:tcPr>
            <w:tcW w:w="100" w:type="dxa"/>
            <w:vAlign w:val="bottom"/>
          </w:tcPr>
          <w:p>
            <w:pPr>
              <w:spacing w:after="0"/>
              <w:rPr>
                <w:sz w:val="11"/>
                <w:szCs w:val="11"/>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(2,811)</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Net income (loss)</w:t>
            </w:r>
          </w:p>
        </w:tc>
        <w:tc>
          <w:tcPr>
            <w:tcW w:w="300" w:type="dxa"/>
            <w:vAlign w:val="bottom"/>
            <w:gridSpan w:val="2"/>
            <w:shd w:val="clear" w:color="auto" w:fill="CCEEFF"/>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100,480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17,516</w:t>
            </w: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117,996</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(10,169)</w:t>
            </w:r>
          </w:p>
        </w:tc>
        <w:tc>
          <w:tcPr>
            <w:tcW w:w="4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107,827</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87,679</w:t>
            </w:r>
          </w:p>
        </w:tc>
        <w:tc>
          <w:tcPr>
            <w:tcW w:w="360" w:type="dxa"/>
            <w:vAlign w:val="bottom"/>
            <w:gridSpan w:val="2"/>
            <w:shd w:val="clear" w:color="auto" w:fill="CCEEFF"/>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(1,717)</w:t>
            </w:r>
          </w:p>
        </w:tc>
        <w:tc>
          <w:tcPr>
            <w:tcW w:w="300" w:type="dxa"/>
            <w:vAlign w:val="bottom"/>
            <w:shd w:val="clear" w:color="auto" w:fill="CCEEFF"/>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85,962</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2"/>
              </w:rPr>
              <w:t>(10,577)</w:t>
            </w: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359"/>
        </w:trPr>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gridSpan w:val="6"/>
          </w:tcPr>
          <w:p>
            <w:pPr>
              <w:jc w:val="center"/>
              <w:ind w:left="262"/>
              <w:spacing w:after="0"/>
              <w:rPr>
                <w:sz w:val="20"/>
                <w:szCs w:val="20"/>
                <w:color w:val="auto"/>
              </w:rPr>
            </w:pPr>
            <w:r>
              <w:rPr>
                <w:rFonts w:ascii="Times New Roman" w:cs="Times New Roman" w:eastAsia="Times New Roman" w:hAnsi="Times New Roman"/>
                <w:sz w:val="12"/>
                <w:szCs w:val="12"/>
                <w:color w:val="auto"/>
                <w:w w:val="96"/>
              </w:rPr>
              <w:t>Six Months Ended</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5"/>
          </w:tcPr>
          <w:p>
            <w:pPr>
              <w:jc w:val="center"/>
              <w:ind w:right="20"/>
              <w:spacing w:after="0"/>
              <w:rPr>
                <w:sz w:val="20"/>
                <w:szCs w:val="20"/>
                <w:color w:val="auto"/>
              </w:rPr>
            </w:pPr>
            <w:r>
              <w:rPr>
                <w:rFonts w:ascii="Times New Roman" w:cs="Times New Roman" w:eastAsia="Times New Roman" w:hAnsi="Times New Roman"/>
                <w:sz w:val="12"/>
                <w:szCs w:val="12"/>
                <w:color w:val="auto"/>
                <w:w w:val="96"/>
              </w:rPr>
              <w:t>Six Months Ended</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2"/>
                <w:szCs w:val="12"/>
                <w:color w:val="auto"/>
                <w:w w:val="95"/>
              </w:rPr>
              <w:t>June 30, 2025</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2"/>
                <w:szCs w:val="12"/>
                <w:color w:val="auto"/>
                <w:w w:val="95"/>
              </w:rPr>
              <w:t>June 30, 2024</w:t>
            </w:r>
          </w:p>
        </w:tc>
        <w:tc>
          <w:tcPr>
            <w:tcW w:w="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tcPr>
          <w:p>
            <w:pPr>
              <w:jc w:val="center"/>
              <w:ind w:right="400"/>
              <w:spacing w:after="0" w:line="97" w:lineRule="exact"/>
              <w:rPr>
                <w:sz w:val="20"/>
                <w:szCs w:val="20"/>
                <w:color w:val="auto"/>
              </w:rPr>
            </w:pPr>
            <w:r>
              <w:rPr>
                <w:rFonts w:ascii="Times New Roman" w:cs="Times New Roman" w:eastAsia="Times New Roman" w:hAnsi="Times New Roman"/>
                <w:sz w:val="10"/>
                <w:szCs w:val="10"/>
                <w:color w:val="auto"/>
              </w:rPr>
              <w:t>Total</w:t>
            </w:r>
          </w:p>
        </w:tc>
        <w:tc>
          <w:tcPr>
            <w:tcW w:w="6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2"/>
                <w:szCs w:val="12"/>
                <w:color w:val="auto"/>
              </w:rPr>
              <w:t>Other and</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2"/>
                <w:szCs w:val="12"/>
                <w:color w:val="auto"/>
              </w:rPr>
              <w:t>Regulated</w:t>
            </w:r>
          </w:p>
        </w:tc>
        <w:tc>
          <w:tcPr>
            <w:tcW w:w="148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2"/>
                <w:szCs w:val="12"/>
                <w:color w:val="auto"/>
                <w:w w:val="96"/>
              </w:rPr>
              <w:t>Total Reportable</w:t>
            </w: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auto"/>
              </w:rPr>
              <w:t>Regulated Water</w:t>
            </w:r>
          </w:p>
        </w:tc>
        <w:tc>
          <w:tcPr>
            <w:tcW w:w="12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w w:val="98"/>
              </w:rPr>
              <w:t>Regulated Natural Gas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2"/>
                <w:szCs w:val="12"/>
                <w:color w:val="auto"/>
                <w:w w:val="98"/>
              </w:rPr>
              <w:t>Reportable</w:t>
            </w:r>
          </w:p>
        </w:tc>
        <w:tc>
          <w:tcPr>
            <w:tcW w:w="620" w:type="dxa"/>
            <w:vAlign w:val="bottom"/>
            <w:gridSpan w:val="2"/>
            <w:vMerge w:val="continue"/>
          </w:tcPr>
          <w:p>
            <w:pPr>
              <w:spacing w:after="0"/>
              <w:rPr>
                <w:sz w:val="10"/>
                <w:szCs w:val="10"/>
                <w:color w:val="auto"/>
              </w:rPr>
            </w:pPr>
          </w:p>
        </w:tc>
        <w:tc>
          <w:tcPr>
            <w:tcW w:w="9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2"/>
                <w:szCs w:val="12"/>
                <w:color w:val="auto"/>
              </w:rPr>
              <w:t>Consolidated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2"/>
                <w:szCs w:val="12"/>
                <w:color w:val="auto"/>
                <w:w w:val="96"/>
              </w:rPr>
              <w:t>Regulated Water</w:t>
            </w:r>
          </w:p>
        </w:tc>
        <w:tc>
          <w:tcPr>
            <w:tcW w:w="720" w:type="dxa"/>
            <w:vAlign w:val="bottom"/>
            <w:gridSpan w:val="3"/>
            <w:vMerge w:val="continue"/>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Consoli</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Segments</w:t>
            </w:r>
          </w:p>
        </w:tc>
        <w:tc>
          <w:tcPr>
            <w:tcW w:w="200" w:type="dxa"/>
            <w:vAlign w:val="bottom"/>
          </w:tcPr>
          <w:p>
            <w:pPr>
              <w:spacing w:after="0"/>
              <w:rPr>
                <w:sz w:val="12"/>
                <w:szCs w:val="12"/>
                <w:color w:val="auto"/>
              </w:rPr>
            </w:pPr>
          </w:p>
        </w:tc>
        <w:tc>
          <w:tcPr>
            <w:tcW w:w="420" w:type="dxa"/>
            <w:vAlign w:val="bottom"/>
          </w:tcPr>
          <w:p>
            <w:pPr>
              <w:jc w:val="right"/>
              <w:ind w:right="85"/>
              <w:spacing w:after="0"/>
              <w:rPr>
                <w:sz w:val="20"/>
                <w:szCs w:val="20"/>
                <w:color w:val="auto"/>
              </w:rPr>
            </w:pPr>
            <w:r>
              <w:rPr>
                <w:rFonts w:ascii="Times New Roman" w:cs="Times New Roman" w:eastAsia="Times New Roman" w:hAnsi="Times New Roman"/>
                <w:sz w:val="12"/>
                <w:szCs w:val="12"/>
                <w:color w:val="auto"/>
                <w:w w:val="92"/>
              </w:rPr>
              <w:t>Elims</w:t>
            </w: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Natural Gas</w:t>
            </w:r>
          </w:p>
        </w:tc>
        <w:tc>
          <w:tcPr>
            <w:tcW w:w="820" w:type="dxa"/>
            <w:vAlign w:val="bottom"/>
            <w:gridSpan w:val="3"/>
          </w:tcPr>
          <w:p>
            <w:pPr>
              <w:jc w:val="center"/>
              <w:ind w:left="202"/>
              <w:spacing w:after="0"/>
              <w:rPr>
                <w:sz w:val="20"/>
                <w:szCs w:val="20"/>
                <w:color w:val="auto"/>
              </w:rPr>
            </w:pPr>
            <w:r>
              <w:rPr>
                <w:rFonts w:ascii="Times New Roman" w:cs="Times New Roman" w:eastAsia="Times New Roman" w:hAnsi="Times New Roman"/>
                <w:sz w:val="12"/>
                <w:szCs w:val="12"/>
                <w:color w:val="auto"/>
                <w:w w:val="94"/>
              </w:rPr>
              <w:t>Segments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Other and Elims</w:t>
            </w: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80" w:type="dxa"/>
            <w:vAlign w:val="bottom"/>
            <w:tcBorders>
              <w:top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Revenues from external customers</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633,130</w:t>
            </w: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646,212</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1,279,342</w:t>
            </w: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gridSpan w:val="2"/>
            <w:shd w:val="clear" w:color="auto" w:fill="CCEEFF"/>
          </w:tcPr>
          <w:p>
            <w:pPr>
              <w:jc w:val="right"/>
              <w:ind w:right="305"/>
              <w:spacing w:after="0" w:line="120"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19,191</w:t>
            </w:r>
          </w:p>
        </w:tc>
        <w:tc>
          <w:tcPr>
            <w:tcW w:w="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1,298,533</w:t>
            </w:r>
          </w:p>
        </w:tc>
        <w:tc>
          <w:tcPr>
            <w:tcW w:w="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582,372</w:t>
            </w:r>
          </w:p>
        </w:tc>
        <w:tc>
          <w:tcPr>
            <w:tcW w:w="360" w:type="dxa"/>
            <w:vAlign w:val="bottom"/>
            <w:tcBorders>
              <w:top w:val="single" w:sz="8" w:color="auto"/>
            </w:tcBorders>
            <w:gridSpan w:val="2"/>
            <w:shd w:val="clear" w:color="auto" w:fill="CCEEFF"/>
          </w:tcPr>
          <w:p>
            <w:pPr>
              <w:jc w:val="right"/>
              <w:ind w:right="208"/>
              <w:spacing w:after="0" w:line="12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w w:val="97"/>
              </w:rPr>
              <w:t>451,133</w:t>
            </w: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right="182"/>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1,033,505</w:t>
            </w: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12,970</w:t>
            </w:r>
          </w:p>
        </w:tc>
        <w:tc>
          <w:tcPr>
            <w:tcW w:w="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Intersegment revenues</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1,906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1,906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(1,906)</w:t>
            </w:r>
          </w:p>
        </w:tc>
        <w:tc>
          <w:tcPr>
            <w:tcW w:w="400" w:type="dxa"/>
            <w:vAlign w:val="bottom"/>
          </w:tcPr>
          <w:p>
            <w:pPr>
              <w:spacing w:after="0"/>
              <w:rPr>
                <w:sz w:val="11"/>
                <w:szCs w:val="11"/>
                <w:color w:val="auto"/>
              </w:rPr>
            </w:pP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1,386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1,386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(1,386)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8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Total operating revenues</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633,130</w:t>
            </w: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648,118</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1,281,248</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17,285</w:t>
            </w: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gridSpan w:val="3"/>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1,298,533</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582,372</w:t>
            </w:r>
          </w:p>
        </w:tc>
        <w:tc>
          <w:tcPr>
            <w:tcW w:w="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w w:val="97"/>
              </w:rPr>
              <w:t>452,519</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right="182"/>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1,034,891</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11,584</w:t>
            </w: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Operations and maintenance expense</w:t>
            </w:r>
          </w:p>
        </w:tc>
        <w:tc>
          <w:tcPr>
            <w:tcW w:w="300" w:type="dxa"/>
            <w:vAlign w:val="bottom"/>
            <w:gridSpan w:val="2"/>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189,567</w:t>
            </w:r>
          </w:p>
        </w:tc>
        <w:tc>
          <w:tcPr>
            <w:tcW w:w="8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105,461</w:t>
            </w:r>
          </w:p>
        </w:tc>
        <w:tc>
          <w:tcPr>
            <w:tcW w:w="60" w:type="dxa"/>
            <w:vAlign w:val="bottom"/>
          </w:tcPr>
          <w:p>
            <w:pPr>
              <w:spacing w:after="0"/>
              <w:rPr>
                <w:sz w:val="11"/>
                <w:szCs w:val="11"/>
                <w:color w:val="auto"/>
              </w:rPr>
            </w:pP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295,028</w:t>
            </w:r>
          </w:p>
        </w:tc>
        <w:tc>
          <w:tcPr>
            <w:tcW w:w="120" w:type="dxa"/>
            <w:vAlign w:val="bottom"/>
          </w:tcPr>
          <w:p>
            <w:pPr>
              <w:spacing w:after="0"/>
              <w:rPr>
                <w:sz w:val="11"/>
                <w:szCs w:val="11"/>
                <w:color w:val="auto"/>
              </w:rPr>
            </w:pPr>
          </w:p>
        </w:tc>
        <w:tc>
          <w:tcPr>
            <w:tcW w:w="620" w:type="dxa"/>
            <w:vAlign w:val="bottom"/>
            <w:gridSpan w:val="2"/>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(8,694)</w:t>
            </w:r>
          </w:p>
        </w:tc>
        <w:tc>
          <w:tcPr>
            <w:tcW w:w="400" w:type="dxa"/>
            <w:vAlign w:val="bottom"/>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286,334</w:t>
            </w:r>
          </w:p>
        </w:tc>
        <w:tc>
          <w:tcPr>
            <w:tcW w:w="6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186,258</w:t>
            </w:r>
          </w:p>
        </w:tc>
        <w:tc>
          <w:tcPr>
            <w:tcW w:w="360" w:type="dxa"/>
            <w:vAlign w:val="bottom"/>
            <w:gridSpan w:val="2"/>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95,626</w:t>
            </w:r>
          </w:p>
        </w:tc>
        <w:tc>
          <w:tcPr>
            <w:tcW w:w="100" w:type="dxa"/>
            <w:vAlign w:val="bottom"/>
          </w:tcPr>
          <w:p>
            <w:pPr>
              <w:spacing w:after="0"/>
              <w:rPr>
                <w:sz w:val="11"/>
                <w:szCs w:val="11"/>
                <w:color w:val="auto"/>
              </w:rPr>
            </w:pPr>
          </w:p>
        </w:tc>
        <w:tc>
          <w:tcPr>
            <w:tcW w:w="300" w:type="dxa"/>
            <w:vAlign w:val="bottom"/>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281,884</w:t>
            </w:r>
          </w:p>
        </w:tc>
        <w:tc>
          <w:tcPr>
            <w:tcW w:w="100" w:type="dxa"/>
            <w:vAlign w:val="bottom"/>
          </w:tcPr>
          <w:p>
            <w:pPr>
              <w:spacing w:after="0"/>
              <w:rPr>
                <w:sz w:val="11"/>
                <w:szCs w:val="11"/>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(2,472)</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Purchased gas</w:t>
            </w:r>
          </w:p>
        </w:tc>
        <w:tc>
          <w:tcPr>
            <w:tcW w:w="300" w:type="dxa"/>
            <w:vAlign w:val="bottom"/>
            <w:gridSpan w:val="2"/>
            <w:shd w:val="clear" w:color="auto" w:fill="CCEEFF"/>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230,491</w:t>
            </w: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230,491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10,885</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241,376</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 $</w:t>
            </w: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7"/>
              </w:rPr>
              <w:t>158,222</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158,222</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5,181</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gridSpan w:val="2"/>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125,360</w:t>
            </w:r>
          </w:p>
        </w:tc>
        <w:tc>
          <w:tcPr>
            <w:tcW w:w="8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76,638</w:t>
            </w:r>
          </w:p>
        </w:tc>
        <w:tc>
          <w:tcPr>
            <w:tcW w:w="60" w:type="dxa"/>
            <w:vAlign w:val="bottom"/>
          </w:tcPr>
          <w:p>
            <w:pPr>
              <w:spacing w:after="0"/>
              <w:rPr>
                <w:sz w:val="11"/>
                <w:szCs w:val="11"/>
                <w:color w:val="auto"/>
              </w:rPr>
            </w:pP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201,998</w:t>
            </w:r>
          </w:p>
        </w:tc>
        <w:tc>
          <w:tcPr>
            <w:tcW w:w="120" w:type="dxa"/>
            <w:vAlign w:val="bottom"/>
          </w:tcPr>
          <w:p>
            <w:pPr>
              <w:spacing w:after="0"/>
              <w:rPr>
                <w:sz w:val="11"/>
                <w:szCs w:val="11"/>
                <w:color w:val="auto"/>
              </w:rPr>
            </w:pPr>
          </w:p>
        </w:tc>
        <w:tc>
          <w:tcPr>
            <w:tcW w:w="620" w:type="dxa"/>
            <w:vAlign w:val="bottom"/>
            <w:gridSpan w:val="2"/>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898</w:t>
            </w:r>
          </w:p>
        </w:tc>
        <w:tc>
          <w:tcPr>
            <w:tcW w:w="40" w:type="dxa"/>
            <w:vAlign w:val="bottom"/>
          </w:tcPr>
          <w:p>
            <w:pPr>
              <w:spacing w:after="0"/>
              <w:rPr>
                <w:sz w:val="11"/>
                <w:szCs w:val="11"/>
                <w:color w:val="auto"/>
              </w:rPr>
            </w:pPr>
          </w:p>
        </w:tc>
        <w:tc>
          <w:tcPr>
            <w:tcW w:w="400" w:type="dxa"/>
            <w:vAlign w:val="bottom"/>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202,896</w:t>
            </w:r>
          </w:p>
        </w:tc>
        <w:tc>
          <w:tcPr>
            <w:tcW w:w="6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114,819</w:t>
            </w:r>
          </w:p>
        </w:tc>
        <w:tc>
          <w:tcPr>
            <w:tcW w:w="360" w:type="dxa"/>
            <w:vAlign w:val="bottom"/>
            <w:gridSpan w:val="2"/>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65,043</w:t>
            </w:r>
          </w:p>
        </w:tc>
        <w:tc>
          <w:tcPr>
            <w:tcW w:w="100" w:type="dxa"/>
            <w:vAlign w:val="bottom"/>
          </w:tcPr>
          <w:p>
            <w:pPr>
              <w:spacing w:after="0"/>
              <w:rPr>
                <w:sz w:val="11"/>
                <w:szCs w:val="11"/>
                <w:color w:val="auto"/>
              </w:rPr>
            </w:pPr>
          </w:p>
        </w:tc>
        <w:tc>
          <w:tcPr>
            <w:tcW w:w="300" w:type="dxa"/>
            <w:vAlign w:val="bottom"/>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179,862</w:t>
            </w:r>
          </w:p>
        </w:tc>
        <w:tc>
          <w:tcPr>
            <w:tcW w:w="100" w:type="dxa"/>
            <w:vAlign w:val="bottom"/>
          </w:tcPr>
          <w:p>
            <w:pPr>
              <w:spacing w:after="0"/>
              <w:rPr>
                <w:sz w:val="11"/>
                <w:szCs w:val="11"/>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588</w:t>
            </w:r>
          </w:p>
        </w:tc>
        <w:tc>
          <w:tcPr>
            <w:tcW w:w="4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Taxes other than income taxes</w:t>
            </w:r>
          </w:p>
        </w:tc>
        <w:tc>
          <w:tcPr>
            <w:tcW w:w="300" w:type="dxa"/>
            <w:vAlign w:val="bottom"/>
            <w:gridSpan w:val="2"/>
            <w:shd w:val="clear" w:color="auto" w:fill="CCEEFF"/>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33,247</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8,245</w:t>
            </w: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41,492</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2,259</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43,751</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32,749</w:t>
            </w:r>
          </w:p>
        </w:tc>
        <w:tc>
          <w:tcPr>
            <w:tcW w:w="360" w:type="dxa"/>
            <w:vAlign w:val="bottom"/>
            <w:gridSpan w:val="2"/>
            <w:shd w:val="clear" w:color="auto" w:fill="CCEEFF"/>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12,323</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45,072</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2,185</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Interest expense, net</w:t>
            </w:r>
          </w:p>
        </w:tc>
        <w:tc>
          <w:tcPr>
            <w:tcW w:w="300" w:type="dxa"/>
            <w:vAlign w:val="bottom"/>
            <w:gridSpan w:val="2"/>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73,595</w:t>
            </w:r>
          </w:p>
        </w:tc>
        <w:tc>
          <w:tcPr>
            <w:tcW w:w="8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51,973</w:t>
            </w:r>
          </w:p>
        </w:tc>
        <w:tc>
          <w:tcPr>
            <w:tcW w:w="60" w:type="dxa"/>
            <w:vAlign w:val="bottom"/>
          </w:tcPr>
          <w:p>
            <w:pPr>
              <w:spacing w:after="0"/>
              <w:rPr>
                <w:sz w:val="11"/>
                <w:szCs w:val="11"/>
                <w:color w:val="auto"/>
              </w:rPr>
            </w:pP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125,568</w:t>
            </w:r>
          </w:p>
        </w:tc>
        <w:tc>
          <w:tcPr>
            <w:tcW w:w="120" w:type="dxa"/>
            <w:vAlign w:val="bottom"/>
          </w:tcPr>
          <w:p>
            <w:pPr>
              <w:spacing w:after="0"/>
              <w:rPr>
                <w:sz w:val="11"/>
                <w:szCs w:val="11"/>
                <w:color w:val="auto"/>
              </w:rPr>
            </w:pPr>
          </w:p>
        </w:tc>
        <w:tc>
          <w:tcPr>
            <w:tcW w:w="620" w:type="dxa"/>
            <w:vAlign w:val="bottom"/>
            <w:gridSpan w:val="2"/>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35,776</w:t>
            </w:r>
          </w:p>
        </w:tc>
        <w:tc>
          <w:tcPr>
            <w:tcW w:w="40" w:type="dxa"/>
            <w:vAlign w:val="bottom"/>
          </w:tcPr>
          <w:p>
            <w:pPr>
              <w:spacing w:after="0"/>
              <w:rPr>
                <w:sz w:val="11"/>
                <w:szCs w:val="11"/>
                <w:color w:val="auto"/>
              </w:rPr>
            </w:pPr>
          </w:p>
        </w:tc>
        <w:tc>
          <w:tcPr>
            <w:tcW w:w="400" w:type="dxa"/>
            <w:vAlign w:val="bottom"/>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161,344</w:t>
            </w:r>
          </w:p>
        </w:tc>
        <w:tc>
          <w:tcPr>
            <w:tcW w:w="6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69,240</w:t>
            </w:r>
          </w:p>
        </w:tc>
        <w:tc>
          <w:tcPr>
            <w:tcW w:w="360" w:type="dxa"/>
            <w:vAlign w:val="bottom"/>
            <w:gridSpan w:val="2"/>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46,225</w:t>
            </w:r>
          </w:p>
        </w:tc>
        <w:tc>
          <w:tcPr>
            <w:tcW w:w="100" w:type="dxa"/>
            <w:vAlign w:val="bottom"/>
          </w:tcPr>
          <w:p>
            <w:pPr>
              <w:spacing w:after="0"/>
              <w:rPr>
                <w:sz w:val="11"/>
                <w:szCs w:val="11"/>
                <w:color w:val="auto"/>
              </w:rPr>
            </w:pPr>
          </w:p>
        </w:tc>
        <w:tc>
          <w:tcPr>
            <w:tcW w:w="300" w:type="dxa"/>
            <w:vAlign w:val="bottom"/>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115,465</w:t>
            </w:r>
          </w:p>
        </w:tc>
        <w:tc>
          <w:tcPr>
            <w:tcW w:w="100" w:type="dxa"/>
            <w:vAlign w:val="bottom"/>
          </w:tcPr>
          <w:p>
            <w:pPr>
              <w:spacing w:after="0"/>
              <w:rPr>
                <w:sz w:val="11"/>
                <w:szCs w:val="11"/>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29,588</w:t>
            </w:r>
          </w:p>
        </w:tc>
        <w:tc>
          <w:tcPr>
            <w:tcW w:w="4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w w:val="98"/>
              </w:rPr>
              <w:t>Allowance for funds used during construction</w:t>
            </w:r>
          </w:p>
        </w:tc>
        <w:tc>
          <w:tcPr>
            <w:tcW w:w="300" w:type="dxa"/>
            <w:vAlign w:val="bottom"/>
            <w:gridSpan w:val="2"/>
            <w:shd w:val="clear" w:color="auto" w:fill="CCEEFF"/>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(10,354)</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(2,505)</w:t>
            </w:r>
          </w:p>
        </w:tc>
        <w:tc>
          <w:tcPr>
            <w:tcW w:w="2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(12,859)</w:t>
            </w:r>
          </w:p>
        </w:tc>
        <w:tc>
          <w:tcPr>
            <w:tcW w:w="620" w:type="dxa"/>
            <w:vAlign w:val="bottom"/>
            <w:gridSpan w:val="2"/>
            <w:shd w:val="clear" w:color="auto" w:fill="CCEEFF"/>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3"/>
            <w:shd w:val="clear" w:color="auto" w:fill="CCEEFF"/>
          </w:tcPr>
          <w:p>
            <w:pPr>
              <w:jc w:val="right"/>
              <w:ind w:right="288"/>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(12,859)</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7"/>
              </w:rPr>
              <w:t>(7,650)</w:t>
            </w:r>
          </w:p>
        </w:tc>
        <w:tc>
          <w:tcPr>
            <w:tcW w:w="360" w:type="dxa"/>
            <w:vAlign w:val="bottom"/>
            <w:gridSpan w:val="2"/>
            <w:shd w:val="clear" w:color="auto" w:fill="CCEEFF"/>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(2,260)</w:t>
            </w:r>
          </w:p>
        </w:tc>
        <w:tc>
          <w:tcPr>
            <w:tcW w:w="300" w:type="dxa"/>
            <w:vAlign w:val="bottom"/>
            <w:shd w:val="clear" w:color="auto" w:fill="CCEEFF"/>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(9,910)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3"/>
            <w:shd w:val="clear" w:color="auto" w:fill="CCEEFF"/>
          </w:tcPr>
          <w:p>
            <w:pPr>
              <w:jc w:val="right"/>
              <w:ind w:right="108"/>
              <w:spacing w:after="0" w:line="128"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62"/>
        </w:trPr>
        <w:tc>
          <w:tcPr>
            <w:tcW w:w="2180" w:type="dxa"/>
            <w:vAlign w:val="bottom"/>
          </w:tcPr>
          <w:p>
            <w:pPr>
              <w:spacing w:after="0" w:line="162" w:lineRule="exact"/>
              <w:rPr>
                <w:sz w:val="20"/>
                <w:szCs w:val="20"/>
                <w:color w:val="auto"/>
              </w:rPr>
            </w:pPr>
            <w:r>
              <w:rPr>
                <w:rFonts w:ascii="Times New Roman" w:cs="Times New Roman" w:eastAsia="Times New Roman" w:hAnsi="Times New Roman"/>
                <w:sz w:val="11"/>
                <w:szCs w:val="11"/>
                <w:color w:val="auto"/>
              </w:rPr>
              <w:t xml:space="preserve">Gain on sale of other assets </w:t>
            </w:r>
            <w:r>
              <w:rPr>
                <w:rFonts w:ascii="Times New Roman" w:cs="Times New Roman" w:eastAsia="Times New Roman" w:hAnsi="Times New Roman"/>
                <w:sz w:val="18"/>
                <w:szCs w:val="18"/>
                <w:color w:val="auto"/>
                <w:vertAlign w:val="superscript"/>
              </w:rPr>
              <w:t>(a)</w:t>
            </w:r>
          </w:p>
        </w:tc>
        <w:tc>
          <w:tcPr>
            <w:tcW w:w="30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w:t>
            </w:r>
          </w:p>
        </w:tc>
        <w:tc>
          <w:tcPr>
            <w:tcW w:w="80" w:type="dxa"/>
            <w:vAlign w:val="bottom"/>
          </w:tcPr>
          <w:p>
            <w:pPr>
              <w:spacing w:after="0"/>
              <w:rPr>
                <w:sz w:val="14"/>
                <w:szCs w:val="14"/>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(493)</w:t>
            </w:r>
          </w:p>
        </w:tc>
        <w:tc>
          <w:tcPr>
            <w:tcW w:w="620" w:type="dxa"/>
            <w:vAlign w:val="bottom"/>
            <w:gridSpan w:val="2"/>
          </w:tcPr>
          <w:p>
            <w:pPr>
              <w:jc w:val="right"/>
              <w:ind w:right="305"/>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3"/>
          </w:tcPr>
          <w:p>
            <w:pPr>
              <w:jc w:val="right"/>
              <w:ind w:right="28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(493)</w:t>
            </w:r>
          </w:p>
        </w:tc>
        <w:tc>
          <w:tcPr>
            <w:tcW w:w="60" w:type="dxa"/>
            <w:vAlign w:val="bottom"/>
          </w:tcPr>
          <w:p>
            <w:pPr>
              <w:spacing w:after="0"/>
              <w:rPr>
                <w:sz w:val="14"/>
                <w:szCs w:val="14"/>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360" w:type="dxa"/>
            <w:vAlign w:val="bottom"/>
            <w:gridSpan w:val="2"/>
          </w:tcPr>
          <w:p>
            <w:pPr>
              <w:jc w:val="right"/>
              <w:ind w:right="208"/>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7"/>
              </w:rPr>
              <w:t>(91,581)</w:t>
            </w:r>
          </w:p>
        </w:tc>
        <w:tc>
          <w:tcPr>
            <w:tcW w:w="300" w:type="dxa"/>
            <w:vAlign w:val="bottom"/>
          </w:tcPr>
          <w:p>
            <w:pPr>
              <w:jc w:val="center"/>
              <w:ind w:right="18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(91,822)</w:t>
            </w:r>
          </w:p>
        </w:tc>
        <w:tc>
          <w:tcPr>
            <w:tcW w:w="100" w:type="dxa"/>
            <w:vAlign w:val="bottom"/>
          </w:tcPr>
          <w:p>
            <w:pPr>
              <w:spacing w:after="0"/>
              <w:rPr>
                <w:sz w:val="14"/>
                <w:szCs w:val="14"/>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18"/>
                <w:szCs w:val="18"/>
                <w:color w:val="auto"/>
                <w:vertAlign w:val="superscript"/>
              </w:rPr>
              <w:t>(b)</w:t>
            </w:r>
          </w:p>
        </w:tc>
        <w:tc>
          <w:tcPr>
            <w:tcW w:w="30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3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(322)</w:t>
            </w:r>
          </w:p>
        </w:tc>
        <w:tc>
          <w:tcPr>
            <w:tcW w:w="300" w:type="dxa"/>
            <w:vAlign w:val="bottom"/>
            <w:shd w:val="clear" w:color="auto" w:fill="CCEEFF"/>
          </w:tcPr>
          <w:p>
            <w:pPr>
              <w:jc w:val="center"/>
              <w:ind w:right="18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Provision for income taxes (benefit)</w:t>
            </w:r>
          </w:p>
        </w:tc>
        <w:tc>
          <w:tcPr>
            <w:tcW w:w="300" w:type="dxa"/>
            <w:vAlign w:val="bottom"/>
            <w:gridSpan w:val="2"/>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13,269</w:t>
            </w:r>
          </w:p>
        </w:tc>
        <w:tc>
          <w:tcPr>
            <w:tcW w:w="8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(28,952)</w:t>
            </w: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(15,683)</w:t>
            </w:r>
          </w:p>
        </w:tc>
        <w:tc>
          <w:tcPr>
            <w:tcW w:w="620" w:type="dxa"/>
            <w:vAlign w:val="bottom"/>
            <w:gridSpan w:val="2"/>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(340)</w:t>
            </w:r>
          </w:p>
        </w:tc>
        <w:tc>
          <w:tcPr>
            <w:tcW w:w="400" w:type="dxa"/>
            <w:vAlign w:val="bottom"/>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(16,023)</w:t>
            </w:r>
          </w:p>
        </w:tc>
        <w:tc>
          <w:tcPr>
            <w:tcW w:w="6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35,315</w:t>
            </w:r>
          </w:p>
        </w:tc>
        <w:tc>
          <w:tcPr>
            <w:tcW w:w="360" w:type="dxa"/>
            <w:vAlign w:val="bottom"/>
            <w:gridSpan w:val="2"/>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w w:val="97"/>
              </w:rPr>
              <w:t>(38,980)</w:t>
            </w:r>
          </w:p>
        </w:tc>
        <w:tc>
          <w:tcPr>
            <w:tcW w:w="300" w:type="dxa"/>
            <w:vAlign w:val="bottom"/>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(3,665)</w:t>
            </w:r>
          </w:p>
        </w:tc>
        <w:tc>
          <w:tcPr>
            <w:tcW w:w="100" w:type="dxa"/>
            <w:vAlign w:val="bottom"/>
          </w:tcPr>
          <w:p>
            <w:pPr>
              <w:spacing w:after="0"/>
              <w:rPr>
                <w:sz w:val="11"/>
                <w:szCs w:val="11"/>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(5,113)</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27"/>
        </w:trPr>
        <w:tc>
          <w:tcPr>
            <w:tcW w:w="21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Net income (loss)</w:t>
            </w:r>
          </w:p>
        </w:tc>
        <w:tc>
          <w:tcPr>
            <w:tcW w:w="300" w:type="dxa"/>
            <w:vAlign w:val="bottom"/>
            <w:gridSpan w:val="2"/>
            <w:shd w:val="clear" w:color="auto" w:fill="CCEEFF"/>
          </w:tcPr>
          <w:p>
            <w:pPr>
              <w:jc w:val="right"/>
              <w:ind w:right="1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208,402</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207,021</w:t>
            </w: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415,423</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05"/>
              <w:spacing w:after="0" w:line="12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(23,807)</w:t>
            </w:r>
          </w:p>
        </w:tc>
        <w:tc>
          <w:tcPr>
            <w:tcW w:w="4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391,616</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151,583</w:t>
            </w:r>
          </w:p>
        </w:tc>
        <w:tc>
          <w:tcPr>
            <w:tcW w:w="360" w:type="dxa"/>
            <w:vAlign w:val="bottom"/>
            <w:gridSpan w:val="2"/>
            <w:shd w:val="clear" w:color="auto" w:fill="CCEEFF"/>
          </w:tcPr>
          <w:p>
            <w:pPr>
              <w:jc w:val="right"/>
              <w:ind w:right="208"/>
              <w:spacing w:after="0" w:line="12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7"/>
              </w:rPr>
              <w:t>208,223</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right="182"/>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359,806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2"/>
              </w:rPr>
              <w:t>(18,649)</w:t>
            </w: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Capital expenditures</w:t>
            </w:r>
          </w:p>
        </w:tc>
        <w:tc>
          <w:tcPr>
            <w:tcW w:w="30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316,378</w:t>
            </w:r>
          </w:p>
        </w:tc>
        <w:tc>
          <w:tcPr>
            <w:tcW w:w="80" w:type="dxa"/>
            <w:vAlign w:val="bottom"/>
          </w:tcPr>
          <w:p>
            <w:pPr>
              <w:spacing w:after="0"/>
              <w:rPr>
                <w:sz w:val="12"/>
                <w:szCs w:val="12"/>
                <w:color w:val="auto"/>
              </w:rPr>
            </w:pP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296,251</w:t>
            </w:r>
          </w:p>
        </w:tc>
        <w:tc>
          <w:tcPr>
            <w:tcW w:w="6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612,629</w:t>
            </w:r>
          </w:p>
        </w:tc>
        <w:tc>
          <w:tcPr>
            <w:tcW w:w="120" w:type="dxa"/>
            <w:vAlign w:val="bottom"/>
          </w:tcPr>
          <w:p>
            <w:pPr>
              <w:spacing w:after="0"/>
              <w:rPr>
                <w:sz w:val="12"/>
                <w:szCs w:val="12"/>
                <w:color w:val="auto"/>
              </w:rPr>
            </w:pPr>
          </w:p>
        </w:tc>
        <w:tc>
          <w:tcPr>
            <w:tcW w:w="620" w:type="dxa"/>
            <w:vAlign w:val="bottom"/>
            <w:gridSpan w:val="2"/>
          </w:tcPr>
          <w:p>
            <w:pPr>
              <w:jc w:val="right"/>
              <w:ind w:right="305"/>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3"/>
          </w:tcPr>
          <w:p>
            <w:pPr>
              <w:jc w:val="right"/>
              <w:ind w:right="28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612,629</w:t>
            </w:r>
          </w:p>
        </w:tc>
        <w:tc>
          <w:tcPr>
            <w:tcW w:w="60" w:type="dxa"/>
            <w:vAlign w:val="bottom"/>
          </w:tcPr>
          <w:p>
            <w:pPr>
              <w:spacing w:after="0"/>
              <w:rPr>
                <w:sz w:val="12"/>
                <w:szCs w:val="12"/>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302,085</w:t>
            </w:r>
          </w:p>
        </w:tc>
        <w:tc>
          <w:tcPr>
            <w:tcW w:w="360" w:type="dxa"/>
            <w:vAlign w:val="bottom"/>
            <w:gridSpan w:val="2"/>
          </w:tcPr>
          <w:p>
            <w:pPr>
              <w:jc w:val="right"/>
              <w:ind w:right="208"/>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246,783</w:t>
            </w:r>
          </w:p>
        </w:tc>
        <w:tc>
          <w:tcPr>
            <w:tcW w:w="100" w:type="dxa"/>
            <w:vAlign w:val="bottom"/>
          </w:tcPr>
          <w:p>
            <w:pPr>
              <w:spacing w:after="0"/>
              <w:rPr>
                <w:sz w:val="12"/>
                <w:szCs w:val="12"/>
                <w:color w:val="auto"/>
              </w:rPr>
            </w:pPr>
          </w:p>
        </w:tc>
        <w:tc>
          <w:tcPr>
            <w:tcW w:w="300" w:type="dxa"/>
            <w:vAlign w:val="bottom"/>
          </w:tcPr>
          <w:p>
            <w:pPr>
              <w:jc w:val="center"/>
              <w:ind w:right="18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548,868</w:t>
            </w:r>
          </w:p>
        </w:tc>
        <w:tc>
          <w:tcPr>
            <w:tcW w:w="100" w:type="dxa"/>
            <w:vAlign w:val="bottom"/>
          </w:tcPr>
          <w:p>
            <w:pPr>
              <w:spacing w:after="0"/>
              <w:rPr>
                <w:sz w:val="12"/>
                <w:szCs w:val="12"/>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3"/>
          </w:tcPr>
          <w:p>
            <w:pPr>
              <w:jc w:val="right"/>
              <w:ind w:right="108"/>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8" w:hanging="208"/>
        <w:spacing w:after="0"/>
        <w:tabs>
          <w:tab w:leader="none" w:pos="208" w:val="left"/>
        </w:tabs>
        <w:numPr>
          <w:ilvl w:val="0"/>
          <w:numId w:val="3"/>
        </w:numPr>
        <w:rPr>
          <w:rFonts w:ascii="Arial" w:cs="Arial" w:eastAsia="Arial" w:hAnsi="Arial"/>
          <w:sz w:val="25"/>
          <w:szCs w:val="25"/>
          <w:color w:val="auto"/>
          <w:vertAlign w:val="superscript"/>
        </w:rPr>
      </w:pPr>
      <w:r>
        <w:rPr>
          <w:rFonts w:ascii="Times New Roman" w:cs="Times New Roman" w:eastAsia="Times New Roman" w:hAnsi="Times New Roman"/>
          <w:sz w:val="13"/>
          <w:szCs w:val="13"/>
          <w:color w:val="auto"/>
        </w:rPr>
        <w:t xml:space="preserve">Refer to Note 4 – </w:t>
      </w:r>
      <w:r>
        <w:rPr>
          <w:rFonts w:ascii="Times New Roman" w:cs="Times New Roman" w:eastAsia="Times New Roman" w:hAnsi="Times New Roman"/>
          <w:sz w:val="13"/>
          <w:szCs w:val="13"/>
          <w:i w:val="1"/>
          <w:iCs w:val="1"/>
          <w:color w:val="auto"/>
        </w:rPr>
        <w:t>Dispositions</w:t>
      </w:r>
      <w:r>
        <w:rPr>
          <w:rFonts w:ascii="Times New Roman" w:cs="Times New Roman" w:eastAsia="Times New Roman" w:hAnsi="Times New Roman"/>
          <w:sz w:val="13"/>
          <w:szCs w:val="13"/>
          <w:color w:val="auto"/>
        </w:rPr>
        <w:t xml:space="preserve"> for additional information.</w:t>
      </w:r>
    </w:p>
    <w:p>
      <w:pPr>
        <w:spacing w:after="0" w:line="42" w:lineRule="exact"/>
        <w:rPr>
          <w:rFonts w:ascii="Arial" w:cs="Arial" w:eastAsia="Arial" w:hAnsi="Arial"/>
          <w:sz w:val="25"/>
          <w:szCs w:val="25"/>
          <w:color w:val="auto"/>
          <w:vertAlign w:val="superscript"/>
        </w:rPr>
      </w:pPr>
    </w:p>
    <w:p>
      <w:pPr>
        <w:ind w:left="228" w:hanging="228"/>
        <w:spacing w:after="0" w:line="181" w:lineRule="auto"/>
        <w:tabs>
          <w:tab w:leader="none" w:pos="228" w:val="left"/>
        </w:tabs>
        <w:numPr>
          <w:ilvl w:val="0"/>
          <w:numId w:val="3"/>
        </w:numPr>
        <w:rPr>
          <w:rFonts w:ascii="Arial" w:cs="Arial" w:eastAsia="Arial" w:hAnsi="Arial"/>
          <w:sz w:val="19"/>
          <w:szCs w:val="19"/>
          <w:color w:val="auto"/>
          <w:vertAlign w:val="superscript"/>
        </w:rPr>
      </w:pPr>
      <w:r>
        <w:rPr>
          <w:rFonts w:ascii="Times New Roman" w:cs="Times New Roman" w:eastAsia="Times New Roman" w:hAnsi="Times New Roman"/>
          <w:sz w:val="11"/>
          <w:szCs w:val="11"/>
          <w:color w:val="auto"/>
        </w:rPr>
        <w:t>Other segment items mainly consists of the non-service cost component of pension and other postretirement benefits for our regulated segments.</w:t>
      </w:r>
    </w:p>
    <w:p>
      <w:pPr>
        <w:spacing w:after="0" w:line="178"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171450</wp:posOffset>
            </wp:positionV>
            <wp:extent cx="71774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348"/>
          </w:cols>
          <w:pgMar w:left="312" w:top="115"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 </w:t>
      </w:r>
      <w:r>
        <w:rPr>
          <w:rFonts w:ascii="Times New Roman" w:cs="Times New Roman" w:eastAsia="Times New Roman" w:hAnsi="Times New Roman"/>
          <w:sz w:val="18"/>
          <w:szCs w:val="18"/>
          <w:b w:val="1"/>
          <w:bCs w:val="1"/>
          <w:i w:val="1"/>
          <w:iCs w:val="1"/>
          <w:color w:val="auto"/>
        </w:rPr>
        <w:t>Commitments and Contingencies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2025, the aggregate amount of $22,630 is accrued for loss contingencies and is reported in the Company’s condensed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June 30, 2025, estimates that approximately $769 of the amount accrued for these matters are probable of recovery through insurance, which amount is also reported in the Company’s condensed consolidated balance sheet as deferred charges and other assets, net.</w:t>
      </w:r>
    </w:p>
    <w:p>
      <w:pPr>
        <w:spacing w:after="0" w:line="332"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The Company has accrued for the penalty and other fees that will be paid as a result of a settlement that was reached with the state and local regulators and approved by the Illinois court with jurisdiction over this matter in July 2024.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In December, 2024, the State court in Will County, Illinois dismissed the case against the Company, and plaintiffs have filed an appeal of that decision. In addition, plaintiffs commenced similar actions in federal court and in front of two state agencies. The Company has an accrual for the amount of loss asserted in the complaint that we determined to be probable and estimable of being incurred. The Company is vigorously defending against this claim.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 Further, the Company submitted a claim for the expenses incurred to its insurance carrier for potential recovery of a portion of these costs and is currently in litigation with one of its carriers seeking to enforce its claims, and recently prevailed in the Third Circuit Court of Appeals which held that the insurance carrier possessed a duty to defend. In February 2025, the Company received $5,602 in related insurance proceeds for a portion of expenses incurred by the Company. The Company continues to assess the potential loss contingency on this matter.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 number of the Company’s subsidiaries are parties to several lawsuits against manufacturers of certain per- and polyfluoroalkyl substances or compounds (“PFAS”) for damages, contribution and reimbursement of costs incurred and continuing to be incurred to address the presence of such PFAS in public water supply systems owned and operated by these utility subsidiaries throughout its service area. One such suit to which the Company is a party is a multi-district litigation (the “MDL”) lawsuit which commenced on December 7, 2018, in the United States District Court for the District of South Carolina. Several defendants in such lawsuit have agreed to settle. In 2024, the MDL court granted approval of the DuPont, 3M, Tyco Fire Products LP, and BASF Corp class action settlements. The Company submitted the phase one public water system claims requirements, and will submit other requirements within the time period provided by the MDL court. The total amount of recovery by the Company is uncertain. In July 2025, the Company received $7,125, representing its initial share of the settlement reached with 3M, net of legal fees and settlement costs. The Company anticipates receiving additional settlement payments from the MDL lawsuit defendants.</w:t>
      </w:r>
    </w:p>
    <w:p>
      <w:pPr>
        <w:spacing w:after="0" w:line="167" w:lineRule="exact"/>
        <w:rPr>
          <w:sz w:val="20"/>
          <w:szCs w:val="20"/>
          <w:color w:val="auto"/>
        </w:rPr>
      </w:pPr>
    </w:p>
    <w:p>
      <w:pPr>
        <w:ind w:right="480"/>
        <w:spacing w:after="0" w:line="247" w:lineRule="auto"/>
        <w:rPr>
          <w:sz w:val="20"/>
          <w:szCs w:val="20"/>
          <w:color w:val="auto"/>
        </w:rPr>
      </w:pPr>
      <w:r>
        <w:rPr>
          <w:rFonts w:ascii="Times New Roman" w:cs="Times New Roman" w:eastAsia="Times New Roman" w:hAnsi="Times New Roman"/>
          <w:sz w:val="18"/>
          <w:szCs w:val="18"/>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58"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8"/>
          <w:szCs w:val="18"/>
          <w:color w:val="auto"/>
        </w:rPr>
        <w:t>In addition to the aforementioned loss contingencies, the Company self-insures a portion of its employee medical benefit program, and maintains stop-loss coverage to limit the exposure arising from these claims. The Company’s reserve for these claims totaled $4,545 at June 30, 2025 and represents a reserve for unpaid claim costs, including an estimate for the cost of incurred but not reported claims.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 </w:t>
      </w:r>
      <w:r>
        <w:rPr>
          <w:rFonts w:ascii="Times New Roman" w:cs="Times New Roman" w:eastAsia="Times New Roman" w:hAnsi="Times New Roman"/>
          <w:sz w:val="18"/>
          <w:szCs w:val="18"/>
          <w:b w:val="1"/>
          <w:bCs w:val="1"/>
          <w:i w:val="1"/>
          <w:iCs w:val="1"/>
          <w:color w:val="auto"/>
        </w:rPr>
        <w:t>Income Taxes</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Company’s effective tax rate was an expense of 4.1% and a benefit of 4.3% for the three and six months ended June 30, 2025, respectively. The Company’s effective tax rate was an expense of 2.4% and a benefit of 2.6% for the three and six months ended June 30, 2024, respectively. The increase in income tax expense in the second quarter of 2025 is primarily attributed to the increase in earnings and decreases in both the state tax benefit and amortization of tax repairs surcredit in the Regulated Natural Gas segment based on a rate order received in September 2024. The increase in the income tax benefit for the first half of 2025 is primarily attributed to the release of $22,575 of income tax reserve regulatory liability in the Regulated Water segment based on the rate order received by Aqua Pennsylvania in February 2025, offset by the decreases in both the state tax benefit and amortization of tax repairs surcredit in the Regulated Natural Gas segment based on a rate order received in September 2024.</w:t>
      </w:r>
    </w:p>
    <w:p>
      <w:pPr>
        <w:spacing w:after="0" w:line="157"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In determining its interim tax provision, the Company reflects its estimated impact from its permanent and flow-through tax differences. The Company uses the flow-through method to account for the repairs tax deduction for qualifying utility infrastructure at its regulated Pennsylvania and New Jersey subsidiaries.</w:t>
      </w:r>
    </w:p>
    <w:p>
      <w:pPr>
        <w:spacing w:after="0" w:line="142"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18"/>
          <w:szCs w:val="18"/>
          <w:color w:val="auto"/>
        </w:rPr>
        <w:t>The statutory Federal tax rate is 21.0% for the six months ended June 30, 2025 and 2024. For states with a corporate net income tax, the state corporate net income tax rates range from 2.25% to 9.50% for all periods presented. Our effective tax rate differs from the federal statutory tax rate primarily due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158750</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2300"/>
        <w:spacing w:after="0" w:line="228" w:lineRule="auto"/>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jc w:val="center"/>
        <w:ind w:right="-59"/>
        <w:spacing w:after="0" w:line="228"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flow-through tax, the amortization of deferred benefit from repair method changes, state income taxes, and other permanent book-to-tax differences.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July 4, 2025, H.R.1 – One Big Beautiful Bill Act (“OBBBA”) was enacted into law. The OBBBA includes significant provisions such as the permanent extension of certain expiring provisions of the 2017 Tax Cuts and Jobs Act. We do not anticipate the OBBBA to have a significant impact to our consolidated financial statements and will continue to evaluate the impact as additional guidance becomes available.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16 – Recent Accounting Pronouncements and Disclosure Rules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Pronouncements to be adopted upon the effective date:</w:t>
      </w:r>
    </w:p>
    <w:p>
      <w:pPr>
        <w:spacing w:after="0" w:line="182"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 Reporting–Comprehensive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update improves the disclosures about a public business entity’s</w:t>
      </w:r>
    </w:p>
    <w:p>
      <w:pPr>
        <w:spacing w:after="0" w:line="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financial statement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ASU enhances the</w:t>
      </w:r>
    </w:p>
    <w:p>
      <w:pPr>
        <w:spacing w:after="0" w:line="2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transparency and decision usefulness of income tax disclosures and is effective for annual periods beginning after December 15, 2024 on a prospective basis. Early adoption is permitted. The Company plans to adopt the standard in its annual report on Form 10-K for the year ending December 31, 2025. The Company does not expect this ASU to have a significant impact to its current disclosures.</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jc w:val="center"/>
        <w:ind w:right="40"/>
        <w:spacing w:after="0" w:line="238" w:lineRule="auto"/>
        <w:rPr>
          <w:sz w:val="20"/>
          <w:szCs w:val="20"/>
          <w:color w:val="auto"/>
        </w:rPr>
      </w:pPr>
      <w:r>
        <w:rPr>
          <w:rFonts w:ascii="Times New Roman" w:cs="Times New Roman" w:eastAsia="Times New Roman" w:hAnsi="Times New Roman"/>
          <w:sz w:val="18"/>
          <w:szCs w:val="18"/>
          <w:color w:val="auto"/>
        </w:rPr>
        <w:t>FINANCIAL CONDITION AND RESULTS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74" w:lineRule="exact"/>
        <w:rPr>
          <w:sz w:val="20"/>
          <w:szCs w:val="20"/>
          <w:color w:val="auto"/>
        </w:rPr>
      </w:pPr>
    </w:p>
    <w:p>
      <w:pPr>
        <w:ind w:right="3960"/>
        <w:spacing w:after="0" w:line="459" w:lineRule="auto"/>
        <w:rPr>
          <w:sz w:val="20"/>
          <w:szCs w:val="20"/>
          <w:color w:val="auto"/>
        </w:rPr>
      </w:pPr>
      <w:r>
        <w:rPr>
          <w:rFonts w:ascii="Times New Roman" w:cs="Times New Roman" w:eastAsia="Times New Roman" w:hAnsi="Times New Roman"/>
          <w:sz w:val="18"/>
          <w:szCs w:val="18"/>
          <w:color w:val="auto"/>
        </w:rPr>
        <w:t>Item 2 – Management’s Discussion and Analysis of Financial Condition and Results of Operations Forward-looking Statements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including those resulting from changes in government fiscal policies and regulations, the imposition of tariffs, the threat of cyber-attacks and data breaches, changes in capital requirements and funding, the success of growth initiatives, including pending acquisitions, changes to the capital markets, impact of public health threats, and our ability to assimilate acquired operations, as well as those risks, uncertainties and other factors discussed in our Annual Report on Form 10-K for the fiscal year ended December 31, 2024 under the captions “Risk Factors” and “Management’s Discussion and Analysis of Financial Condition and Results of Operations” and elsewhere in such reports. As a result, readers are cautioned not to place undue reliance on any forward-looking statements. We undertake no obligation to update or revise forward-looking statements,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Information</w:t>
      </w:r>
    </w:p>
    <w:p>
      <w:pPr>
        <w:spacing w:after="0" w:line="186"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color w:val="auto"/>
        </w:rPr>
        <w:t>Essential Utilities, Inc. (“we”, “us”, “our” or the “Company”),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28 other counties in Pennsylvania. Our other regulated water or wastewater utility subsidiaries provide similar services in seven additional states. Our Peoples subsidiaries provide natural gas distribution services to customers in western Pennsylvania and Kentucky. Approximately 95%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w:t>
      </w: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158750</wp:posOffset>
            </wp:positionV>
            <wp:extent cx="717740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66" w:lineRule="exact"/>
        <w:rPr>
          <w:sz w:val="20"/>
          <w:szCs w:val="20"/>
          <w:color w:val="auto"/>
        </w:rPr>
      </w:pPr>
    </w:p>
    <w:p>
      <w:pPr>
        <w:ind w:right="1080"/>
        <w:spacing w:after="0" w:line="266" w:lineRule="auto"/>
        <w:rPr>
          <w:sz w:val="20"/>
          <w:szCs w:val="20"/>
          <w:color w:val="auto"/>
        </w:rPr>
      </w:pPr>
      <w:r>
        <w:rPr>
          <w:rFonts w:ascii="Times New Roman" w:cs="Times New Roman" w:eastAsia="Times New Roman" w:hAnsi="Times New Roman"/>
          <w:sz w:val="18"/>
          <w:szCs w:val="18"/>
          <w:color w:val="auto"/>
        </w:rPr>
        <w:t>opportunistically pursue growth ventures in select market-based activities, such as infrastructure opportunities that are supplementary and complementary to our regulated water utility businesses.</w:t>
      </w:r>
    </w:p>
    <w:p>
      <w:pPr>
        <w:spacing w:after="0" w:line="14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January 2024, the Company completed the sale of its interest in three non-utility local microgrid and distributed energy projects for $165,000, which resulted in a gain on sale of $91,236. The sale is consistent with the Company’s long-term strategy of focusing on its core business and will allow the Company to prioritize the growth of its utilities in states where it has scale. The Company used the proceeds from the sale to finance its capital expenditures and water and wastewater acquisitions, in place of external funding from equity and debt issuances.</w:t>
      </w:r>
    </w:p>
    <w:p>
      <w:pPr>
        <w:spacing w:after="0" w:line="14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Developments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Factors</w:t>
      </w:r>
    </w:p>
    <w:p>
      <w:pPr>
        <w:spacing w:after="0" w:line="19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Our business is subject to various economic factors that affect our customers and our industry. The recent changes in government fiscal policies and regulations introduced by the new administration have resulted in heightened uncertainty for businesses and consumers, as well as volatility in financial markets. We will continue to evaluate the evolving macroeconomic environment, including those impacts resulting from the recent imposition, or proposed imposition, of tariffs and potential changes to environmental regulations, and to take action to mitigate the impact on our business, consolidated results of operations, and financial condition. Timely and adequate rate relief is important to our continued profitability and in providing a fair return to our shareholders.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Developments</w:t>
      </w:r>
    </w:p>
    <w:p>
      <w:pPr>
        <w:spacing w:after="0" w:line="190"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During the first half of 2025, we implemented, or received approval to implement, base rate increases that result in a $86,520 increase in annual revenues as summarized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1700" w:type="dxa"/>
            <w:vAlign w:val="bottom"/>
            <w:tcBorders>
              <w:bottom w:val="single" w:sz="8" w:color="auto"/>
            </w:tcBorders>
          </w:tcPr>
          <w:p>
            <w:pPr>
              <w:jc w:val="center"/>
              <w:ind w:right="755"/>
              <w:spacing w:after="0"/>
              <w:rPr>
                <w:sz w:val="20"/>
                <w:szCs w:val="20"/>
                <w:color w:val="auto"/>
              </w:rPr>
            </w:pPr>
            <w:r>
              <w:rPr>
                <w:rFonts w:ascii="Times New Roman" w:cs="Times New Roman" w:eastAsia="Times New Roman" w:hAnsi="Times New Roman"/>
                <w:sz w:val="17"/>
                <w:szCs w:val="17"/>
                <w:b w:val="1"/>
                <w:bCs w:val="1"/>
                <w:color w:val="auto"/>
                <w:w w:val="99"/>
              </w:rPr>
              <w:t>Segment</w:t>
            </w:r>
          </w:p>
        </w:tc>
        <w:tc>
          <w:tcPr>
            <w:tcW w:w="23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rPr>
              <w:t>Effective Date</w:t>
            </w: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Annualized Revenue Increase</w:t>
            </w:r>
          </w:p>
        </w:tc>
      </w:tr>
      <w:tr>
        <w:trPr>
          <w:trHeight w:val="176"/>
        </w:trPr>
        <w:tc>
          <w:tcPr>
            <w:tcW w:w="32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Kentucky</w:t>
            </w:r>
          </w:p>
        </w:tc>
        <w:tc>
          <w:tcPr>
            <w:tcW w:w="1700" w:type="dxa"/>
            <w:vAlign w:val="bottom"/>
            <w:tcBorders>
              <w:bottom w:val="single" w:sz="8" w:color="auto"/>
            </w:tcBorders>
            <w:shd w:val="clear" w:color="auto" w:fill="CCEEFF"/>
          </w:tcPr>
          <w:p>
            <w:pPr>
              <w:jc w:val="center"/>
              <w:ind w:right="755"/>
              <w:spacing w:after="0" w:line="176" w:lineRule="exact"/>
              <w:rPr>
                <w:sz w:val="20"/>
                <w:szCs w:val="20"/>
                <w:color w:val="auto"/>
              </w:rPr>
            </w:pPr>
            <w:r>
              <w:rPr>
                <w:rFonts w:ascii="Times New Roman" w:cs="Times New Roman" w:eastAsia="Times New Roman" w:hAnsi="Times New Roman"/>
                <w:sz w:val="17"/>
                <w:szCs w:val="17"/>
                <w:color w:val="auto"/>
              </w:rPr>
              <w:t>Natural Gas</w:t>
            </w:r>
          </w:p>
        </w:tc>
        <w:tc>
          <w:tcPr>
            <w:tcW w:w="2320" w:type="dxa"/>
            <w:vAlign w:val="bottom"/>
            <w:tcBorders>
              <w:bottom w:val="single" w:sz="8" w:color="auto"/>
            </w:tcBorders>
            <w:shd w:val="clear" w:color="auto" w:fill="CCEEFF"/>
          </w:tcPr>
          <w:p>
            <w:pPr>
              <w:jc w:val="center"/>
              <w:ind w:left="355"/>
              <w:spacing w:after="0" w:line="176" w:lineRule="exact"/>
              <w:rPr>
                <w:sz w:val="20"/>
                <w:szCs w:val="20"/>
                <w:color w:val="auto"/>
              </w:rPr>
            </w:pPr>
            <w:r>
              <w:rPr>
                <w:rFonts w:ascii="Times New Roman" w:cs="Times New Roman" w:eastAsia="Times New Roman" w:hAnsi="Times New Roman"/>
                <w:sz w:val="17"/>
                <w:szCs w:val="17"/>
                <w:color w:val="auto"/>
                <w:w w:val="99"/>
              </w:rPr>
              <w:t>7/1/2025</w:t>
            </w:r>
          </w:p>
        </w:tc>
        <w:tc>
          <w:tcPr>
            <w:tcW w:w="840" w:type="dxa"/>
            <w:vAlign w:val="bottom"/>
            <w:tcBorders>
              <w:bottom w:val="single" w:sz="8" w:color="auto"/>
            </w:tcBorders>
            <w:gridSpan w:val="2"/>
            <w:shd w:val="clear" w:color="auto" w:fill="CCEEFF"/>
          </w:tcPr>
          <w:p>
            <w:pPr>
              <w:jc w:val="right"/>
              <w:ind w:right="300"/>
              <w:spacing w:after="0" w:line="176" w:lineRule="exact"/>
              <w:rPr>
                <w:sz w:val="20"/>
                <w:szCs w:val="20"/>
                <w:color w:val="auto"/>
              </w:rPr>
            </w:pPr>
            <w:r>
              <w:rPr>
                <w:rFonts w:ascii="Times New Roman" w:cs="Times New Roman" w:eastAsia="Times New Roman" w:hAnsi="Times New Roman"/>
                <w:sz w:val="17"/>
                <w:szCs w:val="17"/>
                <w:color w:val="auto"/>
              </w:rPr>
              <w:t>$</w:t>
            </w:r>
          </w:p>
        </w:tc>
        <w:tc>
          <w:tcPr>
            <w:tcW w:w="31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7,700</w:t>
            </w:r>
          </w:p>
        </w:tc>
      </w:tr>
      <w:tr>
        <w:trPr>
          <w:trHeight w:val="188"/>
        </w:trPr>
        <w:tc>
          <w:tcPr>
            <w:tcW w:w="322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Pennsylvania</w:t>
            </w:r>
          </w:p>
        </w:tc>
        <w:tc>
          <w:tcPr>
            <w:tcW w:w="1700" w:type="dxa"/>
            <w:vAlign w:val="bottom"/>
          </w:tcPr>
          <w:p>
            <w:pPr>
              <w:jc w:val="center"/>
              <w:ind w:right="775"/>
              <w:spacing w:after="0" w:line="188" w:lineRule="exact"/>
              <w:rPr>
                <w:sz w:val="20"/>
                <w:szCs w:val="20"/>
                <w:color w:val="auto"/>
              </w:rPr>
            </w:pPr>
            <w:r>
              <w:rPr>
                <w:rFonts w:ascii="Times New Roman" w:cs="Times New Roman" w:eastAsia="Times New Roman" w:hAnsi="Times New Roman"/>
                <w:sz w:val="17"/>
                <w:szCs w:val="17"/>
                <w:color w:val="auto"/>
                <w:w w:val="96"/>
              </w:rPr>
              <w:t>Water</w:t>
            </w:r>
          </w:p>
        </w:tc>
        <w:tc>
          <w:tcPr>
            <w:tcW w:w="2320" w:type="dxa"/>
            <w:vAlign w:val="bottom"/>
          </w:tcPr>
          <w:p>
            <w:pPr>
              <w:jc w:val="center"/>
              <w:ind w:left="355"/>
              <w:spacing w:after="0" w:line="188" w:lineRule="exact"/>
              <w:rPr>
                <w:sz w:val="20"/>
                <w:szCs w:val="20"/>
                <w:color w:val="auto"/>
              </w:rPr>
            </w:pPr>
            <w:r>
              <w:rPr>
                <w:rFonts w:ascii="Times New Roman" w:cs="Times New Roman" w:eastAsia="Times New Roman" w:hAnsi="Times New Roman"/>
                <w:sz w:val="17"/>
                <w:szCs w:val="17"/>
                <w:color w:val="auto"/>
                <w:w w:val="98"/>
              </w:rPr>
              <w:t>2/22/2025</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58,400</w:t>
            </w:r>
          </w:p>
        </w:tc>
      </w:tr>
      <w:tr>
        <w:trPr>
          <w:trHeight w:val="185"/>
        </w:trPr>
        <w:tc>
          <w:tcPr>
            <w:tcW w:w="32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center"/>
              <w:ind w:right="755"/>
              <w:spacing w:after="0" w:line="185" w:lineRule="exact"/>
              <w:rPr>
                <w:sz w:val="20"/>
                <w:szCs w:val="20"/>
                <w:color w:val="auto"/>
              </w:rPr>
            </w:pPr>
            <w:r>
              <w:rPr>
                <w:rFonts w:ascii="Times New Roman" w:cs="Times New Roman" w:eastAsia="Times New Roman" w:hAnsi="Times New Roman"/>
                <w:sz w:val="17"/>
                <w:szCs w:val="17"/>
                <w:color w:val="auto"/>
                <w:w w:val="97"/>
              </w:rPr>
              <w:t>Wastewater</w:t>
            </w:r>
          </w:p>
        </w:tc>
        <w:tc>
          <w:tcPr>
            <w:tcW w:w="2320" w:type="dxa"/>
            <w:vAlign w:val="bottom"/>
            <w:tcBorders>
              <w:bottom w:val="single" w:sz="8" w:color="auto"/>
            </w:tcBorders>
            <w:shd w:val="clear" w:color="auto" w:fill="CCEEFF"/>
          </w:tcPr>
          <w:p>
            <w:pPr>
              <w:jc w:val="center"/>
              <w:ind w:left="355"/>
              <w:spacing w:after="0" w:line="185" w:lineRule="exact"/>
              <w:rPr>
                <w:sz w:val="20"/>
                <w:szCs w:val="20"/>
                <w:color w:val="auto"/>
              </w:rPr>
            </w:pPr>
            <w:r>
              <w:rPr>
                <w:rFonts w:ascii="Times New Roman" w:cs="Times New Roman" w:eastAsia="Times New Roman" w:hAnsi="Times New Roman"/>
                <w:sz w:val="17"/>
                <w:szCs w:val="17"/>
                <w:color w:val="auto"/>
                <w:w w:val="98"/>
              </w:rPr>
              <w:t>2/22/2025</w:t>
            </w:r>
          </w:p>
        </w:tc>
        <w:tc>
          <w:tcPr>
            <w:tcW w:w="4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318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14,600</w:t>
            </w:r>
          </w:p>
        </w:tc>
      </w:tr>
      <w:tr>
        <w:trPr>
          <w:trHeight w:val="176"/>
        </w:trPr>
        <w:tc>
          <w:tcPr>
            <w:tcW w:w="32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North Carolina*</w:t>
            </w:r>
          </w:p>
        </w:tc>
        <w:tc>
          <w:tcPr>
            <w:tcW w:w="1700" w:type="dxa"/>
            <w:vAlign w:val="bottom"/>
          </w:tcPr>
          <w:p>
            <w:pPr>
              <w:jc w:val="center"/>
              <w:ind w:right="775"/>
              <w:spacing w:after="0" w:line="176" w:lineRule="exact"/>
              <w:rPr>
                <w:sz w:val="20"/>
                <w:szCs w:val="20"/>
                <w:color w:val="auto"/>
              </w:rPr>
            </w:pPr>
            <w:r>
              <w:rPr>
                <w:rFonts w:ascii="Times New Roman" w:cs="Times New Roman" w:eastAsia="Times New Roman" w:hAnsi="Times New Roman"/>
                <w:sz w:val="17"/>
                <w:szCs w:val="17"/>
                <w:color w:val="auto"/>
                <w:w w:val="96"/>
              </w:rPr>
              <w:t>Water</w:t>
            </w:r>
          </w:p>
        </w:tc>
        <w:tc>
          <w:tcPr>
            <w:tcW w:w="2320" w:type="dxa"/>
            <w:vAlign w:val="bottom"/>
          </w:tcPr>
          <w:p>
            <w:pPr>
              <w:jc w:val="center"/>
              <w:ind w:left="355"/>
              <w:spacing w:after="0" w:line="176" w:lineRule="exact"/>
              <w:rPr>
                <w:sz w:val="20"/>
                <w:szCs w:val="20"/>
                <w:color w:val="auto"/>
              </w:rPr>
            </w:pPr>
            <w:r>
              <w:rPr>
                <w:rFonts w:ascii="Times New Roman" w:cs="Times New Roman" w:eastAsia="Times New Roman" w:hAnsi="Times New Roman"/>
                <w:sz w:val="17"/>
                <w:szCs w:val="17"/>
                <w:color w:val="auto"/>
                <w:w w:val="99"/>
              </w:rPr>
              <w:t>1/1/2025</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2,820</w:t>
            </w:r>
          </w:p>
        </w:tc>
      </w:tr>
      <w:tr>
        <w:trPr>
          <w:trHeight w:val="185"/>
        </w:trPr>
        <w:tc>
          <w:tcPr>
            <w:tcW w:w="32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center"/>
              <w:ind w:right="755"/>
              <w:spacing w:after="0" w:line="185" w:lineRule="exact"/>
              <w:rPr>
                <w:sz w:val="20"/>
                <w:szCs w:val="20"/>
                <w:color w:val="auto"/>
              </w:rPr>
            </w:pPr>
            <w:r>
              <w:rPr>
                <w:rFonts w:ascii="Times New Roman" w:cs="Times New Roman" w:eastAsia="Times New Roman" w:hAnsi="Times New Roman"/>
                <w:sz w:val="17"/>
                <w:szCs w:val="17"/>
                <w:color w:val="auto"/>
                <w:w w:val="97"/>
              </w:rPr>
              <w:t>Wastewater</w:t>
            </w:r>
          </w:p>
        </w:tc>
        <w:tc>
          <w:tcPr>
            <w:tcW w:w="2320" w:type="dxa"/>
            <w:vAlign w:val="bottom"/>
            <w:tcBorders>
              <w:bottom w:val="single" w:sz="8" w:color="auto"/>
            </w:tcBorders>
            <w:shd w:val="clear" w:color="auto" w:fill="CCEEFF"/>
          </w:tcPr>
          <w:p>
            <w:pPr>
              <w:jc w:val="center"/>
              <w:ind w:left="355"/>
              <w:spacing w:after="0" w:line="185" w:lineRule="exact"/>
              <w:rPr>
                <w:sz w:val="20"/>
                <w:szCs w:val="20"/>
                <w:color w:val="auto"/>
              </w:rPr>
            </w:pPr>
            <w:r>
              <w:rPr>
                <w:rFonts w:ascii="Times New Roman" w:cs="Times New Roman" w:eastAsia="Times New Roman" w:hAnsi="Times New Roman"/>
                <w:sz w:val="17"/>
                <w:szCs w:val="17"/>
                <w:color w:val="auto"/>
                <w:w w:val="99"/>
              </w:rPr>
              <w:t>1/1/2025</w:t>
            </w:r>
          </w:p>
        </w:tc>
        <w:tc>
          <w:tcPr>
            <w:tcW w:w="4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318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1,310</w:t>
            </w:r>
          </w:p>
        </w:tc>
      </w:tr>
      <w:tr>
        <w:trPr>
          <w:trHeight w:val="176"/>
        </w:trPr>
        <w:tc>
          <w:tcPr>
            <w:tcW w:w="32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Ohio</w:t>
            </w:r>
          </w:p>
        </w:tc>
        <w:tc>
          <w:tcPr>
            <w:tcW w:w="1700" w:type="dxa"/>
            <w:vAlign w:val="bottom"/>
            <w:tcBorders>
              <w:bottom w:val="single" w:sz="8" w:color="auto"/>
            </w:tcBorders>
          </w:tcPr>
          <w:p>
            <w:pPr>
              <w:jc w:val="center"/>
              <w:ind w:right="775"/>
              <w:spacing w:after="0" w:line="176" w:lineRule="exact"/>
              <w:rPr>
                <w:sz w:val="20"/>
                <w:szCs w:val="20"/>
                <w:color w:val="auto"/>
              </w:rPr>
            </w:pPr>
            <w:r>
              <w:rPr>
                <w:rFonts w:ascii="Times New Roman" w:cs="Times New Roman" w:eastAsia="Times New Roman" w:hAnsi="Times New Roman"/>
                <w:sz w:val="17"/>
                <w:szCs w:val="17"/>
                <w:color w:val="auto"/>
                <w:w w:val="96"/>
              </w:rPr>
              <w:t>Water</w:t>
            </w:r>
          </w:p>
        </w:tc>
        <w:tc>
          <w:tcPr>
            <w:tcW w:w="2320" w:type="dxa"/>
            <w:vAlign w:val="bottom"/>
            <w:tcBorders>
              <w:bottom w:val="single" w:sz="8" w:color="auto"/>
            </w:tcBorders>
          </w:tcPr>
          <w:p>
            <w:pPr>
              <w:jc w:val="center"/>
              <w:ind w:left="355"/>
              <w:spacing w:after="0" w:line="176" w:lineRule="exact"/>
              <w:rPr>
                <w:sz w:val="20"/>
                <w:szCs w:val="20"/>
                <w:color w:val="auto"/>
              </w:rPr>
            </w:pPr>
            <w:r>
              <w:rPr>
                <w:rFonts w:ascii="Times New Roman" w:cs="Times New Roman" w:eastAsia="Times New Roman" w:hAnsi="Times New Roman"/>
                <w:sz w:val="17"/>
                <w:szCs w:val="17"/>
                <w:color w:val="auto"/>
                <w:w w:val="99"/>
              </w:rPr>
              <w:t>1/1/2025</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1,690</w:t>
            </w:r>
          </w:p>
        </w:tc>
      </w:tr>
      <w:tr>
        <w:trPr>
          <w:trHeight w:val="176"/>
        </w:trPr>
        <w:tc>
          <w:tcPr>
            <w:tcW w:w="3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w w:val="98"/>
              </w:rPr>
              <w:t>Total Base Rate Case Authorizations in 2025</w:t>
            </w:r>
          </w:p>
        </w:tc>
        <w:tc>
          <w:tcPr>
            <w:tcW w:w="17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00"/>
              <w:spacing w:after="0" w:line="176" w:lineRule="exact"/>
              <w:rPr>
                <w:sz w:val="20"/>
                <w:szCs w:val="20"/>
                <w:color w:val="auto"/>
              </w:rPr>
            </w:pPr>
            <w:r>
              <w:rPr>
                <w:rFonts w:ascii="Times New Roman" w:cs="Times New Roman" w:eastAsia="Times New Roman" w:hAnsi="Times New Roman"/>
                <w:sz w:val="17"/>
                <w:szCs w:val="17"/>
                <w:b w:val="1"/>
                <w:bCs w:val="1"/>
                <w:color w:val="auto"/>
              </w:rPr>
              <w:t>$</w:t>
            </w:r>
          </w:p>
        </w:tc>
        <w:tc>
          <w:tcPr>
            <w:tcW w:w="3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86,520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Base rate case - step increase for Year 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62"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On July 30, 2025, the Company’s regulated water and wastewater operating subsidiary in Virginia, Aqua Virginia, filed an application with the State Corporation Commission designed to increase revenues by $7,927 annually.</w:t>
      </w:r>
    </w:p>
    <w:p>
      <w:pPr>
        <w:spacing w:after="0" w:line="118"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On June 30, 2025, the Company’s regulated water and wastewater operating subsidiaries in Ohio, Aqua Ohio and Aqua Ohio Wastewater, filed applications with the Public Utilities Commission of Ohio designed to increase rates in total by $14,653.</w:t>
      </w:r>
    </w:p>
    <w:p>
      <w:pPr>
        <w:spacing w:after="0" w:line="14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June 20, 2025, the Company’s regulated water and wastewater operating subsidiary in Texas, Aqua Texas, filed an application with the Public Utility Commission of Texas designed to increase rates by $29,149.</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On April 30, 2025, the Company’s regulated water and wastewater operating subsidiary in North Carolina, Aqua North Carolina, filed an application with the North Carolina Utilities Commission designed to increase rates by $29,857 in the first year of new rates being implemented, then an additional $5,956 and $6,025 in the second and third years,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Through Acquisitions and Capital Investment</w:t>
      </w:r>
    </w:p>
    <w:p>
      <w:pPr>
        <w:spacing w:after="0" w:line="190"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 xml:space="preserve">In January 2025, the Company acquired Greenville Sanitary Authority’s wastewater utility assets, which serves approximately 2,300 customers in Greenville, Pennsylvania for $18,000. In April 2025, the Company closed on its acquisition of the Village of Midvale’s water system in Ohio, which serves approximately 1,000 customers for $2,950. As of June 30, 2025, the Company had five signed purchase agreements for additional water and wastewater systems that are expected to serve approximately 210,000 equivalent retail customers or equivalent dwelling units and total approximately $338,000 in purchase price in two of our existing states. This includes the Company’s agreement to acquire the Delaware County Regional Water Quality Control Authority (DELCORA) for $276,500. DELCORA, a Pennsylvania sewer authority, serves approximately 198,000 equivalent dwelling units in the Philadelphia suburbs. In July 2025, the Company acquired the wastewater utility system of the City of Beaver Falls, Pennsylvania for $37,750. The system serves approximately 3,200 customers in the City of Beaver Falls and also provides bulk transmission and treatment service for approximately 3,800 equivalent dwelling units in seven nearby municipalities. Refer to Note 3 – </w:t>
      </w:r>
      <w:r>
        <w:rPr>
          <w:rFonts w:ascii="Times New Roman" w:cs="Times New Roman" w:eastAsia="Times New Roman" w:hAnsi="Times New Roman"/>
          <w:sz w:val="18"/>
          <w:szCs w:val="18"/>
          <w:i w:val="1"/>
          <w:iCs w:val="1"/>
          <w:color w:val="auto"/>
        </w:rPr>
        <w:t>Water and Wastewater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for further discussion.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six-month period ended June 30, 2025, we invested $612,629 to improve our regulated water and natural gas infrastructure system and to enhance customer service. From 2025 through 2029, the Company plans to invest approximately $7,800,000 to improve water and natural gas systems and better serve customers through improved information technology. The capital investments made to rehabilitate and expand the infrastructure of the communities the Company serves are critical to its mission of safely and reliably delivering Earth’s most essential resources.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165735</wp:posOffset>
            </wp:positionV>
            <wp:extent cx="717740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condensed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commercial paper notes, long-term debt and equity will be adequate to provide sufficient working capital to maintain normal operations and to meet our financing requirements for at least the next twelve months.</w:t>
      </w:r>
    </w:p>
    <w:p>
      <w:pPr>
        <w:spacing w:after="0" w:line="156"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Net cash flows from operating activities were $571,834 for the first half of 2025, compared to $426,426 for the first half of 2024. Operating cash flow increased by $145,408 primarily due to an increase in operating income in 2025 resulting from additional revenues from regulatory recoveries, and an increase in gas volumes delivered due to colder weather conditions during the first quarter of 2025 as compared to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2025, we incurred $612,629 of capital expenditures, obtained $876,525 of proceeds from borrowings and made</w:t>
      </w:r>
    </w:p>
    <w:p>
      <w:pPr>
        <w:spacing w:after="0" w:line="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$1,290,000 of repayments to our long-term revolving credit facility, obtained net proceeds of $567,400 from our commercial paper program (the “CP Program”), obtained proceeds of $109,200 and repaid $17,301 of long-term subsidiary debt, and made short-term debt net repayments of $168,502. The capital expenditures were related to new and replacement water, wastewater, and natural gas mains, improvements to treatment plants, tanks, hydrants, and service lines, well and booster improvements, information technology improvements, and other enhancements and improvements. Cash inflows from financing activities were higher during the first six months of 2025 compared to 2024, primarily due to the issuance of common stock from the Company’s at-the-market equity sales program (“ATM”) and net increase in borrowings during the period.</w:t>
      </w:r>
    </w:p>
    <w:p>
      <w:pPr>
        <w:spacing w:after="0" w:line="15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On June 3, 2025, Aqua Pennsylvania and Peoples Natural Gas Companies amended and restated their respective $100,000 and $300,000 revolving credit agreements, extending the maturity date by another 364-day period. The funds borrowed under these revolving credit agreements are classified as loans payable and are used to provide working capital.</w:t>
      </w:r>
    </w:p>
    <w:p>
      <w:pPr>
        <w:spacing w:after="0" w:line="142"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8"/>
          <w:szCs w:val="18"/>
          <w:color w:val="auto"/>
        </w:rPr>
        <w:t>On May 29, 2025, the Company’s subsidiary, Aqua Pennsylvania, issued $100,000 in aggregate principal amount of first mortgage bonds. The bonds consisted of $75,000 of 5.38% first mortgage bonds due in 2035; and $25,000 of 5.63% first mortgage bonds due in 2040. The proceeds from these bonds were used to repay existing indebtedness and for general corporate purposes.</w:t>
      </w:r>
    </w:p>
    <w:p>
      <w:pPr>
        <w:spacing w:after="0" w:line="14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On March 19, 2025, the Company established the CP Program that allows it to issue, through private placement, short-term, unsecured commercial paper notes (the “CP Notes”) in an aggregate principal amount not to exceed $1,000,000. Maturities of CP Notes may vary, but cannot exceed 364 days from the date of issue. Amounts available under the CP Program may be borrowed, repaid, and re-borrowed from time to time. The CP Program is reinforced by the Company’s revolving credit facility, as amounts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165735</wp:posOffset>
            </wp:positionV>
            <wp:extent cx="717740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6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undrawn under the Company’s revolving credit facility are available to repay the CP Notes. Notes issued under the CP Program rank equally with the Company’s present and future unsecured indebtedness. The Company utilizes the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 As of June 30, 2025, outstanding borrowings under the Company’s CP Program were $566,543, net of unamortized discount on issuance of $857.</w:t>
      </w:r>
    </w:p>
    <w:p>
      <w:pPr>
        <w:spacing w:after="0" w:line="166"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color w:val="auto"/>
        </w:rPr>
        <w:t>On August 13, 2024, the Company established an ATM, under which we may issue and sell shares of our common stock up to an aggregate offering price of $1,000,000 (“2024 ATM”). During the three months ended June 30, 2025, we issued 3,664,762 shares of common stock for net proceeds of approximately $145,500 under the 2024 ATM. During the six months ended June 30, 2025, we issued 5,291,771 shares of common stock for net proceeds of approximately $208,600 under the 2024 ATM. As of June 30, 2025, the 2024 ATM had approximately $753,000 of equity available for issuance. The Company used the net proceeds from the sales of shares through the 2024 ATM for working capital, capital expenditures, water and wastewater utility acquisitions, and repaying a portion of outstanding indebtedness.</w:t>
      </w:r>
    </w:p>
    <w:p>
      <w:pPr>
        <w:spacing w:after="0" w:line="16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At June 30, 2025, we had $25,071 of cash and cash equivalents compared to $9,156 at December 31, 2024. During the first six months of 2025, we used the proceeds from long-term debt, the proceeds from the issuance of commercial paper, and the proceeds from issuance of common stock, as well as internally generated funds, for capital expenditures, repayment of existing indebtedness, payment of dividends, and general corporate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our $1,000,000 unsecured revolving credit facility, which expires in December 2027, had $420,033 available for borrowing (net of $567,400 of capacity designated for outstanding principal borrowings under our commercial paper program and $12,567 letter of credit usage). Additionally, at June 30, 2025, we had short-term lines of credit of $400,000, primarily used for working capital, of which $381,960 was available for borrowing. Although we believe we will be able to renew these facilities, there is no assurance that they will be renewed, or what the terms of any such renewal will be.</w:t>
      </w:r>
    </w:p>
    <w:p>
      <w:pPr>
        <w:spacing w:after="0" w:line="15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As of June 30, 2025, our credit ratings remained at investment grade levels. On March 19, 2024, S&amp;P lowered its credit rating for the Company, Aqua Pennsylvania, and Peoples Natural Gas Companies from A to A-, citing weakening financial measures as a result of inflationary pressures and our significant capital spending; and revised its outlook from negative to stable for the companies. However, as can be noted in their report, S&amp;P continues to assess our business risk profile as excellent, considering our low-risk and rate-regulated water and gas distribution operations in credit-supportive regulatory environments, our geographic and regulatory diversity, our large and stable residential and commercial customer base, and our solid and reliable operations. On October 3, 2024, Moody’s Investors Service (“Moody’s”) affirmed the Company’s senior unsecured notes rating of Baa2 and changed its outlook from stable to negative; and, changed Peoples Natural Gas Companies’ senior secured notes rating from Baa1 to Baa2 and maintained a negative outlook. The Company’s ability to maintain its credit rating depends, among other things, on adequate and timely rate relief, its ability to fund capital expenditures in a balanced manner using both debt and equity, and its ability to generate cash flow. 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158750</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6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18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Consolidated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and operational highlights for the periods ended June 30, 2025 and 2024 are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Three Months Ended June 30,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ind w:left="260"/>
              <w:spacing w:after="0"/>
              <w:rPr>
                <w:sz w:val="20"/>
                <w:szCs w:val="20"/>
                <w:color w:val="auto"/>
              </w:rPr>
            </w:pPr>
            <w:r>
              <w:rPr>
                <w:rFonts w:ascii="Times New Roman" w:cs="Times New Roman" w:eastAsia="Times New Roman" w:hAnsi="Times New Roman"/>
                <w:sz w:val="15"/>
                <w:szCs w:val="15"/>
                <w:color w:val="auto"/>
              </w:rPr>
              <w:t>Six Months Ended June 30,</w:t>
            </w:r>
          </w:p>
        </w:tc>
        <w:tc>
          <w:tcPr>
            <w:tcW w:w="0" w:type="dxa"/>
            <w:vAlign w:val="bottom"/>
          </w:tcPr>
          <w:p>
            <w:pPr>
              <w:spacing w:after="0"/>
              <w:rPr>
                <w:sz w:val="1"/>
                <w:szCs w:val="1"/>
                <w:color w:val="auto"/>
              </w:rPr>
            </w:pPr>
          </w:p>
        </w:tc>
      </w:tr>
      <w:tr>
        <w:trPr>
          <w:trHeight w:val="153"/>
        </w:trPr>
        <w:tc>
          <w:tcPr>
            <w:tcW w:w="53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43"/>
              <w:spacing w:after="0" w:line="154" w:lineRule="exact"/>
              <w:rPr>
                <w:sz w:val="20"/>
                <w:szCs w:val="20"/>
                <w:color w:val="auto"/>
              </w:rPr>
            </w:pPr>
            <w:r>
              <w:rPr>
                <w:rFonts w:ascii="Times New Roman" w:cs="Times New Roman" w:eastAsia="Times New Roman" w:hAnsi="Times New Roman"/>
                <w:sz w:val="15"/>
                <w:szCs w:val="15"/>
                <w:color w:val="auto"/>
              </w:rPr>
              <w:t>2025</w:t>
            </w:r>
          </w:p>
        </w:tc>
        <w:tc>
          <w:tcPr>
            <w:tcW w:w="3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43"/>
              <w:spacing w:after="0" w:line="154" w:lineRule="exact"/>
              <w:rPr>
                <w:sz w:val="20"/>
                <w:szCs w:val="20"/>
                <w:color w:val="auto"/>
              </w:rPr>
            </w:pPr>
            <w:r>
              <w:rPr>
                <w:rFonts w:ascii="Times New Roman" w:cs="Times New Roman" w:eastAsia="Times New Roman" w:hAnsi="Times New Roman"/>
                <w:sz w:val="15"/>
                <w:szCs w:val="15"/>
                <w:color w:val="auto"/>
              </w:rPr>
              <w:t>2024</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83"/>
              <w:spacing w:after="0" w:line="154" w:lineRule="exact"/>
              <w:rPr>
                <w:sz w:val="20"/>
                <w:szCs w:val="20"/>
                <w:color w:val="auto"/>
              </w:rPr>
            </w:pPr>
            <w:r>
              <w:rPr>
                <w:rFonts w:ascii="Times New Roman" w:cs="Times New Roman" w:eastAsia="Times New Roman" w:hAnsi="Times New Roman"/>
                <w:sz w:val="15"/>
                <w:szCs w:val="15"/>
                <w:color w:val="auto"/>
              </w:rPr>
              <w:t>2025</w:t>
            </w: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23"/>
              <w:spacing w:after="0" w:line="154" w:lineRule="exact"/>
              <w:rPr>
                <w:sz w:val="20"/>
                <w:szCs w:val="20"/>
                <w:color w:val="auto"/>
              </w:rPr>
            </w:pPr>
            <w:r>
              <w:rPr>
                <w:rFonts w:ascii="Times New Roman" w:cs="Times New Roman" w:eastAsia="Times New Roman" w:hAnsi="Times New Roman"/>
                <w:sz w:val="15"/>
                <w:szCs w:val="15"/>
                <w:color w:val="auto"/>
              </w:rPr>
              <w:t>2024</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60" w:type="dxa"/>
            <w:vAlign w:val="bottom"/>
            <w:tcBorders>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Operating revenues</w:t>
            </w:r>
          </w:p>
        </w:tc>
        <w:tc>
          <w:tcPr>
            <w:tcW w:w="260" w:type="dxa"/>
            <w:vAlign w:val="bottom"/>
            <w:tcBorders>
              <w:bottom w:val="single" w:sz="8" w:color="auto"/>
            </w:tcBorders>
            <w:shd w:val="clear" w:color="auto" w:fill="CCEEFF"/>
          </w:tcPr>
          <w:p>
            <w:pPr>
              <w:jc w:val="right"/>
              <w:ind w:right="10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43"/>
              <w:spacing w:after="0" w:line="154" w:lineRule="exact"/>
              <w:rPr>
                <w:sz w:val="20"/>
                <w:szCs w:val="20"/>
                <w:color w:val="auto"/>
              </w:rPr>
            </w:pPr>
            <w:r>
              <w:rPr>
                <w:rFonts w:ascii="Times New Roman" w:cs="Times New Roman" w:eastAsia="Times New Roman" w:hAnsi="Times New Roman"/>
                <w:sz w:val="15"/>
                <w:szCs w:val="15"/>
                <w:color w:val="auto"/>
              </w:rPr>
              <w:t>514,907</w:t>
            </w:r>
          </w:p>
        </w:tc>
        <w:tc>
          <w:tcPr>
            <w:tcW w:w="380" w:type="dxa"/>
            <w:vAlign w:val="bottom"/>
            <w:tcBorders>
              <w:bottom w:val="single" w:sz="8" w:color="auto"/>
            </w:tcBorders>
            <w:shd w:val="clear" w:color="auto" w:fill="CCEEFF"/>
          </w:tcPr>
          <w:p>
            <w:pPr>
              <w:jc w:val="right"/>
              <w:ind w:right="83"/>
              <w:spacing w:after="0" w:line="15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434,406</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43"/>
              <w:spacing w:after="0" w:line="154" w:lineRule="exact"/>
              <w:rPr>
                <w:sz w:val="20"/>
                <w:szCs w:val="20"/>
                <w:color w:val="auto"/>
              </w:rPr>
            </w:pPr>
            <w:r>
              <w:rPr>
                <w:rFonts w:ascii="Times New Roman" w:cs="Times New Roman" w:eastAsia="Times New Roman" w:hAnsi="Times New Roman"/>
                <w:sz w:val="15"/>
                <w:szCs w:val="15"/>
                <w:color w:val="auto"/>
              </w:rPr>
              <w:t>1,298,533</w:t>
            </w:r>
          </w:p>
        </w:tc>
        <w:tc>
          <w:tcPr>
            <w:tcW w:w="360" w:type="dxa"/>
            <w:vAlign w:val="bottom"/>
            <w:tcBorders>
              <w:bottom w:val="single" w:sz="8" w:color="auto"/>
            </w:tcBorders>
            <w:shd w:val="clear" w:color="auto" w:fill="CCEEFF"/>
          </w:tcPr>
          <w:p>
            <w:pPr>
              <w:jc w:val="right"/>
              <w:ind w:right="83"/>
              <w:spacing w:after="0" w:line="15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1,046,475</w:t>
            </w:r>
          </w:p>
        </w:tc>
        <w:tc>
          <w:tcPr>
            <w:tcW w:w="1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Operations and maintenance expense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jc w:val="right"/>
              <w:ind w:right="10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148,510</w:t>
            </w:r>
          </w:p>
        </w:tc>
        <w:tc>
          <w:tcPr>
            <w:tcW w:w="380" w:type="dxa"/>
            <w:vAlign w:val="bottom"/>
            <w:tcBorders>
              <w:bottom w:val="single" w:sz="8" w:color="auto"/>
            </w:tcBorders>
          </w:tcPr>
          <w:p>
            <w:pPr>
              <w:jc w:val="right"/>
              <w:ind w:right="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142,512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286,334</w:t>
            </w:r>
          </w:p>
        </w:tc>
        <w:tc>
          <w:tcPr>
            <w:tcW w:w="360" w:type="dxa"/>
            <w:vAlign w:val="bottom"/>
            <w:tcBorders>
              <w:bottom w:val="single" w:sz="8" w:color="auto"/>
            </w:tcBorders>
          </w:tcPr>
          <w:p>
            <w:pPr>
              <w:jc w:val="right"/>
              <w:ind w:right="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279,412</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360" w:type="dxa"/>
            <w:vAlign w:val="bottom"/>
            <w:tcBorders>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Purchased gas</w:t>
            </w:r>
          </w:p>
        </w:tc>
        <w:tc>
          <w:tcPr>
            <w:tcW w:w="260" w:type="dxa"/>
            <w:vAlign w:val="bottom"/>
            <w:tcBorders>
              <w:bottom w:val="single" w:sz="8" w:color="auto"/>
            </w:tcBorders>
            <w:shd w:val="clear" w:color="auto" w:fill="CCEEFF"/>
          </w:tcPr>
          <w:p>
            <w:pPr>
              <w:jc w:val="right"/>
              <w:ind w:right="10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56,735</w:t>
            </w:r>
          </w:p>
        </w:tc>
        <w:tc>
          <w:tcPr>
            <w:tcW w:w="380" w:type="dxa"/>
            <w:vAlign w:val="bottom"/>
            <w:tcBorders>
              <w:bottom w:val="single" w:sz="8" w:color="auto"/>
            </w:tcBorders>
            <w:shd w:val="clear" w:color="auto" w:fill="CCEEFF"/>
          </w:tcPr>
          <w:p>
            <w:pPr>
              <w:jc w:val="right"/>
              <w:ind w:right="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33,728</w:t>
            </w: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241,376</w:t>
            </w:r>
          </w:p>
        </w:tc>
        <w:tc>
          <w:tcPr>
            <w:tcW w:w="360" w:type="dxa"/>
            <w:vAlign w:val="bottom"/>
            <w:tcBorders>
              <w:bottom w:val="single" w:sz="8" w:color="auto"/>
            </w:tcBorders>
            <w:shd w:val="clear" w:color="auto" w:fill="CCEEFF"/>
          </w:tcPr>
          <w:p>
            <w:pPr>
              <w:jc w:val="right"/>
              <w:ind w:right="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163,403</w:t>
            </w: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60" w:type="dxa"/>
            <w:vAlign w:val="bottom"/>
            <w:vMerge w:val="continue"/>
          </w:tcPr>
          <w:p>
            <w:pPr>
              <w:spacing w:after="0"/>
              <w:rPr>
                <w:sz w:val="11"/>
                <w:szCs w:val="11"/>
                <w:color w:val="auto"/>
              </w:rPr>
            </w:pPr>
          </w:p>
        </w:tc>
        <w:tc>
          <w:tcPr>
            <w:tcW w:w="260" w:type="dxa"/>
            <w:vAlign w:val="bottom"/>
            <w:tcBorders>
              <w:bottom w:val="single" w:sz="8" w:color="auto"/>
            </w:tcBorders>
          </w:tcPr>
          <w:p>
            <w:pPr>
              <w:jc w:val="right"/>
              <w:ind w:right="10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107,827</w:t>
            </w:r>
          </w:p>
        </w:tc>
        <w:tc>
          <w:tcPr>
            <w:tcW w:w="380" w:type="dxa"/>
            <w:vAlign w:val="bottom"/>
            <w:tcBorders>
              <w:bottom w:val="single" w:sz="8" w:color="auto"/>
            </w:tcBorders>
          </w:tcPr>
          <w:p>
            <w:pPr>
              <w:jc w:val="right"/>
              <w:ind w:right="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75,385</w:t>
            </w:r>
          </w:p>
        </w:tc>
        <w:tc>
          <w:tcPr>
            <w:tcW w:w="16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391,616</w:t>
            </w:r>
          </w:p>
        </w:tc>
        <w:tc>
          <w:tcPr>
            <w:tcW w:w="360" w:type="dxa"/>
            <w:vAlign w:val="bottom"/>
            <w:tcBorders>
              <w:bottom w:val="single" w:sz="8" w:color="auto"/>
            </w:tcBorders>
          </w:tcPr>
          <w:p>
            <w:pPr>
              <w:jc w:val="right"/>
              <w:ind w:right="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341,157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005" cy="117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Statistics</w:t>
            </w:r>
          </w:p>
        </w:tc>
        <w:tc>
          <w:tcPr>
            <w:tcW w:w="1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Selected operating results as a percentage of operating revenues:</w:t>
            </w:r>
          </w:p>
        </w:tc>
        <w:tc>
          <w:tcPr>
            <w:tcW w:w="18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Operations and maintenance</w:t>
            </w:r>
          </w:p>
        </w:tc>
        <w:tc>
          <w:tcPr>
            <w:tcW w:w="1860" w:type="dxa"/>
            <w:vAlign w:val="bottom"/>
          </w:tcPr>
          <w:p>
            <w:pPr>
              <w:jc w:val="center"/>
              <w:ind w:left="343"/>
              <w:spacing w:after="0" w:line="162" w:lineRule="exact"/>
              <w:rPr>
                <w:sz w:val="20"/>
                <w:szCs w:val="20"/>
                <w:color w:val="auto"/>
              </w:rPr>
            </w:pPr>
            <w:r>
              <w:rPr>
                <w:rFonts w:ascii="Times New Roman" w:cs="Times New Roman" w:eastAsia="Times New Roman" w:hAnsi="Times New Roman"/>
                <w:sz w:val="15"/>
                <w:szCs w:val="15"/>
                <w:color w:val="auto"/>
              </w:rPr>
              <w:t>28.8%</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32.8%</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22.1%</w:t>
            </w:r>
          </w:p>
        </w:tc>
        <w:tc>
          <w:tcPr>
            <w:tcW w:w="1520" w:type="dxa"/>
            <w:vAlign w:val="bottom"/>
          </w:tcPr>
          <w:p>
            <w:pPr>
              <w:jc w:val="center"/>
              <w:ind w:right="3"/>
              <w:spacing w:after="0" w:line="162" w:lineRule="exact"/>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Purchased gas</w:t>
            </w:r>
          </w:p>
        </w:tc>
        <w:tc>
          <w:tcPr>
            <w:tcW w:w="1860" w:type="dxa"/>
            <w:vAlign w:val="bottom"/>
            <w:shd w:val="clear" w:color="auto" w:fill="CCEEFF"/>
          </w:tcPr>
          <w:p>
            <w:pPr>
              <w:jc w:val="center"/>
              <w:ind w:left="363"/>
              <w:spacing w:after="0" w:line="162" w:lineRule="exact"/>
              <w:rPr>
                <w:sz w:val="20"/>
                <w:szCs w:val="20"/>
                <w:color w:val="auto"/>
              </w:rPr>
            </w:pPr>
            <w:r>
              <w:rPr>
                <w:rFonts w:ascii="Times New Roman" w:cs="Times New Roman" w:eastAsia="Times New Roman" w:hAnsi="Times New Roman"/>
                <w:sz w:val="15"/>
                <w:szCs w:val="15"/>
                <w:color w:val="auto"/>
                <w:w w:val="97"/>
              </w:rPr>
              <w:t>11.0%</w:t>
            </w:r>
          </w:p>
        </w:tc>
        <w:tc>
          <w:tcPr>
            <w:tcW w:w="14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7.8%</w:t>
            </w:r>
          </w:p>
        </w:tc>
        <w:tc>
          <w:tcPr>
            <w:tcW w:w="15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18.6%</w:t>
            </w:r>
          </w:p>
        </w:tc>
        <w:tc>
          <w:tcPr>
            <w:tcW w:w="1520" w:type="dxa"/>
            <w:vAlign w:val="bottom"/>
            <w:shd w:val="clear" w:color="auto" w:fill="CCEEFF"/>
          </w:tcPr>
          <w:p>
            <w:pPr>
              <w:jc w:val="center"/>
              <w:ind w:right="3"/>
              <w:spacing w:after="0" w:line="162" w:lineRule="exact"/>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60" w:type="dxa"/>
            <w:vAlign w:val="bottom"/>
          </w:tcPr>
          <w:p>
            <w:pPr>
              <w:jc w:val="center"/>
              <w:ind w:left="343"/>
              <w:spacing w:after="0" w:line="162" w:lineRule="exact"/>
              <w:rPr>
                <w:sz w:val="20"/>
                <w:szCs w:val="20"/>
                <w:color w:val="auto"/>
              </w:rPr>
            </w:pPr>
            <w:r>
              <w:rPr>
                <w:rFonts w:ascii="Times New Roman" w:cs="Times New Roman" w:eastAsia="Times New Roman" w:hAnsi="Times New Roman"/>
                <w:sz w:val="15"/>
                <w:szCs w:val="15"/>
                <w:color w:val="auto"/>
              </w:rPr>
              <w:t>20.1%</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15.6%</w:t>
            </w:r>
          </w:p>
        </w:tc>
        <w:tc>
          <w:tcPr>
            <w:tcW w:w="1520" w:type="dxa"/>
            <w:vAlign w:val="bottom"/>
          </w:tcPr>
          <w:p>
            <w:pPr>
              <w:jc w:val="center"/>
              <w:ind w:right="3"/>
              <w:spacing w:after="0" w:line="162" w:lineRule="exact"/>
              <w:rPr>
                <w:sz w:val="20"/>
                <w:szCs w:val="20"/>
                <w:color w:val="auto"/>
              </w:rPr>
            </w:pPr>
            <w:r>
              <w:rPr>
                <w:rFonts w:ascii="Times New Roman" w:cs="Times New Roman" w:eastAsia="Times New Roman" w:hAnsi="Times New Roman"/>
                <w:sz w:val="15"/>
                <w:szCs w:val="15"/>
                <w:color w:val="auto"/>
              </w:rPr>
              <w:t>17.2%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Taxes other than income taxes</w:t>
            </w:r>
          </w:p>
        </w:tc>
        <w:tc>
          <w:tcPr>
            <w:tcW w:w="1860" w:type="dxa"/>
            <w:vAlign w:val="bottom"/>
            <w:shd w:val="clear" w:color="auto" w:fill="CCEEFF"/>
          </w:tcPr>
          <w:p>
            <w:pPr>
              <w:jc w:val="center"/>
              <w:ind w:left="343"/>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14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5.1%</w:t>
            </w:r>
          </w:p>
        </w:tc>
        <w:tc>
          <w:tcPr>
            <w:tcW w:w="15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1520" w:type="dxa"/>
            <w:vAlign w:val="bottom"/>
            <w:shd w:val="clear" w:color="auto" w:fill="CCEEFF"/>
          </w:tcPr>
          <w:p>
            <w:pPr>
              <w:jc w:val="center"/>
              <w:ind w:right="3"/>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Interest expense, net of interest income</w:t>
            </w:r>
          </w:p>
        </w:tc>
        <w:tc>
          <w:tcPr>
            <w:tcW w:w="1860" w:type="dxa"/>
            <w:vAlign w:val="bottom"/>
          </w:tcPr>
          <w:p>
            <w:pPr>
              <w:jc w:val="center"/>
              <w:ind w:left="343"/>
              <w:spacing w:after="0" w:line="162" w:lineRule="exact"/>
              <w:rPr>
                <w:sz w:val="20"/>
                <w:szCs w:val="20"/>
                <w:color w:val="auto"/>
              </w:rPr>
            </w:pPr>
            <w:r>
              <w:rPr>
                <w:rFonts w:ascii="Times New Roman" w:cs="Times New Roman" w:eastAsia="Times New Roman" w:hAnsi="Times New Roman"/>
                <w:sz w:val="15"/>
                <w:szCs w:val="15"/>
                <w:color w:val="auto"/>
              </w:rPr>
              <w:t>15.4%</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16.8%</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12.4%</w:t>
            </w:r>
          </w:p>
        </w:tc>
        <w:tc>
          <w:tcPr>
            <w:tcW w:w="1520" w:type="dxa"/>
            <w:vAlign w:val="bottom"/>
          </w:tcPr>
          <w:p>
            <w:pPr>
              <w:jc w:val="center"/>
              <w:ind w:right="3"/>
              <w:spacing w:after="0" w:line="162" w:lineRule="exact"/>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860" w:type="dxa"/>
            <w:vAlign w:val="bottom"/>
            <w:shd w:val="clear" w:color="auto" w:fill="CCEEFF"/>
          </w:tcPr>
          <w:p>
            <w:pPr>
              <w:jc w:val="center"/>
              <w:ind w:left="343"/>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14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17.4%</w:t>
            </w:r>
          </w:p>
        </w:tc>
        <w:tc>
          <w:tcPr>
            <w:tcW w:w="15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30.2%</w:t>
            </w:r>
          </w:p>
        </w:tc>
        <w:tc>
          <w:tcPr>
            <w:tcW w:w="1520" w:type="dxa"/>
            <w:vAlign w:val="bottom"/>
            <w:shd w:val="clear" w:color="auto" w:fill="CCEEFF"/>
          </w:tcPr>
          <w:p>
            <w:pPr>
              <w:jc w:val="center"/>
              <w:ind w:right="3"/>
              <w:spacing w:after="0" w:line="162" w:lineRule="exact"/>
              <w:rPr>
                <w:sz w:val="20"/>
                <w:szCs w:val="20"/>
                <w:color w:val="auto"/>
              </w:rPr>
            </w:pPr>
            <w:r>
              <w:rPr>
                <w:rFonts w:ascii="Times New Roman" w:cs="Times New Roman" w:eastAsia="Times New Roman" w:hAnsi="Times New Roman"/>
                <w:sz w:val="15"/>
                <w:szCs w:val="15"/>
                <w:color w:val="auto"/>
              </w:rPr>
              <w:t>32.6%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Effective tax rate</w:t>
            </w:r>
          </w:p>
        </w:tc>
        <w:tc>
          <w:tcPr>
            <w:tcW w:w="1860" w:type="dxa"/>
            <w:vAlign w:val="bottom"/>
            <w:shd w:val="clear" w:color="auto" w:fill="CCEEFF"/>
          </w:tcPr>
          <w:p>
            <w:pPr>
              <w:jc w:val="center"/>
              <w:ind w:left="343"/>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14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15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-4.3%</w:t>
            </w:r>
          </w:p>
        </w:tc>
        <w:tc>
          <w:tcPr>
            <w:tcW w:w="15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2025 compared with three months ended June 30, 2024</w:t>
      </w:r>
    </w:p>
    <w:p>
      <w:pPr>
        <w:spacing w:after="0" w:line="19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Consolidated operating revenues increased by $80,501 or 18.5% as compared to the same period in 2024. Revenues from our Regulated Water, Regulated Natural Gas, and Other segments increased by $29,803, $49,133, and $1,565, respectively. A detailed discussion of the factors contributing to the changes in segment revenue is included below under the section, Segment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operations and maintenance expense increased by $5,998 or 4.2%, primarily due to:</w:t>
      </w:r>
    </w:p>
    <w:p>
      <w:pPr>
        <w:spacing w:after="0" w:line="197" w:lineRule="exact"/>
        <w:rPr>
          <w:sz w:val="20"/>
          <w:szCs w:val="20"/>
          <w:color w:val="auto"/>
        </w:rPr>
      </w:pPr>
    </w:p>
    <w:p>
      <w:pPr>
        <w:ind w:left="260" w:right="240"/>
        <w:spacing w:after="0" w:line="239" w:lineRule="auto"/>
        <w:rPr>
          <w:sz w:val="20"/>
          <w:szCs w:val="20"/>
          <w:color w:val="auto"/>
        </w:rPr>
      </w:pPr>
      <w:r>
        <w:rPr>
          <w:rFonts w:ascii="Times New Roman" w:cs="Times New Roman" w:eastAsia="Times New Roman" w:hAnsi="Times New Roman"/>
          <w:sz w:val="18"/>
          <w:szCs w:val="18"/>
          <w:color w:val="auto"/>
        </w:rPr>
        <w:t>an increase in employee-related costs of $6,129, primarily resulting from annual merit increases, increases in employee medical costs, and higher performance-based compensation expense compared to prior period;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165735</wp:posOffset>
            </wp:positionV>
            <wp:extent cx="717740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bad debt expense of $2,175;</w:t>
      </w:r>
    </w:p>
    <w:p>
      <w:pPr>
        <w:spacing w:after="0" w:line="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an increase in materials and supplies of $1,027;</w:t>
      </w:r>
    </w:p>
    <w:p>
      <w:pPr>
        <w:ind w:left="260" w:right="360"/>
        <w:spacing w:after="0" w:line="234" w:lineRule="auto"/>
        <w:rPr>
          <w:sz w:val="20"/>
          <w:szCs w:val="20"/>
          <w:color w:val="auto"/>
        </w:rPr>
      </w:pPr>
      <w:r>
        <w:rPr>
          <w:rFonts w:ascii="Times New Roman" w:cs="Times New Roman" w:eastAsia="Times New Roman" w:hAnsi="Times New Roman"/>
          <w:sz w:val="18"/>
          <w:szCs w:val="18"/>
          <w:color w:val="auto"/>
        </w:rPr>
        <w:t>an increase in customer assistance surcharge costs of $786 in our Regulated Natural Gas segment, which has an equivalent offsetting amount in revenues;</w:t>
      </w:r>
    </w:p>
    <w:p>
      <w:pPr>
        <w:ind w:left="260" w:right="4980"/>
        <w:spacing w:after="0" w:line="227" w:lineRule="auto"/>
        <w:rPr>
          <w:sz w:val="20"/>
          <w:szCs w:val="20"/>
          <w:color w:val="auto"/>
        </w:rPr>
      </w:pPr>
      <w:r>
        <w:rPr>
          <w:rFonts w:ascii="Times New Roman" w:cs="Times New Roman" w:eastAsia="Times New Roman" w:hAnsi="Times New Roman"/>
          <w:sz w:val="18"/>
          <w:szCs w:val="18"/>
          <w:color w:val="auto"/>
        </w:rPr>
        <w:t>an increase in production costs for water and wastewater operations of $376; and an increase in legal expense of $802; offset by</w:t>
      </w:r>
    </w:p>
    <w:p>
      <w:pPr>
        <w:spacing w:after="0" w:line="1" w:lineRule="exact"/>
        <w:rPr>
          <w:sz w:val="20"/>
          <w:szCs w:val="20"/>
          <w:color w:val="auto"/>
        </w:rPr>
      </w:pPr>
    </w:p>
    <w:p>
      <w:pPr>
        <w:ind w:left="260" w:right="80"/>
        <w:spacing w:after="0" w:line="256" w:lineRule="auto"/>
        <w:rPr>
          <w:sz w:val="20"/>
          <w:szCs w:val="20"/>
          <w:color w:val="auto"/>
        </w:rPr>
      </w:pPr>
      <w:r>
        <w:rPr>
          <w:rFonts w:ascii="Times New Roman" w:cs="Times New Roman" w:eastAsia="Times New Roman" w:hAnsi="Times New Roman"/>
          <w:sz w:val="18"/>
          <w:szCs w:val="18"/>
          <w:color w:val="auto"/>
        </w:rPr>
        <w:t>a decrease in outside services and other expenses in our Regulated Natural Gas segment due to higher capitalization in the current period compared to the prior period.</w:t>
      </w:r>
    </w:p>
    <w:p>
      <w:pPr>
        <w:spacing w:after="0" w:line="13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Purchased gas increased by $23,007 or 68.2%. Purchased gas represents the cost of gas sold by the Company, which for the regulated natural gas business has a corresponding offset in revenue. The increase is the result of an increase in the average cost of gas of $18,854 and higher gas usage of $4,153 during the second quarter of 2025.</w:t>
      </w:r>
    </w:p>
    <w:p>
      <w:pPr>
        <w:spacing w:after="0" w:line="14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$12,873 or 14.2% principally due to continued capital expenditures to expand and improve our utility facilities, our acquisitions of new water and wastewater utility systems, and the implementation of new depreciation rates.</w:t>
      </w:r>
    </w:p>
    <w:p>
      <w:pPr>
        <w:spacing w:after="0" w:line="13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Taxes other than income taxes decreased by $1,361 or 6.1% during the three months ended June 30, 2025 as compared to the prior period largely due to a favorable adjustment on sales and use tax accruals of our Regulated Natural Gas segment as a result of the closure of a sales and use tax audit during the second quarter of 2025.</w:t>
      </w:r>
    </w:p>
    <w:p>
      <w:pPr>
        <w:spacing w:after="0" w:line="158"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Interest expense, net of interest income, increased by $6,739 or 9.3%. Interest expense, net of interest income, increased by $2,582 in our Regulated Water segment and by $4,964 in our Regulated Natural Gas segment. Interest expense, net of interest income, in Other relates to our corporate operations, and this decreased by $807 primarily due to our revolving credit facility borrowings being replaced by commercial paper issuances at a lower interest rate, during the second quarter of 2025.</w:t>
      </w:r>
    </w:p>
    <w:p>
      <w:pPr>
        <w:spacing w:after="0" w:line="14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Allowance for funds used during construction (“AFUDC”) increased by $1,798 or by 34.4% primarily due to the increase in the average balance of utility plant construction work in progress, to which AFUDC is applied, in our Regulated Water segment.</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effective income tax rate was an expense of 4.1% and 2.4% in the second quarter of 2025 and 2024, respectively. The increase in the income tax expense in the second quarter of 2025 is primarily attributed to the increase in earnings and decreases in both in the state tax benefit and amortization of tax repairs surcredit in the Regulated Natural Gas segment based on a rate order received in September 2024.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2025 compared with six months ended June 30, 2024</w:t>
      </w:r>
    </w:p>
    <w:p>
      <w:pPr>
        <w:spacing w:after="0" w:line="20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Consolidated operating revenues increased by $252,058 or 24.1% as compared to the same period in 2024. Revenues from our Regulated Water, Regulated Natural Gas, and Other segments increased by $50,758, $195,599, and $5,701, respectively. A detailed discussion of the factors contributing to the changes in segment revenue is included below under the section, Segment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operations and maintenance expense increased by $6,922 or 2.5%, primarily due to:</w:t>
      </w:r>
    </w:p>
    <w:p>
      <w:pPr>
        <w:spacing w:after="0" w:line="197" w:lineRule="exact"/>
        <w:rPr>
          <w:sz w:val="20"/>
          <w:szCs w:val="20"/>
          <w:color w:val="auto"/>
        </w:rPr>
      </w:pPr>
    </w:p>
    <w:p>
      <w:pPr>
        <w:ind w:left="260" w:right="60"/>
        <w:spacing w:after="0" w:line="235" w:lineRule="auto"/>
        <w:rPr>
          <w:sz w:val="20"/>
          <w:szCs w:val="20"/>
          <w:color w:val="auto"/>
        </w:rPr>
      </w:pPr>
      <w:r>
        <w:rPr>
          <w:rFonts w:ascii="Times New Roman" w:cs="Times New Roman" w:eastAsia="Times New Roman" w:hAnsi="Times New Roman"/>
          <w:sz w:val="18"/>
          <w:szCs w:val="18"/>
          <w:color w:val="auto"/>
        </w:rPr>
        <w:t>an increase in employee-related costs of $11,012, primarily resulting from annual merit increases, increases in overtime pay due to outages from extreme cold weather conditions during the first quarter of 2025, increases in employee medical costs, and higher performance-based compensation expense compared to prior period;</w:t>
      </w:r>
    </w:p>
    <w:p>
      <w:pPr>
        <w:spacing w:after="0" w:line="1" w:lineRule="exact"/>
        <w:rPr>
          <w:sz w:val="20"/>
          <w:szCs w:val="20"/>
          <w:color w:val="auto"/>
        </w:rPr>
      </w:pPr>
    </w:p>
    <w:p>
      <w:pPr>
        <w:ind w:left="260" w:right="240"/>
        <w:spacing w:after="0" w:line="234" w:lineRule="auto"/>
        <w:rPr>
          <w:sz w:val="20"/>
          <w:szCs w:val="20"/>
          <w:color w:val="auto"/>
        </w:rPr>
      </w:pPr>
      <w:r>
        <w:rPr>
          <w:rFonts w:ascii="Times New Roman" w:cs="Times New Roman" w:eastAsia="Times New Roman" w:hAnsi="Times New Roman"/>
          <w:sz w:val="18"/>
          <w:szCs w:val="18"/>
          <w:color w:val="auto"/>
        </w:rPr>
        <w:t>an increase in customer assistance surcharge costs of $9,250 in our Regulated Natural Gas segment, which has an equivalent offsetting amount in revenues;</w:t>
      </w:r>
    </w:p>
    <w:p>
      <w:pPr>
        <w:ind w:left="260" w:right="4860"/>
        <w:spacing w:after="0" w:line="227" w:lineRule="auto"/>
        <w:rPr>
          <w:sz w:val="20"/>
          <w:szCs w:val="20"/>
          <w:color w:val="auto"/>
        </w:rPr>
      </w:pPr>
      <w:r>
        <w:rPr>
          <w:rFonts w:ascii="Times New Roman" w:cs="Times New Roman" w:eastAsia="Times New Roman" w:hAnsi="Times New Roman"/>
          <w:sz w:val="18"/>
          <w:szCs w:val="18"/>
          <w:color w:val="auto"/>
        </w:rPr>
        <w:t>an increase in production costs for water and wastewater operations of $3,060; and an increase in legal expense of $2,991; offset by</w:t>
      </w:r>
    </w:p>
    <w:p>
      <w:pPr>
        <w:spacing w:after="0" w:line="1" w:lineRule="exact"/>
        <w:rPr>
          <w:sz w:val="20"/>
          <w:szCs w:val="20"/>
          <w:color w:val="auto"/>
        </w:rPr>
      </w:pPr>
    </w:p>
    <w:p>
      <w:pPr>
        <w:ind w:left="260" w:right="140"/>
        <w:spacing w:after="0" w:line="234" w:lineRule="auto"/>
        <w:rPr>
          <w:sz w:val="20"/>
          <w:szCs w:val="20"/>
          <w:color w:val="auto"/>
        </w:rPr>
      </w:pPr>
      <w:r>
        <w:rPr>
          <w:rFonts w:ascii="Times New Roman" w:cs="Times New Roman" w:eastAsia="Times New Roman" w:hAnsi="Times New Roman"/>
          <w:sz w:val="18"/>
          <w:szCs w:val="18"/>
          <w:color w:val="auto"/>
        </w:rPr>
        <w:t>an insurance recovery of $5,602 during the first quarter of 2025 for a portion of expenses incurred by the Company associated with remediating an advisory for some of our Illinois water utility customers;</w:t>
      </w:r>
    </w:p>
    <w:p>
      <w:pPr>
        <w:ind w:left="260" w:right="120"/>
        <w:spacing w:after="0" w:line="227" w:lineRule="auto"/>
        <w:rPr>
          <w:sz w:val="20"/>
          <w:szCs w:val="20"/>
          <w:color w:val="auto"/>
        </w:rPr>
      </w:pPr>
      <w:r>
        <w:rPr>
          <w:rFonts w:ascii="Times New Roman" w:cs="Times New Roman" w:eastAsia="Times New Roman" w:hAnsi="Times New Roman"/>
          <w:sz w:val="18"/>
          <w:szCs w:val="18"/>
          <w:color w:val="auto"/>
        </w:rPr>
        <w:t>a decrease in bad debt expense of $5,223, of which $5,889 relates to a favorable regulatory asset adjustment in our Regulated Water segment in the first quarter of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decrease in materials and supplies in our Regulated Natural Gas segment of $1,561; and</w:t>
      </w:r>
    </w:p>
    <w:p>
      <w:pPr>
        <w:ind w:left="260" w:right="100"/>
        <w:spacing w:after="0" w:line="243" w:lineRule="auto"/>
        <w:rPr>
          <w:sz w:val="20"/>
          <w:szCs w:val="20"/>
          <w:color w:val="auto"/>
        </w:rPr>
      </w:pPr>
      <w:r>
        <w:rPr>
          <w:rFonts w:ascii="Times New Roman" w:cs="Times New Roman" w:eastAsia="Times New Roman" w:hAnsi="Times New Roman"/>
          <w:sz w:val="18"/>
          <w:szCs w:val="18"/>
          <w:color w:val="auto"/>
        </w:rPr>
        <w:t>a decrease in outside services and other expenses in our Regulated Natural Gas segment due to higher capitalization in the current period compared to the prior period.</w:t>
      </w:r>
    </w:p>
    <w:p>
      <w:pPr>
        <w:spacing w:after="0" w:line="162"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Purchased gas increased by $77,973 or 47.7%. Purchased gas represents the cost of gas sold by the Company, which for the regulated natural gas business has a corresponding offset in revenue. The increase is the result of an increase in the average cost of gas of $45,879 and higher gas usage of $32,480 during the first half of 2025, offset by a decrease of $386 from the sale of our interest in three non-utility local microgrid and distributed energy projects in January 2024.</w:t>
      </w:r>
    </w:p>
    <w:p>
      <w:pPr>
        <w:spacing w:after="0" w:line="16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$22,446 or 12.4% principally due to continued capital expenditures to expand and improve our utility facilities, our acquisitions of new water and wastewater utility systems, and the implementation of new depreciation rates.</w:t>
      </w:r>
    </w:p>
    <w:p>
      <w:pPr>
        <w:spacing w:after="0" w:line="11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Taxes other than income taxes decreased by 3,506 or 7.4% during the six months ended June 30, 2025 as compared to the prior period largely due to a decrease in our Illinois subsidiary’s invested capital tax and lower sales and use tax and property taxes in our Regulated Natural Gas segment.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6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Interest expense, net of interest income, increased by $16,291 or 11.2%. Interest expense, net of interest income, increased by $4,355 in our Regulated Water segment and by $5,748 in our Regulated Natural Gas segment. Interest expense, net of interest income, in Other relates to our corporate operations, and this increased by $6,188 primarily due to increased borrowings from the Company’s revolving credit facility and commercial paper issuances during the first half of 2025 as compared to the prior period.</w:t>
      </w:r>
    </w:p>
    <w:p>
      <w:pPr>
        <w:spacing w:after="0" w:line="16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Allowance for funds used during construction (“AFUDC”) increased by $2,949 or by 29.8% primarily due to the increase in the average balance of utility plant construction work in progress, to which AFUDC is applied, in our Regulated Water segment.</w:t>
      </w:r>
    </w:p>
    <w:p>
      <w:pPr>
        <w:spacing w:after="0" w:line="142"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8"/>
          <w:szCs w:val="18"/>
          <w:color w:val="auto"/>
        </w:rPr>
        <w:t>For the six months ended June 30, 2025 and 2024, gain on sale of other assets totaled $493 and $91,828, respectively. During the first quarter of 2024, the Company completed the sale of its interest in three non-utility local microgrid and distributed energy projects and recognized a gain of $91,236 in its Regulated Natural Gas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was a benefit of 4.3% and 2.6% in the first six months of 2025 and 2024, respectively. The increase in income tax benefit during the first six months of 2025 is attributed to the release of $22,575 of income tax reserve regulatory liability in the Regulated Water segment based on the rate order received by Aqua Pennsylvania in February 2025, offset by the decreases in both the state tax benefit and amortization of tax repairs surcredit in the Regulated Natural Gas segment based on a rate order received in September 2024.</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Segment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Water Segment</w:t>
      </w:r>
    </w:p>
    <w:p>
      <w:pPr>
        <w:spacing w:after="0" w:line="201"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8"/>
          <w:szCs w:val="18"/>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selected operating results and statistics for our Regulated Water segment for the periods ended June 30, 2025 and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Three Months Ended June 30,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Six Months Ended June 30,</w:t>
            </w:r>
          </w:p>
        </w:tc>
        <w:tc>
          <w:tcPr>
            <w:tcW w:w="0" w:type="dxa"/>
            <w:vAlign w:val="bottom"/>
          </w:tcPr>
          <w:p>
            <w:pPr>
              <w:spacing w:after="0"/>
              <w:rPr>
                <w:sz w:val="1"/>
                <w:szCs w:val="1"/>
                <w:color w:val="auto"/>
              </w:rPr>
            </w:pPr>
          </w:p>
        </w:tc>
      </w:tr>
      <w:tr>
        <w:trPr>
          <w:trHeight w:val="153"/>
        </w:trPr>
        <w:tc>
          <w:tcPr>
            <w:tcW w:w="55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220"/>
              <w:spacing w:after="0" w:line="154" w:lineRule="exact"/>
              <w:rPr>
                <w:sz w:val="20"/>
                <w:szCs w:val="20"/>
                <w:color w:val="auto"/>
              </w:rPr>
            </w:pPr>
            <w:r>
              <w:rPr>
                <w:rFonts w:ascii="Times New Roman" w:cs="Times New Roman" w:eastAsia="Times New Roman" w:hAnsi="Times New Roman"/>
                <w:sz w:val="15"/>
                <w:szCs w:val="15"/>
                <w:color w:val="auto"/>
              </w:rPr>
              <w:t>2025</w:t>
            </w: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23"/>
              <w:spacing w:after="0" w:line="154" w:lineRule="exact"/>
              <w:rPr>
                <w:sz w:val="20"/>
                <w:szCs w:val="20"/>
                <w:color w:val="auto"/>
              </w:rPr>
            </w:pPr>
            <w:r>
              <w:rPr>
                <w:rFonts w:ascii="Times New Roman" w:cs="Times New Roman" w:eastAsia="Times New Roman" w:hAnsi="Times New Roman"/>
                <w:sz w:val="15"/>
                <w:szCs w:val="15"/>
                <w:color w:val="auto"/>
              </w:rPr>
              <w:t>2024</w:t>
            </w:r>
          </w:p>
        </w:tc>
        <w:tc>
          <w:tcPr>
            <w:tcW w:w="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03"/>
              <w:spacing w:after="0" w:line="154" w:lineRule="exact"/>
              <w:rPr>
                <w:sz w:val="20"/>
                <w:szCs w:val="20"/>
                <w:color w:val="auto"/>
              </w:rPr>
            </w:pPr>
            <w:r>
              <w:rPr>
                <w:rFonts w:ascii="Times New Roman" w:cs="Times New Roman" w:eastAsia="Times New Roman" w:hAnsi="Times New Roman"/>
                <w:sz w:val="15"/>
                <w:szCs w:val="15"/>
                <w:color w:val="auto"/>
              </w:rPr>
              <w:t>2025</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43"/>
              <w:spacing w:after="0" w:line="154" w:lineRule="exact"/>
              <w:rPr>
                <w:sz w:val="20"/>
                <w:szCs w:val="20"/>
                <w:color w:val="auto"/>
              </w:rPr>
            </w:pPr>
            <w:r>
              <w:rPr>
                <w:rFonts w:ascii="Times New Roman" w:cs="Times New Roman" w:eastAsia="Times New Roman" w:hAnsi="Times New Roman"/>
                <w:sz w:val="15"/>
                <w:szCs w:val="15"/>
                <w:color w:val="auto"/>
              </w:rPr>
              <w:t>2024</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80" w:type="dxa"/>
            <w:vAlign w:val="bottom"/>
            <w:tcBorders>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Operating revenues</w:t>
            </w:r>
          </w:p>
        </w:tc>
        <w:tc>
          <w:tcPr>
            <w:tcW w:w="300" w:type="dxa"/>
            <w:vAlign w:val="bottom"/>
            <w:tcBorders>
              <w:bottom w:val="single" w:sz="8" w:color="auto"/>
            </w:tcBorders>
            <w:shd w:val="clear" w:color="auto" w:fill="CCEEFF"/>
          </w:tcPr>
          <w:p>
            <w:pPr>
              <w:jc w:val="right"/>
              <w:ind w:right="14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ind w:right="63"/>
              <w:spacing w:after="0" w:line="154" w:lineRule="exact"/>
              <w:rPr>
                <w:sz w:val="20"/>
                <w:szCs w:val="20"/>
                <w:color w:val="auto"/>
              </w:rPr>
            </w:pPr>
            <w:r>
              <w:rPr>
                <w:rFonts w:ascii="Times New Roman" w:cs="Times New Roman" w:eastAsia="Times New Roman" w:hAnsi="Times New Roman"/>
                <w:sz w:val="15"/>
                <w:szCs w:val="15"/>
                <w:color w:val="auto"/>
              </w:rPr>
              <w:t>332,282</w:t>
            </w:r>
          </w:p>
        </w:tc>
        <w:tc>
          <w:tcPr>
            <w:tcW w:w="360" w:type="dxa"/>
            <w:vAlign w:val="bottom"/>
            <w:tcBorders>
              <w:bottom w:val="single" w:sz="8" w:color="auto"/>
            </w:tcBorders>
            <w:shd w:val="clear" w:color="auto" w:fill="CCEEFF"/>
          </w:tcPr>
          <w:p>
            <w:pPr>
              <w:jc w:val="right"/>
              <w:ind w:right="83"/>
              <w:spacing w:after="0" w:line="15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302,479</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2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ind w:right="43"/>
              <w:spacing w:after="0" w:line="154" w:lineRule="exact"/>
              <w:rPr>
                <w:sz w:val="20"/>
                <w:szCs w:val="20"/>
                <w:color w:val="auto"/>
              </w:rPr>
            </w:pPr>
            <w:r>
              <w:rPr>
                <w:rFonts w:ascii="Times New Roman" w:cs="Times New Roman" w:eastAsia="Times New Roman" w:hAnsi="Times New Roman"/>
                <w:sz w:val="15"/>
                <w:szCs w:val="15"/>
                <w:color w:val="auto"/>
              </w:rPr>
              <w:t>633,130</w:t>
            </w:r>
          </w:p>
        </w:tc>
        <w:tc>
          <w:tcPr>
            <w:tcW w:w="320" w:type="dxa"/>
            <w:vAlign w:val="bottom"/>
            <w:tcBorders>
              <w:bottom w:val="single" w:sz="8" w:color="auto"/>
            </w:tcBorders>
            <w:shd w:val="clear" w:color="auto" w:fill="CCEEFF"/>
          </w:tcPr>
          <w:p>
            <w:pPr>
              <w:jc w:val="right"/>
              <w:ind w:right="43"/>
              <w:spacing w:after="0" w:line="154"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582,372</w:t>
            </w: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Operations and maintenance expense</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8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jc w:val="right"/>
              <w:ind w:right="14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ind w:right="63"/>
              <w:spacing w:after="0" w:line="136" w:lineRule="exact"/>
              <w:rPr>
                <w:sz w:val="20"/>
                <w:szCs w:val="20"/>
                <w:color w:val="auto"/>
              </w:rPr>
            </w:pPr>
            <w:r>
              <w:rPr>
                <w:rFonts w:ascii="Times New Roman" w:cs="Times New Roman" w:eastAsia="Times New Roman" w:hAnsi="Times New Roman"/>
                <w:sz w:val="15"/>
                <w:szCs w:val="15"/>
                <w:color w:val="auto"/>
              </w:rPr>
              <w:t>100,149</w:t>
            </w:r>
          </w:p>
        </w:tc>
        <w:tc>
          <w:tcPr>
            <w:tcW w:w="360" w:type="dxa"/>
            <w:vAlign w:val="bottom"/>
            <w:tcBorders>
              <w:bottom w:val="single" w:sz="8" w:color="auto"/>
            </w:tcBorders>
          </w:tcPr>
          <w:p>
            <w:pPr>
              <w:jc w:val="right"/>
              <w:ind w:right="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95,575</w:t>
            </w:r>
          </w:p>
        </w:tc>
        <w:tc>
          <w:tcPr>
            <w:tcW w:w="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jc w:val="right"/>
              <w:ind w:right="12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189,567</w:t>
            </w:r>
          </w:p>
        </w:tc>
        <w:tc>
          <w:tcPr>
            <w:tcW w:w="320" w:type="dxa"/>
            <w:vAlign w:val="bottom"/>
            <w:tcBorders>
              <w:bottom w:val="single" w:sz="8" w:color="auto"/>
            </w:tcBorders>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186,258</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580" w:type="dxa"/>
            <w:vAlign w:val="bottom"/>
            <w:tcBorders>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Segment net income</w:t>
            </w:r>
          </w:p>
        </w:tc>
        <w:tc>
          <w:tcPr>
            <w:tcW w:w="300" w:type="dxa"/>
            <w:vAlign w:val="bottom"/>
            <w:tcBorders>
              <w:bottom w:val="single" w:sz="8" w:color="auto"/>
            </w:tcBorders>
            <w:shd w:val="clear" w:color="auto" w:fill="CCEEFF"/>
          </w:tcPr>
          <w:p>
            <w:pPr>
              <w:jc w:val="right"/>
              <w:ind w:right="14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ind w:right="63"/>
              <w:spacing w:after="0" w:line="136" w:lineRule="exact"/>
              <w:rPr>
                <w:sz w:val="20"/>
                <w:szCs w:val="20"/>
                <w:color w:val="auto"/>
              </w:rPr>
            </w:pPr>
            <w:r>
              <w:rPr>
                <w:rFonts w:ascii="Times New Roman" w:cs="Times New Roman" w:eastAsia="Times New Roman" w:hAnsi="Times New Roman"/>
                <w:sz w:val="15"/>
                <w:szCs w:val="15"/>
                <w:color w:val="auto"/>
              </w:rPr>
              <w:t>100,480</w:t>
            </w:r>
          </w:p>
        </w:tc>
        <w:tc>
          <w:tcPr>
            <w:tcW w:w="360" w:type="dxa"/>
            <w:vAlign w:val="bottom"/>
            <w:tcBorders>
              <w:bottom w:val="single" w:sz="8" w:color="auto"/>
            </w:tcBorders>
            <w:shd w:val="clear" w:color="auto" w:fill="CCEEFF"/>
          </w:tcPr>
          <w:p>
            <w:pPr>
              <w:jc w:val="right"/>
              <w:ind w:right="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87,679</w:t>
            </w:r>
          </w:p>
        </w:tc>
        <w:tc>
          <w:tcPr>
            <w:tcW w:w="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2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208,402</w:t>
            </w:r>
          </w:p>
        </w:tc>
        <w:tc>
          <w:tcPr>
            <w:tcW w:w="320" w:type="dxa"/>
            <w:vAlign w:val="bottom"/>
            <w:tcBorders>
              <w:bottom w:val="single" w:sz="8" w:color="auto"/>
            </w:tcBorders>
            <w:shd w:val="clear" w:color="auto" w:fill="CCEEFF"/>
          </w:tcPr>
          <w:p>
            <w:pPr>
              <w:jc w:val="right"/>
              <w:ind w:right="43"/>
              <w:spacing w:after="0" w:line="136"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151,583</w:t>
            </w: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Statistics</w:t>
            </w:r>
          </w:p>
        </w:tc>
        <w:tc>
          <w:tcPr>
            <w:tcW w:w="20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Selected operating results as a percentage of operating revenues: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Operations and maintenance</w:t>
            </w:r>
          </w:p>
        </w:tc>
        <w:tc>
          <w:tcPr>
            <w:tcW w:w="2020" w:type="dxa"/>
            <w:vAlign w:val="bottom"/>
            <w:shd w:val="clear" w:color="auto" w:fill="CCEEFF"/>
          </w:tcPr>
          <w:p>
            <w:pPr>
              <w:jc w:val="center"/>
              <w:ind w:left="503"/>
              <w:spacing w:after="0" w:line="162" w:lineRule="exact"/>
              <w:rPr>
                <w:sz w:val="20"/>
                <w:szCs w:val="20"/>
                <w:color w:val="auto"/>
              </w:rPr>
            </w:pPr>
            <w:r>
              <w:rPr>
                <w:rFonts w:ascii="Times New Roman" w:cs="Times New Roman" w:eastAsia="Times New Roman" w:hAnsi="Times New Roman"/>
                <w:sz w:val="15"/>
                <w:szCs w:val="15"/>
                <w:color w:val="auto"/>
              </w:rPr>
              <w:t>30.1%</w:t>
            </w:r>
          </w:p>
        </w:tc>
        <w:tc>
          <w:tcPr>
            <w:tcW w:w="14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31.6%</w:t>
            </w:r>
          </w:p>
        </w:tc>
        <w:tc>
          <w:tcPr>
            <w:tcW w:w="13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29.9%</w:t>
            </w:r>
          </w:p>
        </w:tc>
        <w:tc>
          <w:tcPr>
            <w:tcW w:w="13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020" w:type="dxa"/>
            <w:vAlign w:val="bottom"/>
          </w:tcPr>
          <w:p>
            <w:pPr>
              <w:jc w:val="center"/>
              <w:ind w:left="503"/>
              <w:spacing w:after="0" w:line="162" w:lineRule="exact"/>
              <w:rPr>
                <w:sz w:val="20"/>
                <w:szCs w:val="20"/>
                <w:color w:val="auto"/>
              </w:rPr>
            </w:pPr>
            <w:r>
              <w:rPr>
                <w:rFonts w:ascii="Times New Roman" w:cs="Times New Roman" w:eastAsia="Times New Roman" w:hAnsi="Times New Roman"/>
                <w:sz w:val="15"/>
                <w:szCs w:val="15"/>
                <w:color w:val="auto"/>
              </w:rPr>
              <w:t>19.5%</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19.1%</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19.8%</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Taxes other than income taxes</w:t>
            </w:r>
          </w:p>
        </w:tc>
        <w:tc>
          <w:tcPr>
            <w:tcW w:w="2020" w:type="dxa"/>
            <w:vAlign w:val="bottom"/>
            <w:shd w:val="clear" w:color="auto" w:fill="CCEEFF"/>
          </w:tcPr>
          <w:p>
            <w:pPr>
              <w:jc w:val="center"/>
              <w:ind w:left="503"/>
              <w:spacing w:after="0" w:line="162" w:lineRule="exact"/>
              <w:rPr>
                <w:sz w:val="20"/>
                <w:szCs w:val="20"/>
                <w:color w:val="auto"/>
              </w:rPr>
            </w:pPr>
            <w:r>
              <w:rPr>
                <w:rFonts w:ascii="Times New Roman" w:cs="Times New Roman" w:eastAsia="Times New Roman" w:hAnsi="Times New Roman"/>
                <w:sz w:val="15"/>
                <w:szCs w:val="15"/>
                <w:color w:val="auto"/>
              </w:rPr>
              <w:t>5.3%</w:t>
            </w:r>
          </w:p>
        </w:tc>
        <w:tc>
          <w:tcPr>
            <w:tcW w:w="14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5.4%</w:t>
            </w:r>
          </w:p>
        </w:tc>
        <w:tc>
          <w:tcPr>
            <w:tcW w:w="13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5.3%</w:t>
            </w:r>
          </w:p>
        </w:tc>
        <w:tc>
          <w:tcPr>
            <w:tcW w:w="13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Interest expense, net of interest income</w:t>
            </w:r>
          </w:p>
        </w:tc>
        <w:tc>
          <w:tcPr>
            <w:tcW w:w="2020" w:type="dxa"/>
            <w:vAlign w:val="bottom"/>
          </w:tcPr>
          <w:p>
            <w:pPr>
              <w:jc w:val="center"/>
              <w:ind w:left="483"/>
              <w:spacing w:after="0" w:line="162" w:lineRule="exact"/>
              <w:rPr>
                <w:sz w:val="20"/>
                <w:szCs w:val="20"/>
                <w:color w:val="auto"/>
              </w:rPr>
            </w:pPr>
            <w:r>
              <w:rPr>
                <w:rFonts w:ascii="Times New Roman" w:cs="Times New Roman" w:eastAsia="Times New Roman" w:hAnsi="Times New Roman"/>
                <w:sz w:val="15"/>
                <w:szCs w:val="15"/>
                <w:color w:val="auto"/>
                <w:w w:val="97"/>
              </w:rPr>
              <w:t>11.1%</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11.4%</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11.6%</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Segment net income</w:t>
            </w:r>
          </w:p>
        </w:tc>
        <w:tc>
          <w:tcPr>
            <w:tcW w:w="2020" w:type="dxa"/>
            <w:vAlign w:val="bottom"/>
            <w:shd w:val="clear" w:color="auto" w:fill="CCEEFF"/>
          </w:tcPr>
          <w:p>
            <w:pPr>
              <w:jc w:val="center"/>
              <w:ind w:left="503"/>
              <w:spacing w:after="0" w:line="162" w:lineRule="exact"/>
              <w:rPr>
                <w:sz w:val="20"/>
                <w:szCs w:val="20"/>
                <w:color w:val="auto"/>
              </w:rPr>
            </w:pPr>
            <w:r>
              <w:rPr>
                <w:rFonts w:ascii="Times New Roman" w:cs="Times New Roman" w:eastAsia="Times New Roman" w:hAnsi="Times New Roman"/>
                <w:sz w:val="15"/>
                <w:szCs w:val="15"/>
                <w:color w:val="auto"/>
              </w:rPr>
              <w:t>30.2%</w:t>
            </w:r>
          </w:p>
        </w:tc>
        <w:tc>
          <w:tcPr>
            <w:tcW w:w="14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29.0%</w:t>
            </w:r>
          </w:p>
        </w:tc>
        <w:tc>
          <w:tcPr>
            <w:tcW w:w="13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32.9%</w:t>
            </w:r>
          </w:p>
        </w:tc>
        <w:tc>
          <w:tcPr>
            <w:tcW w:w="13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26.0%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Effective tax rate</w:t>
            </w:r>
          </w:p>
        </w:tc>
        <w:tc>
          <w:tcPr>
            <w:tcW w:w="2020" w:type="dxa"/>
            <w:vAlign w:val="bottom"/>
            <w:shd w:val="clear" w:color="auto" w:fill="CCEEFF"/>
          </w:tcPr>
          <w:p>
            <w:pPr>
              <w:jc w:val="center"/>
              <w:ind w:left="503"/>
              <w:spacing w:after="0" w:line="162" w:lineRule="exact"/>
              <w:rPr>
                <w:sz w:val="20"/>
                <w:szCs w:val="20"/>
                <w:color w:val="auto"/>
              </w:rPr>
            </w:pPr>
            <w:r>
              <w:rPr>
                <w:rFonts w:ascii="Times New Roman" w:cs="Times New Roman" w:eastAsia="Times New Roman" w:hAnsi="Times New Roman"/>
                <w:sz w:val="15"/>
                <w:szCs w:val="15"/>
                <w:color w:val="auto"/>
              </w:rPr>
              <w:t>15.1%</w:t>
            </w:r>
          </w:p>
        </w:tc>
        <w:tc>
          <w:tcPr>
            <w:tcW w:w="14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14.2%</w:t>
            </w:r>
          </w:p>
        </w:tc>
        <w:tc>
          <w:tcPr>
            <w:tcW w:w="13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6.0%</w:t>
            </w:r>
          </w:p>
        </w:tc>
        <w:tc>
          <w:tcPr>
            <w:tcW w:w="13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18.9%</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2025 compared with three months ended June 30, 2024</w:t>
      </w:r>
    </w:p>
    <w:p>
      <w:pPr>
        <w:spacing w:after="0" w:line="20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Revenues from our Regulated Water segment increased by $29,803 or 9.9% for the second quarter of 2025 as compared to the same period in 2024, mainly due to the following: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water and wastewater rates of $30,573;</w:t>
      </w:r>
    </w:p>
    <w:p>
      <w:pPr>
        <w:spacing w:after="0" w:line="9" w:lineRule="exact"/>
        <w:rPr>
          <w:sz w:val="20"/>
          <w:szCs w:val="20"/>
          <w:color w:val="auto"/>
        </w:rPr>
      </w:pPr>
    </w:p>
    <w:p>
      <w:pPr>
        <w:ind w:left="260" w:right="120"/>
        <w:spacing w:after="0" w:line="243" w:lineRule="auto"/>
        <w:rPr>
          <w:sz w:val="20"/>
          <w:szCs w:val="20"/>
          <w:color w:val="auto"/>
        </w:rPr>
      </w:pPr>
      <w:r>
        <w:rPr>
          <w:rFonts w:ascii="Times New Roman" w:cs="Times New Roman" w:eastAsia="Times New Roman" w:hAnsi="Times New Roman"/>
          <w:sz w:val="18"/>
          <w:szCs w:val="18"/>
          <w:color w:val="auto"/>
        </w:rPr>
        <w:t>additional water and wastewater revenues of $2,056 associated with a larger customer base due to utility acquisitions and organic growth; offset by a decrease in volume consumption of $2,637 primarily due to increased rainfall during the months of May and June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maintenance expense increased by $4,574 or 4.8% primarily due to the following:</w:t>
      </w:r>
    </w:p>
    <w:p>
      <w:pPr>
        <w:spacing w:after="0" w:line="186" w:lineRule="exact"/>
        <w:rPr>
          <w:sz w:val="20"/>
          <w:szCs w:val="20"/>
          <w:color w:val="auto"/>
        </w:rPr>
      </w:pPr>
    </w:p>
    <w:p>
      <w:pPr>
        <w:ind w:left="260" w:right="7440"/>
        <w:spacing w:after="0" w:line="246" w:lineRule="auto"/>
        <w:rPr>
          <w:sz w:val="20"/>
          <w:szCs w:val="20"/>
          <w:color w:val="auto"/>
        </w:rPr>
      </w:pPr>
      <w:r>
        <w:rPr>
          <w:rFonts w:ascii="Times New Roman" w:cs="Times New Roman" w:eastAsia="Times New Roman" w:hAnsi="Times New Roman"/>
          <w:sz w:val="18"/>
          <w:szCs w:val="18"/>
          <w:color w:val="auto"/>
        </w:rPr>
        <w:t>an increase in employee related costs of $1,561; an increase in bad debt expense of $344; and</w:t>
      </w:r>
    </w:p>
    <w:p>
      <w:pPr>
        <w:spacing w:after="0"/>
        <w:rPr>
          <w:sz w:val="20"/>
          <w:szCs w:val="20"/>
          <w:color w:val="auto"/>
        </w:rPr>
      </w:pPr>
      <w:r>
        <w:rPr>
          <w:rFonts w:ascii="Times New Roman" w:cs="Times New Roman" w:eastAsia="Times New Roman" w:hAnsi="Times New Roman"/>
          <w:sz w:val="18"/>
          <w:szCs w:val="18"/>
          <w:color w:val="auto"/>
        </w:rPr>
        <w:t>an increase in production costs for water and wastewater operations of $376.</w:t>
      </w:r>
    </w:p>
    <w:p>
      <w:pPr>
        <w:spacing w:after="0" w:line="16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Depreciation and amortization increased by $7,106 or 12.3% primarily due to continued capital investment to expand and improve our utility facilities, the implementation of new depreciation rates in connection with recently completed rate cases, and our acquisitions of new utility systems.</w:t>
      </w:r>
    </w:p>
    <w:p>
      <w:pPr>
        <w:spacing w:after="0" w:line="11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expense, net of interest income, increased by $2,582 or 7.5% for the quarter primarily due to higher push down debt borrowings and operating company debt issuances for the Regulated Water segment.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62"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Allowance for funds used during construction (“AFUDC”) increased by $1,660 or by 41.9% primarily due to the increase in the average balance of utility plant construction work in progress, to which AFUDC is applied.</w:t>
      </w:r>
    </w:p>
    <w:p>
      <w:pPr>
        <w:spacing w:after="0" w:line="118"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Our effective income tax rate for our Regulated Water Segment was an expense of 15.1% and 14.2% in the second quarter of 2025 and 2024, respectively. The increase in income tax expense in the second quarter of 2025 is primarily attributed to an increase in earnings.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2025 compared with six months ended June 30, 2024</w:t>
      </w:r>
    </w:p>
    <w:p>
      <w:pPr>
        <w:spacing w:after="0" w:line="20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Revenues from our Regulated Water segment increased by $50,758 or 8.7% for the first six months of 2025 as compared to the same period in 2024, mainly due to the following: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water and wastewater rates of $52,909;</w:t>
      </w:r>
    </w:p>
    <w:p>
      <w:pPr>
        <w:spacing w:after="0" w:line="20" w:lineRule="exact"/>
        <w:rPr>
          <w:sz w:val="20"/>
          <w:szCs w:val="20"/>
          <w:color w:val="auto"/>
        </w:rPr>
      </w:pPr>
    </w:p>
    <w:p>
      <w:pPr>
        <w:ind w:left="260" w:right="20"/>
        <w:spacing w:after="0" w:line="243" w:lineRule="auto"/>
        <w:rPr>
          <w:sz w:val="20"/>
          <w:szCs w:val="20"/>
          <w:color w:val="auto"/>
        </w:rPr>
      </w:pPr>
      <w:r>
        <w:rPr>
          <w:rFonts w:ascii="Times New Roman" w:cs="Times New Roman" w:eastAsia="Times New Roman" w:hAnsi="Times New Roman"/>
          <w:sz w:val="18"/>
          <w:szCs w:val="18"/>
          <w:color w:val="auto"/>
        </w:rPr>
        <w:t>additional water and wastewater revenues of $3,554 associated with a larger customer base due to utility acquisitions and organic growth; offset by a decrease in volume consumption of $5,631.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maintenance expense increased by $3,309 or 1.8% primarily due to the following: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employee related costs of $2,448;</w:t>
      </w:r>
    </w:p>
    <w:p>
      <w:pPr>
        <w:spacing w:after="0" w:line="9" w:lineRule="exact"/>
        <w:rPr>
          <w:sz w:val="20"/>
          <w:szCs w:val="20"/>
          <w:color w:val="auto"/>
        </w:rPr>
      </w:pPr>
    </w:p>
    <w:p>
      <w:pPr>
        <w:ind w:left="260" w:right="5080"/>
        <w:spacing w:after="0" w:line="234" w:lineRule="auto"/>
        <w:rPr>
          <w:sz w:val="20"/>
          <w:szCs w:val="20"/>
          <w:color w:val="auto"/>
        </w:rPr>
      </w:pPr>
      <w:r>
        <w:rPr>
          <w:rFonts w:ascii="Times New Roman" w:cs="Times New Roman" w:eastAsia="Times New Roman" w:hAnsi="Times New Roman"/>
          <w:sz w:val="18"/>
          <w:szCs w:val="18"/>
          <w:color w:val="auto"/>
        </w:rPr>
        <w:t>an increase in production costs for water and wastewater operations of $3,060; an increase in management fees of $1,810; and</w:t>
      </w:r>
    </w:p>
    <w:p>
      <w:pPr>
        <w:spacing w:after="0" w:line="227" w:lineRule="auto"/>
        <w:rPr>
          <w:sz w:val="20"/>
          <w:szCs w:val="20"/>
          <w:color w:val="auto"/>
        </w:rPr>
      </w:pPr>
      <w:r>
        <w:rPr>
          <w:rFonts w:ascii="Times New Roman" w:cs="Times New Roman" w:eastAsia="Times New Roman" w:hAnsi="Times New Roman"/>
          <w:sz w:val="18"/>
          <w:szCs w:val="18"/>
          <w:color w:val="auto"/>
        </w:rPr>
        <w:t>an increase in insurance expense of $682; offset by</w:t>
      </w:r>
    </w:p>
    <w:p>
      <w:pPr>
        <w:spacing w:after="0"/>
        <w:rPr>
          <w:sz w:val="20"/>
          <w:szCs w:val="20"/>
          <w:color w:val="auto"/>
        </w:rPr>
      </w:pPr>
      <w:r>
        <w:rPr>
          <w:rFonts w:ascii="Times New Roman" w:cs="Times New Roman" w:eastAsia="Times New Roman" w:hAnsi="Times New Roman"/>
          <w:sz w:val="18"/>
          <w:szCs w:val="18"/>
          <w:color w:val="auto"/>
        </w:rPr>
        <w:t>a decrease in bad debt expense of $6,022, of which $5,889 relates to a favorable regulatory asset adjustment during the first quarter of 2025.</w:t>
      </w:r>
    </w:p>
    <w:p>
      <w:pPr>
        <w:spacing w:after="0" w:line="1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by $10,541 or 9.2% primarily due to continued capital investment to expand and improve our utility facilities, a change in depreciation rates, and our acquisitions of new utility systems.</w:t>
      </w:r>
    </w:p>
    <w:p>
      <w:pPr>
        <w:spacing w:after="0" w:line="13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Interest expense, net of interest income, increased by $4,355 or 6.3% for the quarter primarily due to higher push down debt borrowings and operating company debt issuances for the Regulated Water segment.</w:t>
      </w:r>
    </w:p>
    <w:p>
      <w:pPr>
        <w:spacing w:after="0" w:line="11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Allowance for funds used during construction (“AFUDC”) increased by $2,704 or by 35.3% primarily due to the increase in the average balance of utility plant construction work in progress, to which AFUDC is applied.</w:t>
      </w:r>
    </w:p>
    <w:p>
      <w:pPr>
        <w:spacing w:after="0" w:line="14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Our effective income tax rate for our Regulated Water Segment was an expense of 6.0% and 18.9% in the first six months of 2025 and 2024, respectively. The decrease in the effective tax rate is largely attributed to the release of $22,575 of income tax reserve regulatory liability based on the rate order received by Aqua Pennsylvania in February 2025.</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Natural Gas Segment</w:t>
      </w:r>
    </w:p>
    <w:p>
      <w:pPr>
        <w:spacing w:after="0" w:line="201"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 A weather normalization adjustment (“WNA”) mechanism is in place for our natural gas customers served in Kentucky, and, beginning in October 2024, for our natural gas customers in Pennsylvania. The WNA mechanism serves to minimize the effects of weather on the Company’s ability to collect revenues to cover operating expenses for its residential and small and medium commercial natural gas customers. The WNA mechanism adjust revenues earned for the variance between actual and normal weather and can have either positive (warmer than normal) or negative (colder than normal) effects on revenues.</w:t>
      </w:r>
    </w:p>
    <w:p>
      <w:pPr>
        <w:spacing w:after="0" w:line="342"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The following tables present selected operating results and statistics for our Regulated Natural Gas segment, for the periods ended June 30, 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Three Months Ended June 30,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ind w:left="240"/>
              <w:spacing w:after="0"/>
              <w:rPr>
                <w:sz w:val="20"/>
                <w:szCs w:val="20"/>
                <w:color w:val="auto"/>
              </w:rPr>
            </w:pPr>
            <w:r>
              <w:rPr>
                <w:rFonts w:ascii="Times New Roman" w:cs="Times New Roman" w:eastAsia="Times New Roman" w:hAnsi="Times New Roman"/>
                <w:sz w:val="15"/>
                <w:szCs w:val="15"/>
                <w:color w:val="auto"/>
              </w:rPr>
              <w:t>Six Months Ended June 30,</w:t>
            </w:r>
          </w:p>
        </w:tc>
        <w:tc>
          <w:tcPr>
            <w:tcW w:w="0" w:type="dxa"/>
            <w:vAlign w:val="bottom"/>
          </w:tcPr>
          <w:p>
            <w:pPr>
              <w:spacing w:after="0"/>
              <w:rPr>
                <w:sz w:val="1"/>
                <w:szCs w:val="1"/>
                <w:color w:val="auto"/>
              </w:rPr>
            </w:pPr>
          </w:p>
        </w:tc>
      </w:tr>
      <w:tr>
        <w:trPr>
          <w:trHeight w:val="153"/>
        </w:trPr>
        <w:tc>
          <w:tcPr>
            <w:tcW w:w="53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3"/>
              <w:spacing w:after="0" w:line="154" w:lineRule="exact"/>
              <w:rPr>
                <w:sz w:val="20"/>
                <w:szCs w:val="20"/>
                <w:color w:val="auto"/>
              </w:rPr>
            </w:pPr>
            <w:r>
              <w:rPr>
                <w:rFonts w:ascii="Times New Roman" w:cs="Times New Roman" w:eastAsia="Times New Roman" w:hAnsi="Times New Roman"/>
                <w:sz w:val="15"/>
                <w:szCs w:val="15"/>
                <w:color w:val="auto"/>
              </w:rPr>
              <w:t>2025</w:t>
            </w: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03"/>
              <w:spacing w:after="0" w:line="154" w:lineRule="exact"/>
              <w:rPr>
                <w:sz w:val="20"/>
                <w:szCs w:val="20"/>
                <w:color w:val="auto"/>
              </w:rPr>
            </w:pPr>
            <w:r>
              <w:rPr>
                <w:rFonts w:ascii="Times New Roman" w:cs="Times New Roman" w:eastAsia="Times New Roman" w:hAnsi="Times New Roman"/>
                <w:sz w:val="15"/>
                <w:szCs w:val="15"/>
                <w:color w:val="auto"/>
              </w:rPr>
              <w:t>2024</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3"/>
              <w:spacing w:after="0" w:line="154" w:lineRule="exact"/>
              <w:rPr>
                <w:sz w:val="20"/>
                <w:szCs w:val="20"/>
                <w:color w:val="auto"/>
              </w:rPr>
            </w:pPr>
            <w:r>
              <w:rPr>
                <w:rFonts w:ascii="Times New Roman" w:cs="Times New Roman" w:eastAsia="Times New Roman" w:hAnsi="Times New Roman"/>
                <w:sz w:val="15"/>
                <w:szCs w:val="15"/>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03"/>
              <w:spacing w:after="0" w:line="154" w:lineRule="exact"/>
              <w:rPr>
                <w:sz w:val="20"/>
                <w:szCs w:val="20"/>
                <w:color w:val="auto"/>
              </w:rPr>
            </w:pPr>
            <w:r>
              <w:rPr>
                <w:rFonts w:ascii="Times New Roman" w:cs="Times New Roman" w:eastAsia="Times New Roman" w:hAnsi="Times New Roman"/>
                <w:sz w:val="15"/>
                <w:szCs w:val="15"/>
                <w:color w:val="auto"/>
              </w:rPr>
              <w:t>2024</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00" w:type="dxa"/>
            <w:vAlign w:val="bottom"/>
            <w:tcBorders>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Operating revenues</w:t>
            </w:r>
          </w:p>
        </w:tc>
        <w:tc>
          <w:tcPr>
            <w:tcW w:w="260" w:type="dxa"/>
            <w:vAlign w:val="bottom"/>
            <w:tcBorders>
              <w:bottom w:val="single" w:sz="8" w:color="auto"/>
            </w:tcBorders>
            <w:shd w:val="clear" w:color="auto" w:fill="CCEEFF"/>
          </w:tcPr>
          <w:p>
            <w:pPr>
              <w:jc w:val="right"/>
              <w:ind w:right="103"/>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177,321</w:t>
            </w:r>
          </w:p>
        </w:tc>
        <w:tc>
          <w:tcPr>
            <w:tcW w:w="360" w:type="dxa"/>
            <w:vAlign w:val="bottom"/>
            <w:tcBorders>
              <w:bottom w:val="single" w:sz="8" w:color="auto"/>
            </w:tcBorders>
            <w:shd w:val="clear" w:color="auto" w:fill="CCEEFF"/>
          </w:tcPr>
          <w:p>
            <w:pPr>
              <w:jc w:val="right"/>
              <w:ind w:right="183"/>
              <w:spacing w:after="0" w:line="154"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128,188</w:t>
            </w: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648,118</w:t>
            </w:r>
          </w:p>
        </w:tc>
        <w:tc>
          <w:tcPr>
            <w:tcW w:w="340" w:type="dxa"/>
            <w:vAlign w:val="bottom"/>
            <w:tcBorders>
              <w:bottom w:val="single" w:sz="8" w:color="auto"/>
            </w:tcBorders>
            <w:shd w:val="clear" w:color="auto" w:fill="CCEEFF"/>
          </w:tcPr>
          <w:p>
            <w:pPr>
              <w:jc w:val="right"/>
              <w:ind w:right="163"/>
              <w:spacing w:after="0" w:line="154"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452,519</w:t>
            </w: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Operations and maintenance expense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jc w:val="right"/>
              <w:ind w:right="10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49,786</w:t>
            </w:r>
          </w:p>
        </w:tc>
        <w:tc>
          <w:tcPr>
            <w:tcW w:w="360" w:type="dxa"/>
            <w:vAlign w:val="bottom"/>
            <w:tcBorders>
              <w:bottom w:val="single" w:sz="8" w:color="auto"/>
            </w:tcBorders>
          </w:tcPr>
          <w:p>
            <w:pPr>
              <w:jc w:val="right"/>
              <w:ind w:right="1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49,709</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105,461</w:t>
            </w:r>
          </w:p>
        </w:tc>
        <w:tc>
          <w:tcPr>
            <w:tcW w:w="340" w:type="dxa"/>
            <w:vAlign w:val="bottom"/>
            <w:tcBorders>
              <w:bottom w:val="single" w:sz="8" w:color="auto"/>
            </w:tcBorders>
          </w:tcPr>
          <w:p>
            <w:pPr>
              <w:jc w:val="right"/>
              <w:ind w:right="16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95,626</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300" w:type="dxa"/>
            <w:vAlign w:val="bottom"/>
            <w:tcBorders>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Purchased gas</w:t>
            </w:r>
          </w:p>
        </w:tc>
        <w:tc>
          <w:tcPr>
            <w:tcW w:w="260" w:type="dxa"/>
            <w:vAlign w:val="bottom"/>
            <w:tcBorders>
              <w:bottom w:val="single" w:sz="8" w:color="auto"/>
            </w:tcBorders>
            <w:shd w:val="clear" w:color="auto" w:fill="CCEEFF"/>
          </w:tcPr>
          <w:p>
            <w:pPr>
              <w:jc w:val="right"/>
              <w:ind w:right="10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53,532</w:t>
            </w:r>
          </w:p>
        </w:tc>
        <w:tc>
          <w:tcPr>
            <w:tcW w:w="360" w:type="dxa"/>
            <w:vAlign w:val="bottom"/>
            <w:tcBorders>
              <w:bottom w:val="single" w:sz="8" w:color="auto"/>
            </w:tcBorders>
            <w:shd w:val="clear" w:color="auto" w:fill="CCEEFF"/>
          </w:tcPr>
          <w:p>
            <w:pPr>
              <w:jc w:val="right"/>
              <w:ind w:right="1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32,680</w:t>
            </w:r>
          </w:p>
        </w:tc>
        <w:tc>
          <w:tcPr>
            <w:tcW w:w="2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230,491</w:t>
            </w:r>
          </w:p>
        </w:tc>
        <w:tc>
          <w:tcPr>
            <w:tcW w:w="340" w:type="dxa"/>
            <w:vAlign w:val="bottom"/>
            <w:tcBorders>
              <w:bottom w:val="single" w:sz="8" w:color="auto"/>
            </w:tcBorders>
            <w:shd w:val="clear" w:color="auto" w:fill="CCEEFF"/>
          </w:tcPr>
          <w:p>
            <w:pPr>
              <w:jc w:val="right"/>
              <w:ind w:right="16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158,222</w:t>
            </w: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Segment net income (loss)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00" w:type="dxa"/>
            <w:vAlign w:val="bottom"/>
            <w:vMerge w:val="continue"/>
          </w:tcPr>
          <w:p>
            <w:pPr>
              <w:spacing w:after="0"/>
              <w:rPr>
                <w:sz w:val="11"/>
                <w:szCs w:val="11"/>
                <w:color w:val="auto"/>
              </w:rPr>
            </w:pPr>
          </w:p>
        </w:tc>
        <w:tc>
          <w:tcPr>
            <w:tcW w:w="260" w:type="dxa"/>
            <w:vAlign w:val="bottom"/>
            <w:tcBorders>
              <w:bottom w:val="single" w:sz="8" w:color="auto"/>
            </w:tcBorders>
          </w:tcPr>
          <w:p>
            <w:pPr>
              <w:jc w:val="right"/>
              <w:ind w:right="103"/>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17,516</w:t>
            </w:r>
          </w:p>
        </w:tc>
        <w:tc>
          <w:tcPr>
            <w:tcW w:w="360" w:type="dxa"/>
            <w:vAlign w:val="bottom"/>
            <w:tcBorders>
              <w:bottom w:val="single" w:sz="8" w:color="auto"/>
            </w:tcBorders>
          </w:tcPr>
          <w:p>
            <w:pPr>
              <w:jc w:val="right"/>
              <w:ind w:right="18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(1,717)</w:t>
            </w:r>
          </w:p>
        </w:tc>
        <w:tc>
          <w:tcPr>
            <w:tcW w:w="240" w:type="dxa"/>
            <w:vAlign w:val="bottom"/>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207,021</w:t>
            </w:r>
          </w:p>
        </w:tc>
        <w:tc>
          <w:tcPr>
            <w:tcW w:w="340" w:type="dxa"/>
            <w:vAlign w:val="bottom"/>
            <w:tcBorders>
              <w:bottom w:val="single" w:sz="8" w:color="auto"/>
            </w:tcBorders>
          </w:tcPr>
          <w:p>
            <w:pPr>
              <w:jc w:val="right"/>
              <w:ind w:right="163"/>
              <w:spacing w:after="0" w:line="13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208,223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005" cy="117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Statistics</w:t>
            </w:r>
          </w:p>
        </w:tc>
        <w:tc>
          <w:tcPr>
            <w:tcW w:w="1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Selected operating results as a percentage of operating revenues:</w:t>
            </w:r>
          </w:p>
        </w:tc>
        <w:tc>
          <w:tcPr>
            <w:tcW w:w="18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Operations and maintenance</w:t>
            </w:r>
          </w:p>
        </w:tc>
        <w:tc>
          <w:tcPr>
            <w:tcW w:w="1860" w:type="dxa"/>
            <w:vAlign w:val="bottom"/>
          </w:tcPr>
          <w:p>
            <w:pPr>
              <w:jc w:val="center"/>
              <w:ind w:left="383"/>
              <w:spacing w:after="0" w:line="162" w:lineRule="exact"/>
              <w:rPr>
                <w:sz w:val="20"/>
                <w:szCs w:val="20"/>
                <w:color w:val="auto"/>
              </w:rPr>
            </w:pPr>
            <w:r>
              <w:rPr>
                <w:rFonts w:ascii="Times New Roman" w:cs="Times New Roman" w:eastAsia="Times New Roman" w:hAnsi="Times New Roman"/>
                <w:sz w:val="15"/>
                <w:szCs w:val="15"/>
                <w:color w:val="auto"/>
              </w:rPr>
              <w:t>28.1%</w:t>
            </w:r>
          </w:p>
        </w:tc>
        <w:tc>
          <w:tcPr>
            <w:tcW w:w="1480" w:type="dxa"/>
            <w:vAlign w:val="bottom"/>
          </w:tcPr>
          <w:p>
            <w:pPr>
              <w:jc w:val="center"/>
              <w:ind w:right="43"/>
              <w:spacing w:after="0" w:line="162" w:lineRule="exact"/>
              <w:rPr>
                <w:sz w:val="20"/>
                <w:szCs w:val="20"/>
                <w:color w:val="auto"/>
              </w:rPr>
            </w:pPr>
            <w:r>
              <w:rPr>
                <w:rFonts w:ascii="Times New Roman" w:cs="Times New Roman" w:eastAsia="Times New Roman" w:hAnsi="Times New Roman"/>
                <w:sz w:val="15"/>
                <w:szCs w:val="15"/>
                <w:color w:val="auto"/>
              </w:rPr>
              <w:t>38.8%</w:t>
            </w:r>
          </w:p>
        </w:tc>
        <w:tc>
          <w:tcPr>
            <w:tcW w:w="1500" w:type="dxa"/>
            <w:vAlign w:val="bottom"/>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16.3%</w:t>
            </w:r>
          </w:p>
        </w:tc>
        <w:tc>
          <w:tcPr>
            <w:tcW w:w="1520" w:type="dxa"/>
            <w:vAlign w:val="bottom"/>
          </w:tcPr>
          <w:p>
            <w:pPr>
              <w:ind w:left="480"/>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Purchased gas</w:t>
            </w:r>
          </w:p>
        </w:tc>
        <w:tc>
          <w:tcPr>
            <w:tcW w:w="1860" w:type="dxa"/>
            <w:vAlign w:val="bottom"/>
            <w:shd w:val="clear" w:color="auto" w:fill="CCEEFF"/>
          </w:tcPr>
          <w:p>
            <w:pPr>
              <w:jc w:val="center"/>
              <w:ind w:left="383"/>
              <w:spacing w:after="0" w:line="162" w:lineRule="exact"/>
              <w:rPr>
                <w:sz w:val="20"/>
                <w:szCs w:val="20"/>
                <w:color w:val="auto"/>
              </w:rPr>
            </w:pPr>
            <w:r>
              <w:rPr>
                <w:rFonts w:ascii="Times New Roman" w:cs="Times New Roman" w:eastAsia="Times New Roman" w:hAnsi="Times New Roman"/>
                <w:sz w:val="15"/>
                <w:szCs w:val="15"/>
                <w:color w:val="auto"/>
              </w:rPr>
              <w:t>30.2%</w:t>
            </w:r>
          </w:p>
        </w:tc>
        <w:tc>
          <w:tcPr>
            <w:tcW w:w="1480" w:type="dxa"/>
            <w:vAlign w:val="bottom"/>
            <w:shd w:val="clear" w:color="auto" w:fill="CCEEFF"/>
          </w:tcPr>
          <w:p>
            <w:pPr>
              <w:jc w:val="center"/>
              <w:ind w:right="43"/>
              <w:spacing w:after="0" w:line="162" w:lineRule="exact"/>
              <w:rPr>
                <w:sz w:val="20"/>
                <w:szCs w:val="20"/>
                <w:color w:val="auto"/>
              </w:rPr>
            </w:pPr>
            <w:r>
              <w:rPr>
                <w:rFonts w:ascii="Times New Roman" w:cs="Times New Roman" w:eastAsia="Times New Roman" w:hAnsi="Times New Roman"/>
                <w:sz w:val="15"/>
                <w:szCs w:val="15"/>
                <w:color w:val="auto"/>
              </w:rPr>
              <w:t>25.5%</w:t>
            </w:r>
          </w:p>
        </w:tc>
        <w:tc>
          <w:tcPr>
            <w:tcW w:w="1500" w:type="dxa"/>
            <w:vAlign w:val="bottom"/>
            <w:shd w:val="clear" w:color="auto" w:fill="CCEEFF"/>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35.6%</w:t>
            </w:r>
          </w:p>
        </w:tc>
        <w:tc>
          <w:tcPr>
            <w:tcW w:w="152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5"/>
                <w:szCs w:val="15"/>
                <w:color w:val="auto"/>
              </w:rPr>
              <w:t>35.0%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60" w:type="dxa"/>
            <w:vAlign w:val="bottom"/>
          </w:tcPr>
          <w:p>
            <w:pPr>
              <w:jc w:val="center"/>
              <w:ind w:left="383"/>
              <w:spacing w:after="0" w:line="162" w:lineRule="exact"/>
              <w:rPr>
                <w:sz w:val="20"/>
                <w:szCs w:val="20"/>
                <w:color w:val="auto"/>
              </w:rPr>
            </w:pPr>
            <w:r>
              <w:rPr>
                <w:rFonts w:ascii="Times New Roman" w:cs="Times New Roman" w:eastAsia="Times New Roman" w:hAnsi="Times New Roman"/>
                <w:sz w:val="15"/>
                <w:szCs w:val="15"/>
                <w:color w:val="auto"/>
              </w:rPr>
              <w:t>21.6%</w:t>
            </w:r>
          </w:p>
        </w:tc>
        <w:tc>
          <w:tcPr>
            <w:tcW w:w="1480" w:type="dxa"/>
            <w:vAlign w:val="bottom"/>
          </w:tcPr>
          <w:p>
            <w:pPr>
              <w:jc w:val="center"/>
              <w:ind w:right="43"/>
              <w:spacing w:after="0" w:line="162" w:lineRule="exact"/>
              <w:rPr>
                <w:sz w:val="20"/>
                <w:szCs w:val="20"/>
                <w:color w:val="auto"/>
              </w:rPr>
            </w:pPr>
            <w:r>
              <w:rPr>
                <w:rFonts w:ascii="Times New Roman" w:cs="Times New Roman" w:eastAsia="Times New Roman" w:hAnsi="Times New Roman"/>
                <w:sz w:val="15"/>
                <w:szCs w:val="15"/>
                <w:color w:val="auto"/>
              </w:rPr>
              <w:t>25.5%</w:t>
            </w:r>
          </w:p>
        </w:tc>
        <w:tc>
          <w:tcPr>
            <w:tcW w:w="1500" w:type="dxa"/>
            <w:vAlign w:val="bottom"/>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11.8%</w:t>
            </w:r>
          </w:p>
        </w:tc>
        <w:tc>
          <w:tcPr>
            <w:tcW w:w="1520" w:type="dxa"/>
            <w:vAlign w:val="bottom"/>
          </w:tcPr>
          <w:p>
            <w:pPr>
              <w:ind w:left="480"/>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Taxes other than income taxes</w:t>
            </w:r>
          </w:p>
        </w:tc>
        <w:tc>
          <w:tcPr>
            <w:tcW w:w="1860" w:type="dxa"/>
            <w:vAlign w:val="bottom"/>
            <w:shd w:val="clear" w:color="auto" w:fill="CCEEFF"/>
          </w:tcPr>
          <w:p>
            <w:pPr>
              <w:jc w:val="center"/>
              <w:ind w:left="383"/>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1480" w:type="dxa"/>
            <w:vAlign w:val="bottom"/>
            <w:shd w:val="clear" w:color="auto" w:fill="CCEEFF"/>
          </w:tcPr>
          <w:p>
            <w:pPr>
              <w:jc w:val="center"/>
              <w:ind w:right="43"/>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1500" w:type="dxa"/>
            <w:vAlign w:val="bottom"/>
            <w:shd w:val="clear" w:color="auto" w:fill="CCEEFF"/>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52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Interest expense, net of interest income</w:t>
            </w:r>
          </w:p>
        </w:tc>
        <w:tc>
          <w:tcPr>
            <w:tcW w:w="1860" w:type="dxa"/>
            <w:vAlign w:val="bottom"/>
          </w:tcPr>
          <w:p>
            <w:pPr>
              <w:jc w:val="center"/>
              <w:ind w:left="383"/>
              <w:spacing w:after="0" w:line="162" w:lineRule="exact"/>
              <w:rPr>
                <w:sz w:val="20"/>
                <w:szCs w:val="20"/>
                <w:color w:val="auto"/>
              </w:rPr>
            </w:pPr>
            <w:r>
              <w:rPr>
                <w:rFonts w:ascii="Times New Roman" w:cs="Times New Roman" w:eastAsia="Times New Roman" w:hAnsi="Times New Roman"/>
                <w:sz w:val="15"/>
                <w:szCs w:val="15"/>
                <w:color w:val="auto"/>
              </w:rPr>
              <w:t>14.6%</w:t>
            </w:r>
          </w:p>
        </w:tc>
        <w:tc>
          <w:tcPr>
            <w:tcW w:w="1480" w:type="dxa"/>
            <w:vAlign w:val="bottom"/>
          </w:tcPr>
          <w:p>
            <w:pPr>
              <w:jc w:val="center"/>
              <w:ind w:right="43"/>
              <w:spacing w:after="0" w:line="162" w:lineRule="exact"/>
              <w:rPr>
                <w:sz w:val="20"/>
                <w:szCs w:val="20"/>
                <w:color w:val="auto"/>
              </w:rPr>
            </w:pPr>
            <w:r>
              <w:rPr>
                <w:rFonts w:ascii="Times New Roman" w:cs="Times New Roman" w:eastAsia="Times New Roman" w:hAnsi="Times New Roman"/>
                <w:sz w:val="15"/>
                <w:szCs w:val="15"/>
                <w:color w:val="auto"/>
              </w:rPr>
              <w:t>16.3%</w:t>
            </w:r>
          </w:p>
        </w:tc>
        <w:tc>
          <w:tcPr>
            <w:tcW w:w="1500" w:type="dxa"/>
            <w:vAlign w:val="bottom"/>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520" w:type="dxa"/>
            <w:vAlign w:val="bottom"/>
          </w:tcPr>
          <w:p>
            <w:pPr>
              <w:ind w:left="480"/>
              <w:spacing w:after="0" w:line="162" w:lineRule="exact"/>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Segment net income (loss)</w:t>
            </w:r>
          </w:p>
        </w:tc>
        <w:tc>
          <w:tcPr>
            <w:tcW w:w="1860" w:type="dxa"/>
            <w:vAlign w:val="bottom"/>
            <w:shd w:val="clear" w:color="auto" w:fill="CCEEFF"/>
          </w:tcPr>
          <w:p>
            <w:pPr>
              <w:jc w:val="center"/>
              <w:ind w:left="383"/>
              <w:spacing w:after="0" w:line="162" w:lineRule="exact"/>
              <w:rPr>
                <w:sz w:val="20"/>
                <w:szCs w:val="20"/>
                <w:color w:val="auto"/>
              </w:rPr>
            </w:pPr>
            <w:r>
              <w:rPr>
                <w:rFonts w:ascii="Times New Roman" w:cs="Times New Roman" w:eastAsia="Times New Roman" w:hAnsi="Times New Roman"/>
                <w:sz w:val="15"/>
                <w:szCs w:val="15"/>
                <w:color w:val="auto"/>
              </w:rPr>
              <w:t>9.9%</w:t>
            </w:r>
          </w:p>
        </w:tc>
        <w:tc>
          <w:tcPr>
            <w:tcW w:w="1480" w:type="dxa"/>
            <w:vAlign w:val="bottom"/>
            <w:shd w:val="clear" w:color="auto" w:fill="CCEEFF"/>
          </w:tcPr>
          <w:p>
            <w:pPr>
              <w:jc w:val="right"/>
              <w:ind w:right="523"/>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500" w:type="dxa"/>
            <w:vAlign w:val="bottom"/>
            <w:shd w:val="clear" w:color="auto" w:fill="CCEEFF"/>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31.9%</w:t>
            </w:r>
          </w:p>
        </w:tc>
        <w:tc>
          <w:tcPr>
            <w:tcW w:w="152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5"/>
                <w:szCs w:val="15"/>
                <w:color w:val="auto"/>
              </w:rPr>
              <w:t>46.0%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Effective tax rate</w:t>
            </w:r>
          </w:p>
        </w:tc>
        <w:tc>
          <w:tcPr>
            <w:tcW w:w="1860" w:type="dxa"/>
            <w:vAlign w:val="bottom"/>
            <w:shd w:val="clear" w:color="auto" w:fill="CCEEFF"/>
          </w:tcPr>
          <w:p>
            <w:pPr>
              <w:jc w:val="center"/>
              <w:ind w:left="383"/>
              <w:spacing w:after="0" w:line="162" w:lineRule="exact"/>
              <w:rPr>
                <w:sz w:val="20"/>
                <w:szCs w:val="20"/>
                <w:color w:val="auto"/>
              </w:rPr>
            </w:pPr>
            <w:r>
              <w:rPr>
                <w:rFonts w:ascii="Times New Roman" w:cs="Times New Roman" w:eastAsia="Times New Roman" w:hAnsi="Times New Roman"/>
                <w:sz w:val="15"/>
                <w:szCs w:val="15"/>
                <w:color w:val="auto"/>
              </w:rPr>
              <w:t>-96.5%</w:t>
            </w:r>
          </w:p>
        </w:tc>
        <w:tc>
          <w:tcPr>
            <w:tcW w:w="1480" w:type="dxa"/>
            <w:vAlign w:val="bottom"/>
            <w:shd w:val="clear" w:color="auto" w:fill="CCEEFF"/>
          </w:tcPr>
          <w:p>
            <w:pPr>
              <w:jc w:val="center"/>
              <w:ind w:right="43"/>
              <w:spacing w:after="0" w:line="162" w:lineRule="exact"/>
              <w:rPr>
                <w:sz w:val="20"/>
                <w:szCs w:val="20"/>
                <w:color w:val="auto"/>
              </w:rPr>
            </w:pPr>
            <w:r>
              <w:rPr>
                <w:rFonts w:ascii="Times New Roman" w:cs="Times New Roman" w:eastAsia="Times New Roman" w:hAnsi="Times New Roman"/>
                <w:sz w:val="15"/>
                <w:szCs w:val="15"/>
                <w:color w:val="auto"/>
              </w:rPr>
              <w:t>85.1%</w:t>
            </w:r>
          </w:p>
        </w:tc>
        <w:tc>
          <w:tcPr>
            <w:tcW w:w="1500" w:type="dxa"/>
            <w:vAlign w:val="bottom"/>
            <w:shd w:val="clear" w:color="auto" w:fill="CCEEFF"/>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-16.3%</w:t>
            </w:r>
          </w:p>
        </w:tc>
        <w:tc>
          <w:tcPr>
            <w:tcW w:w="152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5"/>
                <w:szCs w:val="15"/>
                <w:color w:val="auto"/>
              </w:rPr>
              <w:t>-23.0%</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2025 compared with three months ended June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from the Regulated Natural Gas segment increased by $49,133 or by 38.3% due to:</w:t>
      </w:r>
    </w:p>
    <w:p>
      <w:pPr>
        <w:spacing w:after="0" w:line="197" w:lineRule="exact"/>
        <w:rPr>
          <w:sz w:val="20"/>
          <w:szCs w:val="20"/>
          <w:color w:val="auto"/>
        </w:rPr>
      </w:pPr>
    </w:p>
    <w:p>
      <w:pPr>
        <w:ind w:left="260" w:right="2380"/>
        <w:spacing w:after="0" w:line="239" w:lineRule="auto"/>
        <w:rPr>
          <w:sz w:val="20"/>
          <w:szCs w:val="20"/>
          <w:color w:val="auto"/>
        </w:rPr>
      </w:pPr>
      <w:r>
        <w:rPr>
          <w:rFonts w:ascii="Times New Roman" w:cs="Times New Roman" w:eastAsia="Times New Roman" w:hAnsi="Times New Roman"/>
          <w:sz w:val="18"/>
          <w:szCs w:val="18"/>
          <w:color w:val="auto"/>
        </w:rPr>
        <w:t>an increase in purchased gas costs of $20,852; refer to purchased gas costs discussion below for further information; an increase of $12,885 due to higher rates and other surcharges;</w:t>
      </w:r>
    </w:p>
    <w:p>
      <w:pPr>
        <w:ind w:left="260" w:right="960"/>
        <w:spacing w:after="0" w:line="234" w:lineRule="auto"/>
        <w:rPr>
          <w:sz w:val="20"/>
          <w:szCs w:val="20"/>
          <w:color w:val="auto"/>
        </w:rPr>
      </w:pPr>
      <w:r>
        <w:rPr>
          <w:rFonts w:ascii="Times New Roman" w:cs="Times New Roman" w:eastAsia="Times New Roman" w:hAnsi="Times New Roman"/>
          <w:sz w:val="18"/>
          <w:szCs w:val="18"/>
          <w:color w:val="auto"/>
        </w:rPr>
        <w:t>impact of higher volumes delivered of $5,179 due to colder weather conditions during the second quarter of 2025 as compared to 2024; an increase of $4,091 due to lower tax repair surcredit;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158750</wp:posOffset>
            </wp:positionV>
            <wp:extent cx="717740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70" w:lineRule="exact"/>
        <w:rPr>
          <w:sz w:val="20"/>
          <w:szCs w:val="20"/>
          <w:color w:val="auto"/>
        </w:rPr>
      </w:pPr>
    </w:p>
    <w:p>
      <w:pPr>
        <w:ind w:left="260" w:right="360"/>
        <w:spacing w:after="0" w:line="266" w:lineRule="auto"/>
        <w:rPr>
          <w:sz w:val="20"/>
          <w:szCs w:val="20"/>
          <w:color w:val="auto"/>
        </w:rPr>
      </w:pPr>
      <w:r>
        <w:rPr>
          <w:rFonts w:ascii="Times New Roman" w:cs="Times New Roman" w:eastAsia="Times New Roman" w:hAnsi="Times New Roman"/>
          <w:sz w:val="18"/>
          <w:szCs w:val="18"/>
          <w:color w:val="auto"/>
        </w:rPr>
        <w:t>an increase in customer assistance surcharge of $786, which has an equivalent offsetting amount in operations and maintenance expense; and a weather normalization adjustment of $4,551 in Pennsylvania, which had the effect of increasing revenues for the quarter ended June 30,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maintenance expense for the three months ended June 30, 2025 increased by $77 or 0.2% primarily due to the following:</w:t>
      </w:r>
    </w:p>
    <w:p>
      <w:pPr>
        <w:spacing w:after="0" w:line="197" w:lineRule="exact"/>
        <w:rPr>
          <w:sz w:val="20"/>
          <w:szCs w:val="20"/>
          <w:color w:val="auto"/>
        </w:rPr>
      </w:pPr>
    </w:p>
    <w:p>
      <w:pPr>
        <w:ind w:left="260" w:right="7040"/>
        <w:spacing w:after="0" w:line="246" w:lineRule="auto"/>
        <w:rPr>
          <w:sz w:val="20"/>
          <w:szCs w:val="20"/>
          <w:color w:val="auto"/>
        </w:rPr>
      </w:pPr>
      <w:r>
        <w:rPr>
          <w:rFonts w:ascii="Times New Roman" w:cs="Times New Roman" w:eastAsia="Times New Roman" w:hAnsi="Times New Roman"/>
          <w:sz w:val="18"/>
          <w:szCs w:val="18"/>
          <w:color w:val="auto"/>
        </w:rPr>
        <w:t>an increase in labor and employee benefits of $1,801; an increase in bad debt expense of $1,832; and</w:t>
      </w:r>
    </w:p>
    <w:p>
      <w:pPr>
        <w:spacing w:after="0" w:line="227" w:lineRule="auto"/>
        <w:rPr>
          <w:sz w:val="20"/>
          <w:szCs w:val="20"/>
          <w:color w:val="auto"/>
        </w:rPr>
      </w:pPr>
      <w:r>
        <w:rPr>
          <w:rFonts w:ascii="Times New Roman" w:cs="Times New Roman" w:eastAsia="Times New Roman" w:hAnsi="Times New Roman"/>
          <w:sz w:val="18"/>
          <w:szCs w:val="18"/>
          <w:color w:val="auto"/>
        </w:rPr>
        <w:t>an increase in customer assistance surcharge costs of $786, which has an equivalent offsetting amount in revenues; offset by</w:t>
      </w:r>
    </w:p>
    <w:p>
      <w:pPr>
        <w:ind w:left="260" w:right="680"/>
        <w:spacing w:after="0" w:line="243" w:lineRule="auto"/>
        <w:rPr>
          <w:sz w:val="20"/>
          <w:szCs w:val="20"/>
          <w:color w:val="auto"/>
        </w:rPr>
      </w:pPr>
      <w:r>
        <w:rPr>
          <w:rFonts w:ascii="Times New Roman" w:cs="Times New Roman" w:eastAsia="Times New Roman" w:hAnsi="Times New Roman"/>
          <w:sz w:val="18"/>
          <w:szCs w:val="18"/>
          <w:color w:val="auto"/>
        </w:rPr>
        <w:t>a decrease in outside services and other expenses due to higher capitalization as a result of greater capital expenditures in the current period compared to the prior period.</w:t>
      </w:r>
    </w:p>
    <w:p>
      <w:pPr>
        <w:spacing w:after="0" w:line="16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Our Regulated Natural Gas segment is affected by the cost of natural gas, which is passed through to customers using a purchased gas adjustment clause and includes commodity price, transportation and storage costs. These costs are reflected in the condensed consolidated statement of operations and comprehensive income as purchased gas expenses. Fluctuations in the cost of purchased gas impact operating revenues on a dollar-for-dollar basis. Purchased gas increased by $20,852 or 63.8% due to an increase in the average cost of gas of $18,988 and higher gas usage of $1,864 due to colder weather conditions during the second quarter of 2025. During the quarter ended June 30, 2025, we experienced 514 actual heating degree days (HDDs), which was colder by 53% than prior year’s 336 HDDs for Pittsburgh, Pennsylvania, which we use as a proxy for our western Pennsylvania service territory. HDDs are used in the natural gas industry to measure the relative coldness of weather and to estimate the demand for natural gas.</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by $5,667 or 17.4% primarily due to continued capital investment, and the implementation of new depreciation rates following a recently completed rate case.</w:t>
      </w:r>
    </w:p>
    <w:p>
      <w:pPr>
        <w:spacing w:after="0" w:line="14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Taxes other than income taxes decreased by $2,612 or 51.2% largely due to a favorable adjustment on sales and use tax accruals as a result of the closure of a sales and use tax audit during the second quarter to 2025.</w:t>
      </w:r>
    </w:p>
    <w:p>
      <w:pPr>
        <w:spacing w:after="0" w:line="130"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Interest expense, net, increased by $4,964 or 23.8% due to higher push down debt borrowings of the Regulated Natural Gas segment from Essential Utilities, Inc, which is primarily used to fund capital projects.</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income tax benefit for our Regulated Natural Gas segment decreased by $1,226 in the second quarter of 2025 compared to second quarter of 2024. The decrease in the income tax benefit is primarily attributed to decreases in both the state tax benefit and the amortization of the tax repair surcredit based on a rate order received in September 2024.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2025 compared with six months ended June 30,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from the Regulated Natural Gas segment increased by $195,599 or by 43.2% due to:</w:t>
      </w:r>
    </w:p>
    <w:p>
      <w:pPr>
        <w:spacing w:after="0" w:line="186" w:lineRule="exact"/>
        <w:rPr>
          <w:sz w:val="20"/>
          <w:szCs w:val="20"/>
          <w:color w:val="auto"/>
        </w:rPr>
      </w:pPr>
    </w:p>
    <w:p>
      <w:pPr>
        <w:ind w:left="260" w:right="2340"/>
        <w:spacing w:after="0" w:line="246" w:lineRule="auto"/>
        <w:rPr>
          <w:sz w:val="20"/>
          <w:szCs w:val="20"/>
          <w:color w:val="auto"/>
        </w:rPr>
      </w:pPr>
      <w:r>
        <w:rPr>
          <w:rFonts w:ascii="Times New Roman" w:cs="Times New Roman" w:eastAsia="Times New Roman" w:hAnsi="Times New Roman"/>
          <w:sz w:val="18"/>
          <w:szCs w:val="18"/>
          <w:color w:val="auto"/>
        </w:rPr>
        <w:t>an increase in purchased gas costs of $72,269; refer to purchased gas costs discussion below for further information; an increase of $60,034 due to higher rates and other surcharges;</w:t>
      </w:r>
    </w:p>
    <w:p>
      <w:pPr>
        <w:ind w:left="260" w:right="1080"/>
        <w:spacing w:after="0" w:line="234" w:lineRule="auto"/>
        <w:rPr>
          <w:sz w:val="20"/>
          <w:szCs w:val="20"/>
          <w:color w:val="auto"/>
        </w:rPr>
      </w:pPr>
      <w:r>
        <w:rPr>
          <w:rFonts w:ascii="Times New Roman" w:cs="Times New Roman" w:eastAsia="Times New Roman" w:hAnsi="Times New Roman"/>
          <w:sz w:val="18"/>
          <w:szCs w:val="18"/>
          <w:color w:val="auto"/>
        </w:rPr>
        <w:t>impact of higher volumes delivered of $34,700 due to colder weather conditions during the second half of 2025 as compared to 2024; an increase of $15,096 due to lower tax repair surcredit; and</w:t>
      </w:r>
    </w:p>
    <w:p>
      <w:pPr>
        <w:jc w:val="both"/>
        <w:ind w:left="260"/>
        <w:spacing w:after="0" w:line="243" w:lineRule="auto"/>
        <w:rPr>
          <w:sz w:val="20"/>
          <w:szCs w:val="20"/>
          <w:color w:val="auto"/>
        </w:rPr>
      </w:pPr>
      <w:r>
        <w:rPr>
          <w:rFonts w:ascii="Times New Roman" w:cs="Times New Roman" w:eastAsia="Times New Roman" w:hAnsi="Times New Roman"/>
          <w:sz w:val="18"/>
          <w:szCs w:val="18"/>
          <w:color w:val="auto"/>
        </w:rPr>
        <w:t>an increase in customer assistance surcharge of $9,250, which has an equivalent offsetting amount in operations and maintenance expense; offset by a weather normalization adjustment of $2,562 in Pennsylvania, which had the effect of increasing revenues for the six months ended June 30,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maintenance expense for the six months ended June 30, 2025 increased by $9,835 or 10.3% primarily due to the following:</w:t>
      </w:r>
    </w:p>
    <w:p>
      <w:pPr>
        <w:spacing w:after="0" w:line="197" w:lineRule="exact"/>
        <w:rPr>
          <w:sz w:val="20"/>
          <w:szCs w:val="20"/>
          <w:color w:val="auto"/>
        </w:rPr>
      </w:pPr>
    </w:p>
    <w:p>
      <w:pPr>
        <w:ind w:left="260" w:right="2320"/>
        <w:spacing w:after="0" w:line="239" w:lineRule="auto"/>
        <w:rPr>
          <w:sz w:val="20"/>
          <w:szCs w:val="20"/>
          <w:color w:val="auto"/>
        </w:rPr>
      </w:pPr>
      <w:r>
        <w:rPr>
          <w:rFonts w:ascii="Times New Roman" w:cs="Times New Roman" w:eastAsia="Times New Roman" w:hAnsi="Times New Roman"/>
          <w:sz w:val="18"/>
          <w:szCs w:val="18"/>
          <w:color w:val="auto"/>
        </w:rPr>
        <w:t>an increase in customer assistance surcharge costs of $9,250, which has an equivalent offsetting amount in revenues; an increase in labor and employee benefits of $4,503;</w:t>
      </w:r>
    </w:p>
    <w:p>
      <w:pPr>
        <w:spacing w:after="0"/>
        <w:rPr>
          <w:sz w:val="20"/>
          <w:szCs w:val="20"/>
          <w:color w:val="auto"/>
        </w:rPr>
      </w:pPr>
      <w:r>
        <w:rPr>
          <w:rFonts w:ascii="Times New Roman" w:cs="Times New Roman" w:eastAsia="Times New Roman" w:hAnsi="Times New Roman"/>
          <w:sz w:val="18"/>
          <w:szCs w:val="18"/>
          <w:color w:val="auto"/>
        </w:rPr>
        <w:t>an increase in legal expenses of $2,163; and</w:t>
      </w:r>
    </w:p>
    <w:p>
      <w:pPr>
        <w:ind w:left="260" w:right="7180"/>
        <w:spacing w:after="0" w:line="227" w:lineRule="auto"/>
        <w:rPr>
          <w:sz w:val="20"/>
          <w:szCs w:val="20"/>
          <w:color w:val="auto"/>
        </w:rPr>
      </w:pPr>
      <w:r>
        <w:rPr>
          <w:rFonts w:ascii="Times New Roman" w:cs="Times New Roman" w:eastAsia="Times New Roman" w:hAnsi="Times New Roman"/>
          <w:sz w:val="18"/>
          <w:szCs w:val="18"/>
          <w:color w:val="auto"/>
        </w:rPr>
        <w:t>an increase in bad debt expense of $826; offset by a decrease in materials and supplies of $1,561; and</w:t>
      </w:r>
    </w:p>
    <w:p>
      <w:pPr>
        <w:spacing w:after="0" w:line="1" w:lineRule="exact"/>
        <w:rPr>
          <w:sz w:val="20"/>
          <w:szCs w:val="20"/>
          <w:color w:val="auto"/>
        </w:rPr>
      </w:pPr>
    </w:p>
    <w:p>
      <w:pPr>
        <w:ind w:left="260" w:right="640"/>
        <w:spacing w:after="0" w:line="243" w:lineRule="auto"/>
        <w:rPr>
          <w:sz w:val="20"/>
          <w:szCs w:val="20"/>
          <w:color w:val="auto"/>
        </w:rPr>
      </w:pPr>
      <w:r>
        <w:rPr>
          <w:rFonts w:ascii="Times New Roman" w:cs="Times New Roman" w:eastAsia="Times New Roman" w:hAnsi="Times New Roman"/>
          <w:sz w:val="18"/>
          <w:szCs w:val="18"/>
          <w:color w:val="auto"/>
        </w:rPr>
        <w:t>a decrease in outside services and other expenses due to higher capitalization as a result of greater capital expenditures in the current period compared to the prior period.</w:t>
      </w:r>
    </w:p>
    <w:p>
      <w:pPr>
        <w:spacing w:after="0" w:line="162"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Purchased gas increased by $72,269 or 45.7% due to an increase in the average cost of gas of $45,856 and higher gas usage of $26,799 due to colder weather conditions during the first half of 2025, offset by a decrease of $386 from the sale of our interest in three non-utility local microgrid and distributed energy projects in January 2024. During the six months ended June 30, 2025, we experienced 3,244 actual HDDs, which was colder by 24% than prior year’s 2,616 HDDs for Pittsburgh, Pennsylvania, which we use as a proxy for our western Pennsylvania service territory.</w:t>
      </w:r>
    </w:p>
    <w:p>
      <w:pPr>
        <w:spacing w:after="0" w:line="148"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8"/>
          <w:szCs w:val="18"/>
          <w:color w:val="auto"/>
        </w:rPr>
        <w:t>Depreciation and amortization increased by $11,595 or 17.8% primarily due to continued capital investment, and the implementation of new depreciation rates following a recently completed rate case.</w:t>
      </w:r>
    </w:p>
    <w:p>
      <w:pPr>
        <w:spacing w:after="0" w:line="11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Taxes other than income taxes decreased by $4,078 or 33.1% largely due to a favorable adjustment on sales and use tax accruals as a result of the closure of a sales and use tax audit during the second quarter of 2025.</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62"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Interest expense, net, increased by $5,748 or 12.4% primarily due to higher push down debt borrowings of the Regulated Natural Gas segment from Essential Utilities, Inc, which is primarily used to fund capital projects.</w:t>
      </w:r>
    </w:p>
    <w:p>
      <w:pPr>
        <w:spacing w:after="0" w:line="11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Gain on sale of assets was $0 and $91,581 for the six-month period ended June 30, 2025 and 2024, respectively. During the first quarter of 2024, the Company completed the sale of its interest in three non-utility local microgrid and distributed energy projects and recognized a gain of $91,236.</w:t>
      </w:r>
    </w:p>
    <w:p>
      <w:pPr>
        <w:spacing w:after="0" w:line="1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effective income tax rate for our Regulated Natural Gas segment was a benefit of 16.3% and 23.0% in the first half of 2025 and 2024, respectively. The decrease in the income tax benefit is primarily attributed to decreases in both the state tax benefit and the amortization of the tax repair surcredit based on a rate order received in September 2024.</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Impact of Recent Accounting Pronouncements</w:t>
      </w:r>
    </w:p>
    <w:p>
      <w:pPr>
        <w:spacing w:after="0" w:line="19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 xml:space="preserve">We describe the impact of recent accounting pronouncements in Note 16,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to the condensed consolidated financial statements in this report.</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4" w:name="page45"/>
    <w:bookmarkEnd w:id="44"/>
    <w:p>
      <w:pPr>
        <w:ind w:left="8"/>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3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Item 3 – Quantitative and Qualitative Disclosures About Market Risk</w:t>
      </w:r>
    </w:p>
    <w:p>
      <w:pPr>
        <w:spacing w:after="0" w:line="186" w:lineRule="exact"/>
        <w:rPr>
          <w:sz w:val="20"/>
          <w:szCs w:val="20"/>
          <w:color w:val="auto"/>
        </w:rPr>
      </w:pPr>
    </w:p>
    <w:p>
      <w:pPr>
        <w:ind w:left="8" w:right="180"/>
        <w:spacing w:after="0" w:line="280" w:lineRule="auto"/>
        <w:rPr>
          <w:sz w:val="20"/>
          <w:szCs w:val="20"/>
          <w:color w:val="auto"/>
        </w:rPr>
      </w:pPr>
      <w:r>
        <w:rPr>
          <w:rFonts w:ascii="Times New Roman" w:cs="Times New Roman" w:eastAsia="Times New Roman" w:hAnsi="Times New Roman"/>
          <w:sz w:val="18"/>
          <w:szCs w:val="18"/>
          <w:color w:val="auto"/>
        </w:rPr>
        <w:t>We are subject to market risks in the normal course of business, including changes in interest rates and equity prices. Refer to Item 7A of the Company’s Annual Report on Form 10-K for the year ended December 31, 2024, filed February 27, 2025, for additional information on market risks.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Item 4 – Controls and Procedures</w:t>
      </w:r>
    </w:p>
    <w:p>
      <w:pPr>
        <w:spacing w:after="0" w:line="197" w:lineRule="exact"/>
        <w:rPr>
          <w:sz w:val="20"/>
          <w:szCs w:val="20"/>
          <w:color w:val="auto"/>
        </w:rPr>
      </w:pPr>
    </w:p>
    <w:p>
      <w:pPr>
        <w:ind w:left="548" w:hanging="548"/>
        <w:spacing w:after="0"/>
        <w:tabs>
          <w:tab w:leader="none" w:pos="5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56" w:lineRule="exact"/>
        <w:rPr>
          <w:sz w:val="20"/>
          <w:szCs w:val="20"/>
          <w:color w:val="auto"/>
        </w:rPr>
      </w:pPr>
    </w:p>
    <w:p>
      <w:pPr>
        <w:ind w:left="548" w:hanging="548"/>
        <w:spacing w:after="0"/>
        <w:tabs>
          <w:tab w:leader="none" w:pos="5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97" w:lineRule="exact"/>
        <w:rPr>
          <w:sz w:val="20"/>
          <w:szCs w:val="20"/>
          <w:color w:val="auto"/>
        </w:rPr>
      </w:pPr>
    </w:p>
    <w:p>
      <w:pPr>
        <w:ind w:left="8" w:right="40"/>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quarter ended June 30, 2025 that has materially affected, or is reasonably likely to materially affect, our internal control over financial reporting.</w:t>
      </w:r>
    </w:p>
    <w:p>
      <w:pPr>
        <w:spacing w:after="0" w:line="13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Item 1 – Legal Proceedings</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 a discussion of the Company’s legal proceedings, see Part I – Item I – Note 14 to the Company’s condensed consolidated financial statements.</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Please review the risks disclosed in our Annual Report on Form 10-K for the year ended December 31, 2024, under “Part 1, Item 1A – Risk Factors”.</w:t>
      </w:r>
    </w:p>
    <w:p>
      <w:pPr>
        <w:spacing w:after="0" w:line="3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Item 5 - Other Information</w:t>
      </w:r>
    </w:p>
    <w:p>
      <w:pPr>
        <w:spacing w:after="0" w:line="193" w:lineRule="exact"/>
        <w:rPr>
          <w:sz w:val="20"/>
          <w:szCs w:val="20"/>
          <w:color w:val="auto"/>
        </w:rPr>
      </w:pPr>
    </w:p>
    <w:p>
      <w:pPr>
        <w:ind w:left="828" w:hanging="273"/>
        <w:spacing w:after="0"/>
        <w:tabs>
          <w:tab w:leader="none" w:pos="8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Chief Accounting Officer Retirement and Appointment</w:t>
      </w:r>
    </w:p>
    <w:p>
      <w:pPr>
        <w:spacing w:after="0" w:line="190" w:lineRule="exact"/>
        <w:rPr>
          <w:sz w:val="20"/>
          <w:szCs w:val="20"/>
          <w:color w:val="auto"/>
        </w:rPr>
      </w:pPr>
    </w:p>
    <w:p>
      <w:pPr>
        <w:ind w:left="8" w:right="200"/>
        <w:spacing w:after="0" w:line="236" w:lineRule="auto"/>
        <w:rPr>
          <w:sz w:val="20"/>
          <w:szCs w:val="20"/>
          <w:color w:val="auto"/>
        </w:rPr>
      </w:pPr>
      <w:r>
        <w:rPr>
          <w:rFonts w:ascii="Times New Roman" w:cs="Times New Roman" w:eastAsia="Times New Roman" w:hAnsi="Times New Roman"/>
          <w:sz w:val="18"/>
          <w:szCs w:val="18"/>
          <w:color w:val="auto"/>
        </w:rPr>
        <w:t>​On July 31, 2025, Robert A. Rubin retired as Senior Vice President, Chief Accounting Officer. Bradley J. Palmer was promoted to Vice President, Chief Accounting Officer upon Mr. Rubin’s retirement. Mr. Palmer, age 43, has served as Vice President, Deputy Chief Accounting Officer since November 1, 2024, and previously was Controller of Aqua Pennsylvania, Inc. from June 2021 to October 2024. Mr. Palmer is a Certified Public Accountant and, prior to joining the Company, was a Senior Manager with Deloitte, where he practiced primarily in the power &amp; utilities sector from January 2018 to June 2021. Prior to this role, Mr. Palmer worked as an Accounting Manager for two large publicly traded utilities, and he also held previous roles with PricewaterhouseCoopers, LLP.</w:t>
      </w:r>
    </w:p>
    <w:p>
      <w:pPr>
        <w:jc w:val="center"/>
        <w:ind w:right="-47"/>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8"/>
          </w:cols>
          <w:pgMar w:left="312" w:top="115"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9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​There is no arrangement or understanding between Mr. Palmer and any other person pursuant to which Mr. Palmer was selected as an officer, no family relationships between Mr. Palmer and any of the Company’s directors or executive officers, and no transactions involving Mr. Palmer or a member of his immediate family that would require disclosure under Item 404(a) of Regulation S-K.</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 Security Trading Plans of Directors and Executive Officers</w:t>
      </w:r>
    </w:p>
    <w:p>
      <w:pPr>
        <w:spacing w:after="0" w:line="2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During the quarter ended June 30, 2025,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 Exhibits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740" w:type="dxa"/>
            <w:vAlign w:val="bottom"/>
          </w:tcPr>
          <w:p>
            <w:pPr>
              <w:spacing w:after="0"/>
              <w:rPr>
                <w:sz w:val="17"/>
                <w:szCs w:val="17"/>
                <w:color w:val="auto"/>
              </w:rPr>
            </w:pPr>
          </w:p>
        </w:tc>
        <w:tc>
          <w:tcPr>
            <w:tcW w:w="9020" w:type="dxa"/>
            <w:vAlign w:val="bottom"/>
            <w:gridSpan w:val="10"/>
          </w:tcPr>
          <w:p>
            <w:pPr>
              <w:ind w:left="4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312"/>
        </w:trPr>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10.1*</w:t>
            </w:r>
          </w:p>
        </w:tc>
        <w:tc>
          <w:tcPr>
            <w:tcW w:w="9760" w:type="dxa"/>
            <w:vAlign w:val="bottom"/>
            <w:gridSpan w:val="11"/>
            <w:shd w:val="clear" w:color="auto" w:fill="CCEEFF"/>
          </w:tcPr>
          <w:p>
            <w:pPr>
              <w:ind w:left="740"/>
              <w:spacing w:after="0" w:line="138" w:lineRule="exact"/>
              <w:rPr>
                <w:sz w:val="20"/>
                <w:szCs w:val="20"/>
                <w:color w:val="auto"/>
              </w:rPr>
            </w:pPr>
            <w:r>
              <w:rPr>
                <w:rFonts w:ascii="Times New Roman" w:cs="Times New Roman" w:eastAsia="Times New Roman" w:hAnsi="Times New Roman"/>
                <w:sz w:val="15"/>
                <w:szCs w:val="15"/>
                <w:color w:val="0563C1"/>
              </w:rPr>
              <w:t>Second Amended and Restated Revolving Credit Agreement, dated June 3, 2025, by and between Aqua Pennsylvania and PNC Bank, National</w:t>
            </w:r>
          </w:p>
        </w:tc>
        <w:tc>
          <w:tcPr>
            <w:tcW w:w="0" w:type="dxa"/>
            <w:vAlign w:val="bottom"/>
          </w:tcPr>
          <w:p>
            <w:pPr>
              <w:spacing w:after="0"/>
              <w:rPr>
                <w:sz w:val="1"/>
                <w:szCs w:val="1"/>
                <w:color w:val="auto"/>
              </w:rPr>
            </w:pPr>
          </w:p>
        </w:tc>
      </w:tr>
      <w:tr>
        <w:trPr>
          <w:trHeight w:val="156"/>
        </w:trPr>
        <w:tc>
          <w:tcPr>
            <w:tcW w:w="1500" w:type="dxa"/>
            <w:vAlign w:val="bottom"/>
            <w:tcBorders>
              <w:top w:val="single" w:sz="8" w:color="CCEEFF"/>
            </w:tcBorders>
            <w:vMerge w:val="continue"/>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860" w:type="dxa"/>
            <w:vAlign w:val="bottom"/>
            <w:tcBorders>
              <w:top w:val="single" w:sz="8" w:color="0563C1"/>
            </w:tcBorders>
            <w:gridSpan w:val="8"/>
            <w:shd w:val="clear" w:color="auto" w:fill="CCEEFF"/>
          </w:tcPr>
          <w:p>
            <w:pPr>
              <w:spacing w:after="0" w:line="131" w:lineRule="exact"/>
              <w:rPr>
                <w:sz w:val="20"/>
                <w:szCs w:val="20"/>
                <w:color w:val="auto"/>
              </w:rPr>
            </w:pPr>
            <w:r>
              <w:rPr>
                <w:rFonts w:ascii="Times New Roman" w:cs="Times New Roman" w:eastAsia="Times New Roman" w:hAnsi="Times New Roman"/>
                <w:sz w:val="15"/>
                <w:szCs w:val="15"/>
                <w:color w:val="0563C1"/>
              </w:rPr>
              <w:t>Association, TD Bank, N.A., Citizens Bank of Pennsylvania, and Huntington National Bank</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940" w:type="dxa"/>
            <w:vAlign w:val="bottom"/>
            <w:tcBorders>
              <w:top w:val="single" w:sz="8" w:color="0563C1"/>
            </w:tcBorders>
          </w:tcPr>
          <w:p>
            <w:pPr>
              <w:spacing w:after="0"/>
              <w:rPr>
                <w:sz w:val="17"/>
                <w:szCs w:val="17"/>
                <w:color w:val="auto"/>
              </w:rPr>
            </w:pPr>
          </w:p>
        </w:tc>
        <w:tc>
          <w:tcPr>
            <w:tcW w:w="434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10.2*</w:t>
            </w:r>
          </w:p>
        </w:tc>
        <w:tc>
          <w:tcPr>
            <w:tcW w:w="9760" w:type="dxa"/>
            <w:vAlign w:val="bottom"/>
            <w:gridSpan w:val="11"/>
            <w:shd w:val="clear" w:color="auto" w:fill="CCEEFF"/>
          </w:tcPr>
          <w:p>
            <w:pPr>
              <w:ind w:left="740"/>
              <w:spacing w:after="0" w:line="138" w:lineRule="exact"/>
              <w:rPr>
                <w:sz w:val="20"/>
                <w:szCs w:val="20"/>
                <w:color w:val="auto"/>
              </w:rPr>
            </w:pPr>
            <w:r>
              <w:rPr>
                <w:rFonts w:ascii="Times New Roman" w:cs="Times New Roman" w:eastAsia="Times New Roman" w:hAnsi="Times New Roman"/>
                <w:sz w:val="15"/>
                <w:szCs w:val="15"/>
                <w:color w:val="0563C1"/>
              </w:rPr>
              <w:t>Amended and Restated Credit Agreement, dated June 3, 2025, by and between PNG Companies, LLC and PNC Bank, National Association and</w:t>
            </w:r>
          </w:p>
        </w:tc>
        <w:tc>
          <w:tcPr>
            <w:tcW w:w="0" w:type="dxa"/>
            <w:vAlign w:val="bottom"/>
          </w:tcPr>
          <w:p>
            <w:pPr>
              <w:spacing w:after="0"/>
              <w:rPr>
                <w:sz w:val="1"/>
                <w:szCs w:val="1"/>
                <w:color w:val="auto"/>
              </w:rPr>
            </w:pPr>
          </w:p>
        </w:tc>
      </w:tr>
      <w:tr>
        <w:trPr>
          <w:trHeight w:val="156"/>
        </w:trPr>
        <w:tc>
          <w:tcPr>
            <w:tcW w:w="1500" w:type="dxa"/>
            <w:vAlign w:val="bottom"/>
            <w:tcBorders>
              <w:top w:val="single" w:sz="8" w:color="CCEEFF"/>
            </w:tcBorders>
            <w:vMerge w:val="continue"/>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0563C1"/>
            </w:tcBorders>
            <w:gridSpan w:val="9"/>
            <w:shd w:val="clear" w:color="auto" w:fill="CCEEFF"/>
          </w:tcPr>
          <w:p>
            <w:pPr>
              <w:spacing w:after="0" w:line="131" w:lineRule="exact"/>
              <w:rPr>
                <w:sz w:val="20"/>
                <w:szCs w:val="20"/>
                <w:color w:val="auto"/>
              </w:rPr>
            </w:pPr>
            <w:r>
              <w:rPr>
                <w:rFonts w:ascii="Times New Roman" w:cs="Times New Roman" w:eastAsia="Times New Roman" w:hAnsi="Times New Roman"/>
                <w:sz w:val="15"/>
                <w:szCs w:val="15"/>
                <w:color w:val="0563C1"/>
              </w:rPr>
              <w:t>TD Bank, N.A.</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940" w:type="dxa"/>
            <w:vAlign w:val="bottom"/>
            <w:tcBorders>
              <w:top w:val="single" w:sz="8" w:color="0563C1"/>
            </w:tcBorders>
          </w:tcPr>
          <w:p>
            <w:pPr>
              <w:spacing w:after="0"/>
              <w:rPr>
                <w:sz w:val="17"/>
                <w:szCs w:val="17"/>
                <w:color w:val="auto"/>
              </w:rPr>
            </w:pPr>
          </w:p>
        </w:tc>
        <w:tc>
          <w:tcPr>
            <w:tcW w:w="4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10.3*</w:t>
            </w:r>
          </w:p>
        </w:tc>
        <w:tc>
          <w:tcPr>
            <w:tcW w:w="9760" w:type="dxa"/>
            <w:vAlign w:val="bottom"/>
            <w:gridSpan w:val="11"/>
            <w:shd w:val="clear" w:color="auto" w:fill="CCEEFF"/>
          </w:tcPr>
          <w:p>
            <w:pPr>
              <w:ind w:left="740"/>
              <w:spacing w:after="0"/>
              <w:rPr>
                <w:sz w:val="20"/>
                <w:szCs w:val="20"/>
                <w:color w:val="auto"/>
              </w:rPr>
            </w:pPr>
            <w:r>
              <w:rPr>
                <w:rFonts w:ascii="Times New Roman" w:cs="Times New Roman" w:eastAsia="Times New Roman" w:hAnsi="Times New Roman"/>
                <w:sz w:val="15"/>
                <w:szCs w:val="15"/>
                <w:color w:val="0563C1"/>
              </w:rPr>
              <w:t>Bond Purchase Agreement, dated May 29, 2025, by and between Aqua Pennsylvania and The Bank of New York Mellon Trust Company, N.A.</w:t>
            </w:r>
          </w:p>
        </w:tc>
        <w:tc>
          <w:tcPr>
            <w:tcW w:w="0" w:type="dxa"/>
            <w:vAlign w:val="bottom"/>
          </w:tcPr>
          <w:p>
            <w:pPr>
              <w:spacing w:after="0"/>
              <w:rPr>
                <w:sz w:val="1"/>
                <w:szCs w:val="1"/>
                <w:color w:val="auto"/>
              </w:rPr>
            </w:pPr>
          </w:p>
        </w:tc>
      </w:tr>
      <w:tr>
        <w:trPr>
          <w:trHeight w:val="162"/>
        </w:trPr>
        <w:tc>
          <w:tcPr>
            <w:tcW w:w="150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940" w:type="dxa"/>
            <w:vAlign w:val="bottom"/>
            <w:tcBorders>
              <w:top w:val="single" w:sz="8" w:color="0563C1"/>
            </w:tcBorders>
          </w:tcPr>
          <w:p>
            <w:pPr>
              <w:spacing w:after="0"/>
              <w:rPr>
                <w:sz w:val="14"/>
                <w:szCs w:val="14"/>
                <w:color w:val="auto"/>
              </w:rPr>
            </w:pPr>
          </w:p>
        </w:tc>
        <w:tc>
          <w:tcPr>
            <w:tcW w:w="4340" w:type="dxa"/>
            <w:vAlign w:val="bottom"/>
            <w:tcBorders>
              <w:top w:val="single" w:sz="8" w:color="0563C1"/>
            </w:tcBorders>
          </w:tcPr>
          <w:p>
            <w:pPr>
              <w:spacing w:after="0"/>
              <w:rPr>
                <w:sz w:val="14"/>
                <w:szCs w:val="14"/>
                <w:color w:val="auto"/>
              </w:rPr>
            </w:pPr>
          </w:p>
        </w:tc>
        <w:tc>
          <w:tcPr>
            <w:tcW w:w="40" w:type="dxa"/>
            <w:vAlign w:val="bottom"/>
            <w:tcBorders>
              <w:top w:val="single" w:sz="8" w:color="0563C1"/>
            </w:tcBorders>
          </w:tcPr>
          <w:p>
            <w:pPr>
              <w:spacing w:after="0"/>
              <w:rPr>
                <w:sz w:val="14"/>
                <w:szCs w:val="14"/>
                <w:color w:val="auto"/>
              </w:rPr>
            </w:pPr>
          </w:p>
        </w:tc>
        <w:tc>
          <w:tcPr>
            <w:tcW w:w="360" w:type="dxa"/>
            <w:vAlign w:val="bottom"/>
            <w:tcBorders>
              <w:top w:val="single" w:sz="8" w:color="0563C1"/>
            </w:tcBorders>
          </w:tcPr>
          <w:p>
            <w:pPr>
              <w:spacing w:after="0"/>
              <w:rPr>
                <w:sz w:val="14"/>
                <w:szCs w:val="14"/>
                <w:color w:val="auto"/>
              </w:rPr>
            </w:pPr>
          </w:p>
        </w:tc>
        <w:tc>
          <w:tcPr>
            <w:tcW w:w="1720" w:type="dxa"/>
            <w:vAlign w:val="bottom"/>
            <w:tcBorders>
              <w:top w:val="single" w:sz="8" w:color="0563C1"/>
            </w:tcBorders>
          </w:tcPr>
          <w:p>
            <w:pPr>
              <w:spacing w:after="0"/>
              <w:rPr>
                <w:sz w:val="14"/>
                <w:szCs w:val="14"/>
                <w:color w:val="auto"/>
              </w:rPr>
            </w:pPr>
          </w:p>
        </w:tc>
        <w:tc>
          <w:tcPr>
            <w:tcW w:w="40" w:type="dxa"/>
            <w:vAlign w:val="bottom"/>
            <w:tcBorders>
              <w:top w:val="single" w:sz="8" w:color="0563C1"/>
            </w:tcBorders>
          </w:tcPr>
          <w:p>
            <w:pPr>
              <w:spacing w:after="0"/>
              <w:rPr>
                <w:sz w:val="14"/>
                <w:szCs w:val="14"/>
                <w:color w:val="auto"/>
              </w:rPr>
            </w:pPr>
          </w:p>
        </w:tc>
        <w:tc>
          <w:tcPr>
            <w:tcW w:w="1360" w:type="dxa"/>
            <w:vAlign w:val="bottom"/>
            <w:tcBorders>
              <w:top w:val="single" w:sz="8" w:color="0563C1"/>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31.1*</w:t>
            </w:r>
          </w:p>
        </w:tc>
        <w:tc>
          <w:tcPr>
            <w:tcW w:w="9760" w:type="dxa"/>
            <w:vAlign w:val="bottom"/>
            <w:gridSpan w:val="11"/>
            <w:shd w:val="clear" w:color="auto" w:fill="CCEEFF"/>
          </w:tcPr>
          <w:p>
            <w:pPr>
              <w:ind w:left="740"/>
              <w:spacing w:after="0" w:line="138" w:lineRule="exact"/>
              <w:rPr>
                <w:sz w:val="20"/>
                <w:szCs w:val="20"/>
                <w:color w:val="auto"/>
              </w:rPr>
            </w:pPr>
            <w:r>
              <w:rPr>
                <w:rFonts w:ascii="Times New Roman" w:cs="Times New Roman" w:eastAsia="Times New Roman" w:hAnsi="Times New Roman"/>
                <w:sz w:val="15"/>
                <w:szCs w:val="15"/>
                <w:color w:val="0563C1"/>
              </w:rPr>
              <w:t>Certification of Chief Executive Officer, filed pursuant to Rule 13a-14(a) under the Securities and Exchange Act of 1934</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940" w:type="dxa"/>
            <w:vAlign w:val="bottom"/>
            <w:tcBorders>
              <w:top w:val="single" w:sz="8" w:color="0563C1"/>
            </w:tcBorders>
          </w:tcPr>
          <w:p>
            <w:pPr>
              <w:spacing w:after="0"/>
              <w:rPr>
                <w:sz w:val="17"/>
                <w:szCs w:val="17"/>
                <w:color w:val="auto"/>
              </w:rPr>
            </w:pPr>
          </w:p>
        </w:tc>
        <w:tc>
          <w:tcPr>
            <w:tcW w:w="434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17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31.2*</w:t>
            </w:r>
          </w:p>
        </w:tc>
        <w:tc>
          <w:tcPr>
            <w:tcW w:w="9760" w:type="dxa"/>
            <w:vAlign w:val="bottom"/>
            <w:gridSpan w:val="11"/>
            <w:shd w:val="clear" w:color="auto" w:fill="CCEEFF"/>
          </w:tcPr>
          <w:p>
            <w:pPr>
              <w:ind w:left="740"/>
              <w:spacing w:after="0" w:line="138" w:lineRule="exact"/>
              <w:rPr>
                <w:sz w:val="20"/>
                <w:szCs w:val="20"/>
                <w:color w:val="auto"/>
              </w:rPr>
            </w:pPr>
            <w:r>
              <w:rPr>
                <w:rFonts w:ascii="Times New Roman" w:cs="Times New Roman" w:eastAsia="Times New Roman" w:hAnsi="Times New Roman"/>
                <w:sz w:val="15"/>
                <w:szCs w:val="15"/>
                <w:color w:val="0563C1"/>
              </w:rPr>
              <w:t>Certification of Chief Financial Officer, filed pursuant to Rule 13a-14(a) under the Securities and Exchange Act of 1934</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940" w:type="dxa"/>
            <w:vAlign w:val="bottom"/>
            <w:tcBorders>
              <w:top w:val="single" w:sz="8" w:color="0563C1"/>
            </w:tcBorders>
          </w:tcPr>
          <w:p>
            <w:pPr>
              <w:spacing w:after="0"/>
              <w:rPr>
                <w:sz w:val="17"/>
                <w:szCs w:val="17"/>
                <w:color w:val="auto"/>
              </w:rPr>
            </w:pPr>
          </w:p>
        </w:tc>
        <w:tc>
          <w:tcPr>
            <w:tcW w:w="434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1720" w:type="dxa"/>
            <w:vAlign w:val="bottom"/>
            <w:tcBorders>
              <w:top w:val="single" w:sz="8" w:color="0563C1"/>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32.1*</w:t>
            </w:r>
          </w:p>
        </w:tc>
        <w:tc>
          <w:tcPr>
            <w:tcW w:w="9760" w:type="dxa"/>
            <w:vAlign w:val="bottom"/>
            <w:gridSpan w:val="11"/>
            <w:shd w:val="clear" w:color="auto" w:fill="CCEEFF"/>
          </w:tcPr>
          <w:p>
            <w:pPr>
              <w:ind w:left="740"/>
              <w:spacing w:after="0" w:line="138" w:lineRule="exact"/>
              <w:rPr>
                <w:sz w:val="20"/>
                <w:szCs w:val="20"/>
                <w:color w:val="auto"/>
              </w:rPr>
            </w:pPr>
            <w:r>
              <w:rPr>
                <w:rFonts w:ascii="Times New Roman" w:cs="Times New Roman" w:eastAsia="Times New Roman" w:hAnsi="Times New Roman"/>
                <w:sz w:val="15"/>
                <w:szCs w:val="15"/>
                <w:color w:val="0563C1"/>
              </w:rPr>
              <w:t>Certification of Chief Executive Officer, furnished pursuant to 18 U.S.C. Section 1350</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940" w:type="dxa"/>
            <w:vAlign w:val="bottom"/>
            <w:tcBorders>
              <w:top w:val="single" w:sz="8" w:color="0563C1"/>
            </w:tcBorders>
          </w:tcPr>
          <w:p>
            <w:pPr>
              <w:spacing w:after="0"/>
              <w:rPr>
                <w:sz w:val="17"/>
                <w:szCs w:val="17"/>
                <w:color w:val="auto"/>
              </w:rPr>
            </w:pPr>
          </w:p>
        </w:tc>
        <w:tc>
          <w:tcPr>
            <w:tcW w:w="434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32.2*</w:t>
            </w:r>
          </w:p>
        </w:tc>
        <w:tc>
          <w:tcPr>
            <w:tcW w:w="9760" w:type="dxa"/>
            <w:vAlign w:val="bottom"/>
            <w:gridSpan w:val="11"/>
            <w:shd w:val="clear" w:color="auto" w:fill="CCEEFF"/>
          </w:tcPr>
          <w:p>
            <w:pPr>
              <w:ind w:left="740"/>
              <w:spacing w:after="0" w:line="138" w:lineRule="exact"/>
              <w:rPr>
                <w:sz w:val="20"/>
                <w:szCs w:val="20"/>
                <w:color w:val="auto"/>
              </w:rPr>
            </w:pPr>
            <w:r>
              <w:rPr>
                <w:rFonts w:ascii="Times New Roman" w:cs="Times New Roman" w:eastAsia="Times New Roman" w:hAnsi="Times New Roman"/>
                <w:sz w:val="15"/>
                <w:szCs w:val="15"/>
                <w:color w:val="0563C1"/>
              </w:rPr>
              <w:t>Certification of Chief Financial Officer, furnished pursuant to 18 U.S.C. Section 1350</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940" w:type="dxa"/>
            <w:vAlign w:val="bottom"/>
            <w:tcBorders>
              <w:top w:val="single" w:sz="8" w:color="0563C1"/>
            </w:tcBorders>
          </w:tcPr>
          <w:p>
            <w:pPr>
              <w:spacing w:after="0"/>
              <w:rPr>
                <w:sz w:val="17"/>
                <w:szCs w:val="17"/>
                <w:color w:val="auto"/>
              </w:rPr>
            </w:pPr>
          </w:p>
        </w:tc>
        <w:tc>
          <w:tcPr>
            <w:tcW w:w="4340" w:type="dxa"/>
            <w:vAlign w:val="bottom"/>
            <w:tcBorders>
              <w:top w:val="single" w:sz="8" w:color="0563C1"/>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5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101.INS</w:t>
            </w:r>
          </w:p>
        </w:tc>
        <w:tc>
          <w:tcPr>
            <w:tcW w:w="9760" w:type="dxa"/>
            <w:vAlign w:val="bottom"/>
            <w:gridSpan w:val="11"/>
            <w:shd w:val="clear" w:color="auto" w:fill="CCEEFF"/>
          </w:tcPr>
          <w:p>
            <w:pPr>
              <w:ind w:left="740"/>
              <w:spacing w:after="0" w:line="136" w:lineRule="exact"/>
              <w:rPr>
                <w:sz w:val="20"/>
                <w:szCs w:val="20"/>
                <w:color w:val="auto"/>
              </w:rPr>
            </w:pPr>
            <w:r>
              <w:rPr>
                <w:rFonts w:ascii="Times New Roman" w:cs="Times New Roman" w:eastAsia="Times New Roman" w:hAnsi="Times New Roman"/>
                <w:sz w:val="15"/>
                <w:szCs w:val="15"/>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99"/>
        </w:trPr>
        <w:tc>
          <w:tcPr>
            <w:tcW w:w="1500" w:type="dxa"/>
            <w:vAlign w:val="bottom"/>
            <w:shd w:val="clear" w:color="auto" w:fill="CCEEFF"/>
          </w:tcPr>
          <w:p>
            <w:pPr>
              <w:spacing w:after="0"/>
              <w:rPr>
                <w:sz w:val="17"/>
                <w:szCs w:val="17"/>
                <w:color w:val="auto"/>
              </w:rPr>
            </w:pPr>
          </w:p>
        </w:tc>
        <w:tc>
          <w:tcPr>
            <w:tcW w:w="9760" w:type="dxa"/>
            <w:vAlign w:val="bottom"/>
            <w:gridSpan w:val="11"/>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within the Inline XBRL document.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101.SCH</w:t>
            </w:r>
          </w:p>
        </w:tc>
        <w:tc>
          <w:tcPr>
            <w:tcW w:w="9760" w:type="dxa"/>
            <w:vAlign w:val="bottom"/>
            <w:gridSpan w:val="11"/>
            <w:shd w:val="clear" w:color="auto" w:fill="CCEEFF"/>
          </w:tcPr>
          <w:p>
            <w:pPr>
              <w:ind w:left="740"/>
              <w:spacing w:after="0" w:line="162" w:lineRule="exact"/>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101.CAL</w:t>
            </w:r>
          </w:p>
        </w:tc>
        <w:tc>
          <w:tcPr>
            <w:tcW w:w="9760" w:type="dxa"/>
            <w:vAlign w:val="bottom"/>
            <w:gridSpan w:val="11"/>
            <w:shd w:val="clear" w:color="auto" w:fill="CCEEFF"/>
          </w:tcPr>
          <w:p>
            <w:pPr>
              <w:ind w:left="740"/>
              <w:spacing w:after="0" w:line="162" w:lineRule="exact"/>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101.DEF</w:t>
            </w:r>
          </w:p>
        </w:tc>
        <w:tc>
          <w:tcPr>
            <w:tcW w:w="9760" w:type="dxa"/>
            <w:vAlign w:val="bottom"/>
            <w:gridSpan w:val="11"/>
            <w:shd w:val="clear" w:color="auto" w:fill="CCEEFF"/>
          </w:tcPr>
          <w:p>
            <w:pPr>
              <w:ind w:left="740"/>
              <w:spacing w:after="0" w:line="162" w:lineRule="exact"/>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101.LAB</w:t>
            </w:r>
          </w:p>
        </w:tc>
        <w:tc>
          <w:tcPr>
            <w:tcW w:w="9760" w:type="dxa"/>
            <w:vAlign w:val="bottom"/>
            <w:gridSpan w:val="11"/>
            <w:shd w:val="clear" w:color="auto" w:fill="CCEEFF"/>
          </w:tcPr>
          <w:p>
            <w:pPr>
              <w:ind w:left="740"/>
              <w:spacing w:after="0" w:line="162" w:lineRule="exact"/>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101.PRES</w:t>
            </w:r>
          </w:p>
        </w:tc>
        <w:tc>
          <w:tcPr>
            <w:tcW w:w="9760" w:type="dxa"/>
            <w:vAlign w:val="bottom"/>
            <w:gridSpan w:val="11"/>
            <w:shd w:val="clear" w:color="auto" w:fill="CCEEFF"/>
          </w:tcPr>
          <w:p>
            <w:pPr>
              <w:ind w:left="740"/>
              <w:spacing w:after="0" w:line="162" w:lineRule="exact"/>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5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104</w:t>
            </w:r>
          </w:p>
        </w:tc>
        <w:tc>
          <w:tcPr>
            <w:tcW w:w="9760" w:type="dxa"/>
            <w:vAlign w:val="bottom"/>
            <w:gridSpan w:val="11"/>
            <w:shd w:val="clear" w:color="auto" w:fill="CCEEFF"/>
          </w:tcPr>
          <w:p>
            <w:pPr>
              <w:ind w:left="740"/>
              <w:spacing w:after="0" w:line="136" w:lineRule="exact"/>
              <w:rPr>
                <w:sz w:val="20"/>
                <w:szCs w:val="20"/>
                <w:color w:val="auto"/>
              </w:rPr>
            </w:pPr>
            <w:r>
              <w:rPr>
                <w:rFonts w:ascii="Times New Roman" w:cs="Times New Roman" w:eastAsia="Times New Roman" w:hAnsi="Times New Roman"/>
                <w:sz w:val="15"/>
                <w:szCs w:val="15"/>
                <w:color w:val="auto"/>
              </w:rPr>
              <w:t>The cover page from the Company’s Quarterly Report on Form 10-Q for the quarter ended June 30, 2025, formatted in Inline XBRL (included in</w:t>
            </w:r>
          </w:p>
        </w:tc>
        <w:tc>
          <w:tcPr>
            <w:tcW w:w="0" w:type="dxa"/>
            <w:vAlign w:val="bottom"/>
          </w:tcPr>
          <w:p>
            <w:pPr>
              <w:spacing w:after="0"/>
              <w:rPr>
                <w:sz w:val="1"/>
                <w:szCs w:val="1"/>
                <w:color w:val="auto"/>
              </w:rPr>
            </w:pPr>
          </w:p>
        </w:tc>
      </w:tr>
      <w:tr>
        <w:trPr>
          <w:trHeight w:val="199"/>
        </w:trPr>
        <w:tc>
          <w:tcPr>
            <w:tcW w:w="1500" w:type="dxa"/>
            <w:vAlign w:val="bottom"/>
            <w:shd w:val="clear" w:color="auto" w:fill="CCEEFF"/>
          </w:tcPr>
          <w:p>
            <w:pPr>
              <w:spacing w:after="0"/>
              <w:rPr>
                <w:sz w:val="17"/>
                <w:szCs w:val="17"/>
                <w:color w:val="auto"/>
              </w:rPr>
            </w:pPr>
          </w:p>
        </w:tc>
        <w:tc>
          <w:tcPr>
            <w:tcW w:w="9760" w:type="dxa"/>
            <w:vAlign w:val="bottom"/>
            <w:gridSpan w:val="11"/>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Exhibit 101)</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171450</wp:posOffset>
            </wp:positionV>
            <wp:extent cx="71774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3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SIGNATURES</w:t>
      </w:r>
    </w:p>
    <w:p>
      <w:pPr>
        <w:spacing w:after="0" w:line="8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executed on its behalf by the undersigned thereunto duly authorized.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2025</w:t>
      </w:r>
    </w:p>
    <w:p>
      <w:pPr>
        <w:spacing w:after="0" w:line="1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7620</wp:posOffset>
            </wp:positionV>
            <wp:extent cx="313944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39440" cy="7620"/>
                    </a:xfrm>
                    <a:prstGeom prst="rect">
                      <a:avLst/>
                    </a:prstGeom>
                    <a:noFill/>
                  </pic:spPr>
                </pic:pic>
              </a:graphicData>
            </a:graphic>
          </wp:anchor>
        </w:drawing>
      </w:r>
    </w:p>
    <w:p>
      <w:pPr>
        <w:spacing w:after="0" w:line="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7620</wp:posOffset>
            </wp:positionV>
            <wp:extent cx="313944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39440" cy="7620"/>
                    </a:xfrm>
                    <a:prstGeom prst="rect">
                      <a:avLst/>
                    </a:prstGeom>
                    <a:noFill/>
                  </pic:spPr>
                </pic:pic>
              </a:graphicData>
            </a:graphic>
          </wp:anchor>
        </w:drawing>
      </w:r>
    </w:p>
    <w:p>
      <w:pPr>
        <w:ind w:left="6320"/>
        <w:spacing w:after="0"/>
        <w:rPr>
          <w:sz w:val="20"/>
          <w:szCs w:val="20"/>
          <w:color w:val="auto"/>
        </w:rPr>
      </w:pPr>
      <w:r>
        <w:rPr>
          <w:rFonts w:ascii="Times New Roman" w:cs="Times New Roman" w:eastAsia="Times New Roman" w:hAnsi="Times New Roman"/>
          <w:sz w:val="18"/>
          <w:szCs w:val="18"/>
          <w:color w:val="auto"/>
        </w:rPr>
        <w:t>Christopher H. Franklin</w:t>
      </w:r>
    </w:p>
    <w:p>
      <w:pPr>
        <w:ind w:left="6320"/>
        <w:spacing w:after="0" w:line="227" w:lineRule="auto"/>
        <w:rPr>
          <w:sz w:val="20"/>
          <w:szCs w:val="20"/>
          <w:color w:val="auto"/>
        </w:rPr>
      </w:pPr>
      <w:r>
        <w:rPr>
          <w:rFonts w:ascii="Times New Roman" w:cs="Times New Roman" w:eastAsia="Times New Roman" w:hAnsi="Times New Roman"/>
          <w:sz w:val="18"/>
          <w:szCs w:val="18"/>
          <w:color w:val="auto"/>
        </w:rPr>
        <w:t>Chairman, President and</w:t>
      </w:r>
    </w:p>
    <w:p>
      <w:pPr>
        <w:spacing w:after="0" w:line="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2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7620</wp:posOffset>
            </wp:positionV>
            <wp:extent cx="313944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39440" cy="7620"/>
                    </a:xfrm>
                    <a:prstGeom prst="rect">
                      <a:avLst/>
                    </a:prstGeom>
                    <a:noFill/>
                  </pic:spPr>
                </pic:pic>
              </a:graphicData>
            </a:graphic>
          </wp:anchor>
        </w:drawing>
      </w:r>
    </w:p>
    <w:p>
      <w:pPr>
        <w:ind w:left="6320"/>
        <w:spacing w:after="0"/>
        <w:rPr>
          <w:sz w:val="20"/>
          <w:szCs w:val="20"/>
          <w:color w:val="auto"/>
        </w:rPr>
      </w:pPr>
      <w:r>
        <w:rPr>
          <w:rFonts w:ascii="Times New Roman" w:cs="Times New Roman" w:eastAsia="Times New Roman" w:hAnsi="Times New Roman"/>
          <w:sz w:val="18"/>
          <w:szCs w:val="18"/>
          <w:color w:val="auto"/>
        </w:rPr>
        <w:t>Daniel J. Schuller</w:t>
      </w:r>
    </w:p>
    <w:p>
      <w:pPr>
        <w:ind w:left="6320"/>
        <w:spacing w:after="0" w:line="227" w:lineRule="auto"/>
        <w:rPr>
          <w:sz w:val="20"/>
          <w:szCs w:val="20"/>
          <w:color w:val="auto"/>
        </w:rPr>
      </w:pPr>
      <w:r>
        <w:rPr>
          <w:rFonts w:ascii="Times New Roman" w:cs="Times New Roman" w:eastAsia="Times New Roman" w:hAnsi="Times New Roman"/>
          <w:sz w:val="18"/>
          <w:szCs w:val="18"/>
          <w:color w:val="auto"/>
        </w:rPr>
        <w:t>Executive Vice President and</w:t>
      </w:r>
    </w:p>
    <w:p>
      <w:pPr>
        <w:spacing w:after="0" w:line="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20"/>
          </w:cols>
          <w:pgMar w:left="320" w:top="116" w:right="8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DEAL CUSIP No. 03837YAA6</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REVOLVER CUSIP No. 03837YAB4</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9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1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18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AQUA PENNSYLVANIA, INC.</w:t>
      </w:r>
    </w:p>
    <w:p>
      <w:pPr>
        <w:spacing w:after="0" w:line="18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8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THE BANKS PARTY HERETO</w:t>
      </w:r>
    </w:p>
    <w:p>
      <w:pPr>
        <w:spacing w:after="0" w:line="18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8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as Agent</w:t>
      </w:r>
    </w:p>
    <w:p>
      <w:pPr>
        <w:spacing w:after="0" w:line="1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8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PNC CAPITAL MARKETS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Sole Lead Arranger and Sole Bookrunner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June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621030</wp:posOffset>
            </wp:positionV>
            <wp:extent cx="5783580" cy="47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114" w:right="14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17"/>
                <w:szCs w:val="17"/>
                <w:color w:val="auto"/>
              </w:rPr>
            </w:pPr>
          </w:p>
        </w:tc>
      </w:tr>
      <w:tr>
        <w:trPr>
          <w:trHeight w:val="487"/>
        </w:trPr>
        <w:tc>
          <w:tcPr>
            <w:tcW w:w="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3"/>
        </w:trPr>
        <w:tc>
          <w:tcPr>
            <w:tcW w:w="83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BACKGROUND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3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SECTION 1. DEFINITIONS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Benchmark Replacement Notification; Conforming Changes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3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SECTION 2. THE CREDITS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Revolving Credit Loans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Swing Line Loans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Provisions Regarding Loans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Revolving Credit Notes; Repayment of Revolving Credit Loans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Interest on Revolving Credit Loans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Default Rate; Additional Interest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Termination, Reduction, Extension of Commitments; Additional Banks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Optional and Mandatory Prepayments of Loans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 SOFR Rate Unascertainable; Increased Costs; Illegality; Benchmark Replacement Setting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Requirements of Law</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Indemnity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 Rata Treatment, etc.</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Defaulting Banks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Conforming Changes Relating to the Term SOFR Rate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3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SECTION 3. REPRESENTATIONS AND WARRANTIES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Financial Condition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Adverse 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Existence; Compliance with Law</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 Power; Authorization; Enforceable Obligations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Legal Bar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Material Litigation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Default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Federal Regulations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7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ERISA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93"/>
        </w:trPr>
        <w:tc>
          <w:tcPr>
            <w:tcW w:w="880" w:type="dxa"/>
            <w:vAlign w:val="bottom"/>
          </w:tcPr>
          <w:p>
            <w:pPr>
              <w:spacing w:after="0"/>
              <w:rPr>
                <w:sz w:val="24"/>
                <w:szCs w:val="24"/>
                <w:color w:val="auto"/>
              </w:rPr>
            </w:pPr>
          </w:p>
        </w:tc>
        <w:tc>
          <w:tcPr>
            <w:tcW w:w="4640" w:type="dxa"/>
            <w:vAlign w:val="bottom"/>
            <w:gridSpan w:val="2"/>
          </w:tcPr>
          <w:p>
            <w:pPr>
              <w:ind w:left="3600"/>
              <w:spacing w:after="0"/>
              <w:rPr>
                <w:sz w:val="20"/>
                <w:szCs w:val="20"/>
                <w:color w:val="auto"/>
              </w:rPr>
            </w:pPr>
            <w:r>
              <w:rPr>
                <w:rFonts w:ascii="Times New Roman" w:cs="Times New Roman" w:eastAsia="Times New Roman" w:hAnsi="Times New Roman"/>
                <w:sz w:val="18"/>
                <w:szCs w:val="18"/>
                <w:color w:val="auto"/>
              </w:rPr>
              <w:t>1</w:t>
            </w:r>
          </w:p>
        </w:tc>
        <w:tc>
          <w:tcPr>
            <w:tcW w:w="2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3"/>
        </w:trPr>
        <w:tc>
          <w:tcPr>
            <w:tcW w:w="88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r>
        <w:trPr>
          <w:trHeight w:val="20"/>
        </w:trPr>
        <w:tc>
          <w:tcPr>
            <w:tcW w:w="88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14" w:right="14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Company Act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Purpose of Loans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of the Borrower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Patents, Trademarks,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of Property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Licenses,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Labor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Partnerships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Material Misstatements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Sanctions and International Trade Laws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Anti-Corruption Laws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EEA Financial Institutions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of Beneficial Ownership</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4. CONDITIONS PRECEDENT; CLOSING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Closing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Each Loan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Closing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and Restatement of Existing Credit Agreement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5. AFFIRMATIVE COVENANTS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Obligations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Conduct of Business and Maintenance of Existence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Laws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Covenants of the Indenture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Guarantees of Obligations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Anti-Corruption Laws; Anti-Money Laundering Laws; and International Trade Laws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of Beneficial Ownership and Other Additional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6. NEGATIVE COVENANTS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Covenants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Certain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Liens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 on Fundamental Changes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Sale of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 on Acquisitions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93"/>
        </w:trPr>
        <w:tc>
          <w:tcPr>
            <w:tcW w:w="680" w:type="dxa"/>
            <w:vAlign w:val="bottom"/>
          </w:tcPr>
          <w:p>
            <w:pPr>
              <w:spacing w:after="0"/>
              <w:rPr>
                <w:sz w:val="24"/>
                <w:szCs w:val="24"/>
                <w:color w:val="auto"/>
              </w:rPr>
            </w:pPr>
          </w:p>
        </w:tc>
        <w:tc>
          <w:tcPr>
            <w:tcW w:w="724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24"/>
                <w:szCs w:val="24"/>
                <w:color w:val="auto"/>
              </w:rPr>
            </w:pPr>
          </w:p>
        </w:tc>
      </w:tr>
      <w:tr>
        <w:trPr>
          <w:trHeight w:val="83"/>
        </w:trPr>
        <w:tc>
          <w:tcPr>
            <w:tcW w:w="680" w:type="dxa"/>
            <w:vAlign w:val="bottom"/>
            <w:tcBorders>
              <w:bottom w:val="single" w:sz="8" w:color="9A9A9A"/>
            </w:tcBorders>
          </w:tcPr>
          <w:p>
            <w:pPr>
              <w:spacing w:after="0"/>
              <w:rPr>
                <w:sz w:val="7"/>
                <w:szCs w:val="7"/>
                <w:color w:val="auto"/>
              </w:rPr>
            </w:pPr>
          </w:p>
        </w:tc>
        <w:tc>
          <w:tcPr>
            <w:tcW w:w="72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r>
        <w:trPr>
          <w:trHeight w:val="20"/>
        </w:trPr>
        <w:tc>
          <w:tcPr>
            <w:tcW w:w="680" w:type="dxa"/>
            <w:vAlign w:val="bottom"/>
            <w:tcBorders>
              <w:bottom w:val="single" w:sz="8" w:color="EEEEEE"/>
            </w:tcBorders>
          </w:tcPr>
          <w:p>
            <w:pPr>
              <w:spacing w:after="0" w:line="20" w:lineRule="exact"/>
              <w:rPr>
                <w:sz w:val="1"/>
                <w:szCs w:val="1"/>
                <w:color w:val="auto"/>
              </w:rPr>
            </w:pPr>
          </w:p>
        </w:tc>
        <w:tc>
          <w:tcPr>
            <w:tcW w:w="72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59" w:right="14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4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Distributions and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and Leaseback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Fiscal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Continuation of or Change in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Anti-Corruption Laws; Anti-Money Laundering Laws; and International Trade Laws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 of Proceeds of Loans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7. EVENTS OF DEFAULT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8. THE AGENT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Delegation of Duties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Exculpatory Provisions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Reliance by Agent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2"/>
        </w:trPr>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8.5</w:t>
            </w:r>
          </w:p>
        </w:tc>
        <w:tc>
          <w:tcPr>
            <w:tcW w:w="724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Notice of Default</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66</w:t>
            </w:r>
          </w:p>
        </w:tc>
      </w:tr>
      <w:tr>
        <w:trPr>
          <w:trHeight w:val="285"/>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24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Reliance on Agent and Other Banks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Agent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Beneficiaries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8"/>
        </w:trPr>
        <w:tc>
          <w:tcPr>
            <w:tcW w:w="68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 No Reliance on Agent’s Customer Identification</w:t>
            </w:r>
          </w:p>
        </w:tc>
        <w:tc>
          <w:tcPr>
            <w:tcW w:w="1140" w:type="dxa"/>
            <w:vAlign w:val="bottom"/>
          </w:tcPr>
          <w:p>
            <w:pPr>
              <w:spacing w:after="0"/>
              <w:rPr>
                <w:sz w:val="18"/>
                <w:szCs w:val="18"/>
                <w:color w:val="auto"/>
              </w:rPr>
            </w:pPr>
          </w:p>
        </w:tc>
      </w:tr>
      <w:tr>
        <w:trPr>
          <w:trHeight w:val="24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Program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ERISA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Erroneous Payments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Advisory or Fiduciary Relationship</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Agent May File Proofs of Claim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Other Duties,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Reliance on Agent’s Customer Identification Program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9. MISCELLANEOUS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Expenses and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2"/>
        </w:trPr>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9.7</w:t>
            </w:r>
          </w:p>
        </w:tc>
        <w:tc>
          <w:tcPr>
            <w:tcW w:w="724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Confidentiality</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82</w:t>
            </w:r>
          </w:p>
        </w:tc>
      </w:tr>
      <w:tr>
        <w:trPr>
          <w:trHeight w:val="285"/>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724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Adjustments;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93"/>
        </w:trPr>
        <w:tc>
          <w:tcPr>
            <w:tcW w:w="680" w:type="dxa"/>
            <w:vAlign w:val="bottom"/>
          </w:tcPr>
          <w:p>
            <w:pPr>
              <w:spacing w:after="0"/>
              <w:rPr>
                <w:sz w:val="24"/>
                <w:szCs w:val="24"/>
                <w:color w:val="auto"/>
              </w:rPr>
            </w:pPr>
          </w:p>
        </w:tc>
        <w:tc>
          <w:tcPr>
            <w:tcW w:w="724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Pr>
          <w:p>
            <w:pPr>
              <w:spacing w:after="0"/>
              <w:rPr>
                <w:sz w:val="24"/>
                <w:szCs w:val="24"/>
                <w:color w:val="auto"/>
              </w:rPr>
            </w:pPr>
          </w:p>
        </w:tc>
      </w:tr>
      <w:tr>
        <w:trPr>
          <w:trHeight w:val="83"/>
        </w:trPr>
        <w:tc>
          <w:tcPr>
            <w:tcW w:w="680" w:type="dxa"/>
            <w:vAlign w:val="bottom"/>
            <w:tcBorders>
              <w:bottom w:val="single" w:sz="8" w:color="9A9A9A"/>
            </w:tcBorders>
          </w:tcPr>
          <w:p>
            <w:pPr>
              <w:spacing w:after="0"/>
              <w:rPr>
                <w:sz w:val="7"/>
                <w:szCs w:val="7"/>
                <w:color w:val="auto"/>
              </w:rPr>
            </w:pPr>
          </w:p>
        </w:tc>
        <w:tc>
          <w:tcPr>
            <w:tcW w:w="72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r>
        <w:trPr>
          <w:trHeight w:val="20"/>
        </w:trPr>
        <w:tc>
          <w:tcPr>
            <w:tcW w:w="680" w:type="dxa"/>
            <w:vAlign w:val="bottom"/>
            <w:tcBorders>
              <w:bottom w:val="single" w:sz="8" w:color="EEEEEE"/>
            </w:tcBorders>
          </w:tcPr>
          <w:p>
            <w:pPr>
              <w:spacing w:after="0" w:line="20" w:lineRule="exact"/>
              <w:rPr>
                <w:sz w:val="1"/>
                <w:szCs w:val="1"/>
                <w:color w:val="auto"/>
              </w:rPr>
            </w:pPr>
          </w:p>
        </w:tc>
        <w:tc>
          <w:tcPr>
            <w:tcW w:w="72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59" w:right="14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2"/>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8"/>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4"/>
        </w:trPr>
        <w:tc>
          <w:tcPr>
            <w:tcW w:w="6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9.14</w:t>
            </w:r>
          </w:p>
        </w:tc>
        <w:tc>
          <w:tcPr>
            <w:tcW w:w="6480" w:type="dxa"/>
            <w:vAlign w:val="bottom"/>
          </w:tcPr>
          <w:p>
            <w:pPr>
              <w:ind w:left="80"/>
              <w:spacing w:after="0" w:line="204" w:lineRule="exact"/>
              <w:rPr>
                <w:sz w:val="20"/>
                <w:szCs w:val="20"/>
                <w:color w:val="auto"/>
              </w:rPr>
            </w:pPr>
            <w:r>
              <w:rPr>
                <w:rFonts w:ascii="Times New Roman" w:cs="Times New Roman" w:eastAsia="Times New Roman" w:hAnsi="Times New Roman"/>
                <w:sz w:val="18"/>
                <w:szCs w:val="18"/>
                <w:color w:val="auto"/>
              </w:rPr>
              <w:t>Acknowledgments</w:t>
            </w:r>
          </w:p>
        </w:tc>
        <w:tc>
          <w:tcPr>
            <w:tcW w:w="19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85</w:t>
            </w:r>
          </w:p>
        </w:tc>
      </w:tr>
      <w:tr>
        <w:trPr>
          <w:trHeight w:val="212"/>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WAIVERS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8"/>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8"/>
        </w:trPr>
        <w:tc>
          <w:tcPr>
            <w:tcW w:w="680" w:type="dxa"/>
            <w:vAlign w:val="bottom"/>
          </w:tcPr>
          <w:p>
            <w:pPr>
              <w:spacing w:after="0"/>
              <w:rPr>
                <w:sz w:val="18"/>
                <w:szCs w:val="18"/>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w:t>
            </w:r>
          </w:p>
        </w:tc>
        <w:tc>
          <w:tcPr>
            <w:tcW w:w="1900" w:type="dxa"/>
            <w:vAlign w:val="bottom"/>
          </w:tcPr>
          <w:p>
            <w:pPr>
              <w:spacing w:after="0"/>
              <w:rPr>
                <w:sz w:val="18"/>
                <w:szCs w:val="18"/>
                <w:color w:val="auto"/>
              </w:rPr>
            </w:pPr>
          </w:p>
        </w:tc>
      </w:tr>
      <w:tr>
        <w:trPr>
          <w:trHeight w:val="208"/>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Institutions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8"/>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Mutual Negotiations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93"/>
        </w:trPr>
        <w:tc>
          <w:tcPr>
            <w:tcW w:w="680" w:type="dxa"/>
            <w:vAlign w:val="bottom"/>
          </w:tcPr>
          <w:p>
            <w:pPr>
              <w:spacing w:after="0"/>
              <w:rPr>
                <w:sz w:val="24"/>
                <w:szCs w:val="24"/>
                <w:color w:val="auto"/>
              </w:rPr>
            </w:pPr>
          </w:p>
        </w:tc>
        <w:tc>
          <w:tcPr>
            <w:tcW w:w="648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4</w:t>
            </w:r>
          </w:p>
        </w:tc>
        <w:tc>
          <w:tcPr>
            <w:tcW w:w="1900" w:type="dxa"/>
            <w:vAlign w:val="bottom"/>
          </w:tcPr>
          <w:p>
            <w:pPr>
              <w:spacing w:after="0"/>
              <w:rPr>
                <w:sz w:val="24"/>
                <w:szCs w:val="24"/>
                <w:color w:val="auto"/>
              </w:rPr>
            </w:pPr>
          </w:p>
        </w:tc>
      </w:tr>
      <w:tr>
        <w:trPr>
          <w:trHeight w:val="83"/>
        </w:trPr>
        <w:tc>
          <w:tcPr>
            <w:tcW w:w="680" w:type="dxa"/>
            <w:vAlign w:val="bottom"/>
            <w:tcBorders>
              <w:bottom w:val="single" w:sz="8" w:color="9A9A9A"/>
            </w:tcBorders>
          </w:tcPr>
          <w:p>
            <w:pPr>
              <w:spacing w:after="0"/>
              <w:rPr>
                <w:sz w:val="7"/>
                <w:szCs w:val="7"/>
                <w:color w:val="auto"/>
              </w:rPr>
            </w:pPr>
          </w:p>
        </w:tc>
        <w:tc>
          <w:tcPr>
            <w:tcW w:w="648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r>
      <w:tr>
        <w:trPr>
          <w:trHeight w:val="20"/>
        </w:trPr>
        <w:tc>
          <w:tcPr>
            <w:tcW w:w="680" w:type="dxa"/>
            <w:vAlign w:val="bottom"/>
            <w:tcBorders>
              <w:bottom w:val="single" w:sz="8" w:color="EEEEEE"/>
            </w:tcBorders>
          </w:tcPr>
          <w:p>
            <w:pPr>
              <w:spacing w:after="0" w:line="20" w:lineRule="exact"/>
              <w:rPr>
                <w:sz w:val="1"/>
                <w:szCs w:val="1"/>
                <w:color w:val="auto"/>
              </w:rPr>
            </w:pPr>
          </w:p>
        </w:tc>
        <w:tc>
          <w:tcPr>
            <w:tcW w:w="648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21" w:right="14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4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60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360"/>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SCHEDULE I</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and Commitment Information</w:t>
            </w:r>
          </w:p>
        </w:tc>
      </w:tr>
      <w:tr>
        <w:trPr>
          <w:trHeight w:val="208"/>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SCHEDULE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Existing Litigation</w:t>
            </w:r>
          </w:p>
        </w:tc>
      </w:tr>
      <w:tr>
        <w:trPr>
          <w:trHeight w:val="208"/>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SCHEDULE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Regulatory Approvals</w:t>
            </w:r>
          </w:p>
        </w:tc>
      </w:tr>
      <w:tr>
        <w:trPr>
          <w:trHeight w:val="208"/>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SCHEDULE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08"/>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SCHEDULE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3.19</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Interests in Partnerships</w:t>
            </w:r>
          </w:p>
        </w:tc>
      </w:tr>
      <w:tr>
        <w:trPr>
          <w:trHeight w:val="241"/>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SCHEDULE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60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360"/>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A</w:t>
            </w:r>
          </w:p>
        </w:tc>
        <w:tc>
          <w:tcPr>
            <w:tcW w:w="600" w:type="dxa"/>
            <w:vAlign w:val="bottom"/>
          </w:tcPr>
          <w:p>
            <w:pPr>
              <w:spacing w:after="0"/>
              <w:rPr>
                <w:sz w:val="24"/>
                <w:szCs w:val="24"/>
                <w:color w:val="auto"/>
              </w:rPr>
            </w:pP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08"/>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B-1</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Note</w:t>
            </w:r>
          </w:p>
        </w:tc>
      </w:tr>
      <w:tr>
        <w:trPr>
          <w:trHeight w:val="208"/>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B-2</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Swing Line Note</w:t>
            </w:r>
          </w:p>
        </w:tc>
      </w:tr>
      <w:tr>
        <w:trPr>
          <w:trHeight w:val="241"/>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C</w:t>
            </w:r>
          </w:p>
        </w:tc>
        <w:tc>
          <w:tcPr>
            <w:tcW w:w="600" w:type="dxa"/>
            <w:vAlign w:val="bottom"/>
          </w:tcPr>
          <w:p>
            <w:pPr>
              <w:spacing w:after="0"/>
              <w:rPr>
                <w:sz w:val="20"/>
                <w:szCs w:val="20"/>
                <w:color w:val="auto"/>
              </w:rPr>
            </w:pP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Assignment and Acceptance</w:t>
            </w:r>
          </w:p>
        </w:tc>
      </w:tr>
      <w:tr>
        <w:trPr>
          <w:trHeight w:val="809"/>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3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5</w:t>
            </w:r>
          </w:p>
        </w:tc>
      </w:tr>
      <w:tr>
        <w:trPr>
          <w:trHeight w:val="83"/>
        </w:trPr>
        <w:tc>
          <w:tcPr>
            <w:tcW w:w="1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360" w:type="dxa"/>
            <w:vAlign w:val="bottom"/>
            <w:tcBorders>
              <w:bottom w:val="single" w:sz="8" w:color="9A9A9A"/>
            </w:tcBorders>
          </w:tcPr>
          <w:p>
            <w:pPr>
              <w:spacing w:after="0"/>
              <w:rPr>
                <w:sz w:val="7"/>
                <w:szCs w:val="7"/>
                <w:color w:val="auto"/>
              </w:rPr>
            </w:pPr>
          </w:p>
        </w:tc>
      </w:tr>
      <w:tr>
        <w:trPr>
          <w:trHeight w:val="20"/>
        </w:trPr>
        <w:tc>
          <w:tcPr>
            <w:tcW w:w="1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73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24" w:right="14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190"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THIS SECOND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dated as of June 3, 2025, by and among </w:t>
      </w:r>
      <w:r>
        <w:rPr>
          <w:rFonts w:ascii="Times New Roman" w:cs="Times New Roman" w:eastAsia="Times New Roman" w:hAnsi="Times New Roman"/>
          <w:sz w:val="18"/>
          <w:szCs w:val="18"/>
          <w:b w:val="1"/>
          <w:bCs w:val="1"/>
          <w:color w:val="auto"/>
        </w:rPr>
        <w:t>AQUA PENNSYLVANIA, INC.</w:t>
      </w:r>
      <w:r>
        <w:rPr>
          <w:rFonts w:ascii="Times New Roman" w:cs="Times New Roman" w:eastAsia="Times New Roman" w:hAnsi="Times New Roman"/>
          <w:sz w:val="18"/>
          <w:szCs w:val="18"/>
          <w:color w:val="auto"/>
        </w:rPr>
        <w:t>, a Pennsylvania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from time to time parties to this Agreement (the “</w:t>
      </w:r>
      <w:r>
        <w:rPr>
          <w:rFonts w:ascii="Times New Roman" w:cs="Times New Roman" w:eastAsia="Times New Roman" w:hAnsi="Times New Roman"/>
          <w:sz w:val="18"/>
          <w:szCs w:val="18"/>
          <w:u w:val="single" w:color="auto"/>
          <w:color w:val="auto"/>
        </w:rPr>
        <w:t>Banks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PNC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NATIONAL ASSOCIATION</w:t>
      </w:r>
      <w:r>
        <w:rPr>
          <w:rFonts w:ascii="Times New Roman" w:cs="Times New Roman" w:eastAsia="Times New Roman" w:hAnsi="Times New Roman"/>
          <w:sz w:val="18"/>
          <w:szCs w:val="18"/>
          <w:color w:val="auto"/>
        </w:rPr>
        <w:t>, a national banking association, as administrative agent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90" w:lineRule="exact"/>
        <w:rPr>
          <w:sz w:val="20"/>
          <w:szCs w:val="20"/>
          <w:color w:val="auto"/>
        </w:rPr>
      </w:pPr>
    </w:p>
    <w:p>
      <w:pPr>
        <w:jc w:val="both"/>
        <w:ind w:firstLine="1110"/>
        <w:spacing w:after="0" w:line="250" w:lineRule="auto"/>
        <w:tabs>
          <w:tab w:leader="none" w:pos="1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Banks have made available to the Borrower a revolving credit facility in the maximum principal amount of $100,000,000 on the terms and conditions contained in that certain Amended and Restated Credit Agreement dated as of November 17, 2016 (as amended, amended and restated, supplemented or otherwise modified and in effect immediately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by and among the Borrower, the Banks and the Agent.</w:t>
      </w:r>
    </w:p>
    <w:p>
      <w:pPr>
        <w:spacing w:after="0" w:line="146" w:lineRule="exact"/>
        <w:rPr>
          <w:rFonts w:ascii="Times New Roman" w:cs="Times New Roman" w:eastAsia="Times New Roman" w:hAnsi="Times New Roman"/>
          <w:sz w:val="18"/>
          <w:szCs w:val="18"/>
          <w:color w:val="auto"/>
        </w:rPr>
      </w:pPr>
    </w:p>
    <w:p>
      <w:pPr>
        <w:ind w:firstLine="1110"/>
        <w:spacing w:after="0" w:line="280" w:lineRule="auto"/>
        <w:tabs>
          <w:tab w:leader="none" w:pos="18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Banks and the Agent desire to amend and to restate the terms of the Existing Credit Agreement, all upon the terms and conditions set forth herein.</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NOW, THEREFORE, the parties hereto, in consideration of their mutual covenants and agreements hereinafter set forth and intending to be legally bound hereby, covenant and agree that the Existing Credit Agreement is amended and restated in its entirety as follows:</w:t>
      </w:r>
    </w:p>
    <w:p>
      <w:pPr>
        <w:spacing w:after="0" w:line="1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186"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meanings:</w:t>
      </w:r>
    </w:p>
    <w:p>
      <w:pPr>
        <w:spacing w:after="0" w:line="16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Revolving Credit Commitment Percentage</w:t>
      </w:r>
      <w:r>
        <w:rPr>
          <w:rFonts w:ascii="Times New Roman" w:cs="Times New Roman" w:eastAsia="Times New Roman" w:hAnsi="Times New Roman"/>
          <w:sz w:val="18"/>
          <w:szCs w:val="18"/>
          <w:color w:val="auto"/>
        </w:rPr>
        <w:t>”: with respect to any non-Defaulting Bank, the quotient (expressed as a percentage) of such Bank’s aggregate Commitment divided by the aggregate Commitments of all non-Defaulting Banks.</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(a) any EEA Financial Institution or (b) any UK Financial Institution.</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as to any Person, any other Person that,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4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Second Amended and Restated Credit Agreement, as the same may be amended, supplemented, modified or restated from time to time, including all schedules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76835</wp:posOffset>
            </wp:positionV>
            <wp:extent cx="5783580" cy="47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0" w:right="1439" w:bottom="1440" w:gutter="0" w:footer="0" w:header="0"/>
        </w:sectPr>
      </w:pPr>
    </w:p>
    <w:bookmarkStart w:id="55" w:name="page56"/>
    <w:bookmarkEnd w:id="55"/>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 the U.S. Foreign Corrupt Practices Act of 1977, as amended; (b) the U.K. Bribery Act 2010, as amended; and (c) any other applicable Law relating to anti-bribery or anti-corruption in any jurisdiction in which the Borrower or any Guarantor is located or doing business.</w:t>
      </w:r>
    </w:p>
    <w:p>
      <w:pPr>
        <w:spacing w:after="0" w:line="13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the Borrower or any Guarantor is located or doing business.</w:t>
      </w:r>
    </w:p>
    <w:p>
      <w:pPr>
        <w:spacing w:after="0" w:line="14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xml:space="preserve">”: an assignment and acceptance entered into by a Bank and an assignee, and acknowledged by the Agent,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as shall be approved by the Agent.</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the exercise of any Write-Down and Conversion Powers by the applicable Resolution Authority in respect of any liability of an Affected Financial Institution.</w:t>
      </w:r>
    </w:p>
    <w:p>
      <w:pPr>
        <w:spacing w:after="0" w:line="118" w:lineRule="exact"/>
        <w:rPr>
          <w:sz w:val="20"/>
          <w:szCs w:val="20"/>
          <w:color w:val="auto"/>
        </w:rPr>
      </w:pPr>
    </w:p>
    <w:p>
      <w:pPr>
        <w:jc w:val="both"/>
        <w:ind w:firstLine="110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9"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for any day, a fluctuating per annum rate of interest equal to the highest of (i) the Overnight Bank Funding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 (ii) the Prime Rate, and (iii) the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so long as the Daily Simple SOFR is offered, ascertainable and not unlawful;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to the extent any such determination affects the calculation of the Base Rate, the definition hereof shall be calculated without reference to clause (iii) until the circumstances giving rise to such event no longer exist.</w:t>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Borrowing</w:t>
      </w:r>
      <w:r>
        <w:rPr>
          <w:rFonts w:ascii="Times New Roman" w:cs="Times New Roman" w:eastAsia="Times New Roman" w:hAnsi="Times New Roman"/>
          <w:sz w:val="18"/>
          <w:szCs w:val="18"/>
          <w:color w:val="auto"/>
        </w:rPr>
        <w:t>”: a Borrowing comprised of Base Rate Loans.</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any Revolving Credit Loan bearing interest at a rate determined by reference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Rate.</w:t>
      </w:r>
    </w:p>
    <w:p>
      <w:pPr>
        <w:spacing w:after="0" w:line="16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xml:space="preserve">”: the option of the Borrower to have Revolving Credit Loans bear interest at the rate and under the terms specified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56" w:name="page57"/>
    <w:bookmarkEnd w:id="56"/>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for the Borrower, each of the following: (i) each individual, if any, who, directly or indirectly, owns 25% or more of the Borrower’s Capital Stock; and (ii) a single individual with significant responsibility to control, manage, or direct the Borrower.</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Regulations</w:t>
      </w:r>
      <w:r>
        <w:rPr>
          <w:rFonts w:ascii="Times New Roman" w:cs="Times New Roman" w:eastAsia="Times New Roman" w:hAnsi="Times New Roman"/>
          <w:sz w:val="18"/>
          <w:szCs w:val="18"/>
          <w:color w:val="auto"/>
        </w:rPr>
        <w:t>”: means 31 C.F.R. § 1010.230.</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Blocked Property</w:t>
      </w:r>
      <w:r>
        <w:rPr>
          <w:rFonts w:ascii="Times New Roman" w:cs="Times New Roman" w:eastAsia="Times New Roman" w:hAnsi="Times New Roman"/>
          <w:sz w:val="18"/>
          <w:szCs w:val="18"/>
          <w:color w:val="auto"/>
        </w:rPr>
        <w:t>”: any property: (a) owned, directly or indirectly, by a Sanctioned Person; (b) due to or from a Sanctioned Person; (c) in which a Sanctioned Person otherwise holds any interest; (d) located in a Sanctioned Jurisdiction; or (e) that otherwise could cause any actual or possible violation by the Banks, the Agent of any applicable International Trade Law if the Banks or the Agent were to obtain an encumbrance on, lien on, pledge of, or security interest in such property, or provide services in consideration of such property.</w:t>
      </w:r>
    </w:p>
    <w:p>
      <w:pPr>
        <w:spacing w:after="0" w:line="1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as defined in the heading of this Agreement.</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 a Swing Line Loan made by the Swing Line Bank or each group of Revolving Credit Loans of a single Type made by the Banks on a single date and, in the case of Term SOFR Rate Loans, as to which a single Interest Period is in effect.</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a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(c)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a day other than a Saturday, Sunday or other day on which commercial banks in Philadelphia, Pennsylvania are authorized or required by law to be closed, or are in fact closed, for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spacing w:after="0" w:line="146" w:lineRule="exact"/>
        <w:rPr>
          <w:sz w:val="20"/>
          <w:szCs w:val="20"/>
          <w:color w:val="auto"/>
        </w:rPr>
      </w:pPr>
    </w:p>
    <w:p>
      <w:pPr>
        <w:jc w:val="both"/>
        <w:ind w:firstLine="1155"/>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3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Beneficial Ownership</w:t>
      </w:r>
      <w:r>
        <w:rPr>
          <w:rFonts w:ascii="Times New Roman" w:cs="Times New Roman" w:eastAsia="Times New Roman" w:hAnsi="Times New Roman"/>
          <w:sz w:val="18"/>
          <w:szCs w:val="18"/>
          <w:color w:val="auto"/>
        </w:rPr>
        <w:t>”: for the Borrower, a certificate in form and substance acceptable to the Agent (as amended or modified by the Agent from time to time in its sole discretion), certifying, among other things, the Beneficial Owner of the Borrower.</w:t>
      </w:r>
    </w:p>
    <w:p>
      <w:pPr>
        <w:spacing w:after="0" w:line="136"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the occurrence, after the date of this Agreement,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57" w:name="page58"/>
    <w:bookmarkEnd w:id="57"/>
    <w:p>
      <w:pPr>
        <w:jc w:val="both"/>
        <w:spacing w:after="0" w:line="260" w:lineRule="auto"/>
        <w:rPr>
          <w:sz w:val="20"/>
          <w:szCs w:val="20"/>
          <w:color w:val="auto"/>
        </w:rPr>
      </w:pPr>
      <w:r>
        <w:rPr>
          <w:rFonts w:ascii="Times New Roman" w:cs="Times New Roman" w:eastAsia="Times New Roman" w:hAnsi="Times New Roman"/>
          <w:sz w:val="18"/>
          <w:szCs w:val="18"/>
          <w:color w:val="auto"/>
        </w:rPr>
        <w:t>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3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refers to whether such Loan, or the advances comprising such Loans, are Revolving Credit Loans or Swing Line Loans and, when used in reference to any Bank, refers to whether such Bank has any outstanding Revolving Credit Loans.</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 from time to time.</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as to any Bank, the obligation of such Bank to make Loans to the Borrower hereunder in an aggregate principal amount at any one time outstanding not to exceed the amount set forth opposite such Bank’s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or in the Assignment and Acceptance pursuant to which such Bank becomes a party to this Agreement, as the same may be permanently terminated, reduced and extended from time to time pursuant to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or changed by subsequent assignments pursuant to subsection 9.6(b).</w:t>
      </w:r>
    </w:p>
    <w:p>
      <w:pPr>
        <w:spacing w:after="0" w:line="14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Percentage</w:t>
      </w:r>
      <w:r>
        <w:rPr>
          <w:rFonts w:ascii="Times New Roman" w:cs="Times New Roman" w:eastAsia="Times New Roman" w:hAnsi="Times New Roman"/>
          <w:sz w:val="18"/>
          <w:szCs w:val="18"/>
          <w:color w:val="auto"/>
        </w:rPr>
        <w:t>”: as to any Bank at any time, the proportion (expressed as a percentage) that such Bank’s Commitment bears to the Total Commitment (or, at any time after the Commitments shall have expired or been terminated, the percentage which the amount of such Bank’s Loans constitutes of the aggregate amount of the Loans of the Banks then outstanding).</w:t>
      </w:r>
    </w:p>
    <w:p>
      <w:pPr>
        <w:spacing w:after="0" w:line="140"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Commonly Controlled Entity</w:t>
      </w:r>
      <w:r>
        <w:rPr>
          <w:rFonts w:ascii="Times New Roman" w:cs="Times New Roman" w:eastAsia="Times New Roman" w:hAnsi="Times New Roman"/>
          <w:sz w:val="18"/>
          <w:szCs w:val="18"/>
          <w:color w:val="auto"/>
        </w:rPr>
        <w:t>”: an entity, whether or not incorporated, which is under common control with the Borrower within the meaning of Section 4001 of ERISA or is part of a group which includes the Borrower and which is treated as a single employer under Section 414 of the Code.</w:t>
      </w:r>
    </w:p>
    <w:p>
      <w:pPr>
        <w:spacing w:after="0" w:line="136" w:lineRule="exact"/>
        <w:rPr>
          <w:sz w:val="20"/>
          <w:szCs w:val="20"/>
          <w:color w:val="auto"/>
        </w:rPr>
      </w:pPr>
    </w:p>
    <w:p>
      <w:pPr>
        <w:jc w:val="both"/>
        <w:ind w:firstLine="110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Authority</w:t>
      </w:r>
      <w:r>
        <w:rPr>
          <w:rFonts w:ascii="Times New Roman" w:cs="Times New Roman" w:eastAsia="Times New Roman" w:hAnsi="Times New Roman"/>
          <w:sz w:val="18"/>
          <w:szCs w:val="18"/>
          <w:color w:val="auto"/>
        </w:rPr>
        <w:t>” means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Governmental Authority with jurisdiction to administer Anti-Corruption Laws, Anti-Money Laundering or International Trade Laws with respect to the conduct of a Covered Entity.</w:t>
      </w:r>
    </w:p>
    <w:p>
      <w:pPr>
        <w:spacing w:after="0" w:line="149"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with respect to the Term SOFR Rate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58" w:name="page59"/>
    <w:bookmarkEnd w:id="58"/>
    <w:p>
      <w:pPr>
        <w:jc w:val="both"/>
        <w:spacing w:after="0" w:line="247" w:lineRule="auto"/>
        <w:rPr>
          <w:sz w:val="20"/>
          <w:szCs w:val="20"/>
          <w:color w:val="auto"/>
        </w:rPr>
      </w:pPr>
      <w:r>
        <w:rPr>
          <w:rFonts w:ascii="Times New Roman" w:cs="Times New Roman" w:eastAsia="Times New Roman" w:hAnsi="Times New Roman"/>
          <w:sz w:val="18"/>
          <w:szCs w:val="18"/>
          <w:color w:val="auto"/>
        </w:rPr>
        <w:t>the applicability of breakage provisions, and other technical, administrative or operational matters) that the Agent decides may be appropriate to reflect the adoption and implementation of the Term SOFR Rate or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the Term SOFR Rate or the Benchmark Replacement exists, in such other manner of administration as the Agent decides is reasonably necessary in connection with the administration of this Agreement and the other Loan Documents).</w:t>
      </w:r>
    </w:p>
    <w:p>
      <w:pPr>
        <w:spacing w:after="0" w:line="149"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Assets</w:t>
      </w:r>
      <w:r>
        <w:rPr>
          <w:rFonts w:ascii="Times New Roman" w:cs="Times New Roman" w:eastAsia="Times New Roman" w:hAnsi="Times New Roman"/>
          <w:sz w:val="18"/>
          <w:szCs w:val="18"/>
          <w:color w:val="auto"/>
        </w:rPr>
        <w:t>”: at any time, the amount at which all assets (including, without duplication, the capitalized value of any leasehold interest under any Finance Lease) of the Borrower would be reflected on a consolidated balance sheet of the Borrower at such time.</w:t>
      </w:r>
    </w:p>
    <w:p>
      <w:pPr>
        <w:spacing w:after="0" w:line="13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w:t>
      </w:r>
      <w:r>
        <w:rPr>
          <w:rFonts w:ascii="Times New Roman" w:cs="Times New Roman" w:eastAsia="Times New Roman" w:hAnsi="Times New Roman"/>
          <w:sz w:val="18"/>
          <w:szCs w:val="18"/>
          <w:color w:val="auto"/>
        </w:rPr>
        <w:t xml:space="preserve">”: for any period,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of income taxes and interest expense deducted from earnings in determining such Consolidated Net Income.</w:t>
      </w:r>
    </w:p>
    <w:p>
      <w:pPr>
        <w:spacing w:after="0" w:line="118" w:lineRule="exact"/>
        <w:rPr>
          <w:sz w:val="20"/>
          <w:szCs w:val="20"/>
          <w:color w:val="auto"/>
        </w:rPr>
      </w:pPr>
    </w:p>
    <w:p>
      <w:pPr>
        <w:jc w:val="both"/>
        <w:ind w:firstLine="110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Debt</w:t>
      </w:r>
      <w:r>
        <w:rPr>
          <w:rFonts w:ascii="Times New Roman" w:cs="Times New Roman" w:eastAsia="Times New Roman" w:hAnsi="Times New Roman"/>
          <w:sz w:val="18"/>
          <w:szCs w:val="18"/>
          <w:color w:val="auto"/>
        </w:rPr>
        <w:t>”: at any time, all Debt of the Borrower determined on a consolidated basis consisting of, without duplication (a) borrowed money Debt, including without limitation capitalized lease obligations;</w:t>
      </w:r>
    </w:p>
    <w:p>
      <w:pPr>
        <w:spacing w:after="0" w:line="1" w:lineRule="exact"/>
        <w:rPr>
          <w:sz w:val="20"/>
          <w:szCs w:val="20"/>
          <w:color w:val="auto"/>
        </w:rPr>
      </w:pPr>
    </w:p>
    <w:p>
      <w:pPr>
        <w:jc w:val="both"/>
        <w:ind w:firstLine="1"/>
        <w:spacing w:after="0" w:line="252"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obligations in respect of letters of credit, bank guarantees and the like; and (c) Debt in the nature of a Contingent Obligation, whether or not required to be reflected on a balance sheet of the Borrower in accordance with GAAP.</w:t>
      </w:r>
    </w:p>
    <w:p>
      <w:pPr>
        <w:spacing w:after="0" w:line="354"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for any period, the amount of cash interest expense deducted from earnings of the Borrower in determining Consolidated Net Income for such period in accordance with GAAP.</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for any fiscal period, net earnings (or loss) after income and other taxes computed on the basis of income of the Borrower for such period determined on a consolidated basis in accordance with GAAP, but excluding:</w:t>
      </w:r>
    </w:p>
    <w:p>
      <w:pPr>
        <w:spacing w:after="0" w:line="136" w:lineRule="exact"/>
        <w:rPr>
          <w:sz w:val="20"/>
          <w:szCs w:val="20"/>
          <w:color w:val="auto"/>
        </w:rPr>
      </w:pPr>
    </w:p>
    <w:p>
      <w:pPr>
        <w:ind w:left="1660"/>
        <w:spacing w:after="0"/>
        <w:tabs>
          <w:tab w:leader="none" w:pos="22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amount of any extraordinary items included in such calculation of net earnings (or</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loss);</w:t>
      </w:r>
    </w:p>
    <w:p>
      <w:pPr>
        <w:spacing w:after="0" w:line="134" w:lineRule="exact"/>
        <w:rPr>
          <w:sz w:val="20"/>
          <w:szCs w:val="20"/>
          <w:color w:val="auto"/>
        </w:rPr>
      </w:pPr>
    </w:p>
    <w:p>
      <w:pPr>
        <w:ind w:left="2220" w:hanging="555"/>
        <w:spacing w:after="0" w:line="207" w:lineRule="exact"/>
        <w:tabs>
          <w:tab w:leader="none" w:pos="2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resulting from the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or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of fixed assets;</w:t>
      </w:r>
    </w:p>
    <w:p>
      <w:pPr>
        <w:spacing w:after="0" w:line="228"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of any Subsidiary accrued prior to the date it became a Subsidiary;</w:t>
      </w:r>
    </w:p>
    <w:p>
      <w:pPr>
        <w:spacing w:after="0" w:line="185" w:lineRule="exact"/>
        <w:rPr>
          <w:rFonts w:ascii="Times New Roman" w:cs="Times New Roman" w:eastAsia="Times New Roman" w:hAnsi="Times New Roman"/>
          <w:sz w:val="18"/>
          <w:szCs w:val="18"/>
          <w:color w:val="auto"/>
        </w:rPr>
      </w:pPr>
    </w:p>
    <w:p>
      <w:pPr>
        <w:ind w:left="1120" w:firstLine="545"/>
        <w:spacing w:after="0" w:line="280" w:lineRule="auto"/>
        <w:tabs>
          <w:tab w:leader="none" w:pos="22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of any Person, substantially all assets of which have been acquired in any manner, realized by such Person prior to the date of such acquisition; and</w:t>
      </w:r>
    </w:p>
    <w:p>
      <w:pPr>
        <w:spacing w:after="0" w:line="117"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arising from the acquisition of any Securities of the Borrower or any Subsidiary</w:t>
      </w:r>
    </w:p>
    <w:p>
      <w:pPr>
        <w:spacing w:after="0" w:line="2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59" w:name="page60"/>
    <w:bookmarkEnd w:id="59"/>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Shareholders’ Equity</w:t>
      </w:r>
      <w:r>
        <w:rPr>
          <w:rFonts w:ascii="Times New Roman" w:cs="Times New Roman" w:eastAsia="Times New Roman" w:hAnsi="Times New Roman"/>
          <w:sz w:val="18"/>
          <w:szCs w:val="18"/>
          <w:color w:val="auto"/>
        </w:rPr>
        <w:t>”: at a particular date, the net book value of the shareholders’ equity of the Borrower as would be shown on a consolidated balance sheet at such time determined in accordance with GAAP.</w:t>
      </w:r>
    </w:p>
    <w:p>
      <w:pPr>
        <w:spacing w:after="0" w:line="118"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with respect to any Person (for the purpose of this definition, the “</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any obligation (except the endorsement in the ordinary course of business of instruments for deposit or collection) of the Obligor guaranteeing or in effect guaranteeing any indebtedness of any other Person (for the purpose of this definition,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including (without limitation) indebtedness incurred through an agreement, contingent or otherwise, by the Obligor:</w:t>
      </w:r>
    </w:p>
    <w:p>
      <w:pPr>
        <w:spacing w:after="0" w:line="146" w:lineRule="exact"/>
        <w:rPr>
          <w:sz w:val="20"/>
          <w:szCs w:val="20"/>
          <w:color w:val="auto"/>
        </w:rPr>
      </w:pPr>
    </w:p>
    <w:p>
      <w:pPr>
        <w:ind w:left="2220" w:hanging="555"/>
        <w:spacing w:after="0"/>
        <w:tabs>
          <w:tab w:leader="none" w:pos="2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such indebtedness of the Primary Obligor or any Property or assets constituting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therefor;</w:t>
      </w:r>
    </w:p>
    <w:p>
      <w:pPr>
        <w:spacing w:after="0" w:line="166" w:lineRule="exact"/>
        <w:rPr>
          <w:sz w:val="20"/>
          <w:szCs w:val="20"/>
          <w:color w:val="auto"/>
        </w:rPr>
      </w:pPr>
    </w:p>
    <w:p>
      <w:pPr>
        <w:ind w:left="2220" w:hanging="555"/>
        <w:spacing w:after="0"/>
        <w:tabs>
          <w:tab w:leader="none" w:pos="2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w:t>
      </w:r>
    </w:p>
    <w:p>
      <w:pPr>
        <w:spacing w:after="0" w:line="185" w:lineRule="exact"/>
        <w:rPr>
          <w:rFonts w:ascii="Times New Roman" w:cs="Times New Roman" w:eastAsia="Times New Roman" w:hAnsi="Times New Roman"/>
          <w:sz w:val="18"/>
          <w:szCs w:val="18"/>
          <w:color w:val="auto"/>
        </w:rPr>
      </w:pPr>
    </w:p>
    <w:p>
      <w:pPr>
        <w:ind w:left="1120" w:firstLine="1099"/>
        <w:spacing w:after="0" w:line="280" w:lineRule="auto"/>
        <w:tabs>
          <w:tab w:leader="none" w:pos="27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payment of such indebtedness (except to the extent such indebtedness otherwise appears on Borrower’s balance sheet as indebtedness), or</w:t>
      </w:r>
    </w:p>
    <w:p>
      <w:pPr>
        <w:spacing w:after="0" w:line="117" w:lineRule="exact"/>
        <w:rPr>
          <w:rFonts w:ascii="Times New Roman" w:cs="Times New Roman" w:eastAsia="Times New Roman" w:hAnsi="Times New Roman"/>
          <w:sz w:val="18"/>
          <w:szCs w:val="18"/>
          <w:color w:val="auto"/>
        </w:rPr>
      </w:pPr>
    </w:p>
    <w:p>
      <w:pPr>
        <w:jc w:val="both"/>
        <w:ind w:left="1120" w:firstLine="1099"/>
        <w:spacing w:after="0" w:line="260" w:lineRule="auto"/>
        <w:tabs>
          <w:tab w:leader="none" w:pos="28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working capital or other balance sheet condition or any income statement condition of the Primary Obligor or otherwise to advance or make available funds for the purchase or payment of such indebtedness or obligation; or</w:t>
      </w:r>
    </w:p>
    <w:p>
      <w:pPr>
        <w:spacing w:after="0" w:line="135"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lease Property or to purchase Securities or other Property or services primarily for the purpose of assuring the owner of such indebtedness or obligation of the ability of the Primary Obligor to make payment of the indebtedness or obligation.</w:t>
      </w:r>
    </w:p>
    <w:p>
      <w:pPr>
        <w:spacing w:after="0" w:line="13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For purposes of computing the amount of any Contingent Obligation, in connection with any computation of indebtedness or other liability, it shall be assumed that, without duplication, the indebtedness or other liabilities of the Primary Obligor that are the subject of such Contingent Obligation are direct obligations of the issuer of such Contingent Obligation.</w:t>
      </w:r>
    </w:p>
    <w:p>
      <w:pPr>
        <w:spacing w:after="0" w:line="140"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(a) the Borrower and each of the Borrower’s Subsidiaries; (b) each Guarantor and any Person who has pledged (or will pledge) collateral under any Loan Document; and (c) each Person that, directly or indirectly, controls a Person described in clause (a) or (b) above.</w:t>
      </w:r>
    </w:p>
    <w:p>
      <w:pPr>
        <w:spacing w:after="0" w:line="13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the interest rate per annum determined by the Agent (rounded upwards, at the Agent’s discretion, to the nearest 1/100th of 1%) equal to SOFR for the day (the “</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that is 2 Business Days prior to (i) such SOFR Rate Day if such SOFR Rate Day is a Business Day or (ii) the Business Day immediately preceding such SOFR Rate Day if such SOFR Rate Day is not a</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0" w:name="page61"/>
    <w:bookmarkEnd w:id="60"/>
    <w:p>
      <w:pPr>
        <w:jc w:val="both"/>
        <w:spacing w:after="0" w:line="244" w:lineRule="auto"/>
        <w:rPr>
          <w:sz w:val="20"/>
          <w:szCs w:val="20"/>
          <w:color w:val="auto"/>
        </w:rPr>
      </w:pPr>
      <w:r>
        <w:rPr>
          <w:rFonts w:ascii="Times New Roman" w:cs="Times New Roman" w:eastAsia="Times New Roman" w:hAnsi="Times New Roman"/>
          <w:sz w:val="18"/>
          <w:szCs w:val="18"/>
          <w:color w:val="auto"/>
        </w:rPr>
        <w:t>Business Day, in each case, as such SOFR is published by the Federal Reserve Bank of New York (or a successor administrator of the secured overnight financing rate) on the website of the Federal Reserve Bank of New York,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155" w:lineRule="exact"/>
        <w:rPr>
          <w:sz w:val="20"/>
          <w:szCs w:val="20"/>
          <w:color w:val="auto"/>
        </w:rPr>
      </w:pPr>
    </w:p>
    <w:p>
      <w:pPr>
        <w:jc w:val="both"/>
        <w:ind w:firstLine="110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with respect to any Person, at any time, without duplication, all of (i) its liabilities for borrowed money, (ii) liabilities secured by any Lien existing on property owned by such Person (whether or not such liabilities have been assumed), (iii) its liabilities in respect to Finance Leases; (iv) its liabilities under Contingent Obligations; and (v) all other obligations which are required by GAAP to be shown as liabilities on its balance sheet but excluding (x) deferred taxes and other deferred or long-term liabilities and other amounts not in respect of borrowed money and (y) the aggregate amount of accounts receivable sold, factored or otherwise transferred for value without recourse (other than for breach of representations).</w:t>
      </w:r>
    </w:p>
    <w:p>
      <w:pPr>
        <w:spacing w:after="0" w:line="149" w:lineRule="exact"/>
        <w:rPr>
          <w:sz w:val="20"/>
          <w:szCs w:val="20"/>
          <w:color w:val="auto"/>
        </w:rPr>
      </w:pPr>
    </w:p>
    <w:p>
      <w:pPr>
        <w:jc w:val="both"/>
        <w:ind w:firstLine="110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357"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whether or not any requirement for the giving of notice, the lapse of time, or both, or any other condition precedent therein set forth, has been satisfied.</w:t>
      </w:r>
    </w:p>
    <w:p>
      <w:pPr>
        <w:spacing w:after="0" w:line="118"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Bank</w:t>
      </w:r>
      <w:r>
        <w:rPr>
          <w:rFonts w:ascii="Times New Roman" w:cs="Times New Roman" w:eastAsia="Times New Roman" w:hAnsi="Times New Roman"/>
          <w:sz w:val="18"/>
          <w:szCs w:val="18"/>
          <w:color w:val="auto"/>
        </w:rPr>
        <w:t>”: any Bank, as determined by the Agent, that has (a) failed to fund any portion of its Revolving Credit Loans or participations in Swing Line Loans within three Business Days of the date required to be funded by it hereunder, (b) notified the Borrower, the Agent, the Swing Line Bank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Business Days after request by the Agent, to confirm that it will comply with the terms of this Agreement relating to its obligations to fund prospective Revolving Credit Loans or participations in Swing Line Loans, (d) otherwise failed to pay over to the Agent or any other Bank any other amount required to be paid by it hereunder within three Business Days of the date when due, unless the subject of a good faith dispute, or</w:t>
      </w:r>
    </w:p>
    <w:p>
      <w:pPr>
        <w:spacing w:after="0" w:line="5" w:lineRule="exact"/>
        <w:rPr>
          <w:sz w:val="20"/>
          <w:szCs w:val="20"/>
          <w:color w:val="auto"/>
        </w:rPr>
      </w:pPr>
    </w:p>
    <w:p>
      <w:pPr>
        <w:ind w:firstLine="1"/>
        <w:spacing w:after="0" w:line="256" w:lineRule="auto"/>
        <w:tabs>
          <w:tab w:leader="none" w:pos="2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become or is insolvent or has a parent company that has become or is insolvent, (ii) become the subject of a Bail-In Action, or (iii) become the subject of a bankruptcy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1" w:name="page62"/>
    <w:bookmarkEnd w:id="61"/>
    <w:p>
      <w:pPr>
        <w:jc w:val="both"/>
        <w:spacing w:after="0" w:line="247" w:lineRule="auto"/>
        <w:rPr>
          <w:sz w:val="20"/>
          <w:szCs w:val="20"/>
          <w:color w:val="auto"/>
        </w:rPr>
      </w:pPr>
      <w:r>
        <w:rPr>
          <w:rFonts w:ascii="Times New Roman" w:cs="Times New Roman" w:eastAsia="Times New Roman" w:hAnsi="Times New Roman"/>
          <w:sz w:val="18"/>
          <w:szCs w:val="18"/>
          <w:color w:val="auto"/>
        </w:rPr>
        <w:t>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(it being understood that a Defaulting Bank shall cease to be a Defaulting Bank if the Borrower, the Agent and the Swing Line Bank shall each agree that such Defaulting Bank has adequately remedied all matters that caused such Bank to be a Defaulting Bank).</w:t>
      </w:r>
    </w:p>
    <w:p>
      <w:pPr>
        <w:spacing w:after="0" w:line="149"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in respect of any corporation, (a) dividends, distributions or other payments on account of any capital stock of the corporation (except distributions in common stock of such corporation); (b) the redemption or acquisition of such stock or of warrants, rights or other options to purchase such stock (except when solely in exchange for common stock of such corporation); and (c) any payment on account of, or the setting apart of any assets for a sinking or other analogous fund for, the purchase, redemption, defeasance, retirement or other acquisition of any share of any class of capital stock of such corporation or any warrants or options to purchase any such stock.</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dollars in lawful currency of the United States of America.</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(i) any credit institution or investment firm established in any EEA Member Country which is subject to the supervision of an EEA Resolution Authority, (ii) any entity established in an EEA Member Country which is a parent of an institution described in clause (i) of this definition, or (iii) any financial institution established in an EEA Member Country which is a subsidiary of an institution described in clauses (i) or (ii) of this definition and is subject to consolidated supervision with its parent.</w:t>
      </w:r>
    </w:p>
    <w:p>
      <w:pPr>
        <w:spacing w:after="0" w:line="1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any of the member states of the European Union, Iceland, Liechtenstein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16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3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any and all applicable foreign, Federal, state, local or municipal laws, rules, orders, regulations, statutes, ordinances, codes, decrees or binding requirements of any Governmental Authority, or binding Requirement of Law (including common law) regulating, relating to or imposing liability or standards of conduct concerning protection of the environment or public health, remediation of environmental conditions, or damages arising from such conditions, as now or may at any time hereafter be in effect.</w:t>
      </w:r>
    </w:p>
    <w:p>
      <w:pPr>
        <w:spacing w:after="0" w:line="14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to Capital Ratio</w:t>
      </w:r>
      <w:r>
        <w:rPr>
          <w:rFonts w:ascii="Times New Roman" w:cs="Times New Roman" w:eastAsia="Times New Roman" w:hAnsi="Times New Roman"/>
          <w:sz w:val="18"/>
          <w:szCs w:val="18"/>
          <w:color w:val="auto"/>
        </w:rPr>
        <w:t>”: at the date of determination, the ratio of Consolidated Shareholders’ Equity to the sum of (i) Consolidated Funded Debt and (ii) Consolidated Shareholders’ Equity.</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Employee Retirement Income Security Act of 1974, as amended from time to time.</w:t>
      </w:r>
    </w:p>
    <w:p>
      <w:pPr>
        <w:spacing w:after="0" w:line="18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2" w:name="page63"/>
    <w:bookmarkEnd w:id="62"/>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8.13(a)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8.13(d)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8.13(d)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8.13(d)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8.13(d)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the EU Bail-In Legislation Schedule published by the Loan Market Association (or any successor person), as in effect from time to time.</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requirement for the giving of notice, the lapse of time, or both, or any other condition, has been satisfied.</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as defined in the Background to this Agreement.</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Exposure</w:t>
      </w:r>
      <w:r>
        <w:rPr>
          <w:rFonts w:ascii="Times New Roman" w:cs="Times New Roman" w:eastAsia="Times New Roman" w:hAnsi="Times New Roman"/>
          <w:sz w:val="18"/>
          <w:szCs w:val="18"/>
          <w:color w:val="auto"/>
        </w:rPr>
        <w:t xml:space="preserve">”: as to any Bank at any date, an amount equal to the sum of (a) the aggregate principal amount of all Loans made by such Bank then outstanding and (b) the principal amount of such Bank’s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Swing Line Loans then outstanding based on its Commitment Percentage.</w:t>
      </w:r>
    </w:p>
    <w:p>
      <w:pPr>
        <w:spacing w:after="0" w:line="13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Sections 1471 through 1474 of the Code, as of the date of this Agreement (or any amended or successor version that is substantially comparable and not materially more onerous to comply with), any current or future regulations or official interpretations thereof and any agreement entered into pursuant to Section 1471(b)(1) of the Code.</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shall mean the Foreign Corrupt Practices Act of 1977, as amended, and the rules and regulations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6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the collective reference to the letter or letters from the Agent to the Borrower regarding certain fees payable by the Borrower, including, without limitation, the letter dated April 28, 2025.</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as defined in subsection 2.4(a).</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w:t>
      </w:r>
      <w:r>
        <w:rPr>
          <w:rFonts w:ascii="Times New Roman" w:cs="Times New Roman" w:eastAsia="Times New Roman" w:hAnsi="Times New Roman"/>
          <w:sz w:val="18"/>
          <w:szCs w:val="18"/>
          <w:color w:val="auto"/>
        </w:rPr>
        <w:t>”: at any time, a lease which the lessee is required to classify and account for as a finance lease in accordance with GAAP.</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3" w:name="page64"/>
    <w:bookmarkEnd w:id="63"/>
    <w:p>
      <w:pPr>
        <w:jc w:val="both"/>
        <w:ind w:firstLine="115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Bank</w:t>
      </w:r>
      <w:r>
        <w:rPr>
          <w:rFonts w:ascii="Times New Roman" w:cs="Times New Roman" w:eastAsia="Times New Roman" w:hAnsi="Times New Roman"/>
          <w:sz w:val="18"/>
          <w:szCs w:val="18"/>
          <w:color w:val="auto"/>
        </w:rPr>
        <w:t>”: any Bank that is not created or organized under the Laws of the United States, any State thereof or the District of Columbia.</w:t>
      </w:r>
    </w:p>
    <w:p>
      <w:pPr>
        <w:spacing w:after="0" w:line="118" w:lineRule="exact"/>
        <w:rPr>
          <w:sz w:val="20"/>
          <w:szCs w:val="20"/>
          <w:color w:val="auto"/>
        </w:rPr>
      </w:pPr>
    </w:p>
    <w:p>
      <w:pPr>
        <w:jc w:val="both"/>
        <w:ind w:firstLine="1109"/>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 at any time with respect to the determination of the character or amount of any asset or liability or item of income or expense, or any consolidation or other accounting computation, generally accepted accounting principles as applied to the public utility industry, as such principles shall be in effect on the date of, or at the end of the period covered by, the financial statements from which such asset, liability, item of income, or item of expense, is derived, or, in the case of any such computation, as in effect on the date when such computation is required to be determined, subject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w:t>
      </w:r>
    </w:p>
    <w:p>
      <w:pPr>
        <w:spacing w:after="0" w:line="359"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363"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any officer, employee, official, representative, or any Person acting for or on behalf of any Governmental Authority, government-owned or government-controlled association, organization, business, or enterprise, or public international organization, or any political party or official thereof.</w:t>
      </w:r>
    </w:p>
    <w:p>
      <w:pPr>
        <w:spacing w:after="0" w:line="136" w:lineRule="exact"/>
        <w:rPr>
          <w:sz w:val="20"/>
          <w:szCs w:val="20"/>
          <w:color w:val="auto"/>
        </w:rPr>
      </w:pPr>
    </w:p>
    <w:p>
      <w:pPr>
        <w:ind w:left="1120"/>
        <w:spacing w:after="0"/>
        <w:tabs>
          <w:tab w:leader="none" w:pos="22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w:t>
        <w:tab/>
        <w:t>any Material Subsidiary which becomes a “Guarantor” after the date hereof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any Guaranty Agreement entered into by a Guarantor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the Indenture of Mortgage dated as of January 1, 1941 between the Borrower and The Bank of New York Mellon Trust Company, N.A., as successor Trustee, as amended and supplemented.</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with respect to any Multiemployer Plan, the condition that such Plan is insolvent within the meaning of Section 4245 of ERISA.</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pertaining to a condition of Insolvency.</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at the date of determination, the ratio of Consolidated EBIT to Consolidated Interest Expense, in each case for the prior four (4) consecutive fiscal quarters.</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 as to any Base Rate Loan or Swing Line Loan, the last day of each month,</w:t>
      </w:r>
    </w:p>
    <w:p>
      <w:pPr>
        <w:spacing w:after="0" w:line="21" w:lineRule="exact"/>
        <w:rPr>
          <w:sz w:val="20"/>
          <w:szCs w:val="20"/>
          <w:color w:val="auto"/>
        </w:rPr>
      </w:pPr>
    </w:p>
    <w:p>
      <w:pPr>
        <w:ind w:firstLine="1"/>
        <w:spacing w:after="0" w:line="256" w:lineRule="auto"/>
        <w:tabs>
          <w:tab w:leader="none" w:pos="2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Term SOFR Rate Loan having an Interest Period of three months or less, the last day of such Interest Period, and (c) as to any Term SOFR Rate Loan having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4" w:name="page65"/>
    <w:bookmarkEnd w:id="64"/>
    <w:p>
      <w:pPr>
        <w:spacing w:after="0" w:line="280" w:lineRule="auto"/>
        <w:rPr>
          <w:sz w:val="20"/>
          <w:szCs w:val="20"/>
          <w:color w:val="auto"/>
        </w:rPr>
      </w:pPr>
      <w:r>
        <w:rPr>
          <w:rFonts w:ascii="Times New Roman" w:cs="Times New Roman" w:eastAsia="Times New Roman" w:hAnsi="Times New Roman"/>
          <w:sz w:val="18"/>
          <w:szCs w:val="18"/>
          <w:color w:val="auto"/>
        </w:rPr>
        <w:t>an Interest Period longer than three months, each day which is three months, or a whole multiple thereof, after the first day of such Interest Period and the last day of such Interest Period.</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with respect to any Term SOFR Rate Loan:</w:t>
      </w:r>
    </w:p>
    <w:p>
      <w:pPr>
        <w:spacing w:after="0" w:line="186" w:lineRule="exact"/>
        <w:rPr>
          <w:sz w:val="20"/>
          <w:szCs w:val="20"/>
          <w:color w:val="auto"/>
        </w:rPr>
      </w:pPr>
    </w:p>
    <w:p>
      <w:pPr>
        <w:jc w:val="both"/>
        <w:ind w:left="560" w:firstLine="1105"/>
        <w:spacing w:after="0" w:line="260" w:lineRule="auto"/>
        <w:tabs>
          <w:tab w:leader="none" w:pos="2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 period commencing on the borrowing or conversion date, as the case may be, with respect to such Term SOFR Rate Loan and ending one, three or six months thereafter, as selected by the Borrower in their notice of borrowing or notice of conversion, given with respect thereto; and</w:t>
      </w:r>
    </w:p>
    <w:p>
      <w:pPr>
        <w:spacing w:after="0" w:line="135" w:lineRule="exact"/>
        <w:rPr>
          <w:rFonts w:ascii="Times New Roman" w:cs="Times New Roman" w:eastAsia="Times New Roman" w:hAnsi="Times New Roman"/>
          <w:sz w:val="18"/>
          <w:szCs w:val="18"/>
          <w:color w:val="auto"/>
        </w:rPr>
      </w:pPr>
    </w:p>
    <w:p>
      <w:pPr>
        <w:jc w:val="both"/>
        <w:ind w:left="560" w:firstLine="1105"/>
        <w:spacing w:after="0" w:line="254" w:lineRule="auto"/>
        <w:tabs>
          <w:tab w:leader="none" w:pos="2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each period commencing on the last day of the next preceding Interest Period applicable to such Term SOFR Rate Loan and ending one, three or six months thereafter, as selected by the Borrower by irrevocable notice to the Agent not less than three Business Days prior to the last day of the then current Interest Period with respect thereto;</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foregoing provisions relating to Interest Periods are subject to the following:</w:t>
      </w:r>
    </w:p>
    <w:p>
      <w:pPr>
        <w:spacing w:after="0" w:line="186" w:lineRule="exact"/>
        <w:rPr>
          <w:sz w:val="20"/>
          <w:szCs w:val="20"/>
          <w:color w:val="auto"/>
        </w:rPr>
      </w:pPr>
    </w:p>
    <w:p>
      <w:pPr>
        <w:jc w:val="both"/>
        <w:ind w:left="560" w:firstLine="1105"/>
        <w:spacing w:after="0" w:line="260" w:lineRule="auto"/>
        <w:tabs>
          <w:tab w:leader="none" w:pos="2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135" w:lineRule="exact"/>
        <w:rPr>
          <w:rFonts w:ascii="Times New Roman" w:cs="Times New Roman" w:eastAsia="Times New Roman" w:hAnsi="Times New Roman"/>
          <w:sz w:val="18"/>
          <w:szCs w:val="18"/>
          <w:color w:val="auto"/>
        </w:rPr>
      </w:pPr>
    </w:p>
    <w:p>
      <w:pPr>
        <w:jc w:val="both"/>
        <w:ind w:left="560" w:firstLine="1105"/>
        <w:spacing w:after="0" w:line="260" w:lineRule="auto"/>
        <w:tabs>
          <w:tab w:leader="none" w:pos="2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35" w:lineRule="exact"/>
        <w:rPr>
          <w:rFonts w:ascii="Times New Roman" w:cs="Times New Roman" w:eastAsia="Times New Roman" w:hAnsi="Times New Roman"/>
          <w:sz w:val="18"/>
          <w:szCs w:val="18"/>
          <w:color w:val="auto"/>
        </w:rPr>
      </w:pPr>
    </w:p>
    <w:p>
      <w:pPr>
        <w:ind w:left="560" w:firstLine="1105"/>
        <w:spacing w:after="0" w:line="280" w:lineRule="auto"/>
        <w:tabs>
          <w:tab w:leader="none" w:pos="228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Period that otherwise would extend beyond the Termination Date shall end on the Termination Date; and</w:t>
      </w:r>
    </w:p>
    <w:p>
      <w:pPr>
        <w:spacing w:after="0" w:line="117" w:lineRule="exact"/>
        <w:rPr>
          <w:rFonts w:ascii="Times New Roman" w:cs="Times New Roman" w:eastAsia="Times New Roman" w:hAnsi="Times New Roman"/>
          <w:sz w:val="18"/>
          <w:szCs w:val="18"/>
          <w:color w:val="auto"/>
        </w:rPr>
      </w:pPr>
    </w:p>
    <w:p>
      <w:pPr>
        <w:ind w:left="560" w:firstLine="1105"/>
        <w:spacing w:after="0" w:line="280" w:lineRule="auto"/>
        <w:tabs>
          <w:tab w:leader="none" w:pos="22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select Interest Periods so as not to require a payment or prepayment of any Term SOFR Rate Loan during an Interest Period for such Loan.</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all Laws relating to economic and financial sanctions, trade embargoes, export controls, customs and anti-boycott measures.</w:t>
      </w:r>
    </w:p>
    <w:p>
      <w:pPr>
        <w:spacing w:after="0" w:line="118"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investments (by loan or extension of credit, purchase, advance, guaranty, capital contribution or otherwise) made in cash or by delivery of Property, by the Borrower (i) in any Person, whether by acquisition of stock or other ownership interest, indebtedness or other obligation or Security, or by loan, advance or capital contribution, or (ii) in any Property or (iii) any agreement to do any of the foregoing.</w:t>
      </w:r>
    </w:p>
    <w:p>
      <w:pPr>
        <w:spacing w:after="0" w:line="140"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any law(s) (including common law), constitution, statute, treaty, regulation, rule, ordinance, opinion, issued guidance, release, ruling, order, executive order, injunction, writ, decree, bond, judgment, authorization or approval, lien or award of or 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settlement arrangement, by agreement, consent or otherwise, with any Governmental Authority, foreign or domestic.</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Finance Lease having substantially the same economic effect as any of the foregoing).</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Agreement, the Notes and any Guaranty.</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the collective reference to the Revolving Credit Loans and the Swing Line Loans.</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means material in relation to the business, operations, affairs, financial condition, assets or properties of the Borrower and its subsidiaries taken as a whole.</w:t>
      </w:r>
    </w:p>
    <w:p>
      <w:pPr>
        <w:spacing w:after="0" w:line="118"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 material adverse effect on (a) the validity or enforceability of this Agreement or any other Loan Document, (b) the business, Property, assets, financial condition or results of operations of the Borrower, (c) the ability of the Borrower duly and punctually to pay its Debts and perform its obligations hereunder, or</w:t>
      </w:r>
    </w:p>
    <w:p>
      <w:pPr>
        <w:spacing w:after="0" w:line="2" w:lineRule="exact"/>
        <w:rPr>
          <w:sz w:val="20"/>
          <w:szCs w:val="20"/>
          <w:color w:val="auto"/>
        </w:rPr>
      </w:pPr>
    </w:p>
    <w:p>
      <w:pPr>
        <w:ind w:firstLine="1"/>
        <w:spacing w:after="0" w:line="256"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Agent or any of the Banks, to the extent permitted, to enforce their legal remedies pursuant to this Agreement or any other Loan Document.</w:t>
      </w:r>
    </w:p>
    <w:p>
      <w:pPr>
        <w:spacing w:after="0" w:line="139"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a Subsidiary of the Borrower the assets or net earnings of which, determined in accordance with GAAP, constitute more than 5% of the Borrower’s Consolidated Assets or Consolidated Net Income, as the case may be. As of Closing Date, the Borrower’s only Material Subsidiary is Aqua Pennsylvania Wastewater Inc., a Pennsylvania corporation.</w:t>
      </w:r>
    </w:p>
    <w:p>
      <w:pPr>
        <w:spacing w:after="0" w:line="140"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any gasoline or petroleum (including crude oil or any fraction thereof) or petroleum products or any hazardous or toxic substances, materials or wastes, or pollutants or contaminants defined or regulated as such in or under any Environmental Law, including, without limitation, asbestos, polychlorinated biphenyls, and urea-formaldehyde insulation.</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Investors Service, Inc.</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 Plan which is a multiemployer plan as defined in Section 4001(a)(3) of ERISA.</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Banks</w:t>
      </w:r>
      <w:r>
        <w:rPr>
          <w:rFonts w:ascii="Times New Roman" w:cs="Times New Roman" w:eastAsia="Times New Roman" w:hAnsi="Times New Roman"/>
          <w:sz w:val="18"/>
          <w:szCs w:val="18"/>
          <w:color w:val="auto"/>
        </w:rPr>
        <w:t>”: at any time, all Banks other than any Defaulting Banks at such time.</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Revolving Credit Notes and the Swing Line Notes.</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as defined in subsection 2.12(b).</w:t>
      </w:r>
    </w:p>
    <w:p>
      <w:pPr>
        <w:spacing w:after="0" w:line="18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6" w:name="page67"/>
    <w:bookmarkEnd w:id="66"/>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for any day, the rate comprised of both overnight federal funds and overnight eurocurrency borrowings by U.S.-managed banking offices of depository institutions, as such composite rate shall be determined by the Federal Reserve Bank of New York (“</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xml:space="preserve">”), as set forth on its public website from time to time, and as published on the next succeeding Business Day as the overnight bank funding rate by the NYFRB (or by such other recognized electronic source (such as Bloomberg) selected by the Agent for the purpose of displaying such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rate shall at any time, for any reason, no longer exist,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Essential Utilities, Inc., a Pennsylvania corporation.</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9.6(f)</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w:t>
        <w:tab/>
        <w:t>the Pension Benefit Guaranty Corporation established pursuant to Subtitle A of Title IV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166"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an acquisition by the Borrower of the stock or assets of a Person engaged in businesses similar or incidental or ancillary to Borrower’s existing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least 30 days prior to the consummation of any such acquisition for which cash consideration paid by the Borrower (including the assumption of Debt in connection therewith) exceeds $70,000,000, no Default or Event of Default shall exist or would exist if such acquisition were consummated on such date (assuming for purposes of the covenants contained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adjustments are made to the financial statements of the Borrower reflecting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historical EBIT of the Person to be acquired (or the assets of which are to be acquired) shall be included for purposes of calculating such covenant compliance only if historical financial statements of such Person are received by the Agent at least 30 days prior to the consummation of such acquisition), and the Borrower shall have delivered to the Agent a certificate of a Responsible Officer showing calculations in reasonable detail demonstrating such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compliance with the covenants contained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such acquisition for which cash consideration paid by the Borrower (including the assumption of Debt in connection therewith) exceeds $75,000,000, shall also have been consented to by the Required Banks.</w:t>
      </w:r>
    </w:p>
    <w:p>
      <w:pPr>
        <w:spacing w:after="0" w:line="3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Investments in:</w:t>
      </w:r>
    </w:p>
    <w:p>
      <w:pPr>
        <w:spacing w:after="0" w:line="186" w:lineRule="exact"/>
        <w:rPr>
          <w:sz w:val="20"/>
          <w:szCs w:val="20"/>
          <w:color w:val="auto"/>
        </w:rPr>
      </w:pPr>
    </w:p>
    <w:p>
      <w:pPr>
        <w:ind w:left="2220" w:hanging="555"/>
        <w:spacing w:after="0"/>
        <w:tabs>
          <w:tab w:leader="none" w:pos="2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Material or Wholly-Owned Subsidiaries thereof;</w:t>
      </w:r>
    </w:p>
    <w:p>
      <w:pPr>
        <w:spacing w:after="0" w:line="185"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to be used in the ordinary course of business of the Borrower;</w:t>
      </w:r>
    </w:p>
    <w:p>
      <w:pPr>
        <w:spacing w:after="0" w:line="185" w:lineRule="exact"/>
        <w:rPr>
          <w:rFonts w:ascii="Times New Roman" w:cs="Times New Roman" w:eastAsia="Times New Roman" w:hAnsi="Times New Roman"/>
          <w:sz w:val="18"/>
          <w:szCs w:val="18"/>
          <w:color w:val="auto"/>
        </w:rPr>
      </w:pPr>
    </w:p>
    <w:p>
      <w:pPr>
        <w:ind w:left="1120" w:firstLine="545"/>
        <w:spacing w:after="0" w:line="280" w:lineRule="auto"/>
        <w:tabs>
          <w:tab w:leader="none" w:pos="22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assets arising from the sale or purchase of goods and services in the ordinary course of business of the Borrower;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7" w:name="page68"/>
    <w:bookmarkEnd w:id="67"/>
    <w:p>
      <w:pPr>
        <w:jc w:val="both"/>
        <w:ind w:left="1120" w:firstLine="545"/>
        <w:spacing w:after="0" w:line="260" w:lineRule="auto"/>
        <w:tabs>
          <w:tab w:leader="none" w:pos="22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or any agency or instrumentality thereof or obligations guaranteed by the United States of America, provided that such obligations mature within one (1) year from the date of acquisition thereof;</w:t>
      </w:r>
    </w:p>
    <w:p>
      <w:pPr>
        <w:spacing w:after="0" w:line="135" w:lineRule="exact"/>
        <w:rPr>
          <w:rFonts w:ascii="Times New Roman" w:cs="Times New Roman" w:eastAsia="Times New Roman" w:hAnsi="Times New Roman"/>
          <w:sz w:val="18"/>
          <w:szCs w:val="18"/>
          <w:color w:val="auto"/>
        </w:rPr>
      </w:pPr>
    </w:p>
    <w:p>
      <w:pPr>
        <w:jc w:val="both"/>
        <w:ind w:left="1120" w:firstLine="545"/>
        <w:spacing w:after="0" w:line="217" w:lineRule="exact"/>
        <w:tabs>
          <w:tab w:leader="none" w:pos="22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or banker’s acceptances, maturing within one (1) year from the date of acquisition, with banks or trust companies organized under the laws of the United States, the unsecured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obligations of which are rated “A3” or higher by Moody’s or “A-” or higher by S&amp;P, and issued, or in the case of banker’s acceptance, accepted, by a bank or trust company having capital, surplus and undivided profits aggregating at least $250,000,000;</w:t>
      </w:r>
    </w:p>
    <w:p>
      <w:pPr>
        <w:spacing w:after="0" w:line="153" w:lineRule="exact"/>
        <w:rPr>
          <w:rFonts w:ascii="Times New Roman" w:cs="Times New Roman" w:eastAsia="Times New Roman" w:hAnsi="Times New Roman"/>
          <w:sz w:val="18"/>
          <w:szCs w:val="18"/>
          <w:color w:val="auto"/>
        </w:rPr>
      </w:pPr>
    </w:p>
    <w:p>
      <w:pPr>
        <w:ind w:left="1120" w:firstLine="545"/>
        <w:spacing w:after="0" w:line="280" w:lineRule="auto"/>
        <w:tabs>
          <w:tab w:leader="none" w:pos="2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given the highest rating by either S&amp;P or Moody’s maturing not more than 270 days from the date of creation thereof;</w:t>
      </w:r>
    </w:p>
    <w:p>
      <w:pPr>
        <w:spacing w:after="0" w:line="117" w:lineRule="exact"/>
        <w:rPr>
          <w:rFonts w:ascii="Times New Roman" w:cs="Times New Roman" w:eastAsia="Times New Roman" w:hAnsi="Times New Roman"/>
          <w:sz w:val="18"/>
          <w:szCs w:val="18"/>
          <w:color w:val="auto"/>
        </w:rPr>
      </w:pPr>
    </w:p>
    <w:p>
      <w:pPr>
        <w:ind w:left="1120" w:firstLine="545"/>
        <w:spacing w:after="0" w:line="280" w:lineRule="auto"/>
        <w:tabs>
          <w:tab w:leader="none" w:pos="22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registered with the Securities and Exchange Commission under the Investment Company Act of 1940 that hold themselves out as “money market funds;”</w:t>
      </w:r>
    </w:p>
    <w:p>
      <w:pPr>
        <w:spacing w:after="0" w:line="117"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credit extended on usual and customary terms in the ordinary course of business;</w:t>
      </w:r>
    </w:p>
    <w:p>
      <w:pPr>
        <w:spacing w:after="0" w:line="185" w:lineRule="exact"/>
        <w:rPr>
          <w:rFonts w:ascii="Times New Roman" w:cs="Times New Roman" w:eastAsia="Times New Roman" w:hAnsi="Times New Roman"/>
          <w:sz w:val="18"/>
          <w:szCs w:val="18"/>
          <w:color w:val="auto"/>
        </w:rPr>
      </w:pPr>
    </w:p>
    <w:p>
      <w:pPr>
        <w:ind w:left="2240" w:hanging="575"/>
        <w:spacing w:after="0"/>
        <w:tabs>
          <w:tab w:leader="none" w:pos="2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employees to meet expenses incurred by such employees in the ordinary course</w:t>
      </w:r>
    </w:p>
    <w:p>
      <w:pPr>
        <w:spacing w:after="0" w:line="2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165"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 and</w:t>
      </w:r>
    </w:p>
    <w:p>
      <w:pPr>
        <w:spacing w:after="0" w:line="185" w:lineRule="exact"/>
        <w:rPr>
          <w:rFonts w:ascii="Times New Roman" w:cs="Times New Roman" w:eastAsia="Times New Roman" w:hAnsi="Times New Roman"/>
          <w:sz w:val="18"/>
          <w:szCs w:val="18"/>
          <w:color w:val="auto"/>
        </w:rPr>
      </w:pPr>
    </w:p>
    <w:p>
      <w:pPr>
        <w:ind w:left="1120" w:firstLine="545"/>
        <w:spacing w:after="0" w:line="280" w:lineRule="auto"/>
        <w:tabs>
          <w:tab w:leader="none" w:pos="22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loans, advances and investments not exceeding in the aggregate $2,000,000 at any one time outstanding.</w:t>
      </w:r>
    </w:p>
    <w:p>
      <w:pPr>
        <w:spacing w:after="0" w:line="117" w:lineRule="exact"/>
        <w:rPr>
          <w:rFonts w:ascii="Times New Roman" w:cs="Times New Roman" w:eastAsia="Times New Roman" w:hAnsi="Times New Roman"/>
          <w:sz w:val="18"/>
          <w:szCs w:val="18"/>
          <w:color w:val="auto"/>
        </w:rPr>
      </w:pPr>
    </w:p>
    <w:p>
      <w:pPr>
        <w:jc w:val="both"/>
        <w:ind w:left="1120" w:firstLine="545"/>
        <w:spacing w:after="0" w:line="251" w:lineRule="auto"/>
        <w:tabs>
          <w:tab w:leader="none" w:pos="22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tax exempt obligations of any state of the United States of America, or any municipality of any such State, in each case rated “Aa2” or higher by Moody’s or “AA” or higher by S&amp;P or an equivalent credit rating by another credit rating agency of recognized national standing, provided that such obligations mature or can be tendered by the holder within 365 days from the date of acquisition thereof; and</w:t>
      </w:r>
    </w:p>
    <w:p>
      <w:pPr>
        <w:spacing w:after="0" w:line="358" w:lineRule="exact"/>
        <w:rPr>
          <w:rFonts w:ascii="Times New Roman" w:cs="Times New Roman" w:eastAsia="Times New Roman" w:hAnsi="Times New Roman"/>
          <w:sz w:val="18"/>
          <w:szCs w:val="18"/>
          <w:color w:val="auto"/>
        </w:rPr>
      </w:pPr>
    </w:p>
    <w:p>
      <w:pPr>
        <w:ind w:left="2260" w:hanging="595"/>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repurchase agreements.</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partnership, corporation, business trust, joint stock company, limited liability company, trust, unincorporated association, joint venture, Governmental Authority or other entity of whatever nature.</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at a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8" w:name="page69"/>
    <w:bookmarkEnd w:id="68"/>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Debt Domain, Intralinks, Syndtrak or a substantially similar electronic transmission.</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PNC Bank, National Association, a national banking association.</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the rate of interest per annum announced from time to time by Agent as its prime rate in effect at its principal office in Pittsburgh, Pennsylvania, which rate may not be the lowest or most favorable rate then being charged to commercial borrowers or others by the Agent and may not be tied to any external rate of interest or index; each change in the Prime Rate shall be effective on the date such change is announced as effective.</w:t>
      </w:r>
    </w:p>
    <w:p>
      <w:pPr>
        <w:spacing w:after="0" w:line="140"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any interest in any kind of property or asset, whether real, personal or mixed, and whether tangible or intangible.</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Regulation U of the Board of Governors of the Federal Reserve System as from time to time in effect, and all official rulings and interpretations thereunder or thereof.</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Regulation X of the Board of Governors of the Federal Reserve System as from time to time in effect, and all official rulings and interpretations thereunder or thereof.</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with respect to any Person, such Person’s Affiliates and the partners, directors, officers, employees, agents and advisors of such Person and of such Person’s Affiliates.</w:t>
      </w:r>
    </w:p>
    <w:p>
      <w:pPr>
        <w:spacing w:after="0" w:line="118"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Compliance Event</w:t>
      </w:r>
      <w:r>
        <w:rPr>
          <w:rFonts w:ascii="Times New Roman" w:cs="Times New Roman" w:eastAsia="Times New Roman" w:hAnsi="Times New Roman"/>
          <w:sz w:val="18"/>
          <w:szCs w:val="18"/>
          <w:color w:val="auto"/>
        </w:rPr>
        <w:t>”: (a) any Covered Entity becomes a Sanctioned Person, or is charged by indictment, criminal complaint, or similar charging instrument, arraigned, custodially detained, penalized or the subject of an assessment for a penalty, by, or enters into a settlement with a Governmental Authority in connection with any Anti-Corruption Law, Anti-Money Laundering Law or International Trade Law, or any predicate crime to any Anti-Corruption Law, Anti-Money Laundering Law or International Trade Law, or has knowledge of facts or circumstances to the effect that it is reasonably likely that any aspect of its operations represents a violation of any Anti-Corruption Law, Anti-Money Laundering Law or International Trade Law; (b) any Covered Entity engages in a transaction that has caused or would cause any Person hereunder (including the Agent, any lead arranger, the Banks, and any underwriter, advisor, investor, or otherwise) to be in violation of any Anti-Corruption Law or International Trade Law, including a Covered Entity’s use of any proceeds of the Loans hereunder to directly or indirectly fund any activities or business of, with, or for the benefit of any Person that is a Sanctioned Person, or to fund or facilitate any activities or business of or in any Sanctioned Jurisdiction; or (c) any Covered Entity otherwise violates, or reasonably believes that it will violate, any of the representations and covenants herein that are specific to Anti-Corruption Law or International Trade Law.</w:t>
      </w:r>
    </w:p>
    <w:p>
      <w:pPr>
        <w:spacing w:after="0" w:line="152"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any of the events set forth in Section 4043 of ERISA as to which event (after taking into account notice waivers provided for in the regulations) there is a duty to give notice to the PBGC.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69" w:name="page70"/>
    <w:bookmarkEnd w:id="69"/>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Banks</w:t>
      </w:r>
      <w:r>
        <w:rPr>
          <w:rFonts w:ascii="Times New Roman" w:cs="Times New Roman" w:eastAsia="Times New Roman" w:hAnsi="Times New Roman"/>
          <w:sz w:val="18"/>
          <w:szCs w:val="18"/>
          <w:color w:val="auto"/>
        </w:rPr>
        <w:t>”: at any time, (a) Banks (other than any Defaulting Bank) having more than 50% of the Commitments of the Banks (excluding any Defaulting Bank) or, after termination of the Commitments, the outstanding Loans (excluding any Defaulting Bank).</w:t>
      </w:r>
    </w:p>
    <w:p>
      <w:pPr>
        <w:spacing w:after="0" w:line="105" w:lineRule="exact"/>
        <w:rPr>
          <w:sz w:val="20"/>
          <w:szCs w:val="20"/>
          <w:color w:val="auto"/>
        </w:rPr>
      </w:pPr>
    </w:p>
    <w:p>
      <w:pPr>
        <w:jc w:val="both"/>
        <w:ind w:firstLine="1109"/>
        <w:spacing w:after="0" w:line="22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as to any Person, the Certificate of Incorporation,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Operating Agreement or other organizational or governing documents of such Person, and any law, treaty, rule or regulation or determination of an arbitrator or a court or other Governmental Authority, in each case binding upon such Person or any of its property or to which such Person or any of its property is subject.</w:t>
      </w:r>
    </w:p>
    <w:p>
      <w:pPr>
        <w:spacing w:after="0" w:line="152"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an EEA Resolution Authority or, with respect to any UK Financial Institution, a UK Resolution Authority.</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as to the Borrower, any officer of the Borrower.</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xml:space="preserve">”: the revolving loans made by the Banks to the Borrower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(a). Each Loan shall be a Term SOFR Rate Loan or a Base Rate Loan.</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xml:space="preserve">”: a promissory note of the Borrower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as the same may be amended, supplemented or otherwise modified from time to time.</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at any time, any country, area, territory, or jurisdiction that is the subject or target of comprehensive U.S. sanctions.</w:t>
      </w:r>
    </w:p>
    <w:p>
      <w:pPr>
        <w:spacing w:after="0" w:line="118"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at any time, any Person that is (a) located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clauses (a) or (b) above.</w:t>
      </w:r>
    </w:p>
    <w:p>
      <w:pPr>
        <w:spacing w:after="0" w:line="140"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S&amp;P Global Ratings, a business unit of Standard &amp; Poor’s Financial Services, LLC, or any successor thereto.</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“security” as defined in Section 2(1) of the Securities Act of 1933, as amended.</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any Plan which is covered by Title IV of ERISA, but which is not a Multiemployer Plan.</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for any day, a rate equal to the secured overnight financing rate as administered by the Federal Reserve Bank of New York (or a successor administrator of the secured overnight financing rate).</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ten (10) basis points (0.10%).</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Floor</w:t>
      </w:r>
      <w:r>
        <w:rPr>
          <w:rFonts w:ascii="Times New Roman" w:cs="Times New Roman" w:eastAsia="Times New Roman" w:hAnsi="Times New Roman"/>
          <w:sz w:val="18"/>
          <w:szCs w:val="18"/>
          <w:color w:val="auto"/>
        </w:rPr>
        <w:t>”: a rate of interest per annum equal to zero basis points (0.00%).</w:t>
      </w:r>
    </w:p>
    <w:p>
      <w:pPr>
        <w:spacing w:after="0" w:line="18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70" w:name="page71"/>
    <w:bookmarkEnd w:id="70"/>
    <w:p>
      <w:pPr>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as to any Person, as of the time of determination, the financial condition under which the following conditions are satisfied:</w:t>
      </w:r>
    </w:p>
    <w:p>
      <w:pPr>
        <w:spacing w:after="0" w:line="118" w:lineRule="exact"/>
        <w:rPr>
          <w:sz w:val="20"/>
          <w:szCs w:val="20"/>
          <w:color w:val="auto"/>
        </w:rPr>
      </w:pPr>
    </w:p>
    <w:p>
      <w:pPr>
        <w:ind w:left="1120" w:firstLine="545"/>
        <w:spacing w:after="0" w:line="280" w:lineRule="auto"/>
        <w:tabs>
          <w:tab w:leader="none" w:pos="22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of such Person will exceed the debts and liabilities, subordinated, contingent or otherwise, of such Person; and</w:t>
      </w:r>
    </w:p>
    <w:p>
      <w:pPr>
        <w:spacing w:after="0" w:line="117" w:lineRule="exact"/>
        <w:rPr>
          <w:rFonts w:ascii="Times New Roman" w:cs="Times New Roman" w:eastAsia="Times New Roman" w:hAnsi="Times New Roman"/>
          <w:sz w:val="18"/>
          <w:szCs w:val="18"/>
          <w:color w:val="auto"/>
        </w:rPr>
      </w:pPr>
    </w:p>
    <w:p>
      <w:pPr>
        <w:jc w:val="both"/>
        <w:ind w:left="1120" w:firstLine="545"/>
        <w:spacing w:after="0" w:line="255" w:lineRule="auto"/>
        <w:tabs>
          <w:tab w:leader="none" w:pos="22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Property of such Person will be greater than the amount that will be required to pay the probable liability of such Person on its debts and other liabilities, subordinated, contingent or otherwise, as such debts and other liabilities become absolute and matured; and</w:t>
      </w:r>
    </w:p>
    <w:p>
      <w:pPr>
        <w:spacing w:after="0" w:line="356" w:lineRule="exact"/>
        <w:rPr>
          <w:rFonts w:ascii="Times New Roman" w:cs="Times New Roman" w:eastAsia="Times New Roman" w:hAnsi="Times New Roman"/>
          <w:sz w:val="18"/>
          <w:szCs w:val="18"/>
          <w:color w:val="auto"/>
        </w:rPr>
      </w:pPr>
    </w:p>
    <w:p>
      <w:pPr>
        <w:ind w:left="1120" w:firstLine="545"/>
        <w:spacing w:after="0" w:line="280" w:lineRule="auto"/>
        <w:tabs>
          <w:tab w:leader="none" w:pos="22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will be able to pay its debts and liabilities, subordinated, contingent or otherwise, as such debts and liabilities become absolute and matured; and</w:t>
      </w:r>
    </w:p>
    <w:p>
      <w:pPr>
        <w:spacing w:after="0" w:line="117" w:lineRule="exact"/>
        <w:rPr>
          <w:rFonts w:ascii="Times New Roman" w:cs="Times New Roman" w:eastAsia="Times New Roman" w:hAnsi="Times New Roman"/>
          <w:sz w:val="18"/>
          <w:szCs w:val="18"/>
          <w:color w:val="auto"/>
        </w:rPr>
      </w:pPr>
    </w:p>
    <w:p>
      <w:pPr>
        <w:jc w:val="both"/>
        <w:ind w:left="1120" w:firstLine="545"/>
        <w:spacing w:after="0" w:line="260" w:lineRule="auto"/>
        <w:tabs>
          <w:tab w:leader="none" w:pos="22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will not have unreasonably small capital with which to conduct the businesses in which it is engaged as such businesses are then conducted and are proposed to be conducted after the date thereof.</w:t>
      </w:r>
    </w:p>
    <w:p>
      <w:pPr>
        <w:spacing w:after="0" w:line="136"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as to any Person, (i) any corporation, limited liability company, company or trust of which 50% or more (by number of shares or number of votes) of the outstanding capital stock, interests, shares or similar items of beneficial interest normally entitled to vote for the election of one or more directors, managers or trustees (regardless of any contingency which does or may suspend or dilute the voting rights) is at such time owned directly or indirectly by such person or one or more of such Person’s Subsidiaries, or any partnership of which such Person is a general partner or of which 50% or more of the partnership interests is at the time directly or indirectly owned by such Person or one or more of such Person’s Subsidiaries, and (ii) any corporation, company, trust, partnership or other entity which is controlled or capable of being controlled by such Person or one or more of such Person’s subsidiaries. Unless otherwise indicated, all references to a “Subsidiary” or to “Subsidiaries” in this Agreement shall refer to a Subsidiary of the Borrower.</w:t>
      </w:r>
    </w:p>
    <w:p>
      <w:pPr>
        <w:spacing w:after="0" w:line="3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means the Sixty-Third Supplemental Indenture to the Indenture dated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2025.</w:t>
      </w:r>
    </w:p>
    <w:p>
      <w:pPr>
        <w:spacing w:after="0" w:line="16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Bank</w:t>
      </w:r>
      <w:r>
        <w:rPr>
          <w:rFonts w:ascii="Times New Roman" w:cs="Times New Roman" w:eastAsia="Times New Roman" w:hAnsi="Times New Roman"/>
          <w:sz w:val="18"/>
          <w:szCs w:val="18"/>
          <w:color w:val="auto"/>
        </w:rPr>
        <w:t xml:space="preserve">”: PNC Bank, National Association, or any other Bank to which the Swing Line Commitment is assigned pursuant to the terms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Collateral Account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2.17(b)(ii)</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Commitment</w:t>
      </w:r>
      <w:r>
        <w:rPr>
          <w:rFonts w:ascii="Times New Roman" w:cs="Times New Roman" w:eastAsia="Times New Roman" w:hAnsi="Times New Roman"/>
          <w:sz w:val="18"/>
          <w:szCs w:val="18"/>
          <w:color w:val="auto"/>
        </w:rPr>
        <w:t xml:space="preserve">”: the amount set forth opposite the Swing Line Bank’s name under the heading “Swing Line Commitment”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amount may be reduced pursuant to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Note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as the same may be amended, supplemented or otherwise modified from time to time.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71" w:name="page72"/>
    <w:bookmarkEnd w:id="71"/>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Repayment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CME Group Benchmark Administration Limited (CBA) (or a successor administrator of the Term SOFR Reference Rate selected by the Agent in its reasonable discretion).</w:t>
      </w:r>
    </w:p>
    <w:p>
      <w:pPr>
        <w:spacing w:after="0" w:line="118"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with respect to any amount to which the Term SOFR Rate Option applies, for any Interest Period, the interest rate per annum determined by the Agent (rounded upwards, at the Agent’s discretion, to the nearest 1/100th of 1%) equal to the Term SOFR Reference Rate for a tenor comparable to such Interest Period, as such rate is published by the Term SOFR Administrator on the day (the “</w:t>
      </w:r>
      <w:r>
        <w:rPr>
          <w:rFonts w:ascii="Times New Roman" w:cs="Times New Roman" w:eastAsia="Times New Roman" w:hAnsi="Times New Roman"/>
          <w:sz w:val="18"/>
          <w:szCs w:val="18"/>
          <w:u w:val="single" w:color="auto"/>
          <w:color w:val="auto"/>
        </w:rPr>
        <w:t>Term SOFR Determination Date</w:t>
      </w:r>
      <w:r>
        <w:rPr>
          <w:rFonts w:ascii="Times New Roman" w:cs="Times New Roman" w:eastAsia="Times New Roman" w:hAnsi="Times New Roman"/>
          <w:sz w:val="18"/>
          <w:szCs w:val="18"/>
          <w:color w:val="auto"/>
        </w:rPr>
        <w:t>”)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the first day of each Interest Period.</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 Borrowing</w:t>
      </w:r>
      <w:r>
        <w:rPr>
          <w:rFonts w:ascii="Times New Roman" w:cs="Times New Roman" w:eastAsia="Times New Roman" w:hAnsi="Times New Roman"/>
          <w:sz w:val="18"/>
          <w:szCs w:val="18"/>
          <w:color w:val="auto"/>
        </w:rPr>
        <w:t>”: a Borrowing comprised of Term SOFR Rate Loans.</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 Loan</w:t>
      </w:r>
      <w:r>
        <w:rPr>
          <w:rFonts w:ascii="Times New Roman" w:cs="Times New Roman" w:eastAsia="Times New Roman" w:hAnsi="Times New Roman"/>
          <w:sz w:val="18"/>
          <w:szCs w:val="18"/>
          <w:color w:val="auto"/>
        </w:rPr>
        <w:t>”: a Revolving Credit Loan that bears interest based on the Term SOFR Rate.</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 Option</w:t>
      </w:r>
      <w:r>
        <w:rPr>
          <w:rFonts w:ascii="Times New Roman" w:cs="Times New Roman" w:eastAsia="Times New Roman" w:hAnsi="Times New Roman"/>
          <w:sz w:val="18"/>
          <w:szCs w:val="18"/>
          <w:color w:val="auto"/>
        </w:rPr>
        <w:t xml:space="preserve">”: the option of the Borrower to have Revolving Credit Loans bear interest at the rate and under the terms specified in </w:t>
      </w:r>
      <w:r>
        <w:rPr>
          <w:rFonts w:ascii="Times New Roman" w:cs="Times New Roman" w:eastAsia="Times New Roman" w:hAnsi="Times New Roman"/>
          <w:sz w:val="18"/>
          <w:szCs w:val="18"/>
          <w:u w:val="single" w:color="auto"/>
          <w:color w:val="auto"/>
        </w:rPr>
        <w:t>Section 2.6(b).</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the forward-looking term rate based on SOFR.</w:t>
      </w:r>
    </w:p>
    <w:p>
      <w:pPr>
        <w:spacing w:after="0" w:line="186" w:lineRule="exact"/>
        <w:rPr>
          <w:sz w:val="20"/>
          <w:szCs w:val="20"/>
          <w:color w:val="auto"/>
        </w:rPr>
      </w:pPr>
    </w:p>
    <w:p>
      <w:pPr>
        <w:jc w:val="both"/>
        <w:ind w:firstLine="110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the earlier of (a) June 1, 2026 or any later date to which the Termination Date shall have been extended pursuant to subsection 2.8(d) hereof and (b) the date the Commitments are terminated as provided herein.</w:t>
      </w:r>
    </w:p>
    <w:p>
      <w:pPr>
        <w:spacing w:after="0" w:line="3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w:t>
      </w:r>
      <w:r>
        <w:rPr>
          <w:rFonts w:ascii="Times New Roman" w:cs="Times New Roman" w:eastAsia="Times New Roman" w:hAnsi="Times New Roman"/>
          <w:sz w:val="18"/>
          <w:szCs w:val="18"/>
          <w:color w:val="auto"/>
        </w:rPr>
        <w:t>”: at any time, the aggregate amount of the Banks’ Commitments, as in effect at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Exposure</w:t>
      </w:r>
      <w:r>
        <w:rPr>
          <w:rFonts w:ascii="Times New Roman" w:cs="Times New Roman" w:eastAsia="Times New Roman" w:hAnsi="Times New Roman"/>
          <w:sz w:val="18"/>
          <w:szCs w:val="18"/>
          <w:color w:val="auto"/>
        </w:rPr>
        <w:t>”: at any time, the aggregate amount of the Banks’ Exposures at such time.</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the collective reference to Term SOFR Rate Loans whose Interest Periods begin on the same date and end on the same later date (whether or not such Loans originally were made on the same date).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72" w:name="page73"/>
    <w:bookmarkEnd w:id="72"/>
    <w:p>
      <w:pPr>
        <w:jc w:val="both"/>
        <w:ind w:firstLine="110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respect of any Revolving Credit Loan or Borrowing of Revolving Credit Loans, shall refer to the Rate by reference to which interest on such Revolving Credit Loan or on the Revolving Credit Loans comprising such Borrowing is determined. For purposes hereof, “Rate” shall include the Term SOFR Rate and the Base Rate.</w:t>
      </w:r>
    </w:p>
    <w:p>
      <w:pPr>
        <w:spacing w:after="0" w:line="357"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the Bank of England or any other public administrative authority having responsibility for the resolution of any UK Financial Institution.</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shall mean the Uniting and Strengthening America by Providing Appropriate Tools Required to Intercept and Obstruct Terrorism Act of 2001, Public Law 107-56, as the same has been, or shall hereafter be, renewed, extended, amended or replaced.</w:t>
      </w:r>
    </w:p>
    <w:p>
      <w:pPr>
        <w:spacing w:after="0" w:line="13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05" w:lineRule="exact"/>
        <w:rPr>
          <w:sz w:val="20"/>
          <w:szCs w:val="20"/>
          <w:color w:val="auto"/>
        </w:rPr>
      </w:pPr>
    </w:p>
    <w:p>
      <w:pPr>
        <w:jc w:val="both"/>
        <w:ind w:firstLine="1109"/>
        <w:spacing w:after="0" w:line="23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Owned Subsidiary</w:t>
      </w:r>
      <w:r>
        <w:rPr>
          <w:rFonts w:ascii="Times New Roman" w:cs="Times New Roman" w:eastAsia="Times New Roman" w:hAnsi="Times New Roman"/>
          <w:sz w:val="18"/>
          <w:szCs w:val="18"/>
          <w:color w:val="auto"/>
        </w:rPr>
        <w:t>”: at any time, any Subsidiary one hundred percent (100%) of all of the equity Securities (except directors’ qualifying shares) and voting Securities of which are owned by any one or more of the Borrower at such time.</w:t>
      </w:r>
    </w:p>
    <w:p>
      <w:pPr>
        <w:spacing w:after="0" w:line="153"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5"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Unless otherwise specified therein, all terms defined in this Agreement shall have the defined meanings when used in the Notes or any certificate or other document made or delivered pursuant hereto.</w:t>
      </w:r>
    </w:p>
    <w:p>
      <w:pPr>
        <w:spacing w:after="0" w:line="136" w:lineRule="exact"/>
        <w:rPr>
          <w:sz w:val="20"/>
          <w:szCs w:val="20"/>
          <w:color w:val="auto"/>
        </w:rPr>
      </w:pPr>
    </w:p>
    <w:p>
      <w:pPr>
        <w:jc w:val="both"/>
        <w:ind w:firstLine="1665"/>
        <w:spacing w:after="0" w:line="260" w:lineRule="auto"/>
        <w:tabs>
          <w:tab w:leader="none" w:pos="2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73" w:name="page74"/>
    <w:bookmarkEnd w:id="73"/>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(a) Unless the context of this Agreement otherwise clearly requires, references to the plural include the singular, the singular the plural and the part the whole, “or” has the inclusive meaning represented by the phrase “and/or,” and “including” has the meaning represented by the phrase “including without limitation.” References in this Agreement to “determination” of or by the Agent or the Banks shall be deemed to include good faith estimates by the Agent or the Banks (in the case of quantitative determinations) and good faith beliefs by the Agent or the Banks (in the case of qualitative determinations). Whenever the Agent or the Banks are granted the right herein to act in their sole discretion or to grant or withhold consent such right shall be exercised in good faith, except as otherwise provided herein. Except as otherwise expressly provided, all references herein to the “knowledge of” or “best knowledge of” the Borrower shall be deemed to refer to the knowledge of a Responsible Officer thereof. The words “hereof,” “herein,” “hereunder”, “hereby” and similar terms in this Agreement refer to this Agreement as a whole and not to any particular provision of this Agreement. The section and other headings contained in this Agreement and the Table of Contents preceding this Agreement are for reference purposes only and shall not control or affect the construction of this Agreement or the interpretation thereof in any respect. Section, subsection, schedule and exhibit references are to this Agreement unless otherwise specified.</w:t>
      </w:r>
    </w:p>
    <w:p>
      <w:pPr>
        <w:spacing w:after="0" w:line="360" w:lineRule="exact"/>
        <w:rPr>
          <w:sz w:val="20"/>
          <w:szCs w:val="20"/>
          <w:color w:val="auto"/>
        </w:rPr>
      </w:pPr>
    </w:p>
    <w:p>
      <w:pPr>
        <w:jc w:val="both"/>
        <w:ind w:firstLine="1665"/>
        <w:spacing w:after="0" w:line="246" w:lineRule="auto"/>
        <w:tabs>
          <w:tab w:leader="none" w:pos="22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as in effect on the Closing Date applied on a</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basis consistent with those used in preparing the annual financial statements referred to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3.1(a)</w:t>
      </w:r>
      <w:r>
        <w:rPr>
          <w:rFonts w:ascii="Times New Roman" w:cs="Times New Roman" w:eastAsia="Times New Roman" w:hAnsi="Times New Roman"/>
          <w:sz w:val="18"/>
          <w:szCs w:val="18"/>
          <w:color w:val="auto"/>
        </w:rPr>
        <w:t xml:space="preserve">. Notwithstanding the foregoing, if at any time any change in GAAP would affect the computation of any financial ratio or requirement set forth in any Loan Document, and either the Borrower or the Required Banks shall so request, the Agent, the Banks and the Borrower shall negotiate in good faith to amend such ratio or requirement to preserve the original intent thereof in light of such change in GAAP (subject to the approval of the Required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(a) such ratio or requirement shall continue to be computed in accordance with GAAP prior to such change therein and (b) the Borrower shall provide to the Agent and the Banks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50"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Benchmark Replacement Notification; Conforming 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of this Agreement provides a mechanism for determining an alternative rate of interest in the event that any Benchmark is no longer available or in certain other circumstances. The Agent does not warrant or accept any responsibility for and shall not have any liability with respect to, (a) the continuation of, administration of, submission of or calculation of, or any other matter related to, any Benchmark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Agent and its affiliates or other related entities may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74" w:name="page75"/>
    <w:bookmarkEnd w:id="74"/>
    <w:p>
      <w:pPr>
        <w:jc w:val="both"/>
        <w:spacing w:after="0" w:line="246" w:lineRule="auto"/>
        <w:rPr>
          <w:sz w:val="20"/>
          <w:szCs w:val="20"/>
          <w:color w:val="auto"/>
        </w:rPr>
      </w:pPr>
      <w:r>
        <w:rPr>
          <w:rFonts w:ascii="Times New Roman" w:cs="Times New Roman" w:eastAsia="Times New Roman" w:hAnsi="Times New Roman"/>
          <w:sz w:val="18"/>
          <w:szCs w:val="18"/>
          <w:color w:val="auto"/>
        </w:rPr>
        <w:t>engage in transactions that affect the calculation of any Benchmark, any alternative, successor or replacement rate (including any Benchmark Replacement) or any relevant adjustments thereto, in each case, in a manner adverse to the Borrower or any other person or entity. The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1"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THE CREDITS</w:t>
      </w:r>
    </w:p>
    <w:p>
      <w:pPr>
        <w:spacing w:after="0" w:line="186"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(a) Subject to the terms and conditions and relying upon the representations and warranties herein set forth, each Bank, severally and not jointly, agrees to make Revolving Credit Loans to the Borrower, at any time or from time to time on or after the date hereof and until the Termination Date or until the Commitment of such Bank shall have been terminated in accordance with the terms hereof, in an aggregate principal amount at any time outstanding which, when added to such Bank’s Commitment Percentage of the principal amount of Swing Line Loans then outstanding does not exceed such Bank’s Commitment subject, however, to the conditions that</w:t>
      </w:r>
    </w:p>
    <w:p>
      <w:pPr>
        <w:spacing w:after="0" w:line="5" w:lineRule="exact"/>
        <w:rPr>
          <w:sz w:val="20"/>
          <w:szCs w:val="20"/>
          <w:color w:val="auto"/>
        </w:rPr>
      </w:pPr>
    </w:p>
    <w:p>
      <w:pPr>
        <w:ind w:left="240" w:hanging="239"/>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shall (x) the sum of the outstanding aggregate principal amount of all Loans made by all Banks exceed</w:t>
      </w:r>
    </w:p>
    <w:p>
      <w:pPr>
        <w:jc w:val="both"/>
        <w:ind w:firstLine="1"/>
        <w:spacing w:after="0" w:line="245" w:lineRule="auto"/>
        <w:tabs>
          <w:tab w:leader="none" w:pos="2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Commitment and (ii) the aggregate principal amount of all Revolving Credit Loans from any Bank exceed such Bank’s Commitment minus such Bank’s Commitment Percentage of the outstanding principal amount of all Swing Line Loans. Such Commitments may be terminated or reduced from time to time pursuant to Section 2.8. Within the foregoing limits, the Borrower may borrow, repay and reborrow under the Commitment on or after the date hereof and prior to the Termination Date, subject to the terms, provisions and limitations set forth herein.</w:t>
      </w:r>
    </w:p>
    <w:p>
      <w:pPr>
        <w:spacing w:after="0" w:line="148" w:lineRule="exact"/>
        <w:rPr>
          <w:rFonts w:ascii="Times New Roman" w:cs="Times New Roman" w:eastAsia="Times New Roman" w:hAnsi="Times New Roman"/>
          <w:sz w:val="18"/>
          <w:szCs w:val="18"/>
          <w:color w:val="auto"/>
        </w:rPr>
      </w:pPr>
    </w:p>
    <w:p>
      <w:pPr>
        <w:jc w:val="both"/>
        <w:ind w:firstLine="1665"/>
        <w:spacing w:after="0" w:line="246" w:lineRule="auto"/>
        <w:tabs>
          <w:tab w:leader="none" w:pos="222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Loan shall be made as part of a Borrowing consisting of Revolving Credit Loans made by the Banks ratably in accordance with their Commitment Percentages;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any Bank to make any Revolving Credit Loan shall not in itself relieve any other Bank of its obligation to lend hereunder (it being understood, however, that no Bank shall be responsible for the failure of any other Bank to make any Revolving Credit Loan required to be made by such other Bank). The Revolving Credit Loans comprising any Term SOFR Rate Borrowing shall be in a minimum aggregate principal amount of $500,000 or a whole multiple of $100,000 in excess thereof (or an aggregate principal amount equal to the remaining balance of the available Commitments) and the Revolving Credit Loans comprising any Base Rate Borrowing shall be in a minimum aggregate principal amount of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75" w:name="page76"/>
    <w:bookmarkEnd w:id="75"/>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$250,000 or a whole multiple of $50,000 in excess thereof (or an aggregate principal amount equal to the remaining balance of the available Commitments). Each Borrowing of Revolving Credit Loans shall be comprised entirely of Term SOFR Rate Loans or Base Rate Loans, as the Borrower may request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both"/>
        <w:ind w:firstLine="1665"/>
        <w:spacing w:after="0" w:line="244" w:lineRule="auto"/>
        <w:tabs>
          <w:tab w:leader="none" w:pos="2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request a Borrowing, the Borrower shall hand deliver or telecopy (or notify by telephone and promptly confirm by hand delivery or telecopy) to the Agent the information requested by the form of Borrowing Request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 in the case of a Term SOFR Rate Borrowing, not later than 11:00 a.m., Philadelphia time, three Business Days before a proposed Borrowing and (ii) in the case of a Base Rate Borrowing, not later than 11:00 a.m., Philadelphia time, on the day of a proposed Borrowing. Such notice shall be irrevocable and shall in each case specify (x) whether the Borrowing then being requested is to be a Term SOFR Rate Borrowing or a Base Rate Borrowing; (y) the date of such Borrowing (which shall be a Business Day) and the amount thereof; and (z) if such Borrowing is to be a Term SOFR Rate Borrowing, the Interest Period with respect thereto. If no election as to the Type of Borrowing is specified in any such notice, then the requested Borrowing shall be a Base Rate Borrowing. If no Interest Period with respect to any Term SOFR Rate Borrowing is specified in any such notice, then the Borrower shall be deemed to have selected an Interest Period of one month’s duration. The Agent shall promptly advise the Banks of any notice given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of each Bank’s portion of the requested Borrowing.</w:t>
      </w:r>
    </w:p>
    <w:p>
      <w:pPr>
        <w:spacing w:after="0" w:line="155"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(a) Subject to the terms and conditions hereof, the Swing Line Bank may in its discretion make swing line loans (the “Swing Line Loans”) to the Borrower from time to time until the Termination Date or until the Swing Line Commitment is terminated in accordance with the terms hereof in the aggregate up to the amount of the Swing Line Commitment for periods requested by the Borrower and agreed to by the Swing Line Bank; provided, that, no Swing Line Loan shall be made if, after giving effect to the making of such Loan and the simultaneous application of the proceeds thereof, the Total Exposure would exceed the Total Commitment. Within the foregoing limits, the Borrower may borrow, repay and reborrow under the Swing Line Commitment, subject to and in accordance with the terms and limitations hereof.</w:t>
      </w:r>
    </w:p>
    <w:p>
      <w:pPr>
        <w:spacing w:after="0" w:line="151" w:lineRule="exact"/>
        <w:rPr>
          <w:sz w:val="20"/>
          <w:szCs w:val="20"/>
          <w:color w:val="auto"/>
        </w:rPr>
      </w:pPr>
    </w:p>
    <w:p>
      <w:pPr>
        <w:jc w:val="both"/>
        <w:ind w:firstLine="1665"/>
        <w:spacing w:after="0" w:line="245" w:lineRule="auto"/>
        <w:tabs>
          <w:tab w:leader="none" w:pos="22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a Swing Line Loan to be made on any Business Day. Each request for a Swing Line Loan shall be in writing (or by telephone promptly confirmed in writing) and delivered to the Swing Line Bank not later than 12:00 noon, Philadelphia time, on the Business Day such Swing Line Loan is to be made, specifying in each case (i) the amount to be borrowed, (ii) the requested borrowing date, (iii) whether the interest rate applicable to such Swing Line Loan is to be: (A) the Base Rate or (B) an interest rate mutually agreed upon by the Borrower and the Swing Line Bank and (iv) the date such Swing Line Loan is to be repaid (the “</w:t>
      </w:r>
      <w:r>
        <w:rPr>
          <w:rFonts w:ascii="Times New Roman" w:cs="Times New Roman" w:eastAsia="Times New Roman" w:hAnsi="Times New Roman"/>
          <w:sz w:val="18"/>
          <w:szCs w:val="18"/>
          <w:u w:val="single" w:color="auto"/>
          <w:color w:val="auto"/>
        </w:rPr>
        <w:t>Swing Line 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 request for such Swing Line Loan shall be irrevocable. Provided that all applicable conditions precedent contained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have been satisfied, the Swing Line Bank may, not later than 4:00 p.m., Philadelphia time, on the date specified in the Borrower’s request for such Swing Line Loan, make such Swing Line Loan by crediting the Borrower’s deposit account with the Swing Line Bank.</w:t>
      </w:r>
    </w:p>
    <w:p>
      <w:pPr>
        <w:spacing w:after="0" w:line="151" w:lineRule="exact"/>
        <w:rPr>
          <w:rFonts w:ascii="Times New Roman" w:cs="Times New Roman" w:eastAsia="Times New Roman" w:hAnsi="Times New Roman"/>
          <w:sz w:val="18"/>
          <w:szCs w:val="18"/>
          <w:color w:val="auto"/>
        </w:rPr>
      </w:pPr>
    </w:p>
    <w:p>
      <w:pPr>
        <w:ind w:firstLine="1665"/>
        <w:spacing w:after="0" w:line="280" w:lineRule="auto"/>
        <w:tabs>
          <w:tab w:leader="none" w:pos="2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Borrower to repay the Swing Line Loans shall be evidenced by a promissory note of the Borrower dated the date hereof, payable to the order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76" w:name="page77"/>
    <w:bookmarkEnd w:id="76"/>
    <w:p>
      <w:pPr>
        <w:spacing w:after="0" w:line="245" w:lineRule="exact"/>
        <w:rPr>
          <w:sz w:val="20"/>
          <w:szCs w:val="20"/>
          <w:color w:val="auto"/>
        </w:rPr>
      </w:pPr>
      <w:r>
        <w:rPr>
          <w:rFonts w:ascii="Times New Roman" w:cs="Times New Roman" w:eastAsia="Times New Roman" w:hAnsi="Times New Roman"/>
          <w:sz w:val="18"/>
          <w:szCs w:val="18"/>
          <w:color w:val="auto"/>
        </w:rPr>
        <w:t xml:space="preserve">the Swing Line Bank in the principal amount of the Swing Line Commitment and substantially in the form of </w:t>
      </w:r>
      <w:r>
        <w:rPr>
          <w:rFonts w:ascii="Times New Roman" w:cs="Times New Roman" w:eastAsia="Times New Roman" w:hAnsi="Times New Roman"/>
          <w:sz w:val="18"/>
          <w:szCs w:val="18"/>
          <w:u w:val="single" w:color="auto"/>
          <w:color w:val="auto"/>
        </w:rPr>
        <w:t>Exhibit B</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(as amended, supplemented or otherwise modified from time to time, the “</w:t>
      </w:r>
      <w:r>
        <w:rPr>
          <w:rFonts w:ascii="Times New Roman" w:cs="Times New Roman" w:eastAsia="Times New Roman" w:hAnsi="Times New Roman"/>
          <w:sz w:val="18"/>
          <w:szCs w:val="18"/>
          <w:u w:val="single" w:color="auto"/>
          <w:color w:val="auto"/>
        </w:rPr>
        <w:t>Swing Line Note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1665"/>
        <w:spacing w:after="0" w:line="260" w:lineRule="auto"/>
        <w:tabs>
          <w:tab w:leader="none" w:pos="22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accrue on the outstanding principal balance of a Swing Line Loan at the interest rate chosen by the Borrower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with respect to such Swing Line Loan and shall be payable on each applicable Interest Payment Date and upon the repayment of such Swing Line Loan.</w:t>
      </w:r>
    </w:p>
    <w:p>
      <w:pPr>
        <w:spacing w:after="0" w:line="135" w:lineRule="exact"/>
        <w:rPr>
          <w:rFonts w:ascii="Times New Roman" w:cs="Times New Roman" w:eastAsia="Times New Roman" w:hAnsi="Times New Roman"/>
          <w:sz w:val="18"/>
          <w:szCs w:val="18"/>
          <w:color w:val="auto"/>
        </w:rPr>
      </w:pPr>
    </w:p>
    <w:p>
      <w:pPr>
        <w:jc w:val="both"/>
        <w:ind w:firstLine="1665"/>
        <w:spacing w:after="0" w:line="243" w:lineRule="auto"/>
        <w:tabs>
          <w:tab w:leader="none" w:pos="2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Swing Line Loan shall be repaid on the earlier of (i) the Termination Date and (ii) the Swing Line Repayment Date for such Swing Line Loan. Unless the Borrower shall have notified the Agent prior to 11:00 a.m., Philadelphia time, on such Swing Line Repayment Date that the Borrower intends to repay such Swing Line Loan with funds other than the proceeds of a Revolving Credit Loan, the Borrower shall be deemed to have given notice to the Agent requesting the Banks to make a Revolving Credit Loan which shall be a Base Rate Borrowing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on the Swing Line Repayment Date in an aggregate amount equal to the amount of such Swing Line Loan plus interest thereon, and (A) subject to satisfaction or waiver of the conditions specified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 Banks shall, on the Swing Line Repayment Date, make a Revolving Credit Loan which shall be a Base Rate Borrowing, in an aggregate amount equal to the amount of such Swing Line Loan plus interest thereon, the proceeds of which shall be applied directly by the Agent to repay the Swing Line Bank for such Swing Line Loan plus accrued interest thereon;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for any reason the proceeds of such Base Rate Borrowing are not received by the Swing Line Bank on the Swing Line Repayment Date in an aggregate amount equal to the amount of such Swing Line Loan plus accrued interest, the Borrower shall reimburse the Swing Line Bank on the day immediately following the Swing Line Repayment Date, in same day funds, in an amount equal to the excess of the amount of such Swing Line Loan over the aggregate amount of such Base Rate Borrowing, if any, received plus accrued interest thereon.</w:t>
      </w:r>
    </w:p>
    <w:p>
      <w:pPr>
        <w:spacing w:after="0" w:line="160" w:lineRule="exact"/>
        <w:rPr>
          <w:rFonts w:ascii="Times New Roman" w:cs="Times New Roman" w:eastAsia="Times New Roman" w:hAnsi="Times New Roman"/>
          <w:sz w:val="18"/>
          <w:szCs w:val="18"/>
          <w:color w:val="auto"/>
        </w:rPr>
      </w:pPr>
    </w:p>
    <w:p>
      <w:pPr>
        <w:jc w:val="both"/>
        <w:ind w:firstLine="1665"/>
        <w:spacing w:after="0" w:line="243" w:lineRule="auto"/>
        <w:tabs>
          <w:tab w:leader="none" w:pos="22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making of a Swing Line Loan (whether before or after the occurrence of a Default or an Event of Default and regardless of whether a settlement has been requested with respect to such Swing Line Loan), each Bank shall be deemed, without further action by any party hereto, to have unconditionally and irrevocably purchased from the Swing Line Bank, without recourse or warranty, an undivided interest and participation in such Swing Line Loan in proportion to its Commitment Percentage. In the event that the Borrower shall fail to repay the Swing Line Bank as provided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in an amount equal to the amount required under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the Agent shall promptly notify each Bank of the unpaid amount of such Swing Line Loan and of such Bank’s respective participation therein in an amount equal to such Bank’s Commitment Percentage of such Swing Line Loan. Each Bank shall make available to the Agent for payment to the Swing Line Bank an amount equal to its respective participation therein (including without limitation its pro rata share of accrued but unpaid interest thereon), in same day funds, at the office of the Agent specified in such notice, not later than 11:00 a.m., Philadelphia time, on the Business Day after the date the Agent notifies each Bank. In the event that any Bank fails to make available to the Agent the amount of such Bank’s participation in such unpaid amount as provided herein, the Swing Line Bank shall be entitled to recover such amount on demand from such Bank together with interest thereon at a rate per annum equal to the Base Rate for each day during the period between the Swing Line Repayment Date and the date 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293" w:right="1439" w:bottom="1440" w:gutter="0" w:footer="0" w:header="0"/>
        </w:sectPr>
      </w:pPr>
    </w:p>
    <w:bookmarkStart w:id="77" w:name="page78"/>
    <w:bookmarkEnd w:id="77"/>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which such Bank makes available its participation in such unpaid amount. The failure of any Bank to make available to the Agent its pro rata share of any such unpaid amount shall not relieve any other Bank of its obligations hereunder to make available to the Agent its pro rata share of such unpaid amount on the Swing Line Repayment Date. The Agent shall distribute to each Bank which has paid all amounts payable by it under this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with respect to the unpaid amount of any Swing Line Loan, such Bank’s Commitment Percentage of all payments received by the Agent from the Borrower in repayment of such Swing Line Loan when such payments are received. Notwithstanding anything to the contrary herein, each Bank which has paid all amounts payable by it under this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shall have a direct right to repayment of such amounts from the Borrower subject to the procedures for repaying Banks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 amounts shall be due to any Bank in respect of any Swing Line Loan for any period prior to its funding of its participation in such Swing Line Loan.</w:t>
      </w:r>
    </w:p>
    <w:p>
      <w:pPr>
        <w:spacing w:after="0" w:line="151" w:lineRule="exact"/>
        <w:rPr>
          <w:sz w:val="20"/>
          <w:szCs w:val="20"/>
          <w:color w:val="auto"/>
        </w:rPr>
      </w:pPr>
    </w:p>
    <w:p>
      <w:pPr>
        <w:jc w:val="both"/>
        <w:ind w:firstLine="1665"/>
        <w:spacing w:after="0" w:line="248" w:lineRule="auto"/>
        <w:tabs>
          <w:tab w:leader="none" w:pos="22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Commitments are terminated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hereof, the Swing Line Commitment shall also be terminated automatically. In the event the Borrower reduces the Total Commitment to less than the Swing Line Commitment, the Swing Line Commitment shall immediately be reduced to an amount equal to the Total Commitment. In the event the Borrower reduces the Total Commitment to less than the outstanding principal amount of the Swing Line Loans, the Borrower shall immediately repay the amount by which the outstanding Swing Line Loans exceed the Swing Line Commitment as so reduced plus accrued interest thereon.</w:t>
      </w:r>
    </w:p>
    <w:p>
      <w:pPr>
        <w:spacing w:after="0" w:line="149"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shall there be more than two outstanding Swing Line Loans.</w:t>
      </w:r>
    </w:p>
    <w:p>
      <w:pPr>
        <w:spacing w:after="0" w:line="185" w:lineRule="exact"/>
        <w:rPr>
          <w:rFonts w:ascii="Times New Roman" w:cs="Times New Roman" w:eastAsia="Times New Roman" w:hAnsi="Times New Roman"/>
          <w:sz w:val="18"/>
          <w:szCs w:val="18"/>
          <w:color w:val="auto"/>
        </w:rPr>
      </w:pPr>
    </w:p>
    <w:p>
      <w:pPr>
        <w:ind w:left="2240" w:hanging="575"/>
        <w:spacing w:after="0"/>
        <w:tabs>
          <w:tab w:leader="none" w:pos="2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Swing Line Loan shall be in an original principal amount of $100,000 or multiples of</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in excess thereof.</w:t>
      </w:r>
    </w:p>
    <w:p>
      <w:pPr>
        <w:spacing w:after="0" w:line="165" w:lineRule="exact"/>
        <w:rPr>
          <w:rFonts w:ascii="Times New Roman" w:cs="Times New Roman" w:eastAsia="Times New Roman" w:hAnsi="Times New Roman"/>
          <w:sz w:val="18"/>
          <w:szCs w:val="18"/>
          <w:color w:val="auto"/>
        </w:rPr>
      </w:pPr>
    </w:p>
    <w:p>
      <w:pPr>
        <w:jc w:val="both"/>
        <w:ind w:firstLine="1665"/>
        <w:spacing w:after="0" w:line="250" w:lineRule="auto"/>
        <w:tabs>
          <w:tab w:leader="none" w:pos="2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at any time and from time to time to prepay any Swing Line Loan, in whole or in part, without premium or penalty, upon prior written, telecopy or telephonic notice to the Swing Line Bank given no later than 1:00 p.m., Philadelphia time, on the date of any proposed prepayment. Each notice of prepayment shall specify the Swing Line Loan to be prepaid and the amount to be prepaid, shall be irrevocable and shall commit the Borrower to prepay such amount on such date, with accrued interest thereon.</w:t>
      </w:r>
    </w:p>
    <w:p>
      <w:pPr>
        <w:spacing w:after="0" w:line="146" w:lineRule="exact"/>
        <w:rPr>
          <w:rFonts w:ascii="Times New Roman" w:cs="Times New Roman" w:eastAsia="Times New Roman" w:hAnsi="Times New Roman"/>
          <w:sz w:val="18"/>
          <w:szCs w:val="18"/>
          <w:color w:val="auto"/>
        </w:rPr>
      </w:pPr>
    </w:p>
    <w:p>
      <w:pPr>
        <w:jc w:val="both"/>
        <w:ind w:firstLine="1665"/>
        <w:spacing w:after="0" w:line="245" w:lineRule="auto"/>
        <w:tabs>
          <w:tab w:leader="none" w:pos="22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making Swing Line Loans pursuant to the foregoing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Swing Line Bank may also make Swing Line Loans to the Borrower without the requirement for a specific request from the Borrower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in accordance with the provisions of the agreements between the Borrower and the Swing Line Bank relating to the Borrower’s deposit, sweep and other accounts at the Swing Line Bank and related arrangements and agreements regarding the management and investment of Borrower’s cash assets as in effect from time to time (the “</w:t>
      </w:r>
      <w:r>
        <w:rPr>
          <w:rFonts w:ascii="Times New Roman" w:cs="Times New Roman" w:eastAsia="Times New Roman" w:hAnsi="Times New Roman"/>
          <w:sz w:val="18"/>
          <w:szCs w:val="18"/>
          <w:u w:val="single" w:color="auto"/>
          <w:color w:val="auto"/>
        </w:rPr>
        <w:t>Cash Management Agreements</w:t>
      </w:r>
      <w:r>
        <w:rPr>
          <w:rFonts w:ascii="Times New Roman" w:cs="Times New Roman" w:eastAsia="Times New Roman" w:hAnsi="Times New Roman"/>
          <w:sz w:val="18"/>
          <w:szCs w:val="18"/>
          <w:color w:val="auto"/>
        </w:rPr>
        <w:t xml:space="preserve">”) to the extent of the daily aggregate net negative balance in the Borrower’s accounts which are subject to the provisions of the Cash Management Agreements. Swing Line Loans made pursuant to this </w:t>
      </w:r>
      <w:r>
        <w:rPr>
          <w:rFonts w:ascii="Times New Roman" w:cs="Times New Roman" w:eastAsia="Times New Roman" w:hAnsi="Times New Roman"/>
          <w:sz w:val="18"/>
          <w:szCs w:val="18"/>
          <w:u w:val="single" w:color="auto"/>
          <w:color w:val="auto"/>
        </w:rPr>
        <w:t>Section 2.2(k)</w:t>
      </w:r>
      <w:r>
        <w:rPr>
          <w:rFonts w:ascii="Times New Roman" w:cs="Times New Roman" w:eastAsia="Times New Roman" w:hAnsi="Times New Roman"/>
          <w:sz w:val="18"/>
          <w:szCs w:val="18"/>
          <w:color w:val="auto"/>
        </w:rPr>
        <w:t xml:space="preserve"> in accordance with the provisions of the Cash Management Agreements shall (i) be subject to the limitations as to aggregate amount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(ii) not be subject to the limitations as to number or individual amount set forth in </w:t>
      </w:r>
      <w:r>
        <w:rPr>
          <w:rFonts w:ascii="Times New Roman" w:cs="Times New Roman" w:eastAsia="Times New Roman" w:hAnsi="Times New Roman"/>
          <w:sz w:val="18"/>
          <w:szCs w:val="18"/>
          <w:u w:val="single" w:color="auto"/>
          <w:color w:val="auto"/>
        </w:rPr>
        <w:t>Sections 2.2(h) and (i)</w:t>
      </w:r>
      <w:r>
        <w:rPr>
          <w:rFonts w:ascii="Times New Roman" w:cs="Times New Roman" w:eastAsia="Times New Roman" w:hAnsi="Times New Roman"/>
          <w:sz w:val="18"/>
          <w:szCs w:val="18"/>
          <w:color w:val="auto"/>
        </w:rPr>
        <w:t>, (iii) be payable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78" w:name="page79"/>
    <w:bookmarkEnd w:id="78"/>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by the Borrower, both as to principal and interest, at the times set forth in the Cash Management Agreements (but in no event later than the Termination Date), (iv) not be made at any time after the Swing Line Bank has received written notice of the occurrence of an Event of Default and so long as such shall continue to exist, or, unless consented to by the Required Banks, a Default and so long as such shall continue to exist, (v) if not repaid by the Borrower in accordance with the provisions of the Cash Management Agreements, be subject to each Bank’s obligation to purchase and fund participating interests therein pursuant to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and (vi) except as provided in the foregoing subsections (i) through (v), be subject to all of the terms and conditions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General Provisions Regarding Loans</w:t>
      </w:r>
      <w:r>
        <w:rPr>
          <w:rFonts w:ascii="Times New Roman" w:cs="Times New Roman" w:eastAsia="Times New Roman" w:hAnsi="Times New Roman"/>
          <w:sz w:val="18"/>
          <w:szCs w:val="18"/>
          <w:color w:val="auto"/>
        </w:rPr>
        <w:t xml:space="preserve">. (a) Subject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each Bank shall make each Revolving Credit Loan to be made by it hereunder on the proposed date thereof by wire transfer of immediately available funds to the Agent in Philadelphia, Pennsylvania, not later than 1:00 p.m., Philadelphia time, and the Agent shall by 3:00 p.m., Philadelphia time, credit the amounts so received to the general deposit account of the Borrower with the Agent or, if a Borrowing shall not occur on such date because any condition precedent herein specified shall not have been met, return the amounts so received to the respective Banks. Loans shall be made by the Banks pro rata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Unless the Agent shall have received notice from a Bank prior to the date of any Borrowing that such Bank will not make available to the Agent such Bank’s portion of such Borrowing, the Agent may assume that such Bank has made such portion available to the Agent on the date of such Borrowing in accordance with this paragraph (c) and the Agent may, in reliance upon such assumption, make available to the Borrower on such date a corresponding amount. If and to the extent that such Bank shall not have made such portion available to the Agent, such Bank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Revolving Credit Loans comprising such Borrowing and (ii) in the case of such Bank, the Overnight Bank Funding Rate. If such Bank shall repay to the Agent such corresponding amount, such amount shall constitute such Bank’s Revolving Credit Loan as part of such Borrowing for purposes of this Agreement.</w:t>
      </w:r>
    </w:p>
    <w:p>
      <w:pPr>
        <w:spacing w:after="0" w:line="367" w:lineRule="exact"/>
        <w:rPr>
          <w:sz w:val="20"/>
          <w:szCs w:val="20"/>
          <w:color w:val="auto"/>
        </w:rPr>
      </w:pPr>
    </w:p>
    <w:p>
      <w:pPr>
        <w:jc w:val="both"/>
        <w:ind w:firstLine="1665"/>
        <w:spacing w:after="0" w:line="245" w:lineRule="auto"/>
        <w:tabs>
          <w:tab w:leader="none" w:pos="222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refinance all or any part of any Borrowing with any other Borrowing, subject to the conditions and limitations set forth herein and elsewhere in this Agreement. Any Borrowing or part thereof so refinanced shall be deemed to be repaid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 the proceeds of a new Borrowing hereunder and the proceeds of the new Borrowing, to the extent they do not exceed the principal amount of the Borrowing being refinanced, shall not be paid by the Banks to the Agent or by the Agent 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3" w:lineRule="exact"/>
        <w:rPr>
          <w:rFonts w:ascii="Times New Roman" w:cs="Times New Roman" w:eastAsia="Times New Roman" w:hAnsi="Times New Roman"/>
          <w:sz w:val="18"/>
          <w:szCs w:val="18"/>
          <w:color w:val="auto"/>
        </w:rPr>
      </w:pPr>
    </w:p>
    <w:p>
      <w:pPr>
        <w:jc w:val="both"/>
        <w:ind w:firstLine="1"/>
        <w:spacing w:after="0" w:line="243" w:lineRule="auto"/>
        <w:tabs>
          <w:tab w:leader="none" w:pos="2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extended by a Bank in a refinancing is greater than the principal amount extended by such Bank in the Borrowing being refinanced, then such Bank shall pay such difference to the Agent for distribution to the Banks described in (ii) below, (ii) if the principal amount extended by a Bank in the Borrowing being refinanced is greater than the principal amount agreed to be extended by such Bank in the refinancing, the Agent shall return the difference to such Bank out of amounts received pursuant to (i) above, and (iii) to the extent any Bank fails to pay the Agent amounts due from it pursuant to (i) above, any Revolving Credit Loan or portion thereof being refinanced with such amounts shall not be deemed repaid in accordance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shall be payable by the Borrower without prejudice to the Borrower’s rights against any such Bank.</w:t>
      </w:r>
    </w:p>
    <w:p>
      <w:pPr>
        <w:spacing w:after="0" w:line="186" w:lineRule="exact"/>
        <w:rPr>
          <w:sz w:val="20"/>
          <w:szCs w:val="20"/>
          <w:color w:val="auto"/>
        </w:rPr>
      </w:pPr>
    </w:p>
    <w:p>
      <w:pPr>
        <w:jc w:val="both"/>
        <w:ind w:firstLine="1665"/>
        <w:spacing w:after="0" w:line="246" w:lineRule="auto"/>
        <w:tabs>
          <w:tab w:leader="none" w:pos="22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Bank may at its option fulfill its commitment hereunder with respect to any Term SOFR Rate Loan by causing any domestic or foreign branch or Affiliate of such Bank to make such Revolving Credit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any exercise of such option shall not affect the obligation of the Borrower to repay such Revolving Credit Loan in accordance with the terms of the Agreement and the applicable Note and (B) the Borrower shall not be liable for increased costs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to the extent that (x) such costs could be avoided by the use of a different branch or Affiliate to make Term SOFR Rate Loans and (y) such use would not, in the judgment of such Bank, entail any significant additional expense for which such Bank shall not be indemnified hereunder or otherwise be disadvantageous to it; and</w:t>
      </w:r>
    </w:p>
    <w:p>
      <w:pPr>
        <w:spacing w:after="0" w:line="151" w:lineRule="exact"/>
        <w:rPr>
          <w:rFonts w:ascii="Times New Roman" w:cs="Times New Roman" w:eastAsia="Times New Roman" w:hAnsi="Times New Roman"/>
          <w:sz w:val="18"/>
          <w:szCs w:val="18"/>
          <w:color w:val="auto"/>
        </w:rPr>
      </w:pPr>
    </w:p>
    <w:p>
      <w:pPr>
        <w:jc w:val="both"/>
        <w:ind w:firstLine="1665"/>
        <w:spacing w:after="0" w:line="249" w:lineRule="auto"/>
        <w:tabs>
          <w:tab w:leader="none" w:pos="22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Borrowings, conversions and continuations of Revolving Credit Loans hereunder and all selections of Interest Periods hereunder shall be in such amounts and be made pursuant to such elections that, after giving effect thereto, (A) the aggregate principal amount of the Revolving Credit Loans comprising each Tranche of Term SOFR Rate Loans shall be equal to $500,000 or a whole multiple of $100,000 in excess thereof and (B) the Borrower shall not have outstanding at any one time more than in the aggregate five (5) separate Tranches of Term SOFR Rate Loans.</w:t>
      </w:r>
    </w:p>
    <w:p>
      <w:pPr>
        <w:spacing w:after="0" w:line="358" w:lineRule="exact"/>
        <w:rPr>
          <w:rFonts w:ascii="Times New Roman" w:cs="Times New Roman" w:eastAsia="Times New Roman" w:hAnsi="Times New Roman"/>
          <w:sz w:val="18"/>
          <w:szCs w:val="18"/>
          <w:color w:val="auto"/>
        </w:rPr>
      </w:pPr>
    </w:p>
    <w:p>
      <w:pPr>
        <w:ind w:firstLine="1665"/>
        <w:spacing w:after="0" w:line="280" w:lineRule="auto"/>
        <w:tabs>
          <w:tab w:leader="none" w:pos="22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any Borrowing if the Interest Period requested with respect thereto would end after the Termination Date.</w:t>
      </w:r>
    </w:p>
    <w:p>
      <w:pPr>
        <w:spacing w:after="0" w:line="118" w:lineRule="exact"/>
        <w:rPr>
          <w:sz w:val="20"/>
          <w:szCs w:val="20"/>
          <w:color w:val="auto"/>
        </w:rPr>
      </w:pPr>
    </w:p>
    <w:p>
      <w:pPr>
        <w:ind w:firstLine="1109"/>
        <w:spacing w:after="0" w:line="280"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 The Borrower agrees to pay to the Agent the fees at the times and in the amounts as are set forth in the Fee Letter (collectively, the “Fees”).</w:t>
      </w:r>
    </w:p>
    <w:p>
      <w:pPr>
        <w:spacing w:after="0" w:line="118" w:lineRule="exact"/>
        <w:rPr>
          <w:sz w:val="20"/>
          <w:szCs w:val="20"/>
          <w:color w:val="auto"/>
        </w:rPr>
      </w:pPr>
    </w:p>
    <w:p>
      <w:pPr>
        <w:jc w:val="both"/>
        <w:ind w:firstLine="1665"/>
        <w:spacing w:after="0" w:line="260" w:lineRule="auto"/>
        <w:tabs>
          <w:tab w:leader="none" w:pos="22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shall be paid on the dates due, in immediately available funds, to the Agent for distribution, if and as appropriate, among the Banks. Once paid, none of the Fees shall be refundable under any circumstances.</w:t>
      </w:r>
    </w:p>
    <w:p>
      <w:pPr>
        <w:spacing w:after="0" w:line="136"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Revolving Credit Notes; Repayment of Revolving Credit Loans</w:t>
      </w:r>
      <w:r>
        <w:rPr>
          <w:rFonts w:ascii="Times New Roman" w:cs="Times New Roman" w:eastAsia="Times New Roman" w:hAnsi="Times New Roman"/>
          <w:sz w:val="18"/>
          <w:szCs w:val="18"/>
          <w:color w:val="auto"/>
        </w:rPr>
        <w:t xml:space="preserve">. The Revolving Credit Loans made by each Bank shall be evidenced by a single Revolving Credit Note duly executed on behalf of the Borrower, in substantially the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with the blanks appropriately filled, payable to such Bank in a principal amount equal to the Commitment of such Bank. Each Revolving Credit Note shall bear interest from the date thereof on the outstanding principal balance thereof as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Each Bank shall, and is hereby authorized by the Borrower to, endorse on the schedule attached to the relevant Revolving Credit Note held by such Bank (or on a continuation of such schedule attached to each such Revolving Credit Note and made a part thereof), or otherwise to record in such Bank’s internal records, an appropriate notation evidencing the date and amount of each Revolving Credit Loan of such Bank, each payment or prepayment of principal of any Revolving Credit Loan, and the other information provided for on such schedule;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any Bank to make such a notation or any error therein shall not in any manner affect the obligation of the Borrower to repay the Revolving Credit Loans made by such Bank in accordance with the terms of the relevant Revolving Credit Note. The outstanding principal balance of each Revolving Credit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Loan, as evidenced by the relevant Revolving Credit Note, shall be payable on the Termination Date.</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Interest on Revolving Credit Loans</w:t>
      </w:r>
      <w:r>
        <w:rPr>
          <w:rFonts w:ascii="Times New Roman" w:cs="Times New Roman" w:eastAsia="Times New Roman" w:hAnsi="Times New Roman"/>
          <w:sz w:val="18"/>
          <w:szCs w:val="18"/>
          <w:color w:val="auto"/>
        </w:rPr>
        <w:t>. (a) Subject to the provisions of Section 2.7, each Base Rate Loan shall bear interest (computed on the basis of the actual number of days elapsed over a year of 360 days) at a rate per annum equal to the Base Rate.</w:t>
      </w:r>
    </w:p>
    <w:p>
      <w:pPr>
        <w:spacing w:after="0" w:line="136" w:lineRule="exact"/>
        <w:rPr>
          <w:sz w:val="20"/>
          <w:szCs w:val="20"/>
          <w:color w:val="auto"/>
        </w:rPr>
      </w:pPr>
    </w:p>
    <w:p>
      <w:pPr>
        <w:jc w:val="both"/>
        <w:ind w:firstLine="1665"/>
        <w:spacing w:after="0" w:line="255" w:lineRule="auto"/>
        <w:tabs>
          <w:tab w:leader="none" w:pos="2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each Term SOFR Rate Loan shall bear interest (computed on the basis of the actual number of days elapsed over a year of 360 days) at a rate per annum equal to the Term SOFR Rate for the Interest Period in effect for such Loan plus the SOFR Adjustment plus seventy (70) basis points (0.70%).</w:t>
      </w:r>
    </w:p>
    <w:p>
      <w:pPr>
        <w:spacing w:after="0" w:line="356"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on each Revolving Credit Loan shall be payable on each Interest Payment Date applicable to such Revolving Credit Loan;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interest accruing on overdue amounts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be payable on demand. The Term SOFR Rate and the Base Rate shall be determined by the Agent, and such determination shall be conclusive absent error.</w:t>
      </w:r>
    </w:p>
    <w:p>
      <w:pPr>
        <w:spacing w:after="0" w:line="140"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Default Rate; Additional Interest</w:t>
      </w:r>
      <w:r>
        <w:rPr>
          <w:rFonts w:ascii="Times New Roman" w:cs="Times New Roman" w:eastAsia="Times New Roman" w:hAnsi="Times New Roman"/>
          <w:sz w:val="18"/>
          <w:szCs w:val="18"/>
          <w:color w:val="auto"/>
        </w:rPr>
        <w:t>. To the extent not contrary to any Requirement of Law, upon the occurrence and during the continuation of an Event of Default, any principal, past due interest, fee or other amount outstanding hereunder shall, at the option of the Required Banks, bear interest for each day thereafter until paid in full (after as well as before judgment) at a rate per annum which shall be equal to two percent (2%) above the Base Rate (but in no event shall any such rate exceed the maximum rate permitted by any Requirement of Law). The Borrower acknowledges that such increased interest rate reflects, among other things, the fact that such loans or other amounts have become a substantially greater risk given their default status and that the Banks are entitled to additional compensation for such risk.</w:t>
      </w:r>
    </w:p>
    <w:p>
      <w:pPr>
        <w:spacing w:after="0" w:line="363"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Termination, Reduction, Extension of Commitments; Additional Banks</w:t>
      </w:r>
      <w:r>
        <w:rPr>
          <w:rFonts w:ascii="Times New Roman" w:cs="Times New Roman" w:eastAsia="Times New Roman" w:hAnsi="Times New Roman"/>
          <w:sz w:val="18"/>
          <w:szCs w:val="18"/>
          <w:color w:val="auto"/>
        </w:rPr>
        <w:t>. (a) The Commitments shall be automatically terminated on the Termination Date.</w:t>
      </w:r>
    </w:p>
    <w:p>
      <w:pPr>
        <w:spacing w:after="0" w:line="118" w:lineRule="exact"/>
        <w:rPr>
          <w:sz w:val="20"/>
          <w:szCs w:val="20"/>
          <w:color w:val="auto"/>
        </w:rPr>
      </w:pPr>
    </w:p>
    <w:p>
      <w:pPr>
        <w:jc w:val="both"/>
        <w:ind w:firstLine="1665"/>
        <w:spacing w:after="0" w:line="248" w:lineRule="auto"/>
        <w:tabs>
          <w:tab w:leader="none" w:pos="2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this paragraph, upon at least three Business Days’ prior irrevocable written or telecopy notice to the Agent, the Borrower may at any time in whole permanently terminate, or from time to time permanently reduce, the Total Commitment. Each partial reduction of the Total Commitment shall be in a minimum principal amount of $1,000,000 or in whole multiples of $500,000 in excess thereof, and no such termination or reduction shall be made which would reduce the Total Commitment to an amount less than the aggregate outstanding principal amount of the Loans.</w:t>
      </w:r>
    </w:p>
    <w:p>
      <w:pPr>
        <w:spacing w:after="0" w:line="149"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reduction in the Total Commitment hereunder shall be made ratably among the Banks in accordance with their respective Commitment Percentages. In connection with any reduction of the Total Commitment, the Borrower shall make any prepayment required under subsection 2.9(b).</w:t>
      </w:r>
    </w:p>
    <w:p>
      <w:pPr>
        <w:spacing w:after="0" w:line="135"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ninety days prior to the Termination Date then in effect and ending sixty days prior to such Termination Date, the Borrower may deliver to the Agent (which shall promptly transmit to each Bank) a notice requesting that the Commitments be extended for a 364 day period beyond the Termination Date then in effect.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81" w:name="page82"/>
    <w:bookmarkEnd w:id="81"/>
    <w:p>
      <w:pPr>
        <w:jc w:val="both"/>
        <w:spacing w:after="0" w:line="213" w:lineRule="exact"/>
        <w:rPr>
          <w:sz w:val="20"/>
          <w:szCs w:val="20"/>
          <w:color w:val="auto"/>
        </w:rPr>
      </w:pPr>
      <w:r>
        <w:rPr>
          <w:rFonts w:ascii="Times New Roman" w:cs="Times New Roman" w:eastAsia="Times New Roman" w:hAnsi="Times New Roman"/>
          <w:sz w:val="18"/>
          <w:szCs w:val="18"/>
          <w:color w:val="auto"/>
        </w:rPr>
        <w:t>Within thirty days after its receipt of any such notice, each Bank shall notify the Agent of its willingness or unwillingness so to extend its Commitment. Any Bank that shall fail so to notify the Agent within such period shall be deemed to have declined to extend its Commitment. If each (but only if each) Bank agrees to extend its Commitment, the Agent shall so notify the Borrower and each Bank, whereupon (i) the respective Commitments of the Banks shall without further act by any party hereto, be extended for a 364 day period beyond the Termination Date then in effect and (ii) the term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shall thereafter mean the last day of such period. Any such extension shall be evidenced by a written agreement among the Agent, the Banks and the Borrower, such agreement to be in form and substance acceptable to the Agent, the Banks and the Borrower. In the event that one or more Banks (each a “</w:t>
      </w:r>
      <w:r>
        <w:rPr>
          <w:rFonts w:ascii="Times New Roman" w:cs="Times New Roman" w:eastAsia="Times New Roman" w:hAnsi="Times New Roman"/>
          <w:sz w:val="18"/>
          <w:szCs w:val="18"/>
          <w:u w:val="single" w:color="auto"/>
          <w:color w:val="auto"/>
        </w:rPr>
        <w:t>Non</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Electing Bank</w:t>
      </w:r>
      <w:r>
        <w:rPr>
          <w:rFonts w:ascii="Times New Roman" w:cs="Times New Roman" w:eastAsia="Times New Roman" w:hAnsi="Times New Roman"/>
          <w:sz w:val="18"/>
          <w:szCs w:val="18"/>
          <w:color w:val="auto"/>
        </w:rPr>
        <w:t>”) shall have declined or been deemed to have declined to extend its or their Commitment and Banks holding a majority in amount of the Commitments shall have notified the Agent of their desire to extend their Commitments, the Borrower shall have the right, but not the obligation, at its own expense, upon notice to each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Electing Bank and the Agent, to replace all (but not less than all)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Electing Banks (in accordance with and subject to the restrictions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color w:val="auto"/>
        </w:rPr>
        <w:t>) at any time before the twentieth (20th) day prior to the Termination Date with one or more assignees (each a “</w:t>
      </w:r>
      <w:r>
        <w:rPr>
          <w:rFonts w:ascii="Times New Roman" w:cs="Times New Roman" w:eastAsia="Times New Roman" w:hAnsi="Times New Roman"/>
          <w:sz w:val="18"/>
          <w:szCs w:val="18"/>
          <w:u w:val="single" w:color="auto"/>
          <w:color w:val="auto"/>
        </w:rPr>
        <w:t>Replacement Bank</w:t>
      </w:r>
      <w:r>
        <w:rPr>
          <w:rFonts w:ascii="Times New Roman" w:cs="Times New Roman" w:eastAsia="Times New Roman" w:hAnsi="Times New Roman"/>
          <w:sz w:val="18"/>
          <w:szCs w:val="18"/>
          <w:color w:val="auto"/>
        </w:rPr>
        <w:t>”) willing to purchase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Electing Banks’ interests hereunder and to agree to extend its or their Commitment in accordance with the notice referred to in the first sentence of this clause (d). In such event, each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Electing Bank shall promptly upon request transfer and assign without recourse (in accordance with and subject to the restrictions contained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all its interests, rights and obligations under this Agreement to the applicable Replacement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such assignment shall conflict with any law or any rule, regulation or order of any Governmental Authority, (ii) the applicable Replacement Bank shall pay to the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Electing Bank in immediately available funds on the date of such assignment the principal of and interest accrued to the date of payment on the Loans made by such Non-Electing Bank hereunder and all other amounts accrued for such Non-Electing Bank’s account or owed to it hereunder (including any unpaid costs or expenses), and (iii)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Electing Bank shall not be required to sell its interests hereunder unless the Borrower has arranged for one or more Replacement Banks to acquire the interests of all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Electing Banks. If, as a result of the foregoing, each Bank (including Replacement Banks, but excluding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Electing Banks whose interests have been purchased as provided above) has agreed to extend its Commitment, the Commitments shall be extended as provided in clause (i) of the fourth sentence of this paragraph and the term Termination Date shall have the meaning set forth in clause (ii) in such fourth sentence of this clause (d).</w:t>
      </w:r>
    </w:p>
    <w:p>
      <w:pPr>
        <w:spacing w:after="0" w:line="175" w:lineRule="exact"/>
        <w:rPr>
          <w:sz w:val="20"/>
          <w:szCs w:val="20"/>
          <w:color w:val="auto"/>
        </w:rPr>
      </w:pPr>
    </w:p>
    <w:p>
      <w:pPr>
        <w:jc w:val="both"/>
        <w:ind w:firstLine="1665"/>
        <w:spacing w:after="0" w:line="247" w:lineRule="auto"/>
        <w:tabs>
          <w:tab w:leader="none" w:pos="2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or financial institution becoming a party to this Agreement in compliance with the provisions of subsection 2.8(d) hereof shall execute and deliver to the Agent and the Banks and the Borrower a joinder and assumption agreement in form and substance satisfactory to the Agent. Upon execution and delivery of such joinder such additional bank or financial institution shall be a party hereto and one of the Banks hereunder for all purposes, all as of the date of such joinder. Simultaneously therewith the Borrower shall execute and deliver to such additional Bank an additional Note to the order of such additional Bank in an amount equal to the Commitment assumed by such additional Bank.</w:t>
      </w:r>
    </w:p>
    <w:p>
      <w:pPr>
        <w:spacing w:after="0" w:line="362"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Optional and Mandatory Prepayments of Loans</w:t>
      </w:r>
      <w:r>
        <w:rPr>
          <w:rFonts w:ascii="Times New Roman" w:cs="Times New Roman" w:eastAsia="Times New Roman" w:hAnsi="Times New Roman"/>
          <w:sz w:val="18"/>
          <w:szCs w:val="18"/>
          <w:color w:val="auto"/>
        </w:rPr>
        <w:t>. (a) The Borrower shall have the right at any time and from time to time to prepay any Borrowing, in whole or in part, without premium or penalty (but in any event subject to Section 2.13), upon prior written, telecopy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82" w:name="page83"/>
    <w:bookmarkEnd w:id="82"/>
    <w:p>
      <w:pPr>
        <w:jc w:val="both"/>
        <w:spacing w:after="0" w:line="251" w:lineRule="auto"/>
        <w:rPr>
          <w:sz w:val="20"/>
          <w:szCs w:val="20"/>
          <w:color w:val="auto"/>
        </w:rPr>
      </w:pPr>
      <w:r>
        <w:rPr>
          <w:rFonts w:ascii="Times New Roman" w:cs="Times New Roman" w:eastAsia="Times New Roman" w:hAnsi="Times New Roman"/>
          <w:sz w:val="18"/>
          <w:szCs w:val="18"/>
          <w:color w:val="auto"/>
        </w:rPr>
        <w:t>or telephonic notice to the Agent given no later than 11:00 a.m., Philadelphia time, one Business Day before any proposed prepayment; provided, however, that each such partial prepayment of a Term SOFR Rate Borrowing shall be in the principal amount of at least $500,000 or in whole multiples of $100,000 in excess thereof and each such partial prepayment of a Base Rate Borrowing shall be in the principal amount of at least $250,000 or in whole multiples of $50,000 in excess thereof.</w:t>
      </w:r>
    </w:p>
    <w:p>
      <w:pPr>
        <w:spacing w:after="0" w:line="359" w:lineRule="exact"/>
        <w:rPr>
          <w:sz w:val="20"/>
          <w:szCs w:val="20"/>
          <w:color w:val="auto"/>
        </w:rPr>
      </w:pPr>
    </w:p>
    <w:p>
      <w:pPr>
        <w:jc w:val="both"/>
        <w:ind w:firstLine="1665"/>
        <w:spacing w:after="0" w:line="254" w:lineRule="auto"/>
        <w:tabs>
          <w:tab w:leader="none" w:pos="22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any termination or reduction of the Total Commitment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the Borrower shall pay or prepay so much of the Borrowings as shall be necessary in order that the aggregate principal amount of the Loans then outstanding will not exceed the Total Commitment after giving effect to such termination or reduction.</w:t>
      </w:r>
    </w:p>
    <w:p>
      <w:pPr>
        <w:spacing w:after="0" w:line="140"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Each notice of prepayment shall specify the prepayment date and the principal amount of each Borrowing to be prepaid, shall be irrevocable and shall commit the Borrower to prepay such Borrowing (or portion thereof) by the amount stated therein. All prepayments under this Section on other than Base Rate Borrowings shall be accompanied by accrued interest on the principal amount being prepaid to the date of prepayment.</w:t>
      </w:r>
    </w:p>
    <w:p>
      <w:pPr>
        <w:spacing w:after="0" w:line="140"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u w:val="single" w:color="auto"/>
          <w:color w:val="auto"/>
        </w:rPr>
        <w:t>Term SOFR Rate Unascertainable; Increased Costs; Illegality; Benchmark Replacement Setting</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2220" w:hanging="555"/>
        <w:spacing w:after="0"/>
        <w:tabs>
          <w:tab w:leader="none" w:pos="2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Unascertainable; Increased Costs</w:t>
      </w:r>
      <w:r>
        <w:rPr>
          <w:rFonts w:ascii="Times New Roman" w:cs="Times New Roman" w:eastAsia="Times New Roman" w:hAnsi="Times New Roman"/>
          <w:sz w:val="18"/>
          <w:szCs w:val="18"/>
          <w:color w:val="auto"/>
        </w:rPr>
        <w:t>. If, at any time:</w:t>
      </w:r>
    </w:p>
    <w:p>
      <w:pPr>
        <w:spacing w:after="0" w:line="185" w:lineRule="exact"/>
        <w:rPr>
          <w:rFonts w:ascii="Times New Roman" w:cs="Times New Roman" w:eastAsia="Times New Roman" w:hAnsi="Times New Roman"/>
          <w:sz w:val="18"/>
          <w:szCs w:val="18"/>
          <w:color w:val="auto"/>
        </w:rPr>
      </w:pPr>
    </w:p>
    <w:p>
      <w:pPr>
        <w:jc w:val="both"/>
        <w:ind w:left="1120" w:firstLine="1099"/>
        <w:spacing w:after="0" w:line="267" w:lineRule="auto"/>
        <w:tabs>
          <w:tab w:leader="none" w:pos="27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determined (which determination shall be conclusive and binding absent manifest error) that the Term SOFR Rate cannot be determined pursuant to the definition thereof, or</w:t>
      </w:r>
    </w:p>
    <w:p>
      <w:pPr>
        <w:spacing w:after="0" w:line="348" w:lineRule="exact"/>
        <w:rPr>
          <w:rFonts w:ascii="Times New Roman" w:cs="Times New Roman" w:eastAsia="Times New Roman" w:hAnsi="Times New Roman"/>
          <w:sz w:val="18"/>
          <w:szCs w:val="18"/>
          <w:color w:val="auto"/>
        </w:rPr>
      </w:pPr>
    </w:p>
    <w:p>
      <w:pPr>
        <w:jc w:val="both"/>
        <w:ind w:left="1120" w:firstLine="1099"/>
        <w:spacing w:after="0" w:line="250" w:lineRule="auto"/>
        <w:tabs>
          <w:tab w:leader="none" w:pos="28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Banks determine that for any reason in connection with any request for a Term SOFR Rate Loan or a conversion thereto or a continuation thereof that the Term SOFR Rate does not adequately and fairly reflect the cost to such Banks of funding, establishing or maintaining such Loan during the applicable Interest Period, and the Required Banks have provided notice of such determination to the Agent,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Agent shall have the rights specified in subsection 2.10(c).</w:t>
      </w:r>
    </w:p>
    <w:p>
      <w:pPr>
        <w:spacing w:after="0" w:line="186" w:lineRule="exact"/>
        <w:rPr>
          <w:sz w:val="20"/>
          <w:szCs w:val="20"/>
          <w:color w:val="auto"/>
        </w:rPr>
      </w:pPr>
    </w:p>
    <w:p>
      <w:pPr>
        <w:jc w:val="both"/>
        <w:ind w:firstLine="1665"/>
        <w:spacing w:after="0" w:line="248" w:lineRule="auto"/>
        <w:tabs>
          <w:tab w:leader="none" w:pos="22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at any time any Bank shall have determined, or any Governmental Authority shall have asserted, that the making, maintenance or funding of any Term SOFR Rate Loan, or the determination or charging of interest rates based on the Term SOFR Rate, has been made impracticable or unlawful by compliance by such Bank in good faith with any Law or any interpretation or application thereof by any Governmental Authority or with any request or directive of any such Governmental Authority (whether or not having the force of Law), then the Agent shall have the rights specified in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and Bank’s Rights</w:t>
      </w:r>
      <w:r>
        <w:rPr>
          <w:rFonts w:ascii="Times New Roman" w:cs="Times New Roman" w:eastAsia="Times New Roman" w:hAnsi="Times New Roman"/>
          <w:sz w:val="18"/>
          <w:szCs w:val="18"/>
          <w:color w:val="auto"/>
        </w:rPr>
        <w:t xml:space="preserve">. In the case of any event specified in </w:t>
      </w:r>
      <w:r>
        <w:rPr>
          <w:rFonts w:ascii="Times New Roman" w:cs="Times New Roman" w:eastAsia="Times New Roman" w:hAnsi="Times New Roman"/>
          <w:sz w:val="18"/>
          <w:szCs w:val="18"/>
          <w:u w:val="single" w:color="auto"/>
          <w:color w:val="auto"/>
        </w:rPr>
        <w:t>subsection 2.10(a)</w:t>
      </w:r>
      <w:r>
        <w:rPr>
          <w:rFonts w:ascii="Times New Roman" w:cs="Times New Roman" w:eastAsia="Times New Roman" w:hAnsi="Times New Roman"/>
          <w:sz w:val="18"/>
          <w:szCs w:val="18"/>
          <w:color w:val="auto"/>
        </w:rPr>
        <w:t xml:space="preserve"> above, the Agent shall promptly so notify the Banks and the Borrower thereof, and in the case of an event specified in </w:t>
      </w:r>
      <w:r>
        <w:rPr>
          <w:rFonts w:ascii="Times New Roman" w:cs="Times New Roman" w:eastAsia="Times New Roman" w:hAnsi="Times New Roman"/>
          <w:sz w:val="18"/>
          <w:szCs w:val="18"/>
          <w:u w:val="single" w:color="auto"/>
          <w:color w:val="auto"/>
        </w:rPr>
        <w:t>subsection 2.10(b)</w:t>
      </w:r>
      <w:r>
        <w:rPr>
          <w:rFonts w:ascii="Times New Roman" w:cs="Times New Roman" w:eastAsia="Times New Roman" w:hAnsi="Times New Roman"/>
          <w:sz w:val="18"/>
          <w:szCs w:val="18"/>
          <w:color w:val="auto"/>
        </w:rPr>
        <w:t xml:space="preserve"> above, such Bank shall promptly so notify the Agent and endorse a certificate to such notice as to the specific circumstances of such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83" w:name="page84"/>
    <w:bookmarkEnd w:id="83"/>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notice, and the Agent shall promptly send copies of such notice and certificate to the other Banks and the Borrower. Upon such date as shall be specified in such notice (which shall not be earlier than the date such notice is given), the obligation of (i) the Banks, in the case of such notice given by the Agent, or (ii) such Bank, in the case of such notice given by such Bank, to allow the Borrower to select, convert to, renew or continue a Term SOFR Rate Loan shall be suspended (to the extent of the affected Term SOFR Rate Loan or Interest Periods) until the Agent shall have later notified the Borrower, or such Bank shall have later notified the Agent, of the Agent’s or such Bank’s, as the case may be, determination that the circumstances giving rise to such previous determination no longer exist. If at any time the Agent makes a determination under </w:t>
      </w:r>
      <w:r>
        <w:rPr>
          <w:rFonts w:ascii="Times New Roman" w:cs="Times New Roman" w:eastAsia="Times New Roman" w:hAnsi="Times New Roman"/>
          <w:sz w:val="18"/>
          <w:szCs w:val="18"/>
          <w:u w:val="single" w:color="auto"/>
          <w:color w:val="auto"/>
        </w:rPr>
        <w:t>subsection 2.10(a)</w:t>
      </w:r>
      <w:r>
        <w:rPr>
          <w:rFonts w:ascii="Times New Roman" w:cs="Times New Roman" w:eastAsia="Times New Roman" w:hAnsi="Times New Roman"/>
          <w:sz w:val="18"/>
          <w:szCs w:val="18"/>
          <w:color w:val="auto"/>
        </w:rPr>
        <w:t xml:space="preserve"> and the Borrower has previously notified the Agent of its selection of, conversion to or renewal of a Term SOFR Rate Option and the Term SOFR Rate Option has not yet gone into effect, such notification shall be deemed to provide for selection of, conversion to or renewal of the Base Rate Option otherwise available with respect to such Loans. If any Bank notifies the Agent of a determination under </w:t>
      </w:r>
      <w:r>
        <w:rPr>
          <w:rFonts w:ascii="Times New Roman" w:cs="Times New Roman" w:eastAsia="Times New Roman" w:hAnsi="Times New Roman"/>
          <w:sz w:val="18"/>
          <w:szCs w:val="18"/>
          <w:u w:val="single" w:color="auto"/>
          <w:color w:val="auto"/>
        </w:rPr>
        <w:t>subsection 2.10(b)</w:t>
      </w:r>
      <w:r>
        <w:rPr>
          <w:rFonts w:ascii="Times New Roman" w:cs="Times New Roman" w:eastAsia="Times New Roman" w:hAnsi="Times New Roman"/>
          <w:sz w:val="18"/>
          <w:szCs w:val="18"/>
          <w:color w:val="auto"/>
        </w:rPr>
        <w:t xml:space="preserve">, the Borrower shall, subject to the Borrower’s indemnification obligations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to any Loan of the Bank to which a Term SOFR Rate Option applies, on the date specified in such notice either convert such Loan to the Base Rate Option otherwise available with respect to such Loan or prepay such Loan in accordance with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Absent due notice from the Borrower of conversion or prepayment, such Loan shall automatically be converted to the Base Rate Option otherwise available with respect to such Loan upon such specified date.</w:t>
      </w:r>
    </w:p>
    <w:p>
      <w:pPr>
        <w:spacing w:after="0" w:line="368" w:lineRule="exact"/>
        <w:rPr>
          <w:sz w:val="20"/>
          <w:szCs w:val="20"/>
          <w:color w:val="auto"/>
        </w:rPr>
      </w:pPr>
    </w:p>
    <w:p>
      <w:pPr>
        <w:ind w:left="2220" w:hanging="555"/>
        <w:spacing w:after="0"/>
        <w:tabs>
          <w:tab w:leader="none" w:pos="2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1120" w:firstLine="1099"/>
        <w:spacing w:after="0" w:line="243" w:lineRule="auto"/>
        <w:tabs>
          <w:tab w:leader="none" w:pos="27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(and any agreement executed in connection with an interest rate hedge agreement or contract shall be deemed not to be a “Loan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Banks without any amendment to, or further action or consent of any other party to, this Agreement or any other Loan Document so long as the Agent has not received, by such time, written notice of objection to such Benchmark Replacement from Banks comprising the Required Banks.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84" w:name="page85"/>
    <w:bookmarkEnd w:id="84"/>
    <w:p>
      <w:pPr>
        <w:jc w:val="both"/>
        <w:ind w:left="1100" w:firstLine="1099"/>
        <w:spacing w:after="0" w:line="249" w:lineRule="auto"/>
        <w:tabs>
          <w:tab w:leader="none" w:pos="28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358" w:lineRule="exact"/>
        <w:rPr>
          <w:rFonts w:ascii="Times New Roman" w:cs="Times New Roman" w:eastAsia="Times New Roman" w:hAnsi="Times New Roman"/>
          <w:sz w:val="18"/>
          <w:szCs w:val="18"/>
          <w:color w:val="auto"/>
        </w:rPr>
      </w:pPr>
    </w:p>
    <w:p>
      <w:pPr>
        <w:jc w:val="both"/>
        <w:ind w:left="1100" w:firstLine="1099"/>
        <w:spacing w:after="0" w:line="244" w:lineRule="auto"/>
        <w:tabs>
          <w:tab w:leader="none" w:pos="28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Agent will promptly notify the Borrower and the Banks of (A) the implementation of any Benchmark Replacement, and (B) the effectiveness of any Conforming Changes in connection with the use, administration, adoption or implementation of a Benchmark Replacement. The Agent will notify the Borrower of (x) the removal or reinstatement of any tenor of a Benchmark pursuant to paragraph (iv) below and (y) the commencement of any Benchmark Unavailability Period. Any determination, decision or election that may be made by the Agent or, if applicable, any Bank (or group of Banks)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154" w:lineRule="exact"/>
        <w:rPr>
          <w:rFonts w:ascii="Times New Roman" w:cs="Times New Roman" w:eastAsia="Times New Roman" w:hAnsi="Times New Roman"/>
          <w:sz w:val="18"/>
          <w:szCs w:val="18"/>
          <w:color w:val="auto"/>
        </w:rPr>
      </w:pPr>
    </w:p>
    <w:p>
      <w:pPr>
        <w:jc w:val="both"/>
        <w:ind w:left="1100" w:firstLine="1099"/>
        <w:spacing w:after="0" w:line="243" w:lineRule="auto"/>
        <w:tabs>
          <w:tab w:leader="none" w:pos="28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Agent in its reasonable discretion or (II)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369" w:lineRule="exact"/>
        <w:rPr>
          <w:rFonts w:ascii="Times New Roman" w:cs="Times New Roman" w:eastAsia="Times New Roman" w:hAnsi="Times New Roman"/>
          <w:sz w:val="18"/>
          <w:szCs w:val="18"/>
          <w:color w:val="auto"/>
        </w:rPr>
      </w:pPr>
    </w:p>
    <w:p>
      <w:pPr>
        <w:jc w:val="both"/>
        <w:ind w:left="1100" w:firstLine="1099"/>
        <w:spacing w:after="0" w:line="260" w:lineRule="auto"/>
        <w:tabs>
          <w:tab w:leader="none" w:pos="27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with respect to a given Benchmark, the Borrower may revoke any pending request for a</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85" w:name="page86"/>
    <w:bookmarkEnd w:id="85"/>
    <w:p>
      <w:pPr>
        <w:jc w:val="both"/>
        <w:ind w:left="1100"/>
        <w:spacing w:after="0" w:line="247" w:lineRule="auto"/>
        <w:rPr>
          <w:sz w:val="20"/>
          <w:szCs w:val="20"/>
          <w:color w:val="auto"/>
        </w:rPr>
      </w:pPr>
      <w:r>
        <w:rPr>
          <w:rFonts w:ascii="Times New Roman" w:cs="Times New Roman" w:eastAsia="Times New Roman" w:hAnsi="Times New Roman"/>
          <w:sz w:val="18"/>
          <w:szCs w:val="18"/>
          <w:color w:val="auto"/>
        </w:rPr>
        <w:t>Loan bearing interest based on or with reference to such Benchmark or conversion to or continuation of Loans bearing interest based on or with reference to such Benchmark to be made, converted or continued during any Benchmark Unavailability Period and, failing that, the Borrower will be deemed to have converted any such request into a request for a Base Rate Loan or conversion to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49" w:lineRule="exact"/>
        <w:rPr>
          <w:sz w:val="20"/>
          <w:szCs w:val="20"/>
          <w:color w:val="auto"/>
        </w:rPr>
      </w:pPr>
    </w:p>
    <w:p>
      <w:pPr>
        <w:ind w:left="2800" w:hanging="601"/>
        <w:spacing w:after="0"/>
        <w:tabs>
          <w:tab w:leader="none" w:pos="2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Section:</w:t>
      </w:r>
    </w:p>
    <w:p>
      <w:pPr>
        <w:spacing w:after="0" w:line="186" w:lineRule="exact"/>
        <w:rPr>
          <w:sz w:val="20"/>
          <w:szCs w:val="20"/>
          <w:color w:val="auto"/>
        </w:rPr>
      </w:pPr>
    </w:p>
    <w:p>
      <w:pPr>
        <w:jc w:val="both"/>
        <w:ind w:left="1100"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spacing w:after="0" w:line="146" w:lineRule="exact"/>
        <w:rPr>
          <w:sz w:val="20"/>
          <w:szCs w:val="20"/>
          <w:color w:val="auto"/>
        </w:rPr>
      </w:pPr>
    </w:p>
    <w:p>
      <w:pPr>
        <w:jc w:val="both"/>
        <w:ind w:left="1100"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SOFR and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w:t>
      </w:r>
    </w:p>
    <w:p>
      <w:pPr>
        <w:spacing w:after="0" w:line="140" w:lineRule="exact"/>
        <w:rPr>
          <w:sz w:val="20"/>
          <w:szCs w:val="20"/>
          <w:color w:val="auto"/>
        </w:rPr>
      </w:pPr>
    </w:p>
    <w:p>
      <w:pPr>
        <w:jc w:val="both"/>
        <w:ind w:left="1100"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Agent for the applicable Benchmark Replacement Date:</w:t>
      </w:r>
    </w:p>
    <w:p>
      <w:pPr>
        <w:spacing w:after="0" w:line="136" w:lineRule="exact"/>
        <w:rPr>
          <w:sz w:val="20"/>
          <w:szCs w:val="20"/>
          <w:color w:val="auto"/>
        </w:rPr>
      </w:pPr>
    </w:p>
    <w:p>
      <w:pPr>
        <w:ind w:left="2760" w:hanging="561"/>
        <w:spacing w:after="0"/>
        <w:tabs>
          <w:tab w:leader="none" w:pos="2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the SOFR Adjustment; or</w:t>
      </w:r>
    </w:p>
    <w:p>
      <w:pPr>
        <w:spacing w:after="0" w:line="185" w:lineRule="exact"/>
        <w:rPr>
          <w:rFonts w:ascii="Times New Roman" w:cs="Times New Roman" w:eastAsia="Times New Roman" w:hAnsi="Times New Roman"/>
          <w:sz w:val="18"/>
          <w:szCs w:val="18"/>
          <w:color w:val="auto"/>
        </w:rPr>
      </w:pPr>
    </w:p>
    <w:p>
      <w:pPr>
        <w:jc w:val="both"/>
        <w:ind w:left="1100" w:firstLine="1099"/>
        <w:spacing w:after="0" w:line="248" w:lineRule="auto"/>
        <w:tabs>
          <w:tab w:leader="none" w:pos="27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Agent and the Borrower, giving due consideration to (x) any selection or recommendation of a replacement benchmark rate or the mechanism for determining such a rate by the Relevant Governmental Body or</w:t>
      </w:r>
    </w:p>
    <w:p>
      <w:pPr>
        <w:spacing w:after="0" w:line="2" w:lineRule="exact"/>
        <w:rPr>
          <w:rFonts w:ascii="Times New Roman" w:cs="Times New Roman" w:eastAsia="Times New Roman" w:hAnsi="Times New Roman"/>
          <w:sz w:val="18"/>
          <w:szCs w:val="18"/>
          <w:color w:val="auto"/>
        </w:rPr>
      </w:pPr>
    </w:p>
    <w:p>
      <w:pPr>
        <w:jc w:val="both"/>
        <w:ind w:left="1100" w:hanging="10"/>
        <w:spacing w:after="0" w:line="241" w:lineRule="auto"/>
        <w:tabs>
          <w:tab w:leader="none" w:pos="13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evolving or then-prevailing market convention for determining a benchmark rate as a replacement to the then-current Benchmark for U.S. dollar-denominated syndicated credit facilities at such time and</w:t>
      </w: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related Benchmark Replacement Adjustment;</w:t>
      </w:r>
    </w:p>
    <w:p>
      <w:pPr>
        <w:spacing w:after="0" w:line="166" w:lineRule="exact"/>
        <w:rPr>
          <w:sz w:val="20"/>
          <w:szCs w:val="20"/>
          <w:color w:val="auto"/>
        </w:rPr>
      </w:pPr>
    </w:p>
    <w:p>
      <w:pPr>
        <w:jc w:val="both"/>
        <w:ind w:left="110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the foregoing would be less than the Floor, the Benchmark Replacement will be deemed to be the Floor for the purposes of this Agreement and the other Loan Documents;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Benchmark Replacement shall be administratively feasible as determined by the Agent in its sole discretion.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86" w:name="page87"/>
    <w:bookmarkEnd w:id="86"/>
    <w:p>
      <w:pPr>
        <w:jc w:val="both"/>
        <w:ind w:left="1100"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51" w:lineRule="exact"/>
        <w:rPr>
          <w:sz w:val="20"/>
          <w:szCs w:val="20"/>
          <w:color w:val="auto"/>
        </w:rPr>
      </w:pPr>
    </w:p>
    <w:p>
      <w:pPr>
        <w:jc w:val="both"/>
        <w:ind w:left="1100" w:firstLine="110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Agent, which date shall be no later than the earliest to occur of the following events with respect to the then-current Benchmark:</w:t>
      </w:r>
    </w:p>
    <w:p>
      <w:pPr>
        <w:spacing w:after="0" w:line="348" w:lineRule="exact"/>
        <w:rPr>
          <w:sz w:val="20"/>
          <w:szCs w:val="20"/>
          <w:color w:val="auto"/>
        </w:rPr>
      </w:pPr>
    </w:p>
    <w:p>
      <w:pPr>
        <w:jc w:val="both"/>
        <w:ind w:left="1100" w:firstLine="1099"/>
        <w:spacing w:after="0" w:line="248" w:lineRule="auto"/>
        <w:tabs>
          <w:tab w:leader="none" w:pos="27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49" w:lineRule="exact"/>
        <w:rPr>
          <w:rFonts w:ascii="Times New Roman" w:cs="Times New Roman" w:eastAsia="Times New Roman" w:hAnsi="Times New Roman"/>
          <w:sz w:val="18"/>
          <w:szCs w:val="18"/>
          <w:color w:val="auto"/>
        </w:rPr>
      </w:pPr>
    </w:p>
    <w:p>
      <w:pPr>
        <w:jc w:val="both"/>
        <w:ind w:left="1100" w:firstLine="1099"/>
        <w:spacing w:after="0" w:line="260" w:lineRule="auto"/>
        <w:tabs>
          <w:tab w:leader="none" w:pos="27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determined by the Agent, which date shall promptly follow the date of the public statement or publication of information referenced therein;</w:t>
      </w:r>
    </w:p>
    <w:p>
      <w:pPr>
        <w:spacing w:after="0" w:line="136" w:lineRule="exact"/>
        <w:rPr>
          <w:sz w:val="20"/>
          <w:szCs w:val="20"/>
          <w:color w:val="auto"/>
        </w:rPr>
      </w:pPr>
    </w:p>
    <w:p>
      <w:pPr>
        <w:jc w:val="both"/>
        <w:ind w:left="1100"/>
        <w:spacing w:after="0" w:line="254"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40" w:lineRule="exact"/>
        <w:rPr>
          <w:sz w:val="20"/>
          <w:szCs w:val="20"/>
          <w:color w:val="auto"/>
        </w:rPr>
      </w:pPr>
    </w:p>
    <w:p>
      <w:pPr>
        <w:jc w:val="both"/>
        <w:ind w:left="1100"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18" w:lineRule="exact"/>
        <w:rPr>
          <w:sz w:val="20"/>
          <w:szCs w:val="20"/>
          <w:color w:val="auto"/>
        </w:rPr>
      </w:pPr>
    </w:p>
    <w:p>
      <w:pPr>
        <w:jc w:val="both"/>
        <w:ind w:left="1100" w:firstLine="1099"/>
        <w:spacing w:after="0" w:line="250" w:lineRule="auto"/>
        <w:tabs>
          <w:tab w:leader="none" w:pos="27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87" w:name="page88"/>
    <w:bookmarkEnd w:id="87"/>
    <w:p>
      <w:pPr>
        <w:ind w:left="1100"/>
        <w:spacing w:after="0" w:line="280" w:lineRule="auto"/>
        <w:rPr>
          <w:sz w:val="20"/>
          <w:szCs w:val="20"/>
          <w:color w:val="auto"/>
        </w:rPr>
      </w:pPr>
      <w:r>
        <w:rPr>
          <w:rFonts w:ascii="Times New Roman" w:cs="Times New Roman" w:eastAsia="Times New Roman" w:hAnsi="Times New Roman"/>
          <w:sz w:val="18"/>
          <w:szCs w:val="18"/>
          <w:color w:val="auto"/>
        </w:rPr>
        <w:t>that, at the time of such statement or publication, there is no successor administrator that will continue to provide any Available Tenor of such Benchmark (or such component thereof);</w:t>
      </w:r>
    </w:p>
    <w:p>
      <w:pPr>
        <w:spacing w:after="0" w:line="118" w:lineRule="exact"/>
        <w:rPr>
          <w:sz w:val="20"/>
          <w:szCs w:val="20"/>
          <w:color w:val="auto"/>
        </w:rPr>
      </w:pPr>
    </w:p>
    <w:p>
      <w:pPr>
        <w:jc w:val="both"/>
        <w:ind w:left="1100" w:firstLine="1099"/>
        <w:spacing w:after="0" w:line="244" w:lineRule="auto"/>
        <w:tabs>
          <w:tab w:leader="none" w:pos="27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a Governmental Authority having jurisdiction over the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152" w:lineRule="exact"/>
        <w:rPr>
          <w:rFonts w:ascii="Times New Roman" w:cs="Times New Roman" w:eastAsia="Times New Roman" w:hAnsi="Times New Roman"/>
          <w:sz w:val="18"/>
          <w:szCs w:val="18"/>
          <w:color w:val="auto"/>
        </w:rPr>
      </w:pPr>
    </w:p>
    <w:p>
      <w:pPr>
        <w:jc w:val="both"/>
        <w:ind w:left="1100" w:firstLine="1099"/>
        <w:spacing w:after="0" w:line="248" w:lineRule="auto"/>
        <w:tabs>
          <w:tab w:leader="none" w:pos="27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or a Governmental Authority having jurisdiction over the Agent announcing that such Benchmark (or such component thereof) or, if such Benchmark is a term rate or is based on a term rate, all Available Tenors of such Benchmark (or such component thereof) are not, or as of a specified future date will not be, representative.</w:t>
      </w:r>
    </w:p>
    <w:p>
      <w:pPr>
        <w:spacing w:after="0" w:line="149" w:lineRule="exact"/>
        <w:rPr>
          <w:sz w:val="20"/>
          <w:szCs w:val="20"/>
          <w:color w:val="auto"/>
        </w:rPr>
      </w:pPr>
    </w:p>
    <w:p>
      <w:pPr>
        <w:jc w:val="both"/>
        <w:ind w:left="1020" w:firstLine="1178"/>
        <w:spacing w:after="0" w:line="254"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0" w:lineRule="exact"/>
        <w:rPr>
          <w:sz w:val="20"/>
          <w:szCs w:val="20"/>
          <w:color w:val="auto"/>
        </w:rPr>
      </w:pPr>
    </w:p>
    <w:p>
      <w:pPr>
        <w:jc w:val="both"/>
        <w:ind w:left="1020" w:firstLine="1178"/>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(d) titled “Benchmark Replacement Setting” and (y) ending at the time that a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(d) titled “Benchmark Replacement Setting.”</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88" w:name="page89"/>
    <w:bookmarkEnd w:id="88"/>
    <w:p>
      <w:pPr>
        <w:jc w:val="both"/>
        <w:ind w:left="1040" w:firstLine="117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Term SOFR Rate or, if no floor is specified, zero.</w:t>
      </w:r>
    </w:p>
    <w:p>
      <w:pPr>
        <w:spacing w:after="0" w:line="136" w:lineRule="exact"/>
        <w:rPr>
          <w:sz w:val="20"/>
          <w:szCs w:val="20"/>
          <w:color w:val="auto"/>
        </w:rPr>
      </w:pPr>
    </w:p>
    <w:p>
      <w:pPr>
        <w:jc w:val="both"/>
        <w:ind w:left="1040" w:firstLine="117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40" w:lineRule="exact"/>
        <w:rPr>
          <w:sz w:val="20"/>
          <w:szCs w:val="20"/>
          <w:color w:val="auto"/>
        </w:rPr>
      </w:pPr>
    </w:p>
    <w:p>
      <w:pPr>
        <w:ind w:left="1120" w:firstLine="554"/>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18"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(a) In the event that any Change in Law shall:</w:t>
      </w:r>
    </w:p>
    <w:p>
      <w:pPr>
        <w:spacing w:after="0" w:line="186" w:lineRule="exact"/>
        <w:rPr>
          <w:sz w:val="20"/>
          <w:szCs w:val="20"/>
          <w:color w:val="auto"/>
        </w:rPr>
      </w:pPr>
    </w:p>
    <w:p>
      <w:pPr>
        <w:jc w:val="both"/>
        <w:ind w:left="1120" w:firstLine="1099"/>
        <w:spacing w:after="0" w:line="254" w:lineRule="auto"/>
        <w:tabs>
          <w:tab w:leader="none" w:pos="27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Bank or the Agent to any tax of any kind whatsoever with respect to this Agreement, any Note or Term SOFR Rate Loan made by it, or change the basis of taxation of payments to such Bank in respect thereof (except for Taxes or Other Taxes covered by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the imposition of, or any change in the rate of, any Excluded Tax payable by any Bank);</w:t>
      </w:r>
    </w:p>
    <w:p>
      <w:pPr>
        <w:spacing w:after="0" w:line="140" w:lineRule="exact"/>
        <w:rPr>
          <w:rFonts w:ascii="Times New Roman" w:cs="Times New Roman" w:eastAsia="Times New Roman" w:hAnsi="Times New Roman"/>
          <w:sz w:val="18"/>
          <w:szCs w:val="18"/>
          <w:color w:val="auto"/>
        </w:rPr>
      </w:pPr>
    </w:p>
    <w:p>
      <w:pPr>
        <w:jc w:val="both"/>
        <w:ind w:left="1120" w:firstLine="1099"/>
        <w:spacing w:after="0" w:line="260" w:lineRule="auto"/>
        <w:tabs>
          <w:tab w:leader="none" w:pos="28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Bank; or</w:t>
      </w:r>
    </w:p>
    <w:p>
      <w:pPr>
        <w:spacing w:after="0" w:line="135" w:lineRule="exact"/>
        <w:rPr>
          <w:rFonts w:ascii="Times New Roman" w:cs="Times New Roman" w:eastAsia="Times New Roman" w:hAnsi="Times New Roman"/>
          <w:sz w:val="18"/>
          <w:szCs w:val="18"/>
          <w:color w:val="auto"/>
        </w:rPr>
      </w:pPr>
    </w:p>
    <w:p>
      <w:pPr>
        <w:ind w:left="1120" w:firstLine="1099"/>
        <w:spacing w:after="0" w:line="280" w:lineRule="auto"/>
        <w:tabs>
          <w:tab w:leader="none" w:pos="28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Bank or the relevant market any other condition, cost or expense affecting this Agreement or any Loan made by such Bank;</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Bank or the Agent of making, converting to, continuing or maintaining any Loan (or of maintaining its obligation to make any such Loan), or to increase the cost to such Bank or the Agent, or to reduce the amount of any sum received or receivable by such Bank or the Agent hereunder (whether of principal, interest or any other amount) then, upon request of such Bank or the Agent, the Borrower will pay to such Bank or the Agent, such additional amount or amounts as will compensate such Bank or the Agent,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any Change in Law imposing a reserve percentage on any interest rate based on SOFR, the Agent, in its reasonable discretion, may modify the calculation of each such SOFR-based interest rate to add (or otherwise account for) such reserve percentage. Failure or delay on the part of any Bank or the Agent to demand compensation pursuant to this subsection shall not constitute a waiver of such Bank’s or the Agent’s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liable for any such amounts incurred or suffered by such Bank more than 180 days prior to the date of such Bank’s notification to the Borrower (except that, if the Change in Law giving rise to such increased costs or reductions is retroactive, then the 180-day period referred to above shall be extended to include the period of retroactive effect thereof). If</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89" w:name="page90"/>
    <w:bookmarkEnd w:id="89"/>
    <w:p>
      <w:pPr>
        <w:jc w:val="both"/>
        <w:spacing w:after="0" w:line="246" w:lineRule="auto"/>
        <w:rPr>
          <w:sz w:val="20"/>
          <w:szCs w:val="20"/>
          <w:color w:val="auto"/>
        </w:rPr>
      </w:pPr>
      <w:r>
        <w:rPr>
          <w:rFonts w:ascii="Times New Roman" w:cs="Times New Roman" w:eastAsia="Times New Roman" w:hAnsi="Times New Roman"/>
          <w:sz w:val="18"/>
          <w:szCs w:val="18"/>
          <w:color w:val="auto"/>
        </w:rPr>
        <w:t>any Bank becomes entitled to claim any additional amounts pursuant to this subsection, it shall as promptly as practicable notify the Borrower, through the Agent, of the event by reason of which it has become so entitled. A certificate explaining and detailing any additional amounts payable pursuant to this subsection submitted by such Bank, through the Agent, to the Borrower shall be conclusive in the absence of clearly demonstrable error. If any such amount paid by the Borrower to such Bank is subsequently determined not to have been due and is refunded to such Bank, such Bank will reimburse the Borrower for amounts paid in respect of such refunded amount without interest (other than any interest paid by the relevant Governmental Authority with respect to such refunded amount). This covenant shall survive the termination of this Agreement and the payment of the Notes and all other amounts payable hereunder.</w:t>
      </w:r>
    </w:p>
    <w:p>
      <w:pPr>
        <w:spacing w:after="0" w:line="151" w:lineRule="exact"/>
        <w:rPr>
          <w:sz w:val="20"/>
          <w:szCs w:val="20"/>
          <w:color w:val="auto"/>
        </w:rPr>
      </w:pPr>
    </w:p>
    <w:p>
      <w:pPr>
        <w:jc w:val="both"/>
        <w:ind w:firstLine="1665"/>
        <w:spacing w:after="0" w:line="244" w:lineRule="auto"/>
        <w:tabs>
          <w:tab w:leader="none" w:pos="22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Bank determines that any Change in Law affecting such Bank or any lending office of such Bank or such Bank’s holding company, if any, regarding capital or liquidity requirements has or would have the effect of reducing the rate of return on such Bank’s capital or on the capital of such Bank’s holding company, if any, as a consequence of this Agreement, the Commitment of such Bank or the Loans made by, or participations in Swing Line Loans held by, such Bank, to a level below that which such Bank or such Bank’s holding company could have achieved but for such Change in Law (taking into consideration such Bank’s policies and the policies of such Bank’s holding company with respect to capital adequacy), then from time to time the Borrower will pay to such Bank, such additional amount or amounts as will compensate such Bank or such Bank’s holding company for any such reduction suffered. If any Bank becomes entitled to claim any additional amounts pursuant to this subsection, it shall as promptly as practicable notify the Borrower, through the Agent, of the event by reason of which it has become so entitled. A certificate explaining and detailing any additional amounts payable pursuant to this subsection submitted by such Bank, through the Agent, to the Borrower shall be conclusive in the absence of clearly demonstrable error. This covenant shall survive the termination of this Agreement and the payment of the Notes and all other amounts payable hereunder.</w:t>
      </w:r>
    </w:p>
    <w:p>
      <w:pPr>
        <w:spacing w:after="0" w:line="152" w:lineRule="exact"/>
        <w:rPr>
          <w:rFonts w:ascii="Times New Roman" w:cs="Times New Roman" w:eastAsia="Times New Roman" w:hAnsi="Times New Roman"/>
          <w:sz w:val="18"/>
          <w:szCs w:val="18"/>
          <w:color w:val="auto"/>
        </w:rPr>
      </w:pPr>
    </w:p>
    <w:p>
      <w:pPr>
        <w:jc w:val="both"/>
        <w:ind w:firstLine="1665"/>
        <w:spacing w:after="0" w:line="247" w:lineRule="auto"/>
        <w:tabs>
          <w:tab w:leader="none" w:pos="2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Bank agrees that it will use reasonable efforts in order to avoid or to minimize, as the case may be, the payment by the Borrower of any additional amount under subsections 2.11(a) and (b); provided, however, that no Bank shall be obligated to incur any expense, cost or other amount in connection with utilizing such reasonable efforts. Notwithstanding any other provision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no Bank shall apply the provisions of subsections 2.11(a) or (b) hereof with respect to the Borrower if it shall not at the time be the general policy or practice of the Bank exercising its rights hereunder to apply the provisions similar to those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to other borrowers in substantially similar circumstances under substantially comparable provisions of other credit agreements.</w:t>
      </w:r>
    </w:p>
    <w:p>
      <w:pPr>
        <w:spacing w:after="0" w:line="149"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All payments made by the Borrower under this Agreement and the Notes shall be made free and clear of, and without deduction for any present or future taxes, levies, imposts, deductions, charges, or withholdings, and all liabilities with respect thereto, including any interest, additions to tax or penalties applicable thereto (other than Excluded Taxes) (all such non-excluded taxes, levies, imposts, duties, charges, fees, deductions and withholdings being hereinafter called “Taxes”). If the Borrower shall be required by Law to deduct any Taxes from or in respect of any sum payable hereunder or under any Note, (i) the sum payable shall be increased as may be necessary so that after making all required deductions (including deductions applicable to additional sums payable under this Section) the Agent and each Bank receives 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0" w:name="page91"/>
    <w:bookmarkEnd w:id="90"/>
    <w:p>
      <w:pPr>
        <w:jc w:val="both"/>
        <w:spacing w:after="0" w:line="246" w:lineRule="auto"/>
        <w:rPr>
          <w:sz w:val="20"/>
          <w:szCs w:val="20"/>
          <w:color w:val="auto"/>
        </w:rPr>
      </w:pPr>
      <w:r>
        <w:rPr>
          <w:rFonts w:ascii="Times New Roman" w:cs="Times New Roman" w:eastAsia="Times New Roman" w:hAnsi="Times New Roman"/>
          <w:sz w:val="18"/>
          <w:szCs w:val="18"/>
          <w:color w:val="auto"/>
        </w:rPr>
        <w:t>amount equal to the sum it would have received had no such deductions been made, (ii) the Borrower shall make such deductions and (iii) the Borrower shall timely pay the full amount deducted to the relevant tax authority or other authority in accordance with applicable Law. As used herein, the term “Excluded Taxes” shall mean, with respect to the Agent, any Bank or any other recipient of any payment to be made by or on account of any obligation of the Borrower hereunder,</w:t>
      </w:r>
    </w:p>
    <w:p>
      <w:pPr>
        <w:spacing w:after="0" w:line="3" w:lineRule="exact"/>
        <w:rPr>
          <w:sz w:val="20"/>
          <w:szCs w:val="20"/>
          <w:color w:val="auto"/>
        </w:rPr>
      </w:pPr>
    </w:p>
    <w:p>
      <w:pPr>
        <w:jc w:val="both"/>
        <w:ind w:firstLine="1"/>
        <w:spacing w:after="0" w:line="243" w:lineRule="auto"/>
        <w:tabs>
          <w:tab w:leader="none" w:pos="22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Bank, in which its applicable lending office is located, (ii) any branch profits taxes imposed by the United States of America or any similar tax imposed by any other jurisdiction in which the Borrower is located and (iii) in the case of a Foreign Bank, any withholding tax (including under FATCA) that is imposed on amounts payable to such Foreign Bank at the time such Foreign Bank becomes a party hereto (or designates a new lending office), except to the extent that such Foreign Bank (or its assignor, if any) was entitled, at the time of designation of a new lending office (or assignment), to receive additional amounts from the Borrower with respect to such withholding tax pursuant to this Section 2.12.</w:t>
      </w:r>
    </w:p>
    <w:p>
      <w:pPr>
        <w:spacing w:after="0" w:line="150"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Borrower agrees to pay any present or future stamp or documentary taxes or any other excise or property taxes, charges, or similar levies which arise from any payment made hereunder, under the Notes or under any other Loan Document or from the execution, delivery, or registration of, or otherwise with respect to, this Agreement, any Note or any other Loan Document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jc w:val="both"/>
        <w:ind w:firstLine="1665"/>
        <w:spacing w:after="0" w:line="247" w:lineRule="auto"/>
        <w:tabs>
          <w:tab w:leader="none" w:pos="221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Agent and each Bank for the full amount of Taxes or Other Taxes (including, without limitation, any Taxes or Other Taxes imposed by any jurisdiction on amounts payable under this subsection) paid by the Agent or any Bank and any liability (including penalties, interest, and expenses) arising therefrom or with respect thereto, whether or not such Taxes or Other Taxes were correctly or legally asserted. This indemnification shall be made within 30 days from the date the Agent or a Bank makes written demand therefor accompanied by a certificate explaining and detailing any such Taxes or Other Taxes paid by the Agent or such Bank which shall be conclusive in the absence of demonstrable error.</w:t>
      </w:r>
    </w:p>
    <w:p>
      <w:pPr>
        <w:spacing w:after="0" w:line="149"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the date of any payment of any Taxes or Other Taxes by the Borrower, if available, the Borrower shall furnish to the Agent and each Bank, at its address referred to herein, the original or a certified copy of a receipt evidencing payment thereof.</w:t>
      </w:r>
    </w:p>
    <w:p>
      <w:pPr>
        <w:spacing w:after="0" w:line="135" w:lineRule="exact"/>
        <w:rPr>
          <w:rFonts w:ascii="Times New Roman" w:cs="Times New Roman" w:eastAsia="Times New Roman" w:hAnsi="Times New Roman"/>
          <w:sz w:val="18"/>
          <w:szCs w:val="18"/>
          <w:color w:val="auto"/>
        </w:rPr>
      </w:pPr>
    </w:p>
    <w:p>
      <w:pPr>
        <w:jc w:val="both"/>
        <w:ind w:firstLine="1665"/>
        <w:spacing w:after="0" w:line="245" w:lineRule="auto"/>
        <w:tabs>
          <w:tab w:leader="none" w:pos="221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or a Bank determines, in its sole discretion exercised in good faith, that it has received a refund of any Taxes or Other Taxes paid by the Borrower pursuant to subsections 2.12(a), (b) or (c), it shall pay to the Borrower an amount equal to such refund (but only to the extent of payments made by the Borrower under this Section 2.12 with respect to the Taxes or Other Taxes giving rise to such refund), net of all out-of-pocket expenses (including Taxes) of such party and without interest (other than any interest paid by the relevant Governmental Authority with respect to such refund). The Borrower, upon the request of such party, shall repay to such party the amount paid over pursuant to this Section 2.12(e) (plus any penalties, interest or other charges imposed by the relevant Governmental Authority) in the event that such party is required to repay such refund to such Governmental Authority. Notwithstanding anything to the contrary in this 2.12(e) in no event will such party be required to pay any amount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1" w:name="page92"/>
    <w:bookmarkEnd w:id="91"/>
    <w:p>
      <w:pPr>
        <w:jc w:val="both"/>
        <w:spacing w:after="0" w:line="246" w:lineRule="auto"/>
        <w:rPr>
          <w:sz w:val="20"/>
          <w:szCs w:val="20"/>
          <w:color w:val="auto"/>
        </w:rPr>
      </w:pPr>
      <w:r>
        <w:rPr>
          <w:rFonts w:ascii="Times New Roman" w:cs="Times New Roman" w:eastAsia="Times New Roman" w:hAnsi="Times New Roman"/>
          <w:sz w:val="18"/>
          <w:szCs w:val="18"/>
          <w:color w:val="auto"/>
        </w:rPr>
        <w:t>to the Borrower pursuant to this 2.12(e) the payment of which would place such party in a less favorable net after-Tax position than it would have been in if the Tax or Other Tax paid by the Borrower and giving rise to such refund had not been deducted, withheld or otherwise imposed and the payments or additional amounts with respect to such Tax or Other Tax had never been paid. This paragraph shall not be construed to require the Agent or any Bank to make available its Tax returns (or any other information relating to its Taxes that it deems confidential) to the Borrower or any other Person. Without prejudice to the survival of any other agreement of the Borrower hereunder, the agreements and obligations of the Borrower contained in subsections 2.12(a) through (d) shall survive the payment in full of principal and interest hereunder and under any instrument delivered hereunder.</w:t>
      </w:r>
    </w:p>
    <w:p>
      <w:pPr>
        <w:spacing w:after="0" w:line="151" w:lineRule="exact"/>
        <w:rPr>
          <w:sz w:val="20"/>
          <w:szCs w:val="20"/>
          <w:color w:val="auto"/>
        </w:rPr>
      </w:pPr>
    </w:p>
    <w:p>
      <w:pPr>
        <w:jc w:val="both"/>
        <w:ind w:firstLine="1665"/>
        <w:spacing w:after="0" w:line="242" w:lineRule="auto"/>
        <w:tabs>
          <w:tab w:leader="none" w:pos="22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that is created or organized under the Laws of the United States, any State thereof or the District of Columbia shall deliver to the Borrower and the Agent on or prior to the date on which such Person becomes a Bank under this Agreement (and from time to time thereafter upon the reasonable request of the Borrower or the Agent), executed originals of IRS Form W-9 certifying that such Bank is exempt from U.S. federal backup withholding tax. Each Foreign Bank agrees that it will deliver to the Borrower and the Agent on or prior to the date on which such Person becomes a Bank under this Agreement (and from time to time thereafter upon the reasonable request of the Borrower or the Agent), two completed originals of each of the following, as applicable; (A) Forms W-8ECI (claiming exemption from U.S. withholding tax because the income is effectively connected with a U.S. trade or business), W-8BEN or W-8BEN-E, as applicable, (claiming exemption from, or a reduction of, U.S. withholding tax under an income tax treaty) and/or W-8IMY (together with appropriate forms, certifications and supporting statements) or any successor forms, (B) in the case of a Foreign Bank claiming exemption under Sections 871(h) or 881(c) of the Code, Form W-8BEN or W-8BEN-E, as applicable (claiming exemption from U.S. withholding tax under the portfolio interest exemption) or any successor form and a certificate in form and substance acceptable to the Borrower and the Agent. Such Bank shall certify, in the case of a Form W-8ECI, W-8BEN or W-8BEN-E, as applicable or W-8IMY, that it is entitled to receive payments under this Agreement without deduction or withholding of any United States federal income taxes. If a payment made to a Foreign Bank would be subject to U.S. Federal withholding tax imposed by FATCA if such Bank were to fail to comply with the applicable reporting requirements of FATCA (including those contained in Sections 1471(b) or 1472(b) of the Code, as applicable), such Bank shall deliver to the Borrower and the Agent, at the time or times prescribed by law and at such time or times reasonably requested by the Borrower or the Agent, such documentation prescribed by applicable law (including any notice described in Section 1471(b)(3)(C)(i) of the Code) and such additional documentation reasonably requested by the Borrower or the Agent as may be necessary for the Borrower or the Agent, as the case may be, to comply with their obligations under FATCA, to determine whether such Bank has or has not complied with such Bank’s obligations under FATCA or to determine the amount to deduct and withhold from such payment. If any form provided by a Foreign Bank at the time such Bank first becomes a party to this Agreement indicates a United States interest withholding rate in excess of zero, withholding tax at such rate shall be considered excluded from “Taxes” as defined in subsection 2.12(a). Each Bank shall deliver to the Borrower and the Agent, with respect to Taxes imposed by any Governmental Authority other than the United States of America, similar forms, if available (or the information that would be contained in similar forms if such forms were available), to the forms which are required to be provided under this subsection with respect to Taxes of the United States of America.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2" w:name="page93"/>
    <w:bookmarkEnd w:id="92"/>
    <w:p>
      <w:pPr>
        <w:jc w:val="both"/>
        <w:ind w:firstLine="1665"/>
        <w:spacing w:after="0" w:line="246" w:lineRule="auto"/>
        <w:tabs>
          <w:tab w:leader="none" w:pos="22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subsections 2.12(a) through (e), the Borrower shall not be required to pay any additional amounts to any Bank in respect of United States withholding or backup withholding tax pursuant to such subsections if (i) the obligation to pay such additional amounts would not have arisen but for a failure by such Bank to comply with the requirements of subsection 2.12(f) (other than by reason of a Change in Law) or (ii) such Bank shall not have furnished the Borrower with such forms and documentation described in subsection 2.12(f) and shall not have taken such other steps as reasonably may be available to it under applicable tax laws and any applicable tax treaty or convention to obtain an exemption from, or reduction (to the lowest applicable rate) of, such United States withholding tax.</w:t>
      </w:r>
    </w:p>
    <w:p>
      <w:pPr>
        <w:spacing w:after="0" w:line="363"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Borrower agrees to indemnify each Bank and to hold each Bank harmless from any loss or expense which such Bank may sustain or incur as a consequence of (a) default by the Borrower in payment when due of the principal amount of or interest on any Term SOFR Rate Loan, (b) default by the Borrower in making a borrowing of, conversion into or continuation of Term SOFR Rate Loans after the Borrower has given a notice requesting the same in accordance with the provisions of this Agreement, (c) default by the Borrower in making any prepayment after the Borrower has given a notice thereof in accordance with the provisions of this Agreement or (d) the making of a prepayment of Term SOFR Rate Loans on a day which is not the last day of an Interest Period with respect thereto, including, without limitation, in each case, any such loss or expense arising from the reemployment of funds obtained by it or from fees payable to terminate the deposits from which such funds were obtained. This covenant shall survive the termination of this Agreement and the payment of the Notes and all other amounts payable hereunder. For the purpose of calculation of all amounts payable to a Bank under this Section, each Bank shall be deemed to have actually funded its relevant Term SOFR Rate Loan or Swing Line Loan through the purchase of a deposit bearing interest at the Term SOFR Rate or the applicable rate on such Swing Line Loan, as the case may be, in an amount equal to the amount of that Term SOFR Rate Loan or Swing Line Loan, as the case may be, and having a maturity comparable to the relevant Interest Period or applicable period for such Term SOFR Rate Loan or Swing Line Loan; provided, however, that each Bank may fund each of its Term SOFR Rate Loans and the Swing Line Bank may fund its Swing Line Loans in any manner it sees fit, and the foregoing assumptions shall be utilized only for the calculation of amounts payable under this Section.</w:t>
      </w:r>
    </w:p>
    <w:p>
      <w:pPr>
        <w:spacing w:after="0" w:line="157"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Pro Rata Treatment, etc</w:t>
      </w:r>
      <w:r>
        <w:rPr>
          <w:rFonts w:ascii="Times New Roman" w:cs="Times New Roman" w:eastAsia="Times New Roman" w:hAnsi="Times New Roman"/>
          <w:sz w:val="18"/>
          <w:szCs w:val="18"/>
          <w:color w:val="auto"/>
        </w:rPr>
        <w:t>. Except as required under Sections 2.2 and 2.10, each Borrowing, each payment or prepayment of principal of any Borrowing, each payment of interest on the Loans, each reduction of the Commitments, each refinancing of any Borrowing with a Borrowing of any Type and each conversion of Loans, shall be made pro rata among the Banks in accordance with their respective Commitment Percentages. Each Bank agrees that in computing such Bank’s portion of any Borrowing to be made hereunder, the Agent may, in its discretion, round each Bank’s percentage of such Borrowing to the next higher or lower whole dollar amount.</w:t>
      </w:r>
    </w:p>
    <w:p>
      <w:pPr>
        <w:spacing w:after="0" w:line="149"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 The Borrower shall make each payment (including principal of or interest on any Loan or any Fees or other amounts) hereunder not later than 12:00 (noon), Philadelphia time, on the date when due in Dollars to the Agent at its offices at 1600 Market Street, Philadelphia, Pennsylvania, or at such other place as may be designated by the Agent, in immediately available funds.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3" w:name="page94"/>
    <w:bookmarkEnd w:id="93"/>
    <w:p>
      <w:pPr>
        <w:jc w:val="both"/>
        <w:ind w:firstLine="1665"/>
        <w:spacing w:after="0" w:line="254" w:lineRule="auto"/>
        <w:tabs>
          <w:tab w:leader="none" w:pos="22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(including principal of or interest on any Loan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40" w:lineRule="exact"/>
        <w:rPr>
          <w:sz w:val="20"/>
          <w:szCs w:val="20"/>
          <w:color w:val="auto"/>
        </w:rPr>
      </w:pPr>
    </w:p>
    <w:p>
      <w:pPr>
        <w:jc w:val="both"/>
        <w:ind w:firstLine="1109"/>
        <w:spacing w:after="0" w:line="247"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 The Borrower shall have the right at any time upon prior irrevocable notice to the Agent (i) not later than 11:00 a.m., Philadelphia time, on the Business Day of conversion, to convert any Term SOFR Rate Loan to a Base Rate Loan, (ii) not later than 11:00 a.m., Philadelphia time, three Business Days prior to conversion or continuation, (y) to convert any Base Rate Loan into a Term SOFR Rate Loan, or (z) to continue any Term SOFR Rate Loan as a Term SOFR Rate Loan for any additional Interest Period, and (iii) not later than 11:00 a.m., Philadelphia time, three Business Days prior to conversion, to convert the Interest Period with respect to any Term SOFR Rate Loan to another permissible Interest Period, subject in each case to the following:</w:t>
      </w:r>
    </w:p>
    <w:p>
      <w:pPr>
        <w:spacing w:after="0" w:line="149" w:lineRule="exact"/>
        <w:rPr>
          <w:sz w:val="20"/>
          <w:szCs w:val="20"/>
          <w:color w:val="auto"/>
        </w:rPr>
      </w:pPr>
    </w:p>
    <w:p>
      <w:pPr>
        <w:ind w:firstLine="1665"/>
        <w:spacing w:after="0" w:line="280" w:lineRule="auto"/>
        <w:tabs>
          <w:tab w:leader="none" w:pos="22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SOFR Rate Loan may not be converted at a time other than the last day of the Interest Period applicable thereto;</w:t>
      </w:r>
    </w:p>
    <w:p>
      <w:pPr>
        <w:spacing w:after="0" w:line="117" w:lineRule="exact"/>
        <w:rPr>
          <w:rFonts w:ascii="Times New Roman" w:cs="Times New Roman" w:eastAsia="Times New Roman" w:hAnsi="Times New Roman"/>
          <w:sz w:val="18"/>
          <w:szCs w:val="18"/>
          <w:color w:val="auto"/>
        </w:rPr>
      </w:pPr>
    </w:p>
    <w:p>
      <w:pPr>
        <w:ind w:firstLine="1665"/>
        <w:spacing w:after="0" w:line="280" w:lineRule="auto"/>
        <w:tabs>
          <w:tab w:leader="none" w:pos="222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 Revolving Credit Loan maturing or required to be repaid in less than one month may not be converted into or continued as a Term SOFR Rate Loan;</w:t>
      </w:r>
    </w:p>
    <w:p>
      <w:pPr>
        <w:spacing w:after="0" w:line="117" w:lineRule="exact"/>
        <w:rPr>
          <w:rFonts w:ascii="Times New Roman" w:cs="Times New Roman" w:eastAsia="Times New Roman" w:hAnsi="Times New Roman"/>
          <w:sz w:val="18"/>
          <w:szCs w:val="18"/>
          <w:color w:val="auto"/>
        </w:rPr>
      </w:pPr>
    </w:p>
    <w:p>
      <w:pPr>
        <w:ind w:firstLine="1665"/>
        <w:spacing w:after="0" w:line="280" w:lineRule="auto"/>
        <w:tabs>
          <w:tab w:leader="none" w:pos="22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 SOFR Rate Loan may be continued as such and no Base Rate Loan may be converted to a Term SOFR Rate Loan when any Default or Event of Default has occurred and is continuing;</w:t>
      </w:r>
    </w:p>
    <w:p>
      <w:pPr>
        <w:spacing w:after="0" w:line="117"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2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 Term SOFR Rate Loan that cannot be converted into or continued as a Term SOFR Rate Loan by reason of paragraph 2.16(b) or 2.16(c) automatically shall be converted at the end of the Interest Period in effect for such Revolving Credit Loan to a Base Rate Loan;</w:t>
      </w:r>
    </w:p>
    <w:p>
      <w:pPr>
        <w:spacing w:after="0" w:line="135"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third Business Day prior to the last day of any Interest Period for Term SOFR Rate Loans, the Borrower has failed to give notice of conversion or continuation as described in this subsection, the Agent shall give notice thereof to the Banks and such Revolving Credit Loans shall be automatically converted to Base Rate Loans on the last day of such then expiring Interest Period; and</w:t>
      </w:r>
    </w:p>
    <w:p>
      <w:pPr>
        <w:spacing w:after="0" w:line="140"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request by the Borrower to convert or continue a Revolving Credit Loan shall constitute a representation and warranty that each of the representations and warranties made by the Borrower herein is true and correct in all material respects on and as of such date as if made on and as of such date.</w:t>
      </w:r>
    </w:p>
    <w:p>
      <w:pPr>
        <w:spacing w:after="0" w:line="13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Accrued interest on a Revolving Credit Loan (or portion thereof) being converted shall be paid by the Borrower at the time of conversion.</w:t>
      </w:r>
    </w:p>
    <w:p>
      <w:pPr>
        <w:spacing w:after="0" w:line="118" w:lineRule="exact"/>
        <w:rPr>
          <w:sz w:val="20"/>
          <w:szCs w:val="20"/>
          <w:color w:val="auto"/>
        </w:rPr>
      </w:pPr>
    </w:p>
    <w:p>
      <w:pPr>
        <w:ind w:firstLine="1109"/>
        <w:spacing w:after="0" w:line="280"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Defaulting Banks</w:t>
      </w:r>
      <w:r>
        <w:rPr>
          <w:rFonts w:ascii="Times New Roman" w:cs="Times New Roman" w:eastAsia="Times New Roman" w:hAnsi="Times New Roman"/>
          <w:sz w:val="18"/>
          <w:szCs w:val="18"/>
          <w:color w:val="auto"/>
        </w:rPr>
        <w:t>. Notwithstanding any provision of this Agreement to the contrary, if any Bank becomes a Defaulting Bank, then the following provisions shall apply for so long as such Bank is a Defaulting Bank: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4" w:name="page95"/>
    <w:bookmarkEnd w:id="94"/>
    <w:p>
      <w:pPr>
        <w:jc w:val="both"/>
        <w:ind w:firstLine="1665"/>
        <w:spacing w:after="0" w:line="250" w:lineRule="auto"/>
        <w:tabs>
          <w:tab w:leader="none" w:pos="22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Defaulting Bank, or the Exposure and Commitment Percentage of such Defaulting Bank, as applicable, shall not be included in determining whether all Banks or Required Banks have taken or may take any action hereunder (including any consent to any amendment or waiver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provided that any waiver, amendment or modification requiring the consent of all Banks or each affected Bank which affects such Defaulting Bank differently than other affected Banks shall require the consent of such Defaulting Bank;</w:t>
      </w:r>
    </w:p>
    <w:p>
      <w:pPr>
        <w:spacing w:after="0" w:line="146"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outstanding Swing Line Loans exist at the time a Bank becomes a Defaulting Bank</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w:t>
      </w:r>
    </w:p>
    <w:p>
      <w:pPr>
        <w:spacing w:after="0" w:line="165" w:lineRule="exact"/>
        <w:rPr>
          <w:rFonts w:ascii="Times New Roman" w:cs="Times New Roman" w:eastAsia="Times New Roman" w:hAnsi="Times New Roman"/>
          <w:sz w:val="18"/>
          <w:szCs w:val="18"/>
          <w:color w:val="auto"/>
        </w:rPr>
      </w:pPr>
    </w:p>
    <w:p>
      <w:pPr>
        <w:jc w:val="both"/>
        <w:ind w:left="1120" w:firstLine="1099"/>
        <w:spacing w:after="0" w:line="248" w:lineRule="auto"/>
        <w:tabs>
          <w:tab w:leader="none" w:pos="27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Defaulting Bank’s pro rata portion of such Swing Line Loans shall be reallocated among the Non-Defaulting Banks in accordance with their respective Adjusted Revolving Credit Commitment Percentages but only to the extent the sum of (A) the Revolving Credit Loans of all Non-Defaulting Banks plus (B) all Non-Defaulting Banks’ Adjusted Revolving Credit Commitment Percentages of the aggregate principal amount of all outstanding Swing Line Loans then outstanding does not exceed the aggregate amount of the Commitments of all Non-Defaulting Banks;</w:t>
      </w:r>
    </w:p>
    <w:p>
      <w:pPr>
        <w:spacing w:after="0" w:line="149" w:lineRule="exact"/>
        <w:rPr>
          <w:rFonts w:ascii="Times New Roman" w:cs="Times New Roman" w:eastAsia="Times New Roman" w:hAnsi="Times New Roman"/>
          <w:sz w:val="18"/>
          <w:szCs w:val="18"/>
          <w:color w:val="auto"/>
        </w:rPr>
      </w:pPr>
    </w:p>
    <w:p>
      <w:pPr>
        <w:jc w:val="both"/>
        <w:ind w:left="1120" w:firstLine="1099"/>
        <w:spacing w:after="0" w:line="245" w:lineRule="auto"/>
        <w:tabs>
          <w:tab w:leader="none" w:pos="282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all or any part of such Defaulting Bank’s pro rata portion of Swing Line Loans cannot be reallocated pursuant to </w:t>
      </w:r>
      <w:r>
        <w:rPr>
          <w:rFonts w:ascii="Times New Roman" w:cs="Times New Roman" w:eastAsia="Times New Roman" w:hAnsi="Times New Roman"/>
          <w:sz w:val="18"/>
          <w:szCs w:val="18"/>
          <w:u w:val="single" w:color="auto"/>
          <w:color w:val="auto"/>
        </w:rPr>
        <w:t>Section 2.17(b)(i)</w:t>
      </w:r>
      <w:r>
        <w:rPr>
          <w:rFonts w:ascii="Times New Roman" w:cs="Times New Roman" w:eastAsia="Times New Roman" w:hAnsi="Times New Roman"/>
          <w:sz w:val="18"/>
          <w:szCs w:val="18"/>
          <w:color w:val="auto"/>
        </w:rPr>
        <w:t>, then the Borrower (A) shall, within 15 days following notice from the Agent until such Defaulting Bank ceases to be a Defaulting Bank under this Agreement, establish and, thereafter, maintain a special collateral account (the “</w:t>
      </w:r>
      <w:r>
        <w:rPr>
          <w:rFonts w:ascii="Times New Roman" w:cs="Times New Roman" w:eastAsia="Times New Roman" w:hAnsi="Times New Roman"/>
          <w:sz w:val="18"/>
          <w:szCs w:val="18"/>
          <w:u w:val="single" w:color="auto"/>
          <w:color w:val="auto"/>
        </w:rPr>
        <w:t>Swing Line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xml:space="preserve">”) at the Agent’s office at the address specified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in the name of the Borrower but under the sole dominion and control of the Agent, (B) grant to the Agent for the benefit of the Banks, solely as security for repayment of the unallocated portion of such Defaulting Bank’s Commitment Percentage of outstanding Swing Line Loans, a security interest in and to the Swing Line Collateral Account and any funds that may thereafter be deposited therein and (C) shall maintain in the Swing Line Collateral Account an amount equal to the unallocated portion of such Defaulting Bank’s Commitment Percentage of outstanding Swing Line Loans; and</w:t>
      </w:r>
    </w:p>
    <w:p>
      <w:pPr>
        <w:spacing w:after="0" w:line="147" w:lineRule="exact"/>
        <w:rPr>
          <w:rFonts w:ascii="Times New Roman" w:cs="Times New Roman" w:eastAsia="Times New Roman" w:hAnsi="Times New Roman"/>
          <w:sz w:val="18"/>
          <w:szCs w:val="18"/>
          <w:color w:val="auto"/>
        </w:rPr>
      </w:pPr>
    </w:p>
    <w:p>
      <w:pPr>
        <w:jc w:val="both"/>
        <w:ind w:left="1120" w:firstLine="1099"/>
        <w:spacing w:after="0" w:line="254" w:lineRule="auto"/>
        <w:tabs>
          <w:tab w:leader="none" w:pos="284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 Line Bank shall not be required to, but in its sole discretion may from time to time elect to, fund any Swing Line Loan, unless it is satisfied in its sole discretion that the related exposure will be 100% covered by the Non-Defaulting Banks and/or cash collateral will be provided by the Borrower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7(b)(ii).</w:t>
      </w:r>
    </w:p>
    <w:p>
      <w:pPr>
        <w:spacing w:after="0" w:line="140" w:lineRule="exact"/>
        <w:rPr>
          <w:rFonts w:ascii="Times New Roman" w:cs="Times New Roman" w:eastAsia="Times New Roman" w:hAnsi="Times New Roman"/>
          <w:sz w:val="18"/>
          <w:szCs w:val="18"/>
          <w:color w:val="auto"/>
        </w:rPr>
      </w:pPr>
    </w:p>
    <w:p>
      <w:pPr>
        <w:jc w:val="both"/>
        <w:ind w:left="1120" w:firstLine="1099"/>
        <w:spacing w:after="0" w:line="250" w:lineRule="auto"/>
        <w:tabs>
          <w:tab w:leader="none" w:pos="283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to a Defaulting Bank hereunder (whether on account of principal, interest, fees or otherwise) shall, in lieu of being distributed to such Defaulting Bank, be retained by the Agent in a segregated account and, subject to any applicable requirements of law, be applied at such time or times as may be determined by the Agent (i) first, to the payment of any amounts owing by such Defaulting Bank to the Agent hereunder, (ii) second, pro rata, to the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5" w:name="page96"/>
    <w:bookmarkEnd w:id="95"/>
    <w:p>
      <w:pPr>
        <w:jc w:val="both"/>
        <w:ind w:left="1120"/>
        <w:spacing w:after="0" w:line="243" w:lineRule="auto"/>
        <w:rPr>
          <w:sz w:val="20"/>
          <w:szCs w:val="20"/>
          <w:color w:val="auto"/>
        </w:rPr>
      </w:pPr>
      <w:r>
        <w:rPr>
          <w:rFonts w:ascii="Times New Roman" w:cs="Times New Roman" w:eastAsia="Times New Roman" w:hAnsi="Times New Roman"/>
          <w:sz w:val="18"/>
          <w:szCs w:val="18"/>
          <w:color w:val="auto"/>
        </w:rPr>
        <w:t xml:space="preserve">payment of any amounts owing by such Defaulting Bank to the Swing Line Bank hereunder, (iii) third, to the funding of any Revolving Credit Loan or the funding of any participating interest in any Swing Line Loan or in respect of which such Defaulting Bank has failed to fund its portion thereof as required by this Agreement, as determined by the Agent, (iv) fourth, if so determined by the Agent and the Borrower, held in such account as cash collateral for future funding obligations of the Defaulting Bank under this Agreement, (v) fifth, pro rata, to the payment of any amounts owing to the Borrower or the Banks as a result of any judgment of a court of competent jurisdiction obtained by the Borrower or any Bank against such Defaulting Bank as a result of such Defaulting Bank’s breach of its obligations under this Agreement; provided that, if an Event of Default shall have occurred and be continuing, any payments that would be made to the Borrower shall be applied by the Agent to the Loans and other obligations hereunder and under the other Loan Documents in such order as the Agent shall elect and (vi) sixth, to such Defaulting Bank or as otherwise directed by a court of competent jurisdiction;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such payment is (x) a payment of the principal amount of any Revolving Credit Loans for which a Defaulting Bank has not fully funded its participation obligations and (y) made at a time when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are satisfied, the remaining portion of such payment shall be applied solely to prepay the Revolving Credit Loans of, and reimbursement obligations owed to, all Non-Defaulting Banks pro rata prior to being applied to the prepayment of any Revolving Credit Loans of, or reimbursement obligations owed to, any Defaulting Bank.</w:t>
      </w:r>
    </w:p>
    <w:p>
      <w:pPr>
        <w:spacing w:after="0" w:line="365" w:lineRule="exact"/>
        <w:rPr>
          <w:sz w:val="20"/>
          <w:szCs w:val="20"/>
          <w:color w:val="auto"/>
        </w:rPr>
      </w:pPr>
    </w:p>
    <w:p>
      <w:pPr>
        <w:jc w:val="both"/>
        <w:ind w:left="1120" w:firstLine="1099"/>
        <w:spacing w:after="0" w:line="247" w:lineRule="auto"/>
        <w:tabs>
          <w:tab w:leader="none" w:pos="27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Borrower, the Agent and the Swing Line Bank each agrees that a Defaulting Bank has adequately remedied all matters that caused such Bank to be a Defaulting Bank, then the Swing Line Loans of the Banks shall be readjusted to reflect the inclusion of such Bank’s Commitment Percentage and on such date such Bank shall purchase at par such of the Revolving Credit Loans of the other Banks (other than Swing Line Loans) as the Agent shall determine may be necessary in order for such Bank to hold such Revolving Credit Loans in accordance with its Commitment Percentage, subject to the provisions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Conforming Changes Relating to the Term SOFR Rate</w:t>
      </w:r>
      <w:r>
        <w:rPr>
          <w:rFonts w:ascii="Times New Roman" w:cs="Times New Roman" w:eastAsia="Times New Roman" w:hAnsi="Times New Roman"/>
          <w:sz w:val="18"/>
          <w:szCs w:val="18"/>
          <w:color w:val="auto"/>
        </w:rPr>
        <w:t>. With respect to the Term SOFR Rate,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Agent shall provide written notice to the Borrower and the Banks of each such amendment implementing such Conforming Changes reasonably promptly after such amendment becomes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REPRESENTATIONS AND WARRANTIES</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To induce the Banks to enter into this Agreement, and to make the Loans, the Borrower hereby represents and warrants to the Agent and each Bank that: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6" w:name="page97"/>
    <w:bookmarkEnd w:id="96"/>
    <w:p>
      <w:pPr>
        <w:jc w:val="both"/>
        <w:ind w:firstLine="1109"/>
        <w:spacing w:after="0" w:line="212" w:lineRule="exact"/>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(a) The audited consolidated balance sheet of the Borrower and its Subsidiaries as at December 31, 2024 and the related consolidated statements of income and of cash flows for the fiscal year ended on such date, and the consolidated balance sheet as at March 31, 2025 and the statements of income and cash flow of the Borrower and its Subsidiaries for the three-month period ended March 31, 2025, copies of all of which have heretofore been furnished to each Bank, present fairly the consolidated financial condition of the Borrower as at such dates, and the consolidated results of its operations and its consolidated cash flows for the periods covered thereby. All such financial statements, including the related schedules and notes thereto, have been prepared in accordance with GAAP applied consistently throughout the periods involved. Neither the Borrower nor any of its Subsidiaries had, at the date of the most recent balance sheet referred to above, any material Contingent Obligation, liability for taxes, or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 or unusual forward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 including, without limitation, any interest rate or foreign currency swap or exchange transaction, which is required by GAAP to be but is not reflected in the foregoing statements or in the notes thereto.</w:t>
      </w:r>
    </w:p>
    <w:p>
      <w:pPr>
        <w:spacing w:after="0" w:line="367" w:lineRule="exact"/>
        <w:rPr>
          <w:sz w:val="20"/>
          <w:szCs w:val="20"/>
          <w:color w:val="auto"/>
        </w:rPr>
      </w:pPr>
    </w:p>
    <w:p>
      <w:pPr>
        <w:ind w:right="40" w:firstLine="1109"/>
        <w:spacing w:after="0" w:line="280" w:lineRule="auto"/>
        <w:rPr>
          <w:sz w:val="20"/>
          <w:szCs w:val="20"/>
          <w:color w:val="auto"/>
        </w:rPr>
      </w:pPr>
      <w:r>
        <w:rPr>
          <w:rFonts w:ascii="Times New Roman" w:cs="Times New Roman" w:eastAsia="Times New Roman" w:hAnsi="Times New Roman"/>
          <w:sz w:val="18"/>
          <w:szCs w:val="18"/>
          <w:color w:val="auto"/>
        </w:rPr>
        <w:t>(b) (i) As of the Closing Date and after giving effect to this Agreement and any Loans to be made on the Closing Date, the Borrower is Solvent.</w:t>
      </w:r>
    </w:p>
    <w:p>
      <w:pPr>
        <w:spacing w:after="0" w:line="118" w:lineRule="exact"/>
        <w:rPr>
          <w:sz w:val="20"/>
          <w:szCs w:val="20"/>
          <w:color w:val="auto"/>
        </w:rPr>
      </w:pPr>
    </w:p>
    <w:p>
      <w:pPr>
        <w:jc w:val="both"/>
        <w:ind w:left="1120" w:firstLine="1099"/>
        <w:spacing w:after="0" w:line="260" w:lineRule="auto"/>
        <w:tabs>
          <w:tab w:leader="none" w:pos="28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intend to incur debts beyond its ability to pay such debts as they mature, taking into account the timing of and amounts of cash to be received by it and the timing of the amounts of cash to be payable on or in respect of its Debt.</w:t>
      </w:r>
    </w:p>
    <w:p>
      <w:pPr>
        <w:spacing w:after="0" w:line="13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 Adverse Change</w:t>
      </w:r>
      <w:r>
        <w:rPr>
          <w:rFonts w:ascii="Times New Roman" w:cs="Times New Roman" w:eastAsia="Times New Roman" w:hAnsi="Times New Roman"/>
          <w:sz w:val="18"/>
          <w:szCs w:val="18"/>
          <w:color w:val="auto"/>
        </w:rPr>
        <w:t>. Since December 31, 2024, there has been no development or event which has had a Material Adverse Effect.</w:t>
      </w:r>
    </w:p>
    <w:p>
      <w:pPr>
        <w:spacing w:after="0" w:line="118" w:lineRule="exact"/>
        <w:rPr>
          <w:sz w:val="20"/>
          <w:szCs w:val="20"/>
          <w:color w:val="auto"/>
        </w:rPr>
      </w:pPr>
    </w:p>
    <w:p>
      <w:pPr>
        <w:jc w:val="both"/>
        <w:ind w:firstLine="1109"/>
        <w:spacing w:after="0" w:line="214" w:lineRule="exact"/>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Existence; Compliance with Law</w:t>
      </w:r>
      <w:r>
        <w:rPr>
          <w:rFonts w:ascii="Times New Roman" w:cs="Times New Roman" w:eastAsia="Times New Roman" w:hAnsi="Times New Roman"/>
          <w:sz w:val="18"/>
          <w:szCs w:val="18"/>
          <w:color w:val="auto"/>
        </w:rPr>
        <w:t>. The Borrower (a) is duly organized, and subsisting under the laws of the jurisdiction of its incorporation, (b) has the corporate power and authority to own and operate its property, to lease the property it operates as lessee and to conduct the business in which it is currently engaged, (c) is duly qualified to transact business in each jurisdiction where its ownership, lease or operation of property or the conduct of its business requires such qualification, except to the extent that the failure to be so qualified would not, in the aggregate, have a Material Adverse Effect and (d) is in compliance with all Requirements of Law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which would have a Material Adverse Effect.</w:t>
      </w:r>
    </w:p>
    <w:p>
      <w:pPr>
        <w:spacing w:after="0" w:line="155"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Corporate Power; Authorization; Enforceable Obligations</w:t>
      </w:r>
      <w:r>
        <w:rPr>
          <w:rFonts w:ascii="Times New Roman" w:cs="Times New Roman" w:eastAsia="Times New Roman" w:hAnsi="Times New Roman"/>
          <w:sz w:val="18"/>
          <w:szCs w:val="18"/>
          <w:color w:val="auto"/>
        </w:rPr>
        <w:t>. The Borrower has the corporate power, authority, and legal right, to make, deliver and perform this Agreement, the Notes and the other Loan Documents to which it is a party and to borrow hereunder and has taken all necessary corporate action to authorize the borrowings on the terms and conditions of this Agreement and the Notes and to authorize the execution, delivery and performance of this Agreement, the Notes and the other Loan Documents to which it is a party. No consent or authorization of, filing with or other act by or in respect of, any Governmental Authority or any other Person (including stockholders and creditors of the Borrower) is required in connection with the borrowings hereunder or with the execution, delivery, performance, validity or enforceability of this Agreement, the Notes or the other Loan Documents. This Agreement has been, and each Note and other Loan Document will be, duly executed and delivered on behalf of the Borrower. This Agreement constitutes, and each Note and other Loan Document when executed and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7" w:name="page98"/>
    <w:bookmarkEnd w:id="97"/>
    <w:p>
      <w:pPr>
        <w:jc w:val="both"/>
        <w:spacing w:after="0" w:line="250" w:lineRule="auto"/>
        <w:rPr>
          <w:sz w:val="20"/>
          <w:szCs w:val="20"/>
          <w:color w:val="auto"/>
        </w:rPr>
      </w:pPr>
      <w:r>
        <w:rPr>
          <w:rFonts w:ascii="Times New Roman" w:cs="Times New Roman" w:eastAsia="Times New Roman" w:hAnsi="Times New Roman"/>
          <w:sz w:val="18"/>
          <w:szCs w:val="18"/>
          <w:color w:val="auto"/>
        </w:rPr>
        <w:t>delivered will constitute, a legal, valid and binding obligation of the Borrower enforceable against the Borrower in accordance with its terms, except as enforceability may be limited by applicable bankruptcy, insolvency, fraudulent conveyance, fraudulent transfer, voidable transfer, reorganization, moratorium or similar laws affecting the enforcement of creditors’ rights generally and by general equitable principles (whether enforcement is sought by proceedings in equity or at law).</w:t>
      </w:r>
    </w:p>
    <w:p>
      <w:pPr>
        <w:spacing w:after="0" w:line="14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the Notes and the other Loan Documents by the Borrower, the borrowings hereunder and the use of the proceeds thereof will not violate any Requirement of Law or Contractual Obligation of the Borrower or of any of the Subsidiaries and will not result in, or require, the creation or imposition of any Lien on any of its or their respective properties or revenues pursuant to any such Requirement of Law or Contractual Obligation.</w:t>
      </w:r>
    </w:p>
    <w:p>
      <w:pPr>
        <w:spacing w:after="0" w:line="146" w:lineRule="exact"/>
        <w:rPr>
          <w:sz w:val="20"/>
          <w:szCs w:val="20"/>
          <w:color w:val="auto"/>
        </w:rPr>
      </w:pPr>
    </w:p>
    <w:p>
      <w:pPr>
        <w:jc w:val="both"/>
        <w:ind w:firstLine="1109"/>
        <w:spacing w:after="0" w:line="249"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Material Litigation</w:t>
      </w:r>
      <w:r>
        <w:rPr>
          <w:rFonts w:ascii="Times New Roman" w:cs="Times New Roman" w:eastAsia="Times New Roman" w:hAnsi="Times New Roman"/>
          <w:sz w:val="18"/>
          <w:szCs w:val="18"/>
          <w:color w:val="auto"/>
        </w:rPr>
        <w:t>. Except as set forth on Schedule 3.6, no litigation, investigation or proceeding of or before any arbitrator or Governmental Authority is pending or, to the knowledge of the Borrower, threatened against the Borrower or against any of the properties or revenues of the Borrower (a) with respect to this Agreement, the Notes or the other Loan Documents or any of the transactions contemplated hereby, or (b) as to which there is a reasonable likelihood of an adverse determination and which, if adversely determined, would have a Material Adverse Effect.</w:t>
      </w:r>
    </w:p>
    <w:p>
      <w:pPr>
        <w:spacing w:after="0" w:line="359"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The Borrower is not in default under or with respect to any of its Contractual Obligations, including without limitation, those under the Indenture in any respect which would have a Material Adverse Effect. No Default or Event of Default has occurred and is continuing.</w:t>
      </w:r>
    </w:p>
    <w:p>
      <w:pPr>
        <w:spacing w:after="0" w:line="136"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Borrower has filed or caused to be filed all tax returns which are required to be filed (or has obtained authorized extensions for such filings)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as the case may be); no material tax Lien has been filed against the Borrower, and, to the knowledge of the Borrower, no claim is being asserted, with respect to any such tax, fee or other charges.</w:t>
      </w:r>
    </w:p>
    <w:p>
      <w:pPr>
        <w:spacing w:after="0" w:line="363" w:lineRule="exact"/>
        <w:rPr>
          <w:sz w:val="20"/>
          <w:szCs w:val="20"/>
          <w:color w:val="auto"/>
        </w:rPr>
      </w:pPr>
    </w:p>
    <w:p>
      <w:pPr>
        <w:jc w:val="both"/>
        <w:ind w:firstLine="1109"/>
        <w:spacing w:after="0" w:line="215" w:lineRule="exact"/>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will be used for “purchasing” or “carrying” any “margin stock” within the respective meanings of each of the quoted terms under Regulation U or for any purpose which violates the provisions of Regulation U. If requested by any Bank or the Agent, the Borrower will furnish to the Agent and each Bank a statement to the foregoing effect in conformity with the requirements of FR Form 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 referred to in said Regulation U. No part of the proceeds of the Loans hereunder will be used for any purpose which violates, or which is inconsistent with, the provisions of Regulation X.</w:t>
      </w:r>
    </w:p>
    <w:p>
      <w:pPr>
        <w:spacing w:after="0" w:line="156"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8" w:name="page99"/>
    <w:bookmarkEnd w:id="98"/>
    <w:p>
      <w:pPr>
        <w:jc w:val="both"/>
        <w:ind w:firstLine="1665"/>
        <w:spacing w:after="0" w:line="246" w:lineRule="auto"/>
        <w:tabs>
          <w:tab w:leader="none" w:pos="2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complied in all respects with the applicable provisions of ERISA and the Code and has been administered in accordance with its terms, except to the extent that failure(s) to so comply, or to so administer the Plan, in the aggregate, has not resulted in and could not reasonably be expected to result in a Material Adverse Effect. No Reportable Event has occurred with respect to any Single Employer Plan which presents a material risk of termination of the Plan by the PBGC. There have been no “prohibited transactions” (as defined in Section 406 of ERISA or Section 4975 of the Code) in connection with which the Borrower or any Commonly Controlled Entity could be subject to any Material civil penalty under 502(i) of ERISA or any Material excise tax under Section 4975 of the Code.</w:t>
      </w:r>
    </w:p>
    <w:p>
      <w:pPr>
        <w:spacing w:after="0" w:line="363"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Single Employer Plan maintained by the Borrower or a Commonly Controlled Entity, the adjusted funding target attainment percentage (within the meaning of Section 436(j)(2) of the Code) of each such Single Employer Plan, as of the close of the most recent plan year for such Plan as certified by the Plan’s actuary, is not less than eighty percent (80%).</w:t>
      </w:r>
    </w:p>
    <w:p>
      <w:pPr>
        <w:spacing w:after="0" w:line="140"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Commonly Controlled Entity has incurred any withdrawal liabilities (and are not subject to contingent withdrawal liabilities) under Section 4201 or 4204 of ERISA in respect of Multiemployer Plans that individually or in the aggregate are Material. To the best of Borrower’s knowledge, no Multiemployer Plan is Insolvent.</w:t>
      </w:r>
    </w:p>
    <w:p>
      <w:pPr>
        <w:spacing w:after="0" w:line="140" w:lineRule="exact"/>
        <w:rPr>
          <w:rFonts w:ascii="Times New Roman" w:cs="Times New Roman" w:eastAsia="Times New Roman" w:hAnsi="Times New Roman"/>
          <w:sz w:val="18"/>
          <w:szCs w:val="18"/>
          <w:color w:val="auto"/>
        </w:rPr>
      </w:pPr>
    </w:p>
    <w:p>
      <w:pPr>
        <w:jc w:val="both"/>
        <w:ind w:firstLine="1665"/>
        <w:spacing w:after="0" w:line="250" w:lineRule="auto"/>
        <w:tabs>
          <w:tab w:leader="none" w:pos="22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post-retirement benefit obligation (determined as of the last day of the Borrower’s most recently ended fiscal year in accordance with Financial Accounting Standards Board (“</w:t>
      </w:r>
      <w:r>
        <w:rPr>
          <w:rFonts w:ascii="Times New Roman" w:cs="Times New Roman" w:eastAsia="Times New Roman" w:hAnsi="Times New Roman"/>
          <w:sz w:val="18"/>
          <w:szCs w:val="18"/>
          <w:u w:val="single" w:color="auto"/>
          <w:color w:val="auto"/>
        </w:rPr>
        <w:t>FASB</w:t>
      </w:r>
      <w:r>
        <w:rPr>
          <w:rFonts w:ascii="Times New Roman" w:cs="Times New Roman" w:eastAsia="Times New Roman" w:hAnsi="Times New Roman"/>
          <w:sz w:val="18"/>
          <w:szCs w:val="18"/>
          <w:color w:val="auto"/>
        </w:rPr>
        <w:t>”) Accounting Standards Codification 715-60 (formerly FASB Statement No. 106), without regard to liabilities attributable to continuation coverage mandated by Section 4980B of the Code) of the Borrower and its Subsidiaries would not reasonably be expected to have a Material Adverse Effect.</w:t>
      </w:r>
    </w:p>
    <w:p>
      <w:pPr>
        <w:spacing w:after="0" w:line="14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Except as set forth on Schedule 3.11, the Borrower is not (a) an “investment company”, or a company “controlled” by an “investment company”, within the meaning of the Investment Company Act of 1940, as amended or (b) subject to any other federal or state law or regulation which purports to restrict or regulate its ability to borrow money.</w:t>
      </w:r>
    </w:p>
    <w:p>
      <w:pPr>
        <w:spacing w:after="0" w:line="140"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Purpose of Loans</w:t>
      </w:r>
      <w:r>
        <w:rPr>
          <w:rFonts w:ascii="Times New Roman" w:cs="Times New Roman" w:eastAsia="Times New Roman" w:hAnsi="Times New Roman"/>
          <w:sz w:val="18"/>
          <w:szCs w:val="18"/>
          <w:color w:val="auto"/>
        </w:rPr>
        <w:t>. The proceeds of the Loans shall be used by the Borrower for refinancing existing indebtedness of the Borrower and the Borrower’s general working capital purposes including the financing of Permitted Acquisitions.</w:t>
      </w:r>
    </w:p>
    <w:p>
      <w:pPr>
        <w:spacing w:after="0" w:line="13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To the best knowledge of the Borrower, except as may be disclosed on Schedule 3.13, each of the representations and warranties set forth in paragraphs (a) through (d) of this subsection is true and correct with respect to each parcel of real property owned or operated by the Borrower:</w:t>
      </w:r>
    </w:p>
    <w:p>
      <w:pPr>
        <w:spacing w:after="0" w:line="136" w:lineRule="exact"/>
        <w:rPr>
          <w:sz w:val="20"/>
          <w:szCs w:val="20"/>
          <w:color w:val="auto"/>
        </w:rPr>
      </w:pPr>
    </w:p>
    <w:p>
      <w:pPr>
        <w:jc w:val="both"/>
        <w:ind w:firstLine="1665"/>
        <w:spacing w:after="0" w:line="254" w:lineRule="auto"/>
        <w:tabs>
          <w:tab w:leader="none" w:pos="22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have any knowledge of any claim nor has it received any written notice of any claim, and no proceeding has been instituted of which it has received written notice, raising any claim against the Borrower or any of its real properties now or formerly owned, leased or operated by it, or other assets, alleging damage to the environment 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99" w:name="page100"/>
    <w:bookmarkEnd w:id="99"/>
    <w:p>
      <w:pPr>
        <w:spacing w:after="0" w:line="280" w:lineRule="auto"/>
        <w:rPr>
          <w:sz w:val="20"/>
          <w:szCs w:val="20"/>
          <w:color w:val="auto"/>
        </w:rPr>
      </w:pPr>
      <w:r>
        <w:rPr>
          <w:rFonts w:ascii="Times New Roman" w:cs="Times New Roman" w:eastAsia="Times New Roman" w:hAnsi="Times New Roman"/>
          <w:sz w:val="18"/>
          <w:szCs w:val="18"/>
          <w:color w:val="auto"/>
        </w:rPr>
        <w:t>any violation of or liability arising under any Environmental Laws, except, in each case, such as could not reasonably be expected to result in a Material Adverse Effect;</w:t>
      </w:r>
    </w:p>
    <w:p>
      <w:pPr>
        <w:spacing w:after="0" w:line="118" w:lineRule="exact"/>
        <w:rPr>
          <w:sz w:val="20"/>
          <w:szCs w:val="20"/>
          <w:color w:val="auto"/>
        </w:rPr>
      </w:pPr>
    </w:p>
    <w:p>
      <w:pPr>
        <w:jc w:val="both"/>
        <w:ind w:firstLine="1665"/>
        <w:spacing w:after="0" w:line="250" w:lineRule="auto"/>
        <w:tabs>
          <w:tab w:leader="none" w:pos="22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have knowledge of any facts which would give rise to any claim, public or private, for violation of or liability arising under Environmental Laws or damage to the environment emanating from, occurring on or in any way related to real properties or to operation of other assets now or formerly owned, leased or operated by it or for its use, except, in each case, such as could not reasonably be expected to result in a Material Adverse Effect;</w:t>
      </w:r>
    </w:p>
    <w:p>
      <w:pPr>
        <w:spacing w:after="0" w:line="146"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not stored any Materials of Environment Concern on real properties now or formerly owned, leased or operated by it, and has not disposed of or released any Materials of Environment Concern in a manner that may give rise to liability under any Environmental Laws and in any manner that could reasonably be expected to result in a Material Adverse Effect; and</w:t>
      </w:r>
    </w:p>
    <w:p>
      <w:pPr>
        <w:spacing w:after="0" w:line="140"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buildings on all real properties now owned, leased or operated by the Borrower are and have been constructed, maintained and operated in a manner that will not give rise to liability under applicable Environmental Laws, except where failure to comply could not reasonably be expected to result in a Material Adverse Effect.</w:t>
      </w:r>
    </w:p>
    <w:p>
      <w:pPr>
        <w:spacing w:after="0" w:line="140"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Ownership of the Borrower</w:t>
      </w:r>
      <w:r>
        <w:rPr>
          <w:rFonts w:ascii="Times New Roman" w:cs="Times New Roman" w:eastAsia="Times New Roman" w:hAnsi="Times New Roman"/>
          <w:sz w:val="18"/>
          <w:szCs w:val="18"/>
          <w:color w:val="auto"/>
        </w:rPr>
        <w:t>. As of the Closing Date the Borrower is a wholly-owned Subsidiary of the Parent Company.</w:t>
      </w:r>
    </w:p>
    <w:p>
      <w:pPr>
        <w:spacing w:after="0" w:line="118"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Patents, Trademarks, etc</w:t>
      </w:r>
      <w:r>
        <w:rPr>
          <w:rFonts w:ascii="Times New Roman" w:cs="Times New Roman" w:eastAsia="Times New Roman" w:hAnsi="Times New Roman"/>
          <w:sz w:val="18"/>
          <w:szCs w:val="18"/>
          <w:color w:val="auto"/>
        </w:rPr>
        <w:t>. The Borrower has obtained and holds in full force and effect all patents, trademarks, servicemarks, trade names, copyrights or licenses therefor and other such rights, free from burdensome restrictions, which are necessary for the operation of its business as presently conducted. To the Borrower’s best knowledge, no material product, process, method, substance, part or other material presently sold by or employed by the Borrower in connection with such business infringes any patent, trademark, service mark, trade name, copyright, license or other right owned by any other Person so as to have a Material Adverse Effect. There is not pending or, to the Borrower’s knowledge, threatened any claim or litigation against or affecting the Borrower contesting its right to sell or use any such product, process, method, substance, part or other material.</w:t>
      </w:r>
    </w:p>
    <w:p>
      <w:pPr>
        <w:spacing w:after="0" w:line="151"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The Borrower has good and marketable fee simple title to or valid leasehold interests in all real property owned or leased by the Borrower (except in the case of certain properties not material to its business as to which its title was obtained by quit-claim or special warranty deed), and good title to all of its personal property subject to no Lien of any kind except Liens permitted hereby. The Borrower enjoys peaceful and undisturbed possession under all of its respective material leases.</w:t>
      </w:r>
    </w:p>
    <w:p>
      <w:pPr>
        <w:spacing w:after="0" w:line="14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Licenses, etc</w:t>
      </w:r>
      <w:r>
        <w:rPr>
          <w:rFonts w:ascii="Times New Roman" w:cs="Times New Roman" w:eastAsia="Times New Roman" w:hAnsi="Times New Roman"/>
          <w:sz w:val="18"/>
          <w:szCs w:val="18"/>
          <w:color w:val="auto"/>
        </w:rPr>
        <w:t>. The Borrower has obtained and holds in full force and effect, all franchises, licenses, permits, certificates, authorizations, qualifications, easements, rights of way and other rights, consents and approvals which are necessary for the operation of its business as presently conducted, except where the failure to obtain and hold such rights, consents or approvals could not reasonably be expected to have a Material Adverse Effect.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0" w:name="page101"/>
    <w:bookmarkEnd w:id="100"/>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The Borrower has not, within the last five years, suffered any strikes, walkouts, work stoppages or other labor difficulty involving a material number of employees which in any case had a Material Adverse Effect, and to the best of the Borrower’s knowledge, there are no such events which could reasonably be expected to have a Material Adverse Effect now threatened.</w:t>
      </w:r>
    </w:p>
    <w:p>
      <w:pPr>
        <w:spacing w:after="0" w:line="140"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Partnerships</w:t>
      </w:r>
      <w:r>
        <w:rPr>
          <w:rFonts w:ascii="Times New Roman" w:cs="Times New Roman" w:eastAsia="Times New Roman" w:hAnsi="Times New Roman"/>
          <w:sz w:val="18"/>
          <w:szCs w:val="18"/>
          <w:color w:val="auto"/>
        </w:rPr>
        <w:t>. Except as disclosed on Schedule 3.19, as of the Closing Date, the Borrower is not a partner in any partnership or in any joint venture.</w:t>
      </w:r>
    </w:p>
    <w:p>
      <w:pPr>
        <w:spacing w:after="0" w:line="118"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No Material Misstatements</w:t>
      </w:r>
      <w:r>
        <w:rPr>
          <w:rFonts w:ascii="Times New Roman" w:cs="Times New Roman" w:eastAsia="Times New Roman" w:hAnsi="Times New Roman"/>
          <w:sz w:val="18"/>
          <w:szCs w:val="18"/>
          <w:color w:val="auto"/>
        </w:rPr>
        <w:t>. To the best of the Borrower’s knowledge, no information, report, financial statement, exhibit or schedule furnished by or on behalf of the Borrower to the Agent or any Bank in connection with the negotiation of this Agreement or any Note or other Loan Document or included therein contains any misstatement of fact, or omitted or omits to state any fact necessary to make the statements therein not misleading, where such misstatement or omission would in the Borrower’s judgment be material to the interests of the Banks with respect to the Borrower’s performance of its obligations hereunder.</w:t>
      </w:r>
    </w:p>
    <w:p>
      <w:pPr>
        <w:spacing w:after="0" w:line="149"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Sanctions and International Trade Laws</w:t>
      </w:r>
      <w:r>
        <w:rPr>
          <w:rFonts w:ascii="Times New Roman" w:cs="Times New Roman" w:eastAsia="Times New Roman" w:hAnsi="Times New Roman"/>
          <w:sz w:val="18"/>
          <w:szCs w:val="18"/>
          <w:color w:val="auto"/>
        </w:rPr>
        <w:t>. Each Covered Entity, and its directors and officers, and any employee, agent, or affiliate acting on behalf of such Covered Entity: (a) is not a Sanctioned Person; (b) does not do any business in or with, or derive any of its operating income from direct or indirect investments in or transactions involving, any Sanctioned Jurisdiction or Sanctioned Person; and (c) is not in violation of, and has not, during the past five (5) years, directly or indirectly, taken any act that could cause any Covered Entity to be in violation of applicable International Trade Laws. No Covered Entity nor any of its directors, officers, employees, or to the knowledge of any Loan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International Trade Laws, or has received a request for information from any Governmental Authority regarding International Trade Law matters. Each Covered Entity has instituted and maintains policies and procedures reasonably designed to ensure compliance with applicable International Trade Laws. Each Loan Party represents and warrants that there is no Blocked Property pledged as collateral.</w:t>
      </w:r>
    </w:p>
    <w:p>
      <w:pPr>
        <w:spacing w:after="0" w:line="155"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other Person to secure any improper advantage or to obtain or retain business. No Covered Entity nor any of its directors, officers, employees, or to the knowledge of any Loan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Governmental Authority regarding Anti-Corruption Law matters. Each</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1" w:name="page102"/>
    <w:bookmarkEnd w:id="101"/>
    <w:p>
      <w:pPr>
        <w:jc w:val="both"/>
        <w:spacing w:after="0" w:line="280" w:lineRule="auto"/>
        <w:rPr>
          <w:sz w:val="20"/>
          <w:szCs w:val="20"/>
          <w:color w:val="auto"/>
        </w:rPr>
      </w:pPr>
      <w:r>
        <w:rPr>
          <w:rFonts w:ascii="Times New Roman" w:cs="Times New Roman" w:eastAsia="Times New Roman" w:hAnsi="Times New Roman"/>
          <w:sz w:val="18"/>
          <w:szCs w:val="18"/>
          <w:color w:val="auto"/>
        </w:rPr>
        <w:t>Covered Entity has instituted and maintains policies and procedures reasonably designed to ensure compliance with Anti-Corruption Laws.</w:t>
      </w:r>
    </w:p>
    <w:p>
      <w:pPr>
        <w:spacing w:after="0" w:line="118"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u w:val="single" w:color="auto"/>
          <w:color w:val="auto"/>
        </w:rPr>
        <w:t>EEA Financial Institutions</w:t>
      </w:r>
      <w:r>
        <w:rPr>
          <w:rFonts w:ascii="Times New Roman" w:cs="Times New Roman" w:eastAsia="Times New Roman" w:hAnsi="Times New Roman"/>
          <w:sz w:val="18"/>
          <w:szCs w:val="18"/>
          <w:color w:val="auto"/>
        </w:rPr>
        <w:t>. The Borrower is not an EEA Financial Institution.</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Certificate of Beneficial Ownership</w:t>
      </w:r>
      <w:r>
        <w:rPr>
          <w:rFonts w:ascii="Times New Roman" w:cs="Times New Roman" w:eastAsia="Times New Roman" w:hAnsi="Times New Roman"/>
          <w:sz w:val="18"/>
          <w:szCs w:val="18"/>
          <w:color w:val="auto"/>
        </w:rPr>
        <w:t>. If the Borrower qualifies as a legal entity customer under the Beneficial Ownership Regulations, the Certificate of Beneficial Ownership for the Borrower executed and delivered to the Agent and the Banks on or prior to the date of this Agreement, as updated from time to time in accordance with this Agreement, is accurate, complete and correct as of the date hereof and as of the date any such update is delivered. The Borrower acknowledges and agrees that the Certificate of Beneficial Ownership is one of the Loan Documents.</w:t>
      </w:r>
    </w:p>
    <w:p>
      <w:pPr>
        <w:spacing w:after="0" w:line="14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All of the foregoing representations and warranties shall survive the execution and delivery of the Notes and the making by the Banks of the Loans hereunder.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4. CONDITIONS PRECEDENT; CLOSING</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Conditions to Closing</w:t>
      </w:r>
      <w:r>
        <w:rPr>
          <w:rFonts w:ascii="Times New Roman" w:cs="Times New Roman" w:eastAsia="Times New Roman" w:hAnsi="Times New Roman"/>
          <w:sz w:val="18"/>
          <w:szCs w:val="18"/>
          <w:color w:val="auto"/>
        </w:rPr>
        <w:t>. The agreement of each Bank to enter into this Agreement and make its initial Loan hereunder is subject to the satisfaction, immediately prior to or concurrently with such Loans, of the following conditions precedent:</w:t>
      </w:r>
    </w:p>
    <w:p>
      <w:pPr>
        <w:spacing w:after="0" w:line="136" w:lineRule="exact"/>
        <w:rPr>
          <w:sz w:val="20"/>
          <w:szCs w:val="20"/>
          <w:color w:val="auto"/>
        </w:rPr>
      </w:pPr>
    </w:p>
    <w:p>
      <w:pPr>
        <w:jc w:val="both"/>
        <w:ind w:firstLine="1665"/>
        <w:spacing w:after="0" w:line="250" w:lineRule="auto"/>
        <w:tabs>
          <w:tab w:leader="none" w:pos="22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Agent shall have received (i) this Agreement, executed and delivered by a duly authorized officer of the Borrower, with a counterpart for each Bank, (ii) for the account of each Bank, a Revolving Credit Note conforming to the requirements hereof and executed by a duly authorized officer of the Borrower and (iii) for the account of the Swing Line Bank, the Swing Line Note conforming to the requirements hereof and executed by a duly authorized officer of the Borrower.</w:t>
      </w:r>
    </w:p>
    <w:p>
      <w:pPr>
        <w:spacing w:after="0" w:line="146" w:lineRule="exact"/>
        <w:rPr>
          <w:rFonts w:ascii="Times New Roman" w:cs="Times New Roman" w:eastAsia="Times New Roman" w:hAnsi="Times New Roman"/>
          <w:sz w:val="18"/>
          <w:szCs w:val="18"/>
          <w:color w:val="auto"/>
        </w:rPr>
      </w:pPr>
    </w:p>
    <w:p>
      <w:pPr>
        <w:jc w:val="both"/>
        <w:ind w:firstLine="1665"/>
        <w:spacing w:after="0" w:line="247" w:lineRule="auto"/>
        <w:tabs>
          <w:tab w:leader="none" w:pos="22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 of the Borrower</w:t>
      </w:r>
      <w:r>
        <w:rPr>
          <w:rFonts w:ascii="Times New Roman" w:cs="Times New Roman" w:eastAsia="Times New Roman" w:hAnsi="Times New Roman"/>
          <w:sz w:val="18"/>
          <w:szCs w:val="18"/>
          <w:color w:val="auto"/>
        </w:rPr>
        <w:t>. The Agent shall have received a copy of the resolutions or other corporate proceedings or action, in form and substance satisfactory to the Agent, taken on behalf of the Borrower authorizing (i) the execution, delivery and performance of this Agreement, the Notes and the other Loan Documents to which it is a party, and (ii) the borrowings contemplated hereunder, certified by a Responsible Officer of the Borrower as of the Closing Date, which certificate shall state that such resolutions, or other proceedings or action thereby certified have not been amended, modified, revoked or rescinded and shall be in form and substance satisfactory to the Agent.</w:t>
      </w:r>
    </w:p>
    <w:p>
      <w:pPr>
        <w:spacing w:after="0" w:line="149" w:lineRule="exact"/>
        <w:rPr>
          <w:rFonts w:ascii="Times New Roman" w:cs="Times New Roman" w:eastAsia="Times New Roman" w:hAnsi="Times New Roman"/>
          <w:sz w:val="18"/>
          <w:szCs w:val="18"/>
          <w:color w:val="auto"/>
        </w:rPr>
      </w:pPr>
    </w:p>
    <w:p>
      <w:pPr>
        <w:jc w:val="both"/>
        <w:ind w:firstLine="1665"/>
        <w:spacing w:after="0" w:line="247" w:lineRule="auto"/>
        <w:tabs>
          <w:tab w:leader="none" w:pos="22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True; No Default</w:t>
      </w:r>
      <w:r>
        <w:rPr>
          <w:rFonts w:ascii="Times New Roman" w:cs="Times New Roman" w:eastAsia="Times New Roman" w:hAnsi="Times New Roman"/>
          <w:sz w:val="18"/>
          <w:szCs w:val="18"/>
          <w:color w:val="auto"/>
        </w:rPr>
        <w:t xml:space="preserve">. The representations and warranties of the Borrower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shall be true and accurate on and as of the Closing Date in all material respects with the same effect as though such representations and warranties had been made on and as of such date (except representations and warranties which relate solely to an earlier date or time, which representations and warranties shall be true and correct on and as of the specific dates or times referred to therein), and the Borrower shall have performed and complied with all covenants and conditions hereof; and no Event of Default or Default under this Agreement shall have occurred and be continuing or shall exist.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2" w:name="page103"/>
    <w:bookmarkEnd w:id="102"/>
    <w:p>
      <w:pPr>
        <w:jc w:val="both"/>
        <w:ind w:firstLine="1665"/>
        <w:spacing w:after="0" w:line="250" w:lineRule="auto"/>
        <w:tabs>
          <w:tab w:leader="none" w:pos="22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Documents</w:t>
      </w:r>
      <w:r>
        <w:rPr>
          <w:rFonts w:ascii="Times New Roman" w:cs="Times New Roman" w:eastAsia="Times New Roman" w:hAnsi="Times New Roman"/>
          <w:sz w:val="18"/>
          <w:szCs w:val="18"/>
          <w:color w:val="auto"/>
        </w:rPr>
        <w:t>. The Agent shall have received, with a counterpart for each Bank, true and complete copies of (i) the articles of incorporation and bylaws of the Borrower, certified as of the Closing Date as complete and correct copies thereof by a Responsible Officer of the Borrower; and (ii) good standing certificates issued by the Secretaries of State (or the equivalent thereof) of each state in which the Borrower has been formed or is required to be qualified to transact business no earlier than thirty days prior to the Closing Date.</w:t>
      </w:r>
    </w:p>
    <w:p>
      <w:pPr>
        <w:spacing w:after="0" w:line="146"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w:t>
      </w:r>
      <w:r>
        <w:rPr>
          <w:rFonts w:ascii="Times New Roman" w:cs="Times New Roman" w:eastAsia="Times New Roman" w:hAnsi="Times New Roman"/>
          <w:sz w:val="18"/>
          <w:szCs w:val="18"/>
          <w:color w:val="auto"/>
        </w:rPr>
        <w:t>. The Agent shall have received a written certificate dated the Closing Date by a Responsible Officer of the Borrower as to the names and signatures of the officers of the Borrower authorized to sign this Agreement and the other Loan Documents. The Agent may conclusively rely on such certificate until it shall receive a further certificate by a Responsible Officer of the Borrower amending such prior certificate.</w:t>
      </w:r>
    </w:p>
    <w:p>
      <w:pPr>
        <w:spacing w:after="0" w:line="140" w:lineRule="exact"/>
        <w:rPr>
          <w:rFonts w:ascii="Times New Roman" w:cs="Times New Roman" w:eastAsia="Times New Roman" w:hAnsi="Times New Roman"/>
          <w:sz w:val="18"/>
          <w:szCs w:val="18"/>
          <w:color w:val="auto"/>
        </w:rPr>
      </w:pPr>
    </w:p>
    <w:p>
      <w:pPr>
        <w:ind w:left="2240" w:hanging="575"/>
        <w:spacing w:after="0"/>
        <w:tabs>
          <w:tab w:leader="none" w:pos="2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Borrower shall have paid or caused to be paid to the Agent (i) all Fees then due hereunder and (ii) all other fees and expenses due and payable hereunder on or before the Closing Date (if then invoiced), including without limitation the reasonable fees and expenses of counsel to the Agent.</w:t>
      </w:r>
    </w:p>
    <w:p>
      <w:pPr>
        <w:spacing w:after="0" w:line="135"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Agent shall have received the executed legal opinion of the General</w:t>
      </w:r>
    </w:p>
    <w:p>
      <w:pPr>
        <w:spacing w:after="0" w:line="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Counsel of the Borrower and the executed legal opinion of Dilworth Paxson LLP, in each case addressed to the Agent and the Banks and satisfactory in form and substance to the Agent and its counsel covering such matters incident to the transactions contemplated by this Agreement as the Agent may reasonably require. The Borrower hereby directs such counsel to deliver such opinion, upon which the Banks and the Agent may rely.</w:t>
      </w:r>
    </w:p>
    <w:p>
      <w:pPr>
        <w:spacing w:after="0" w:line="148" w:lineRule="exact"/>
        <w:rPr>
          <w:sz w:val="20"/>
          <w:szCs w:val="20"/>
          <w:color w:val="auto"/>
        </w:rPr>
      </w:pPr>
    </w:p>
    <w:p>
      <w:pPr>
        <w:jc w:val="both"/>
        <w:ind w:firstLine="1665"/>
        <w:spacing w:after="0" w:line="250" w:lineRule="auto"/>
        <w:tabs>
          <w:tab w:leader="none" w:pos="22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There shall be no material adverse change in the business, operations, Property or financial or other condition of the Borrower nor any material change in the management of the Borrower or an event which would cause or constitute a Material Adverse Effect; and there shall be delivered to the Agent for the benefit of each Bank a certificate dated the Closing Date and signed on behalf of the Borrower by a Responsible Officer to each such effect.</w:t>
      </w:r>
    </w:p>
    <w:p>
      <w:pPr>
        <w:spacing w:after="0" w:line="146" w:lineRule="exact"/>
        <w:rPr>
          <w:rFonts w:ascii="Times New Roman" w:cs="Times New Roman" w:eastAsia="Times New Roman" w:hAnsi="Times New Roman"/>
          <w:sz w:val="18"/>
          <w:szCs w:val="18"/>
          <w:color w:val="auto"/>
        </w:rPr>
      </w:pPr>
    </w:p>
    <w:p>
      <w:pPr>
        <w:jc w:val="both"/>
        <w:ind w:firstLine="1665"/>
        <w:spacing w:after="0" w:line="250" w:lineRule="auto"/>
        <w:tabs>
          <w:tab w:leader="none" w:pos="221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No action, proceeding, investigation, regulation or legislation shall have been instituted, or to the knowledge of the Borrower, threatened or proposed before any court, governmental agency or legislative body to enjoin, restrain or prohibit, or to obtain damages in respect of this Agreement or the consummation of the transactions contemplated hereby or which, in the Agent’s sole discretion, would make it inadvisable to consummate the transactions contemplated by this Agreement.</w:t>
      </w:r>
    </w:p>
    <w:p>
      <w:pPr>
        <w:spacing w:after="0" w:line="146" w:lineRule="exact"/>
        <w:rPr>
          <w:rFonts w:ascii="Times New Roman" w:cs="Times New Roman" w:eastAsia="Times New Roman" w:hAnsi="Times New Roman"/>
          <w:sz w:val="18"/>
          <w:szCs w:val="18"/>
          <w:color w:val="auto"/>
        </w:rPr>
      </w:pPr>
    </w:p>
    <w:p>
      <w:pPr>
        <w:ind w:firstLine="1665"/>
        <w:spacing w:after="0" w:line="280" w:lineRule="auto"/>
        <w:tabs>
          <w:tab w:leader="none" w:pos="22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Insurance</w:t>
      </w:r>
      <w:r>
        <w:rPr>
          <w:rFonts w:ascii="Times New Roman" w:cs="Times New Roman" w:eastAsia="Times New Roman" w:hAnsi="Times New Roman"/>
          <w:sz w:val="18"/>
          <w:szCs w:val="18"/>
          <w:color w:val="auto"/>
        </w:rPr>
        <w:t>. The Borrower shall have provided to each of the Banks copies of the evidence of insurance required by subsection 5.5(b).</w:t>
      </w:r>
    </w:p>
    <w:p>
      <w:pPr>
        <w:spacing w:after="0" w:line="117" w:lineRule="exact"/>
        <w:rPr>
          <w:rFonts w:ascii="Times New Roman" w:cs="Times New Roman" w:eastAsia="Times New Roman" w:hAnsi="Times New Roman"/>
          <w:sz w:val="18"/>
          <w:szCs w:val="18"/>
          <w:color w:val="auto"/>
        </w:rPr>
      </w:pPr>
    </w:p>
    <w:p>
      <w:pPr>
        <w:ind w:left="2240" w:hanging="575"/>
        <w:spacing w:after="0"/>
        <w:tabs>
          <w:tab w:leader="none" w:pos="2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firstLine="1665"/>
        <w:spacing w:after="0" w:line="280" w:lineRule="auto"/>
        <w:tabs>
          <w:tab w:leader="none" w:pos="225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Regulatory Approval</w:t>
      </w:r>
      <w:r>
        <w:rPr>
          <w:rFonts w:ascii="Times New Roman" w:cs="Times New Roman" w:eastAsia="Times New Roman" w:hAnsi="Times New Roman"/>
          <w:sz w:val="18"/>
          <w:szCs w:val="18"/>
          <w:color w:val="auto"/>
        </w:rPr>
        <w:t>. The Borrower shall have provided to the Agent a copy of each and every authorization, permit, consent, and approval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3" w:name="page104"/>
    <w:bookmarkEnd w:id="103"/>
    <w:p>
      <w:pPr>
        <w:jc w:val="both"/>
        <w:spacing w:after="0" w:line="267" w:lineRule="auto"/>
        <w:rPr>
          <w:sz w:val="20"/>
          <w:szCs w:val="20"/>
          <w:color w:val="auto"/>
        </w:rPr>
      </w:pPr>
      <w:r>
        <w:rPr>
          <w:rFonts w:ascii="Times New Roman" w:cs="Times New Roman" w:eastAsia="Times New Roman" w:hAnsi="Times New Roman"/>
          <w:sz w:val="18"/>
          <w:szCs w:val="18"/>
          <w:color w:val="auto"/>
        </w:rPr>
        <w:t>and other actions by, and notice to and filing with, every Governmental Authority which is required to be obtained or made by the Borrower for the due execution, delivery and performance of this Agreement and the other Loan Documents, if any.</w:t>
      </w:r>
    </w:p>
    <w:p>
      <w:pPr>
        <w:spacing w:after="0" w:line="348" w:lineRule="exact"/>
        <w:rPr>
          <w:sz w:val="20"/>
          <w:szCs w:val="20"/>
          <w:color w:val="auto"/>
        </w:rPr>
      </w:pPr>
    </w:p>
    <w:p>
      <w:pPr>
        <w:jc w:val="both"/>
        <w:ind w:firstLine="1665"/>
        <w:spacing w:after="0" w:line="254" w:lineRule="auto"/>
        <w:tabs>
          <w:tab w:leader="none" w:pos="22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Beneficial Ownership; USA PATRIOT Act Diligence</w:t>
      </w:r>
      <w:r>
        <w:rPr>
          <w:rFonts w:ascii="Times New Roman" w:cs="Times New Roman" w:eastAsia="Times New Roman" w:hAnsi="Times New Roman"/>
          <w:sz w:val="18"/>
          <w:szCs w:val="18"/>
          <w:color w:val="auto"/>
        </w:rPr>
        <w:t>. The Agent and each Bank shall have received, in form and substance acceptable to the Agent and each Bank an executed Certificate of Beneficial Ownership (if applicable) and such other documentation and other information requested in connection with applicable “know your customer” and anti-money laundering rules and regulations, including the USA PATRIOT Act.</w:t>
      </w:r>
    </w:p>
    <w:p>
      <w:pPr>
        <w:spacing w:after="0" w:line="140" w:lineRule="exact"/>
        <w:rPr>
          <w:rFonts w:ascii="Times New Roman" w:cs="Times New Roman" w:eastAsia="Times New Roman" w:hAnsi="Times New Roman"/>
          <w:sz w:val="18"/>
          <w:szCs w:val="18"/>
          <w:color w:val="auto"/>
        </w:rPr>
      </w:pPr>
    </w:p>
    <w:p>
      <w:pPr>
        <w:jc w:val="both"/>
        <w:ind w:firstLine="1665"/>
        <w:spacing w:after="0" w:line="267" w:lineRule="auto"/>
        <w:tabs>
          <w:tab w:leader="none" w:pos="22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The Agent shall have received such additional documents, certificates and information as the Agent may require pursuant to the hereof or as the Agent may otherwise reasonably request.</w:t>
      </w:r>
    </w:p>
    <w:p>
      <w:pPr>
        <w:spacing w:after="0" w:line="34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Conditions to Each Loan</w:t>
      </w:r>
      <w:r>
        <w:rPr>
          <w:rFonts w:ascii="Times New Roman" w:cs="Times New Roman" w:eastAsia="Times New Roman" w:hAnsi="Times New Roman"/>
          <w:sz w:val="18"/>
          <w:szCs w:val="18"/>
          <w:color w:val="auto"/>
        </w:rPr>
        <w:t>. The agreement of each Bank to make any Loan requested to be made by it on any date (including, without limitation, the first such Loan hereunder) is subject to the satisfaction of the following conditions precedent:</w:t>
      </w:r>
    </w:p>
    <w:p>
      <w:pPr>
        <w:spacing w:after="0" w:line="136" w:lineRule="exact"/>
        <w:rPr>
          <w:sz w:val="20"/>
          <w:szCs w:val="20"/>
          <w:color w:val="auto"/>
        </w:rPr>
      </w:pPr>
    </w:p>
    <w:p>
      <w:pPr>
        <w:jc w:val="both"/>
        <w:ind w:firstLine="1665"/>
        <w:spacing w:after="0" w:line="254" w:lineRule="auto"/>
        <w:tabs>
          <w:tab w:leader="none" w:pos="22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Borrower herein or which are contained in any certificate, document or financial or other statement furnished at any time under or in connection herewith or therewith shall be true and correct in all material respects on and as of such date as if made on and as of such date.</w:t>
      </w:r>
    </w:p>
    <w:p>
      <w:pPr>
        <w:spacing w:after="0" w:line="140" w:lineRule="exact"/>
        <w:rPr>
          <w:rFonts w:ascii="Times New Roman" w:cs="Times New Roman" w:eastAsia="Times New Roman" w:hAnsi="Times New Roman"/>
          <w:sz w:val="18"/>
          <w:szCs w:val="18"/>
          <w:color w:val="auto"/>
        </w:rPr>
      </w:pPr>
    </w:p>
    <w:p>
      <w:pPr>
        <w:ind w:firstLine="1665"/>
        <w:spacing w:after="0" w:line="280" w:lineRule="auto"/>
        <w:tabs>
          <w:tab w:leader="none" w:pos="22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 on such date or after giving effect to the Loans requested to be made on such date.</w:t>
      </w:r>
    </w:p>
    <w:p>
      <w:pPr>
        <w:spacing w:after="0" w:line="117" w:lineRule="exact"/>
        <w:rPr>
          <w:rFonts w:ascii="Times New Roman" w:cs="Times New Roman" w:eastAsia="Times New Roman" w:hAnsi="Times New Roman"/>
          <w:sz w:val="18"/>
          <w:szCs w:val="18"/>
          <w:color w:val="auto"/>
        </w:rPr>
      </w:pPr>
    </w:p>
    <w:p>
      <w:pPr>
        <w:ind w:firstLine="1665"/>
        <w:spacing w:after="0" w:line="280" w:lineRule="auto"/>
        <w:tabs>
          <w:tab w:leader="none" w:pos="22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Contravention of Law</w:t>
      </w:r>
      <w:r>
        <w:rPr>
          <w:rFonts w:ascii="Times New Roman" w:cs="Times New Roman" w:eastAsia="Times New Roman" w:hAnsi="Times New Roman"/>
          <w:sz w:val="18"/>
          <w:szCs w:val="18"/>
          <w:color w:val="auto"/>
        </w:rPr>
        <w:t>. The making of the Loans shall not contravene any Requirement of Law applicable to the Borrower or any of the Banks.</w:t>
      </w:r>
    </w:p>
    <w:p>
      <w:pPr>
        <w:spacing w:after="0" w:line="11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 xml:space="preserve">Each borrowing by the Borrower hereunder shall constitute a representation and warranty by the Borrower as of the date of such Loan that the conditions contained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have been satisfied.</w:t>
      </w:r>
    </w:p>
    <w:p>
      <w:pPr>
        <w:spacing w:after="0" w:line="118" w:lineRule="exact"/>
        <w:rPr>
          <w:sz w:val="20"/>
          <w:szCs w:val="20"/>
          <w:color w:val="auto"/>
        </w:rPr>
      </w:pPr>
    </w:p>
    <w:p>
      <w:pPr>
        <w:ind w:firstLine="1109"/>
        <w:spacing w:after="0" w:line="280"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(the “Closing”) of the transactions contemplated hereby shall take place on June 3, 2025. The date on which the Closing shall be completed is referred to herein as the “Closing Date”.</w:t>
      </w:r>
    </w:p>
    <w:p>
      <w:pPr>
        <w:spacing w:after="0" w:line="118"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Amendment and Restatement of Existing Credit Agreement.</w:t>
      </w:r>
    </w:p>
    <w:p>
      <w:pPr>
        <w:spacing w:after="0" w:line="186" w:lineRule="exact"/>
        <w:rPr>
          <w:sz w:val="20"/>
          <w:szCs w:val="20"/>
          <w:color w:val="auto"/>
        </w:rPr>
      </w:pPr>
    </w:p>
    <w:p>
      <w:pPr>
        <w:jc w:val="both"/>
        <w:ind w:firstLine="1665"/>
        <w:spacing w:after="0" w:line="247" w:lineRule="auto"/>
        <w:tabs>
          <w:tab w:leader="none" w:pos="22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constitutes an amendment and restatement of the Existing Credit Agreement effective from and after the Closing Date. The parties to this Agreement agree that, upon (i) the execution and delivery by each of the parties hereto of this Agreement and (ii) satisfaction of the conditions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(or waiver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the terms and provisions of the Existing Credit Agreement shall be and hereby are amended, superseded and restated in their entirety by the terms and provisions of this Agreement. It is the express intent of the parties hereto that this Agreement is entered into in substitution for, and not in payment of, the obligations of the Borrower under the Existing Credit Agreement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4" w:name="page105"/>
    <w:bookmarkEnd w:id="104"/>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is in no way intended to constitute a novation of any of the Borrower’s indebtedness which was evidenced by the Existing Credit Agreement or any of the other Loan Documents. Upon the effectiveness hereof (I) all “Revolving Credit Loans” (as defined in the Existing Credit Agreement) and “Swing Line Loans” (as defined in the Existing Credit Agreement) made under the Existing Credit Agreement which are outstanding on the Closing Date shall continue as Revolving Credit Loans or Swing Line Loans, as applicable, under (and shall be governed by the terms of) this Agreement and, with respect to Revolving Credit Loans, shall either have the same Interest Periods as in effect under the Existing Credit Agreement or an Interest Period of one month as determined by the Agent in consultation with the Borrower, (II) all obligations under the Existing Credit Agreement or any Loan Document with any Bank which are outstanding on the Closing Date and are not being paid on such date shall continue as obligations under this Agreement and the other Loan Documents, (III) the Agent shall make such reallocations, sales, assignments or other relevant actions in respect of each Bank’s credit and loan exposure under the Existing Credit Agreement as are necessary in order that such Bank’s pro rata share of the outstanding Revolving Credit Loans hereunder reflect such Bank’s pro rata share of the outstanding aggregate Revolving Credit Loans on the Closing Date based on its Commitment Percentage, and (IV) each Bank under this Agreement agrees to waive any right to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 connection with the reallocation and transactions described above.</w:t>
      </w:r>
    </w:p>
    <w:p>
      <w:pPr>
        <w:spacing w:after="0" w:line="370" w:lineRule="exact"/>
        <w:rPr>
          <w:sz w:val="20"/>
          <w:szCs w:val="20"/>
          <w:color w:val="auto"/>
        </w:rPr>
      </w:pPr>
    </w:p>
    <w:p>
      <w:pPr>
        <w:jc w:val="both"/>
        <w:ind w:firstLine="1110"/>
        <w:spacing w:after="0" w:line="247" w:lineRule="auto"/>
        <w:tabs>
          <w:tab w:leader="none" w:pos="167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(i) each Bank shall be deemed, without further action of any party hereto, to have unconditionally and irrevocably purchased from the Swing Line Bank, without recourse or warranty, an undivided interest and participation in each Swing Line Loan (as defined in the Existing Credit Agreement) in proportion to such Bank’s Commitment Percentage of such Swing Line Loan on the terms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and (ii) to the extent necessary, each Bank shall fund Revolving Credit Loans (or receive payment of its “Revolving Credit Loans”, as defined in the Existing Credit Agreement) such that the Revolving Credit Loans of each of the Banks on the Closing Date are equal to its Commitment Percentage of the Revolving Credit Loans of all of the Banks outstanding on the Closing Date.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5. AFFIRMATIVE COVENANTS</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The Borrower hereby agrees that, so long as the Commitments remain in effect, any Note remains outstanding and unpaid, or any other amount is owing to any Bank or the Agent hereunder, the Borrower shall:</w:t>
      </w:r>
    </w:p>
    <w:p>
      <w:pPr>
        <w:spacing w:after="0" w:line="118"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each Bank (i) within 60 days after the end of each of the first three fiscal quarters of each fiscal year a consolidated balance sheet of the Borrower and its Subsidiaries as of the end of each such fiscal quarter and statements of income for the period from the beginning of such fiscal year to the end of such fiscal quarter, and (ii) within 120 days after the end of each fiscal year a consolidated balance sheet of the Borrower and its Subsidiaries as of the end of each fiscal year and statements of income, statements of retained earnings and cash flow for such fiscal year. All financial statements will be prepared in accordance with GAAP applied on a basis consistently maintained throughout the period involved and with the prior periods, such annual financial statements to be certified by independent certified public accountants selected by the Borrower and reasonably acceptable to the Agent, without (x) any exception or qualification arising out of the restricted or limited nature of the examination made by such accountants or (y) a “going concern” or like qualification, exception or emphasis (other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5" w:name="page106"/>
    <w:bookmarkEnd w:id="105"/>
    <w:p>
      <w:pPr>
        <w:spacing w:after="0" w:line="280" w:lineRule="auto"/>
        <w:rPr>
          <w:sz w:val="20"/>
          <w:szCs w:val="20"/>
          <w:color w:val="auto"/>
        </w:rPr>
      </w:pPr>
      <w:r>
        <w:rPr>
          <w:rFonts w:ascii="Times New Roman" w:cs="Times New Roman" w:eastAsia="Times New Roman" w:hAnsi="Times New Roman"/>
          <w:sz w:val="18"/>
          <w:szCs w:val="18"/>
          <w:color w:val="auto"/>
        </w:rPr>
        <w:t>than any qualification, exception or emphasis with respect to or resulting from an upcoming scheduled final maturity of any Debt or associated with a financial covenant).</w:t>
      </w:r>
    </w:p>
    <w:p>
      <w:pPr>
        <w:spacing w:after="0" w:line="118"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Certificates; Other Information. Furnish to each Bank:</w:t>
      </w:r>
    </w:p>
    <w:p>
      <w:pPr>
        <w:spacing w:after="0" w:line="186" w:lineRule="exact"/>
        <w:rPr>
          <w:sz w:val="20"/>
          <w:szCs w:val="20"/>
          <w:color w:val="auto"/>
        </w:rPr>
      </w:pPr>
    </w:p>
    <w:p>
      <w:pPr>
        <w:jc w:val="both"/>
        <w:ind w:firstLine="1665"/>
        <w:spacing w:after="0" w:line="248" w:lineRule="auto"/>
        <w:tabs>
          <w:tab w:leader="none" w:pos="22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subsection 5.1, a certificate on behalf of the Borrower executed by a Responsible Officer, (i) showing in detail the calculations supporting such statements in respect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and (ii) stating that, to the best of his or her knowledge, the Borrower during such period has kept, observed, performed and fulfilled each and every covenant and condition contained in this Agreement and in the Notes and the other Loan Documents applicable to it and that he or she obtained no knowledge of any Default or Event of Default except as specifically indicated;</w:t>
      </w:r>
    </w:p>
    <w:p>
      <w:pPr>
        <w:spacing w:after="0" w:line="149" w:lineRule="exact"/>
        <w:rPr>
          <w:rFonts w:ascii="Times New Roman" w:cs="Times New Roman" w:eastAsia="Times New Roman" w:hAnsi="Times New Roman"/>
          <w:sz w:val="18"/>
          <w:szCs w:val="18"/>
          <w:color w:val="auto"/>
        </w:rPr>
      </w:pPr>
    </w:p>
    <w:p>
      <w:pPr>
        <w:ind w:firstLine="1665"/>
        <w:spacing w:after="0" w:line="280" w:lineRule="auto"/>
        <w:tabs>
          <w:tab w:leader="none" w:pos="222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February 15 of each fiscal year, a budgeted balance sheet, income statement and statement of cash flow for the current fiscal year; and</w:t>
      </w:r>
    </w:p>
    <w:p>
      <w:pPr>
        <w:spacing w:after="0" w:line="117" w:lineRule="exact"/>
        <w:rPr>
          <w:rFonts w:ascii="Times New Roman" w:cs="Times New Roman" w:eastAsia="Times New Roman" w:hAnsi="Times New Roman"/>
          <w:sz w:val="18"/>
          <w:szCs w:val="18"/>
          <w:color w:val="auto"/>
        </w:rPr>
      </w:pPr>
    </w:p>
    <w:p>
      <w:pPr>
        <w:ind w:firstLine="1665"/>
        <w:spacing w:after="0" w:line="280" w:lineRule="auto"/>
        <w:tabs>
          <w:tab w:leader="none" w:pos="22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financial and other information as any Bank or the Agent may from time to time reasonably request.</w:t>
      </w:r>
    </w:p>
    <w:p>
      <w:pPr>
        <w:spacing w:after="0" w:line="118"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Pay, discharge or otherwise satisfy at or before maturity or before they become delinquent, as the case may be, all its obligations of whatever nature, except (x) in the case of indebtedness other than that described in subsection 7.1(f), when the amount or validity thereof is currently being contested in good faith by appropriate proceedings and reserves in conformity with GAAP with respect thereto have been provided on the books of the Borrower or (y) where the failure so to pay such indebtedness is in the normal course of the Borrower’s business as now conducted and would not have a Material Adverse Effect.</w:t>
      </w:r>
    </w:p>
    <w:p>
      <w:pPr>
        <w:spacing w:after="0" w:line="149" w:lineRule="exact"/>
        <w:rPr>
          <w:sz w:val="20"/>
          <w:szCs w:val="20"/>
          <w:color w:val="auto"/>
        </w:rPr>
      </w:pPr>
    </w:p>
    <w:p>
      <w:pPr>
        <w:jc w:val="both"/>
        <w:ind w:firstLine="1109"/>
        <w:spacing w:after="0" w:line="24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Conduct of Business and Maintenance of Existence</w:t>
      </w:r>
      <w:r>
        <w:rPr>
          <w:rFonts w:ascii="Times New Roman" w:cs="Times New Roman" w:eastAsia="Times New Roman" w:hAnsi="Times New Roman"/>
          <w:sz w:val="18"/>
          <w:szCs w:val="18"/>
          <w:color w:val="auto"/>
        </w:rPr>
        <w:t>. Subject to Section 6.4 hereof, continue to engage in business of the same general type as now conducted by it and, except to the extent that failure to do so would not have a Material Adverse Effect, preserve, renew and keep in full force and effect its corporate existence and take all reasonable action to maintain all rights, privileges, trademarks, trade names, licenses, franchises and other authorizations necessary or desirable in the normal conduct of its business; comply with all Contractual Obligations and Requirements of Law except to the extent that failure to comply therewith would not reasonably be expected to have, in the aggregate, a Material Adverse Effect.</w:t>
      </w:r>
    </w:p>
    <w:p>
      <w:pPr>
        <w:spacing w:after="0" w:line="149"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(a) Maintain in good repair, working order and condition (ordinary wear and tear excepted) in accordance with the general practice of other businesses of similar character and size, all of those properties material or necessary to its business, and from time to time make or cause to be made all appropriate repairs, renewals or replacements thereof; provided, however, that this Section shall not prevent the Borrower from discontinuing the operation and the maintenance of any of its properties if such discontinuance is desirable in the conduct of its business and the Borrower has concluded that such discontinuance would not, individually or in the aggregate, have a Material Adverse Effect on its business, operations, affairs, financial condition, property or assets, taken as a whole.</w:t>
      </w:r>
    </w:p>
    <w:p>
      <w:pPr>
        <w:spacing w:after="0" w:line="363" w:lineRule="exact"/>
        <w:rPr>
          <w:sz w:val="20"/>
          <w:szCs w:val="20"/>
          <w:color w:val="auto"/>
        </w:rPr>
      </w:pPr>
    </w:p>
    <w:p>
      <w:pPr>
        <w:ind w:firstLine="1665"/>
        <w:spacing w:after="0" w:line="280" w:lineRule="auto"/>
        <w:tabs>
          <w:tab w:leader="none" w:pos="22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 its properties and assets against loss or damage by fire and such other insurable hazards as such assets are commonly insured (including fire, extended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6" w:name="page107"/>
    <w:bookmarkEnd w:id="106"/>
    <w:p>
      <w:pPr>
        <w:jc w:val="both"/>
        <w:spacing w:after="0" w:line="217" w:lineRule="exact"/>
        <w:rPr>
          <w:sz w:val="20"/>
          <w:szCs w:val="20"/>
          <w:color w:val="auto"/>
        </w:rPr>
      </w:pPr>
      <w:r>
        <w:rPr>
          <w:rFonts w:ascii="Times New Roman" w:cs="Times New Roman" w:eastAsia="Times New Roman" w:hAnsi="Times New Roman"/>
          <w:sz w:val="18"/>
          <w:szCs w:val="18"/>
          <w:color w:val="auto"/>
        </w:rPr>
        <w:t>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to the extent customary. The Borrower shall deliver at the request of the Agent from time to time a summary schedule indicating all insurance then in force with respect to the Borrower.</w:t>
      </w:r>
    </w:p>
    <w:p>
      <w:pPr>
        <w:spacing w:after="0" w:line="154"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(a) Permit any of the officers or authorized employees or representatives of the Agent or any of the Banks to visit and inspect during normal business hours any of its properties and to examine and make excerpts from its books and records and discuss its business affairs, finances and accounts (including those of its Affiliates) with its officers, all in such detail and at such times and as often as any of the Banks may reasonably request, provided that each Bank shall provide the Borrower and the Agent with reasonable notice prior to any visit or inspection. In the event Required Banks desire to conduct an audit of the Borrower (to which the Borrower hereby consents), such Banks shall make a reasonable effort to conduct such audit contemporaneously with any audit to be performed by the Agent.</w:t>
      </w:r>
    </w:p>
    <w:p>
      <w:pPr>
        <w:spacing w:after="0" w:line="151" w:lineRule="exact"/>
        <w:rPr>
          <w:sz w:val="20"/>
          <w:szCs w:val="20"/>
          <w:color w:val="auto"/>
        </w:rPr>
      </w:pPr>
    </w:p>
    <w:p>
      <w:pPr>
        <w:jc w:val="both"/>
        <w:ind w:firstLine="1665"/>
        <w:spacing w:after="0" w:line="254" w:lineRule="auto"/>
        <w:tabs>
          <w:tab w:leader="none" w:pos="22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keep proper books of record and account which enable the Borrower and the Parent Company to issue financial statements in accordance with GAAP and as otherwise required by applicable Requirements of Law, and in which full, true and correct entries shall be made in all material respects of all its dealings and business and financial affairs.</w:t>
      </w:r>
    </w:p>
    <w:p>
      <w:pPr>
        <w:spacing w:after="0" w:line="140"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the Borrower becoming aware, give notice to the Agent and each Bank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166" w:lineRule="exact"/>
        <w:rPr>
          <w:sz w:val="20"/>
          <w:szCs w:val="20"/>
          <w:color w:val="auto"/>
        </w:rPr>
      </w:pPr>
    </w:p>
    <w:p>
      <w:pPr>
        <w:ind w:left="2220" w:hanging="555"/>
        <w:spacing w:after="0"/>
        <w:tabs>
          <w:tab w:leader="none" w:pos="22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185"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default or event of default under any Contractual Obligation of the Borrower, including, without limitation, the Indenture, or (ii) litigation, investigation or proceeding which may exist at any time between the Borrower and any Governmental Authority, which in either case, if not cured or if adversely determined, as the case may be, would have a Material Adverse Effect;</w:t>
      </w:r>
    </w:p>
    <w:p>
      <w:pPr>
        <w:spacing w:after="0" w:line="140"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proceeding which, if adversely determined, would have a Material Adverse</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165" w:lineRule="exact"/>
        <w:rPr>
          <w:rFonts w:ascii="Times New Roman" w:cs="Times New Roman" w:eastAsia="Times New Roman" w:hAnsi="Times New Roman"/>
          <w:sz w:val="18"/>
          <w:szCs w:val="18"/>
          <w:color w:val="auto"/>
        </w:rPr>
      </w:pPr>
    </w:p>
    <w:p>
      <w:pPr>
        <w:jc w:val="both"/>
        <w:ind w:firstLine="1665"/>
        <w:spacing w:after="0" w:line="246" w:lineRule="auto"/>
        <w:tabs>
          <w:tab w:leader="none" w:pos="22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as soon as possible and in any event within 30 days after the Borrower knows or has reason to know thereof: (i) the occurrence of any Reportable Event with respect to any Single Employer Plan which presents a material risk of termination of the Plan by the PBGC, (ii) any withdrawal from, or the termination or Insolvency of any Multiemployer Plan, (iii) the adjusted funding target attainment percentage (within the meaning of Section 436(j)(2) of the Code) with respect to any Single Employer Plan maintained by the Borrower or a Commonly Controlled Entity is certified by the Single Employer Plan’s actuary to be less than eighty percent (80%) or deemed by operation of Section 436 of the Code in the absence of such certification to be less than eighty percent (80%), or (iv) the institution of proceedings or the taking of any action by the PBGC or the Borrower or any Commonly Controlled Entity or any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7" w:name="page108"/>
    <w:bookmarkEnd w:id="107"/>
    <w:p>
      <w:pPr>
        <w:spacing w:after="0" w:line="280" w:lineRule="auto"/>
        <w:rPr>
          <w:sz w:val="20"/>
          <w:szCs w:val="20"/>
          <w:color w:val="auto"/>
        </w:rPr>
      </w:pPr>
      <w:r>
        <w:rPr>
          <w:rFonts w:ascii="Times New Roman" w:cs="Times New Roman" w:eastAsia="Times New Roman" w:hAnsi="Times New Roman"/>
          <w:sz w:val="18"/>
          <w:szCs w:val="18"/>
          <w:color w:val="auto"/>
        </w:rPr>
        <w:t>Multiemployer Plan with respect to the termination of any Single Employer Plan in a distress termination under Section 4041(c) of ERISA or the withdrawal from or the termination or Insolvency, of any Multiemployer Plan;</w:t>
      </w:r>
    </w:p>
    <w:p>
      <w:pPr>
        <w:spacing w:after="0" w:line="118" w:lineRule="exact"/>
        <w:rPr>
          <w:sz w:val="20"/>
          <w:szCs w:val="20"/>
          <w:color w:val="auto"/>
        </w:rPr>
      </w:pPr>
    </w:p>
    <w:p>
      <w:pPr>
        <w:ind w:left="2220" w:hanging="555"/>
        <w:spacing w:after="0"/>
        <w:tabs>
          <w:tab w:leader="none" w:pos="22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which has had a Material Adverse Effect; and</w:t>
      </w:r>
    </w:p>
    <w:p>
      <w:pPr>
        <w:spacing w:after="0" w:line="185" w:lineRule="exact"/>
        <w:rPr>
          <w:rFonts w:ascii="Times New Roman" w:cs="Times New Roman" w:eastAsia="Times New Roman" w:hAnsi="Times New Roman"/>
          <w:sz w:val="18"/>
          <w:szCs w:val="18"/>
          <w:color w:val="auto"/>
        </w:rPr>
      </w:pPr>
    </w:p>
    <w:p>
      <w:pPr>
        <w:ind w:left="2240" w:hanging="575"/>
        <w:spacing w:after="0"/>
        <w:tabs>
          <w:tab w:leader="none" w:pos="2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Reportable Compliance Event.</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Each notice pursuant to this subsection shall be accompanied by a statement of the Borrower, executed on its behalf by a Responsible Officer, setting forth details of the occurrence referred to therein and stating what action the Borrower proposes to take with respect thereto.</w:t>
      </w:r>
    </w:p>
    <w:p>
      <w:pPr>
        <w:spacing w:after="0" w:line="13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(a) Comply with, and require compliance by all tenants and to the extent possible, all subtenants, if any, with, all Environmental Laws and obtain and comply with and maintain, and require that all tenants and to the extent possible, all subtenants obtain and comply with and maintain, any and all licenses, approvals, registrations or permits required by Environmental Laws except to the extent that failure to so comply or obtain or maintain such documents would not have a Material Adverse Effect.</w:t>
      </w:r>
    </w:p>
    <w:p>
      <w:pPr>
        <w:spacing w:after="0" w:line="146" w:lineRule="exact"/>
        <w:rPr>
          <w:sz w:val="20"/>
          <w:szCs w:val="20"/>
          <w:color w:val="auto"/>
        </w:rPr>
      </w:pPr>
    </w:p>
    <w:p>
      <w:pPr>
        <w:jc w:val="both"/>
        <w:ind w:firstLine="1665"/>
        <w:spacing w:after="0" w:line="260" w:lineRule="auto"/>
        <w:tabs>
          <w:tab w:leader="none" w:pos="22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3.13, comply with all lawful and binding orders and directives of all Governmental Authorities respecting Environmental Laws except to the extent that failure to so comply would not have a Material Adverse Effect.</w:t>
      </w:r>
    </w:p>
    <w:p>
      <w:pPr>
        <w:spacing w:after="0" w:line="135" w:lineRule="exact"/>
        <w:rPr>
          <w:rFonts w:ascii="Times New Roman" w:cs="Times New Roman" w:eastAsia="Times New Roman" w:hAnsi="Times New Roman"/>
          <w:sz w:val="18"/>
          <w:szCs w:val="18"/>
          <w:color w:val="auto"/>
        </w:rPr>
      </w:pPr>
    </w:p>
    <w:p>
      <w:pPr>
        <w:jc w:val="both"/>
        <w:ind w:firstLine="1665"/>
        <w:spacing w:after="0" w:line="245" w:lineRule="auto"/>
        <w:tabs>
          <w:tab w:leader="none" w:pos="22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indemnify and hold harmless the Agent and the Banks, and their respective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arising under any Environmental Laws applicable to the real property owned or operated by or the operations of the Borrower, or any orders, requirements or demands of Governmental Authorities related thereto, including, without limitation, attorneys’ and consultants’ fees, investigation and laboratory fees, court costs and litigation expenses, except to the extent that any of the foregoing arise out of the negligence or willful misconduct of any of the foregoing enumerated parties as determined by a final order of a court of competent jurisdiction.</w:t>
      </w:r>
    </w:p>
    <w:p>
      <w:pPr>
        <w:spacing w:after="0" w:line="155"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Pay when due all taxes, assessments and governmental charges imposed upon it or any of its properties or that it is required to withhold and pay over, except where contested in good faith and where adequate reserves have been set aside to the extent required under GAAP.</w:t>
      </w:r>
    </w:p>
    <w:p>
      <w:pPr>
        <w:spacing w:after="0" w:line="13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Covenants of the Indenture</w:t>
      </w:r>
      <w:r>
        <w:rPr>
          <w:rFonts w:ascii="Times New Roman" w:cs="Times New Roman" w:eastAsia="Times New Roman" w:hAnsi="Times New Roman"/>
          <w:sz w:val="18"/>
          <w:szCs w:val="18"/>
          <w:color w:val="auto"/>
        </w:rPr>
        <w:t>. Comply at all times with the covenants contained in the Indenture, as last supplemented by the Supplemental Indenture, without regard to any amendment of or supplement to the Indenture occurring after May 1, 2025.</w:t>
      </w:r>
    </w:p>
    <w:p>
      <w:pPr>
        <w:spacing w:after="0" w:line="136" w:lineRule="exact"/>
        <w:rPr>
          <w:sz w:val="20"/>
          <w:szCs w:val="20"/>
          <w:color w:val="auto"/>
        </w:rPr>
      </w:pPr>
    </w:p>
    <w:p>
      <w:pPr>
        <w:jc w:val="both"/>
        <w:ind w:firstLine="1109"/>
        <w:spacing w:after="0" w:line="25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Guarantees of Obligations</w:t>
      </w:r>
      <w:r>
        <w:rPr>
          <w:rFonts w:ascii="Times New Roman" w:cs="Times New Roman" w:eastAsia="Times New Roman" w:hAnsi="Times New Roman"/>
          <w:sz w:val="18"/>
          <w:szCs w:val="18"/>
          <w:color w:val="auto"/>
        </w:rPr>
        <w:t>. It is the intent of the parties hereto that all of the obligations of the Borrower hereunder shall be unconditionally guaranteed by all of its Material Subsidiaries to the maximum extent permitted under any Requirement of Law applicable to any such Material Subsidiary. Accordingly, (a) the Borrower will cause Aqua Pennsylvania Wastewater, Inc. within 30 days of the Closing Date (or such longer period as the Agent may agree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8" w:name="page109"/>
    <w:bookmarkEnd w:id="108"/>
    <w:p>
      <w:pPr>
        <w:jc w:val="both"/>
        <w:spacing w:after="0" w:line="246" w:lineRule="auto"/>
        <w:rPr>
          <w:sz w:val="20"/>
          <w:szCs w:val="20"/>
          <w:color w:val="auto"/>
        </w:rPr>
      </w:pPr>
      <w:r>
        <w:rPr>
          <w:rFonts w:ascii="Times New Roman" w:cs="Times New Roman" w:eastAsia="Times New Roman" w:hAnsi="Times New Roman"/>
          <w:sz w:val="18"/>
          <w:szCs w:val="18"/>
          <w:color w:val="auto"/>
        </w:rPr>
        <w:t>in its sole discretion), to and (b) if any other Subsidiary is a Material Subsidiary after the date hereof then the Borrower will promptly notify the Agent of such Material Subsidiary and promptly, but in any event within 30 days (or such longer period as the Agent may agree in its sole discretion), cause such Material Subsidiary to, in the case of both (a) and (b) above, (i) execute and deliver a Guaranty Agreement in form and substance satisfactory to the Agent pursuant to which such Material Subsidiary will become a “Guarantor” hereunder, and guarantee the obligations of the Borrower hereunder and under the Notes and other Loan Documents and (ii) deliver such proof of corporate or other action, incumbency of officers, opinions of counsel and other documents as is consistent with those delivered by the Borrower pursuant to Section 4.1 on the Closing Date or as the Agent shall have reasonably requested.</w:t>
      </w:r>
    </w:p>
    <w:p>
      <w:pPr>
        <w:spacing w:after="0" w:line="151" w:lineRule="exact"/>
        <w:rPr>
          <w:sz w:val="20"/>
          <w:szCs w:val="20"/>
          <w:color w:val="auto"/>
        </w:rPr>
      </w:pPr>
    </w:p>
    <w:p>
      <w:pPr>
        <w:jc w:val="both"/>
        <w:ind w:firstLine="1109"/>
        <w:spacing w:after="0" w:line="25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Anti-Corruption Laws; Anti-Money Laundering Laws; and International Trade Laws</w:t>
      </w:r>
      <w:r>
        <w:rPr>
          <w:rFonts w:ascii="Times New Roman" w:cs="Times New Roman" w:eastAsia="Times New Roman" w:hAnsi="Times New Roman"/>
          <w:sz w:val="18"/>
          <w:szCs w:val="18"/>
          <w:color w:val="auto"/>
        </w:rPr>
        <w:t>. (a) immediately notify the Agent and each of the Banks in writing upon the occurrence of a Reportable Compliance Event;</w:t>
      </w:r>
    </w:p>
    <w:p>
      <w:pPr>
        <w:spacing w:after="0" w:line="1" w:lineRule="exact"/>
        <w:rPr>
          <w:sz w:val="20"/>
          <w:szCs w:val="20"/>
          <w:color w:val="auto"/>
        </w:rPr>
      </w:pPr>
    </w:p>
    <w:p>
      <w:pPr>
        <w:jc w:val="both"/>
        <w:ind w:firstLine="1"/>
        <w:spacing w:after="0" w:line="245" w:lineRule="auto"/>
        <w:tabs>
          <w:tab w:leader="none" w:pos="26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acting on behalf of such Covered Entity in connection with this Agreement.</w:t>
      </w:r>
    </w:p>
    <w:p>
      <w:pPr>
        <w:spacing w:after="0" w:line="148"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u w:val="single" w:color="auto"/>
          <w:color w:val="auto"/>
        </w:rPr>
        <w:t xml:space="preserve">Certificate of Beneficial Ownership and Other Additional Information. </w:t>
      </w:r>
      <w:r>
        <w:rPr>
          <w:rFonts w:ascii="Times New Roman" w:cs="Times New Roman" w:eastAsia="Times New Roman" w:hAnsi="Times New Roman"/>
          <w:sz w:val="18"/>
          <w:szCs w:val="18"/>
          <w:color w:val="auto"/>
        </w:rPr>
        <w:t>Provide to the Agent and</w:t>
      </w:r>
    </w:p>
    <w:p>
      <w:pPr>
        <w:spacing w:after="0" w:line="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the Banks:</w:t>
        <w:tab/>
        <w:t>(i) confirmation of the accuracy of the information set forth in the most recent Certificate of Beneficial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if any, provided to the Agent and Banks; (ii) if applicable, a new Certificate of Beneficial Ownership, in form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substance acceptable to the Agent and each Bank, when the individual(s) to be identified as a Beneficial Owner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changed; and (iii) such other information and documentation as may reasonably be requested by the Agent or any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for purposes of compliance by the Agent or such Bank with applicable Laws (including without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the USA Patriot Act and other “know your customer” and anti-money laundering rules and regulations),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policy or procedure implemented by the Agent or such Bank to comply therewith.</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NEGATIVE COVENANTS</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The Borrower hereby agrees that, so long as the Commitments remain in effect, any Note remains outstanding and unpaid or any other amount is owing to any Bank or the Agent hereunder, the Borrower shall not directly or indirectly:</w:t>
      </w:r>
    </w:p>
    <w:p>
      <w:pPr>
        <w:spacing w:after="0" w:line="136"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Financial Covenants.</w:t>
      </w:r>
    </w:p>
    <w:p>
      <w:pPr>
        <w:spacing w:after="0" w:line="186" w:lineRule="exact"/>
        <w:rPr>
          <w:sz w:val="20"/>
          <w:szCs w:val="20"/>
          <w:color w:val="auto"/>
        </w:rPr>
      </w:pPr>
    </w:p>
    <w:p>
      <w:pPr>
        <w:ind w:firstLine="1665"/>
        <w:spacing w:after="0" w:line="280" w:lineRule="auto"/>
        <w:tabs>
          <w:tab w:leader="none" w:pos="22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to Capital Ratio</w:t>
      </w:r>
      <w:r>
        <w:rPr>
          <w:rFonts w:ascii="Times New Roman" w:cs="Times New Roman" w:eastAsia="Times New Roman" w:hAnsi="Times New Roman"/>
          <w:sz w:val="18"/>
          <w:szCs w:val="18"/>
          <w:color w:val="auto"/>
        </w:rPr>
        <w:t>. Permit as of the end of any fiscal quarter the Equity to Capital Ratio to be less than thirty eight percent (38%).</w:t>
      </w:r>
    </w:p>
    <w:p>
      <w:pPr>
        <w:spacing w:after="0" w:line="117"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Permit as of the end of any fiscal quarter the Interest Coverage</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to be less than 1.8 to 1.</w:t>
      </w:r>
    </w:p>
    <w:p>
      <w:pPr>
        <w:spacing w:after="0" w:line="166" w:lineRule="exact"/>
        <w:rPr>
          <w:sz w:val="20"/>
          <w:szCs w:val="20"/>
          <w:color w:val="auto"/>
        </w:rPr>
      </w:pPr>
    </w:p>
    <w:p>
      <w:pPr>
        <w:ind w:firstLine="1109"/>
        <w:spacing w:after="0" w:line="280"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Limitation on Certain Debt</w:t>
      </w:r>
      <w:r>
        <w:rPr>
          <w:rFonts w:ascii="Times New Roman" w:cs="Times New Roman" w:eastAsia="Times New Roman" w:hAnsi="Times New Roman"/>
          <w:sz w:val="18"/>
          <w:szCs w:val="18"/>
          <w:color w:val="auto"/>
        </w:rPr>
        <w:t>. Except for the Loans and Commitments under the Loan Documents, at any time enter into, assume or suffer to exist lines of credit or comparable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09" w:name="page110"/>
    <w:bookmarkEnd w:id="109"/>
    <w:p>
      <w:pPr>
        <w:jc w:val="both"/>
        <w:spacing w:after="0" w:line="280" w:lineRule="auto"/>
        <w:rPr>
          <w:sz w:val="20"/>
          <w:szCs w:val="20"/>
          <w:color w:val="auto"/>
        </w:rPr>
      </w:pPr>
      <w:r>
        <w:rPr>
          <w:rFonts w:ascii="Times New Roman" w:cs="Times New Roman" w:eastAsia="Times New Roman" w:hAnsi="Times New Roman"/>
          <w:sz w:val="18"/>
          <w:szCs w:val="18"/>
          <w:color w:val="auto"/>
        </w:rPr>
        <w:t>extensions of credit from one or more commercial banks (or their Affiliates) under which the Borrower has incurred or may incur aggregate Debt in excess of $15,000,000.</w:t>
      </w:r>
    </w:p>
    <w:p>
      <w:pPr>
        <w:spacing w:after="0" w:line="118" w:lineRule="exact"/>
        <w:rPr>
          <w:sz w:val="20"/>
          <w:szCs w:val="20"/>
          <w:color w:val="auto"/>
        </w:rPr>
      </w:pPr>
    </w:p>
    <w:p>
      <w:pPr>
        <w:jc w:val="both"/>
        <w:ind w:firstLine="1109"/>
        <w:spacing w:after="0" w:line="26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Create, incur, assume or suffer to exist any Lien upon any of its property, assets or revenues, including, without limitation, the stock of its Subsidiaries, whether now owned or hereafter acquired, except for:</w:t>
      </w:r>
    </w:p>
    <w:p>
      <w:pPr>
        <w:spacing w:after="0" w:line="348" w:lineRule="exact"/>
        <w:rPr>
          <w:sz w:val="20"/>
          <w:szCs w:val="20"/>
          <w:color w:val="auto"/>
        </w:rPr>
      </w:pPr>
    </w:p>
    <w:p>
      <w:pPr>
        <w:jc w:val="both"/>
        <w:ind w:firstLine="1665"/>
        <w:spacing w:after="0" w:line="250" w:lineRule="auto"/>
        <w:tabs>
          <w:tab w:leader="none" w:pos="2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 if the validity or amount thereof is being contested in good faith by appropriate and lawful proceedings diligently conducted so long as levy and execution thereon have been stayed and continue to be stayed or (ii) if a final judgment is entered and such judgment is discharged within thirty (30) days of entry, and in either case they do not materially impair the ability of the Borrower to perform its obligations hereunder or under the other Loan Documents:</w:t>
      </w:r>
    </w:p>
    <w:p>
      <w:pPr>
        <w:spacing w:after="0" w:line="146" w:lineRule="exact"/>
        <w:rPr>
          <w:rFonts w:ascii="Times New Roman" w:cs="Times New Roman" w:eastAsia="Times New Roman" w:hAnsi="Times New Roman"/>
          <w:sz w:val="18"/>
          <w:szCs w:val="18"/>
          <w:color w:val="auto"/>
        </w:rPr>
      </w:pPr>
    </w:p>
    <w:p>
      <w:pPr>
        <w:jc w:val="both"/>
        <w:ind w:left="1660" w:firstLine="559"/>
        <w:spacing w:after="0" w:line="254" w:lineRule="auto"/>
        <w:tabs>
          <w:tab w:leader="none" w:pos="27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Liens for taxes, assessments or charges due and payable and subject to interest or penalty, provided that the Borrower maintains such reserves or other appropriate provisions as shall be required by GAAP and pays all such taxes, assessments or charges forthwith upon the commencement of proceedings to foreclose any such Lien;</w:t>
      </w:r>
    </w:p>
    <w:p>
      <w:pPr>
        <w:spacing w:after="0" w:line="140" w:lineRule="exact"/>
        <w:rPr>
          <w:rFonts w:ascii="Times New Roman" w:cs="Times New Roman" w:eastAsia="Times New Roman" w:hAnsi="Times New Roman"/>
          <w:sz w:val="18"/>
          <w:szCs w:val="18"/>
          <w:color w:val="auto"/>
        </w:rPr>
      </w:pPr>
    </w:p>
    <w:p>
      <w:pPr>
        <w:jc w:val="both"/>
        <w:ind w:left="1660" w:firstLine="559"/>
        <w:spacing w:after="0" w:line="260" w:lineRule="auto"/>
        <w:tabs>
          <w:tab w:leader="none" w:pos="279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Liens or encumbrances upon, and defects of title to, real or personal property including any attachment of personal or real property or other legal process prior to adjudication of a dispute on the merits; and</w:t>
      </w:r>
    </w:p>
    <w:p>
      <w:pPr>
        <w:spacing w:after="0" w:line="135" w:lineRule="exact"/>
        <w:rPr>
          <w:rFonts w:ascii="Times New Roman" w:cs="Times New Roman" w:eastAsia="Times New Roman" w:hAnsi="Times New Roman"/>
          <w:sz w:val="18"/>
          <w:szCs w:val="18"/>
          <w:color w:val="auto"/>
        </w:rPr>
      </w:pPr>
    </w:p>
    <w:p>
      <w:pPr>
        <w:ind w:left="1660" w:firstLine="559"/>
        <w:spacing w:after="0" w:line="280" w:lineRule="auto"/>
        <w:tabs>
          <w:tab w:leader="none" w:pos="278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Liens of mechanics, materialmen, warehousemen, carriers, or other statutory nonconsensual Liens;</w:t>
      </w:r>
    </w:p>
    <w:p>
      <w:pPr>
        <w:spacing w:after="0" w:line="117" w:lineRule="exact"/>
        <w:rPr>
          <w:rFonts w:ascii="Times New Roman" w:cs="Times New Roman" w:eastAsia="Times New Roman" w:hAnsi="Times New Roman"/>
          <w:sz w:val="18"/>
          <w:szCs w:val="18"/>
          <w:color w:val="auto"/>
        </w:rPr>
      </w:pPr>
    </w:p>
    <w:p>
      <w:pPr>
        <w:ind w:firstLine="1665"/>
        <w:spacing w:after="0" w:line="280" w:lineRule="auto"/>
        <w:tabs>
          <w:tab w:leader="none" w:pos="222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connection with workers’ compensation, unemployment insurance and other social security legislation;</w:t>
      </w:r>
    </w:p>
    <w:p>
      <w:pPr>
        <w:spacing w:after="0" w:line="117"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(other than for borrowed money), leases, statutory obligations, surety and appeal bonds, performance bonds and other obligations of a like nature incurred in the ordinary course of business of the Borrower;</w:t>
      </w:r>
    </w:p>
    <w:p>
      <w:pPr>
        <w:spacing w:after="0" w:line="104" w:lineRule="exact"/>
        <w:rPr>
          <w:rFonts w:ascii="Times New Roman" w:cs="Times New Roman" w:eastAsia="Times New Roman" w:hAnsi="Times New Roman"/>
          <w:sz w:val="18"/>
          <w:szCs w:val="18"/>
          <w:color w:val="auto"/>
        </w:rPr>
      </w:pPr>
    </w:p>
    <w:p>
      <w:pPr>
        <w:jc w:val="both"/>
        <w:ind w:firstLine="1665"/>
        <w:spacing w:after="0" w:line="233" w:lineRule="exact"/>
        <w:tabs>
          <w:tab w:leader="none" w:pos="222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way, restrictions and other similar encumbrances incurred in the ordinary course of business which, in the aggregate, are not substantial in amount and which do not interfere with the ordinary conduct of the business of the Borrower;</w:t>
      </w:r>
    </w:p>
    <w:p>
      <w:pPr>
        <w:spacing w:after="0" w:line="152" w:lineRule="exact"/>
        <w:rPr>
          <w:rFonts w:ascii="Times New Roman" w:cs="Times New Roman" w:eastAsia="Times New Roman" w:hAnsi="Times New Roman"/>
          <w:sz w:val="18"/>
          <w:szCs w:val="18"/>
          <w:color w:val="auto"/>
        </w:rPr>
      </w:pPr>
    </w:p>
    <w:p>
      <w:pPr>
        <w:ind w:firstLine="1665"/>
        <w:spacing w:after="0" w:line="280" w:lineRule="auto"/>
        <w:tabs>
          <w:tab w:leader="none" w:pos="2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which were in existence on the date hereof and shown on </w:t>
      </w:r>
      <w:r>
        <w:rPr>
          <w:rFonts w:ascii="Times New Roman" w:cs="Times New Roman" w:eastAsia="Times New Roman" w:hAnsi="Times New Roman"/>
          <w:sz w:val="18"/>
          <w:szCs w:val="18"/>
          <w:u w:val="single" w:color="auto"/>
          <w:color w:val="auto"/>
        </w:rPr>
        <w:t>Schedule 6.3</w:t>
      </w:r>
      <w:r>
        <w:rPr>
          <w:rFonts w:ascii="Times New Roman" w:cs="Times New Roman" w:eastAsia="Times New Roman" w:hAnsi="Times New Roman"/>
          <w:sz w:val="18"/>
          <w:szCs w:val="18"/>
          <w:color w:val="auto"/>
        </w:rPr>
        <w:t xml:space="preserve"> and replacements, extensions or replacements thereof;</w:t>
      </w:r>
    </w:p>
    <w:p>
      <w:pPr>
        <w:spacing w:after="0" w:line="117"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2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acquired by the Borrower in acquisitions permitted by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(which liens were in existence at the time of such acquisitions and were not created in anticipation thereof;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any such Lien does not by its terms cover any property or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0" w:name="page111"/>
    <w:bookmarkEnd w:id="110"/>
    <w:p>
      <w:pPr>
        <w:spacing w:after="0" w:line="280" w:lineRule="auto"/>
        <w:rPr>
          <w:sz w:val="20"/>
          <w:szCs w:val="20"/>
          <w:color w:val="auto"/>
        </w:rPr>
      </w:pPr>
      <w:r>
        <w:rPr>
          <w:rFonts w:ascii="Times New Roman" w:cs="Times New Roman" w:eastAsia="Times New Roman" w:hAnsi="Times New Roman"/>
          <w:sz w:val="18"/>
          <w:szCs w:val="18"/>
          <w:color w:val="auto"/>
        </w:rPr>
        <w:t>assets after the time of such acquisition which were not covered immediately prior thereto (other than the proceeds of such property or assets));</w:t>
      </w:r>
    </w:p>
    <w:p>
      <w:pPr>
        <w:spacing w:after="0" w:line="118" w:lineRule="exact"/>
        <w:rPr>
          <w:sz w:val="20"/>
          <w:szCs w:val="20"/>
          <w:color w:val="auto"/>
        </w:rPr>
      </w:pPr>
    </w:p>
    <w:p>
      <w:pPr>
        <w:jc w:val="both"/>
        <w:ind w:firstLine="1665"/>
        <w:spacing w:after="0" w:line="247" w:lineRule="auto"/>
        <w:tabs>
          <w:tab w:leader="none" w:pos="222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upon real property, which property was acquired after the Closing Date by the Borrower, each of which Liens existed on such property before the time of its acquisition or was created to finance, refinance or refund the cost (including the cost of construction) of the respective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Lien shall extend to or cover any accounts receivable or inventory under any circumstances or any property of the Borrower other than the respective property so acquired and improvements thereon, and the principal amount of indebtedness secured by any such Lien shall not exceed the fair market value of the respective property at the time it was acquired;</w:t>
      </w:r>
    </w:p>
    <w:p>
      <w:pPr>
        <w:spacing w:after="0" w:line="362"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Leases as and to the extent permitted under this Agreement;</w:t>
      </w:r>
    </w:p>
    <w:p>
      <w:pPr>
        <w:spacing w:after="0" w:line="185" w:lineRule="exact"/>
        <w:rPr>
          <w:rFonts w:ascii="Times New Roman" w:cs="Times New Roman" w:eastAsia="Times New Roman" w:hAnsi="Times New Roman"/>
          <w:sz w:val="18"/>
          <w:szCs w:val="18"/>
          <w:color w:val="auto"/>
        </w:rPr>
      </w:pPr>
    </w:p>
    <w:p>
      <w:pPr>
        <w:ind w:left="2240" w:hanging="575"/>
        <w:spacing w:after="0"/>
        <w:tabs>
          <w:tab w:leader="none" w:pos="2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security interests on capital equipment purchased in the ordinary course of</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165" w:lineRule="exact"/>
        <w:rPr>
          <w:rFonts w:ascii="Times New Roman" w:cs="Times New Roman" w:eastAsia="Times New Roman" w:hAnsi="Times New Roman"/>
          <w:sz w:val="18"/>
          <w:szCs w:val="18"/>
          <w:color w:val="auto"/>
        </w:rPr>
      </w:pPr>
    </w:p>
    <w:p>
      <w:pPr>
        <w:ind w:firstLine="1665"/>
        <w:spacing w:after="0" w:line="280" w:lineRule="auto"/>
        <w:tabs>
          <w:tab w:leader="none" w:pos="22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to secure indebtedness to the Pennsylvania Infrastructure Invesment Authority for the purchase of capital assets, to the extent such Liens are also permitted under the Indenture;</w:t>
      </w:r>
    </w:p>
    <w:p>
      <w:pPr>
        <w:spacing w:after="0" w:line="117" w:lineRule="exact"/>
        <w:rPr>
          <w:rFonts w:ascii="Times New Roman" w:cs="Times New Roman" w:eastAsia="Times New Roman" w:hAnsi="Times New Roman"/>
          <w:sz w:val="18"/>
          <w:szCs w:val="18"/>
          <w:color w:val="auto"/>
        </w:rPr>
      </w:pPr>
    </w:p>
    <w:p>
      <w:pPr>
        <w:ind w:firstLine="1665"/>
        <w:spacing w:after="0" w:line="280" w:lineRule="auto"/>
        <w:tabs>
          <w:tab w:leader="none" w:pos="222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 of the Indenture and other Liens in connection with the issuance of industrial revenue bonds or pollution control bonds, to the extent such Liens are permitted under the Indenture; and</w:t>
      </w:r>
    </w:p>
    <w:p>
      <w:pPr>
        <w:spacing w:after="0" w:line="117"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3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Liens permitted by the preceding subparagraphs (a) through (k), inclusive,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Liens securing Debt of the Borrower provided that the aggregate principal amount of Debt secured by Liens pursuant to this </w:t>
      </w:r>
      <w:r>
        <w:rPr>
          <w:rFonts w:ascii="Times New Roman" w:cs="Times New Roman" w:eastAsia="Times New Roman" w:hAnsi="Times New Roman"/>
          <w:sz w:val="18"/>
          <w:szCs w:val="18"/>
          <w:u w:val="single" w:color="auto"/>
          <w:color w:val="auto"/>
        </w:rPr>
        <w:t>Section 6.3(l)</w:t>
      </w:r>
      <w:r>
        <w:rPr>
          <w:rFonts w:ascii="Times New Roman" w:cs="Times New Roman" w:eastAsia="Times New Roman" w:hAnsi="Times New Roman"/>
          <w:sz w:val="18"/>
          <w:szCs w:val="18"/>
          <w:color w:val="auto"/>
        </w:rPr>
        <w:t xml:space="preserve"> shall not exceed $10,000,000.</w:t>
      </w:r>
    </w:p>
    <w:p>
      <w:pPr>
        <w:spacing w:after="0" w:line="13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Limitations on Fundamental Changes</w:t>
      </w:r>
      <w:r>
        <w:rPr>
          <w:rFonts w:ascii="Times New Roman" w:cs="Times New Roman" w:eastAsia="Times New Roman" w:hAnsi="Times New Roman"/>
          <w:sz w:val="18"/>
          <w:szCs w:val="18"/>
          <w:color w:val="auto"/>
        </w:rPr>
        <w:t>. Enter into any merger, consolidation or amalgamation, or liquidate, wind up or dissolve itself (or suffer any liquidation or dissolution), or convey, sell, lease, assign, transfer or otherwise dispose of, all or substantially all of its property, business or assets except:</w:t>
      </w:r>
    </w:p>
    <w:p>
      <w:pPr>
        <w:spacing w:after="0" w:line="136" w:lineRule="exact"/>
        <w:rPr>
          <w:sz w:val="20"/>
          <w:szCs w:val="20"/>
          <w:color w:val="auto"/>
        </w:rPr>
      </w:pPr>
    </w:p>
    <w:p>
      <w:pPr>
        <w:ind w:left="2220" w:hanging="555"/>
        <w:spacing w:after="0"/>
        <w:tabs>
          <w:tab w:leader="none" w:pos="22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merge into the Parent Company, so long as the Parent Company is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entity;</w:t>
      </w:r>
    </w:p>
    <w:p>
      <w:pPr>
        <w:spacing w:after="0" w:line="166" w:lineRule="exact"/>
        <w:rPr>
          <w:sz w:val="20"/>
          <w:szCs w:val="20"/>
          <w:color w:val="auto"/>
        </w:rPr>
      </w:pPr>
    </w:p>
    <w:p>
      <w:pPr>
        <w:jc w:val="both"/>
        <w:ind w:firstLine="1665"/>
        <w:spacing w:after="0" w:line="267" w:lineRule="auto"/>
        <w:tabs>
          <w:tab w:leader="none" w:pos="22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limited liability company (other than the Parent Company) may be merged or consolidated with or into the Borrower (provided that the Borrower shall be the continuing or surviving corporation); and</w:t>
      </w:r>
    </w:p>
    <w:p>
      <w:pPr>
        <w:spacing w:after="0" w:line="348" w:lineRule="exact"/>
        <w:rPr>
          <w:rFonts w:ascii="Times New Roman" w:cs="Times New Roman" w:eastAsia="Times New Roman" w:hAnsi="Times New Roman"/>
          <w:sz w:val="18"/>
          <w:szCs w:val="18"/>
          <w:color w:val="auto"/>
        </w:rPr>
      </w:pPr>
    </w:p>
    <w:p>
      <w:pPr>
        <w:ind w:firstLine="1665"/>
        <w:spacing w:after="0" w:line="280" w:lineRule="auto"/>
        <w:tabs>
          <w:tab w:leader="none" w:pos="22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merger in connection with a Permitted Acquisition in accordance with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in which the surviving entity is the Borrower;</w:t>
      </w:r>
    </w:p>
    <w:p>
      <w:pPr>
        <w:spacing w:after="0" w:line="11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each such transaction and after giving effect thereto, the Borrower is in compliance with this Agreement and no Default or Event of Default shall be in existence or result from such transaction.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1" w:name="page112"/>
    <w:bookmarkEnd w:id="111"/>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Limitation on Sale of Assets</w:t>
      </w:r>
      <w:r>
        <w:rPr>
          <w:rFonts w:ascii="Times New Roman" w:cs="Times New Roman" w:eastAsia="Times New Roman" w:hAnsi="Times New Roman"/>
          <w:sz w:val="18"/>
          <w:szCs w:val="18"/>
          <w:color w:val="auto"/>
        </w:rPr>
        <w:t>. Convey, sell, lease, assign, transfer or otherwise dispose of any of its property, business or assets (including, without limitation, accounts receivable and leasehold interests), whether now owned or hereafter acquired, except:</w:t>
      </w:r>
    </w:p>
    <w:p>
      <w:pPr>
        <w:spacing w:after="0" w:line="136" w:lineRule="exact"/>
        <w:rPr>
          <w:sz w:val="20"/>
          <w:szCs w:val="20"/>
          <w:color w:val="auto"/>
        </w:rPr>
      </w:pPr>
    </w:p>
    <w:p>
      <w:pPr>
        <w:ind w:left="2780" w:hanging="561"/>
        <w:spacing w:after="0"/>
        <w:tabs>
          <w:tab w:leader="none" w:pos="27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obsolete or worn out property disposed of in the ordinary course of business;</w:t>
      </w:r>
    </w:p>
    <w:p>
      <w:pPr>
        <w:spacing w:after="0" w:line="185" w:lineRule="exact"/>
        <w:rPr>
          <w:rFonts w:ascii="Times New Roman" w:cs="Times New Roman" w:eastAsia="Times New Roman" w:hAnsi="Times New Roman"/>
          <w:sz w:val="18"/>
          <w:szCs w:val="18"/>
          <w:color w:val="auto"/>
        </w:rPr>
      </w:pPr>
    </w:p>
    <w:p>
      <w:pPr>
        <w:ind w:left="1120" w:firstLine="1099"/>
        <w:spacing w:after="0" w:line="280" w:lineRule="auto"/>
        <w:tabs>
          <w:tab w:leader="none" w:pos="282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inventory or other assets, or the licensing of intellectual property, in each case in the ordinary course of business;</w:t>
      </w:r>
    </w:p>
    <w:p>
      <w:pPr>
        <w:spacing w:after="0" w:line="117" w:lineRule="exact"/>
        <w:rPr>
          <w:rFonts w:ascii="Times New Roman" w:cs="Times New Roman" w:eastAsia="Times New Roman" w:hAnsi="Times New Roman"/>
          <w:sz w:val="18"/>
          <w:szCs w:val="18"/>
          <w:color w:val="auto"/>
        </w:rPr>
      </w:pPr>
    </w:p>
    <w:p>
      <w:pPr>
        <w:ind w:left="2840" w:hanging="621"/>
        <w:spacing w:after="0"/>
        <w:tabs>
          <w:tab w:leader="none" w:pos="28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(i) which are replaced by like-kind assets or</w:t>
      </w:r>
    </w:p>
    <w:p>
      <w:pPr>
        <w:spacing w:after="0" w:line="20" w:lineRule="exact"/>
        <w:rPr>
          <w:rFonts w:ascii="Times New Roman" w:cs="Times New Roman" w:eastAsia="Times New Roman" w:hAnsi="Times New Roman"/>
          <w:sz w:val="18"/>
          <w:szCs w:val="18"/>
          <w:color w:val="auto"/>
        </w:rPr>
      </w:pPr>
    </w:p>
    <w:p>
      <w:pPr>
        <w:ind w:left="1120" w:hanging="10"/>
        <w:spacing w:after="0" w:line="256" w:lineRule="auto"/>
        <w:tabs>
          <w:tab w:leader="none" w:pos="140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of which are used within one-hundred and twenty (120) days of such sale to purchase like-kind assets;</w:t>
      </w:r>
    </w:p>
    <w:p>
      <w:pPr>
        <w:spacing w:after="0" w:line="139" w:lineRule="exact"/>
        <w:rPr>
          <w:rFonts w:ascii="Times New Roman" w:cs="Times New Roman" w:eastAsia="Times New Roman" w:hAnsi="Times New Roman"/>
          <w:sz w:val="18"/>
          <w:szCs w:val="18"/>
          <w:color w:val="auto"/>
        </w:rPr>
      </w:pPr>
    </w:p>
    <w:p>
      <w:pPr>
        <w:ind w:left="1120" w:firstLine="1099"/>
        <w:spacing w:after="0" w:line="280" w:lineRule="auto"/>
        <w:tabs>
          <w:tab w:leader="none" w:pos="283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the proceeds of the sale of which are used to permanently reduce the Commitments; and</w:t>
      </w:r>
    </w:p>
    <w:p>
      <w:pPr>
        <w:spacing w:after="0" w:line="117" w:lineRule="exact"/>
        <w:rPr>
          <w:rFonts w:ascii="Times New Roman" w:cs="Times New Roman" w:eastAsia="Times New Roman" w:hAnsi="Times New Roman"/>
          <w:sz w:val="18"/>
          <w:szCs w:val="18"/>
          <w:color w:val="auto"/>
        </w:rPr>
      </w:pPr>
    </w:p>
    <w:p>
      <w:pPr>
        <w:jc w:val="both"/>
        <w:ind w:left="1120" w:firstLine="1099"/>
        <w:spacing w:after="0" w:line="254" w:lineRule="auto"/>
        <w:tabs>
          <w:tab w:leader="none" w:pos="279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subsections 6.5(i) through 6.5(iv), inclusive, any such conveyances, sales, leases, assignments, transfers or other disposals, the aggregate amount of which for any fiscal year does not exceed 5% of the Borrower’s Consolidated Shareholders’ Equity as at the end of the immediately preceding fiscal year.</w:t>
      </w:r>
    </w:p>
    <w:p>
      <w:pPr>
        <w:spacing w:after="0" w:line="140"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Limitations on Acquisitions</w:t>
      </w:r>
      <w:r>
        <w:rPr>
          <w:rFonts w:ascii="Times New Roman" w:cs="Times New Roman" w:eastAsia="Times New Roman" w:hAnsi="Times New Roman"/>
          <w:sz w:val="18"/>
          <w:szCs w:val="18"/>
          <w:color w:val="auto"/>
        </w:rPr>
        <w:t>. Purchase, hold or acquire beneficially any stock, other securities or evidences of indebtedness of, or make or permit any investment or acquire any interest whatsoever in, any other Person, except for Permitted Acquisitions.</w:t>
      </w:r>
    </w:p>
    <w:p>
      <w:pPr>
        <w:spacing w:after="0" w:line="136"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Limitation on Distributions and Investments</w:t>
      </w:r>
      <w:r>
        <w:rPr>
          <w:rFonts w:ascii="Times New Roman" w:cs="Times New Roman" w:eastAsia="Times New Roman" w:hAnsi="Times New Roman"/>
          <w:sz w:val="18"/>
          <w:szCs w:val="18"/>
          <w:color w:val="auto"/>
        </w:rPr>
        <w:t>. (a) At any time make (or incur any liability to make) or pay any Distribution in respect of the Borrower (other than a Distribution payable to the Parent Company) unless as of the declaration date of any such Distribution and after giving effect to the declaration or payment of any such Distribution as if made on the last day of the immediately preceding fiscal quarter for which financial statements have been delivered to the Banks pursuant to Section 5.1 (or, prior to the first delivery of such financial statements, Section 3.1(a)), no Default or Event of Default would exist; or</w:t>
      </w:r>
    </w:p>
    <w:p>
      <w:pPr>
        <w:spacing w:after="0" w:line="149" w:lineRule="exact"/>
        <w:rPr>
          <w:sz w:val="20"/>
          <w:szCs w:val="20"/>
          <w:color w:val="auto"/>
        </w:rPr>
      </w:pPr>
    </w:p>
    <w:p>
      <w:pPr>
        <w:ind w:left="2220" w:hanging="555"/>
        <w:spacing w:after="0"/>
        <w:tabs>
          <w:tab w:leader="none" w:pos="22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Investments other than Permitted Investments.</w:t>
      </w:r>
    </w:p>
    <w:p>
      <w:pPr>
        <w:spacing w:after="0" w:line="186"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expressly permitted in this Agreement, directly or indirectly enter into any transaction or arrangement whatsoever or make any payment to or otherwise deal with any Affiliate (other than transactions among the Borrower and its Subsidiaries not involving any other Affiliate of the Borrower), except, as to all of the foregoing in the ordinary course of and pursuant to the reasonable requirements of the Borrower’s business and upon fair and reasonable terms not materially less favorable to the Borrower than would be obtained in a comparable arm’s length transaction with a Person not an Affiliate of the Borrower.</w:t>
      </w:r>
    </w:p>
    <w:p>
      <w:pPr>
        <w:spacing w:after="0" w:line="149"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Sale and Leaseback</w:t>
      </w:r>
      <w:r>
        <w:rPr>
          <w:rFonts w:ascii="Times New Roman" w:cs="Times New Roman" w:eastAsia="Times New Roman" w:hAnsi="Times New Roman"/>
          <w:sz w:val="18"/>
          <w:szCs w:val="18"/>
          <w:color w:val="auto"/>
        </w:rPr>
        <w:t>. Except if reasonably contemporaneous with the Borrower’s purchase, enter into any arrangement with any Person providing for the leasing by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2" w:name="page113"/>
    <w:bookmarkEnd w:id="112"/>
    <w:p>
      <w:pPr>
        <w:jc w:val="both"/>
        <w:spacing w:after="0" w:line="260" w:lineRule="auto"/>
        <w:rPr>
          <w:sz w:val="20"/>
          <w:szCs w:val="20"/>
          <w:color w:val="auto"/>
        </w:rPr>
      </w:pPr>
      <w:r>
        <w:rPr>
          <w:rFonts w:ascii="Times New Roman" w:cs="Times New Roman" w:eastAsia="Times New Roman" w:hAnsi="Times New Roman"/>
          <w:sz w:val="18"/>
          <w:szCs w:val="18"/>
          <w:color w:val="auto"/>
        </w:rPr>
        <w:t>Borrower of real or personal property which has been or is to be sold or transferred by the Borrower to such Person or to any other Person to whom funds have been or are to be advanced by such Person on the security of such property or rental obligations of the Borrower.</w:t>
      </w:r>
    </w:p>
    <w:p>
      <w:pPr>
        <w:spacing w:after="0" w:line="136"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Permit its Fiscal Year to end on a day other than December 31.</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Continuation of or Change in Business</w:t>
      </w:r>
      <w:r>
        <w:rPr>
          <w:rFonts w:ascii="Times New Roman" w:cs="Times New Roman" w:eastAsia="Times New Roman" w:hAnsi="Times New Roman"/>
          <w:sz w:val="18"/>
          <w:szCs w:val="18"/>
          <w:color w:val="auto"/>
        </w:rPr>
        <w:t>. Discontinue any substantial part, or change the nature of, the existing business activities of the Borrower, or engage in any business either directly or through any Subsidiary except for businesses in which the Borrower is engaged on the date of this Agreement and any business activities directly related, similar or incidental or ancillary to such existing businesses.</w:t>
      </w:r>
    </w:p>
    <w:p>
      <w:pPr>
        <w:spacing w:after="0" w:line="140"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Anti-Corruption Laws; Anti-Money Laundering Laws; and International Trade Laws</w:t>
      </w:r>
      <w:r>
        <w:rPr>
          <w:rFonts w:ascii="Times New Roman" w:cs="Times New Roman" w:eastAsia="Times New Roman" w:hAnsi="Times New Roman"/>
          <w:sz w:val="18"/>
          <w:szCs w:val="18"/>
          <w:color w:val="auto"/>
        </w:rPr>
        <w:t>. Do any of the following, nor permit any of its or their respective directors, officers, employees, agents, or affiliates acting on its or their behalf in connection with this Agreement to: (a) become a Sanctioned Person; (b) directly or indirectly, provide, use, or make available the proceeds of any Loan hereunder (i) to fund any activities or business of, with, or for the benefit of any Person that, at the time of such funding or facilitation, is a Sanctioned Person, (ii) to fund or facilitate any activities or business of or in any Sanctioned Jurisdiction, (iii) in any manner that could result in a violation by any Person (including the Agent, any lead arranger, any Bank, underwriter, advisor, investor, or otherwise) of Anti-Corruption Law, Anti-Money Laundering, or International Trade Laws or (iv) in violation of any applicable law, including, without limitation, any applicable Anti-Corruption Law, Anti-Money Laundering Law or International Trade Law; or (c) repay the Loans with Blocked Property or funds derived from any unlawful activity.</w:t>
      </w:r>
    </w:p>
    <w:p>
      <w:pPr>
        <w:spacing w:after="0" w:line="15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SECTION 7. EVENTS OF DEFAULT</w:t>
      </w:r>
    </w:p>
    <w:p>
      <w:pPr>
        <w:spacing w:after="0" w:line="186"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shall occur and be continuing:</w:t>
      </w:r>
    </w:p>
    <w:p>
      <w:pPr>
        <w:spacing w:after="0" w:line="186" w:lineRule="exact"/>
        <w:rPr>
          <w:sz w:val="20"/>
          <w:szCs w:val="20"/>
          <w:color w:val="auto"/>
        </w:rPr>
      </w:pPr>
    </w:p>
    <w:p>
      <w:pPr>
        <w:ind w:firstLine="1665"/>
        <w:spacing w:after="0" w:line="280" w:lineRule="auto"/>
        <w:tabs>
          <w:tab w:leader="none" w:pos="22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when due any principal of any Note, or shall fail to pay within five (5) days after the date when due any interest, Fees or other amount payable hereunder; or</w:t>
      </w:r>
    </w:p>
    <w:p>
      <w:pPr>
        <w:spacing w:after="0" w:line="117"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2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Borrower or any Guarantor herein or in any other Loan Document or which is contained in any certificate, document or financial or other statement furnished at any time under or in connection with this Agreement shall prove to have been incorrect in any material respect on or as of the date made or deemed made; or</w:t>
      </w:r>
    </w:p>
    <w:p>
      <w:pPr>
        <w:spacing w:after="0" w:line="140"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default in the observance or performance of any agreement contained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any representation or warranty contained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is or becomes false or misleading at any time; or</w:t>
      </w:r>
    </w:p>
    <w:p>
      <w:pPr>
        <w:spacing w:after="0" w:line="135"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2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Guarantor shall default in the observance or performance of any other agreement contained in this Agreement (other than as provided in paragraphs (a), (b) or (c)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or any other Loan Document, and such default shall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continue unremedied for a period of thirty (30) days after notice of such default is given by the Agent; or</w:t>
      </w:r>
    </w:p>
    <w:p>
      <w:pPr>
        <w:spacing w:after="0" w:line="186" w:lineRule="exact"/>
        <w:rPr>
          <w:sz w:val="20"/>
          <w:szCs w:val="20"/>
          <w:color w:val="auto"/>
        </w:rPr>
      </w:pPr>
    </w:p>
    <w:p>
      <w:pPr>
        <w:jc w:val="both"/>
        <w:ind w:firstLine="1665"/>
        <w:spacing w:after="0" w:line="254" w:lineRule="auto"/>
        <w:tabs>
          <w:tab w:leader="none" w:pos="221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against the Borrower or any Guarantor involving in the aggregate a liability (not paid or fully covered by insurance) of $10,000,000 or more and all such judgments or decrees shall not have been vacated, discharged, settled, satisfied or paid, or stayed or bonded pending appeal, within thirty (30) days from the entry thereof; or</w:t>
      </w:r>
    </w:p>
    <w:p>
      <w:pPr>
        <w:spacing w:after="0" w:line="140" w:lineRule="exact"/>
        <w:rPr>
          <w:rFonts w:ascii="Times New Roman" w:cs="Times New Roman" w:eastAsia="Times New Roman" w:hAnsi="Times New Roman"/>
          <w:sz w:val="18"/>
          <w:szCs w:val="18"/>
          <w:color w:val="auto"/>
        </w:rPr>
      </w:pPr>
    </w:p>
    <w:p>
      <w:pPr>
        <w:jc w:val="both"/>
        <w:ind w:firstLine="1665"/>
        <w:spacing w:after="0" w:line="245" w:lineRule="auto"/>
        <w:tabs>
          <w:tab w:leader="none" w:pos="222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(i) default in the payment of any amount due under any Debt of the Borrower in excess of $10,000,000 in the aggregate (other than the Notes), beyond the period of grace, if any, provided in the instrument or agreement under which such Debt was created; or (ii) default in the observance or performance of any other agreement contained in any such Debt or in any instrument or agreement evidencing, securing or relating thereto beyond any applicable notice and grace period, or any other event shall occur the effect of which default or other event is to cause, or to permit the holder or holders or beneficiary or beneficiaries of such Debt (or a trustee or agent on behalf of such holder or holders or beneficiary or beneficiaries) to cause such Debt to become due and payable prior to its stated maturity or any such Debt is declared to be due and payable prior to its stated maturity unless such default, event or declaration referred to in this subparagraph (ii) is waived or cured to the satisfaction of such other party as demonstrated to the satisfaction of the Agent by the Borrower prior to the Agent taking any action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in respect of such occurrence; or</w:t>
      </w:r>
    </w:p>
    <w:p>
      <w:pPr>
        <w:spacing w:after="0" w:line="359"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or any Guarantor shall commence any case, proceeding or other action</w:t>
      </w:r>
    </w:p>
    <w:p>
      <w:pPr>
        <w:spacing w:after="0" w:line="20" w:lineRule="exact"/>
        <w:rPr>
          <w:rFonts w:ascii="Times New Roman" w:cs="Times New Roman" w:eastAsia="Times New Roman" w:hAnsi="Times New Roman"/>
          <w:sz w:val="18"/>
          <w:szCs w:val="18"/>
          <w:color w:val="auto"/>
        </w:rPr>
      </w:pPr>
    </w:p>
    <w:p>
      <w:pPr>
        <w:jc w:val="both"/>
        <w:ind w:firstLine="1"/>
        <w:spacing w:after="0" w:line="209" w:lineRule="exact"/>
        <w:tabs>
          <w:tab w:leader="none" w:pos="3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liquidation, dissolution, composition or other relief with respect to it or its debts, or (B) seeking appointment of a receiver, trustee, custodian or other similar official for it or for all or any substantial part of its assets, or the Borrower or any Guarantor shall make a general assignment for the benefit of its creditors; or (ii) there shall be commenced against the Borrower or any Guarantor any case, proceeding or other action of a nature referred to in clause (i) above which (A) results in the entry of an order for relief or any such adjudication or appointment or (B) remains undismissed, undischarged or unbonded for a period of sixty (60) days; or (iii) there shall be commenced against the Borrower or any Guarantor any case, proceeding or other action seeking issuance of a warrant of attachment, execution, distraint or similar process on a claim in excess of $10,000,000 against all or any substantial part of its assets which results in the entry of an order for any such relief which shall not have been vacated, discharged, or stayed or bonded pending appeal within sixty (60) days from the entry thereof; or (iv) the Borrower or any Guarantor shall take any action in furtherance of, or indicating its consent to, approval of, or acquiescence in, any of the acts set forth in clause (i), (ii), or (iii) above; or (v) the Borrower or any Guarantor shall generally not, or shall be unable to, or shall admit in writing its inability to, pay its debts as they become due; or</w:t>
      </w:r>
    </w:p>
    <w:p>
      <w:pPr>
        <w:spacing w:after="0" w:line="164"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2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Person shall engage in any “prohibited transaction” (as defined in Section 406 of ERISA or Section 4975 of the Code) involving any Plan, (ii) the adjusted target attainment percentage (within the meaning of Section 436(j)(2) of the Code) with respect to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4" w:name="page115"/>
    <w:bookmarkEnd w:id="114"/>
    <w:p>
      <w:pPr>
        <w:jc w:val="both"/>
        <w:spacing w:after="0" w:line="245" w:lineRule="auto"/>
        <w:rPr>
          <w:sz w:val="20"/>
          <w:szCs w:val="20"/>
          <w:color w:val="auto"/>
        </w:rPr>
      </w:pPr>
      <w:r>
        <w:rPr>
          <w:rFonts w:ascii="Times New Roman" w:cs="Times New Roman" w:eastAsia="Times New Roman" w:hAnsi="Times New Roman"/>
          <w:sz w:val="18"/>
          <w:szCs w:val="18"/>
          <w:color w:val="auto"/>
        </w:rPr>
        <w:t>any Single Employer Plan maintained by the Borrower or Commonly Controlled Entity is certified by the Single Employer Plan’s actuary to be less than eighty percent (80%) or deemed by operation of Section 436 of the Code in the absence of such certification to be less than eighty percent (80%), (iii) a Reportable Event shall occur with respect to, or proceedings shall commence to have a trustee appointed, or a trustee shall be appointed, to administer or to terminate, any Single Employer Plan, which Reportable Event or institution of proceedings is, in the reasonable opinion of the Required Banks, likely to result in the termination by action of the PBGC or any court of such Single Employer Plan for purposes of Title IV of ERISA, (iv) any Single Employer Plan, if any, shall terminate for purposes of Title IV of ERISA, or (v) the Borrower or a Commonly Controlled Entity should completely or partially withdraw from a Multiemployer Plan; and in each case in clauses (i) through (v) above, such event or condition, together with all other such events or conditions, if any, could reasonably be expected to have a Material Adverse Effect; or</w:t>
      </w:r>
    </w:p>
    <w:p>
      <w:pPr>
        <w:spacing w:after="0" w:line="151" w:lineRule="exact"/>
        <w:rPr>
          <w:sz w:val="20"/>
          <w:szCs w:val="20"/>
          <w:color w:val="auto"/>
        </w:rPr>
      </w:pPr>
    </w:p>
    <w:p>
      <w:pPr>
        <w:jc w:val="both"/>
        <w:ind w:firstLine="1665"/>
        <w:spacing w:after="0" w:line="248" w:lineRule="auto"/>
        <w:tabs>
          <w:tab w:leader="none" w:pos="223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control of the Borrower shall occur (as used herein, the term “change in control” means either (A) any change in ownership of any class of stock or capital stock generally of the Borrower which would result in a change or transfer in the power to control the election of a majority of the board of directors or in other indicia of majority voting control to persons or entities other than those persons who have such majority voting control on the Closing Date or (B) a decrease in such persons’ right to vote at shareholders’ meetings to an aggregate level less than 51%); or</w:t>
      </w:r>
    </w:p>
    <w:p>
      <w:pPr>
        <w:spacing w:after="0" w:line="149" w:lineRule="exact"/>
        <w:rPr>
          <w:rFonts w:ascii="Times New Roman" w:cs="Times New Roman" w:eastAsia="Times New Roman" w:hAnsi="Times New Roman"/>
          <w:sz w:val="18"/>
          <w:szCs w:val="18"/>
          <w:color w:val="auto"/>
        </w:rPr>
      </w:pPr>
    </w:p>
    <w:p>
      <w:pPr>
        <w:jc w:val="both"/>
        <w:ind w:firstLine="1665"/>
        <w:spacing w:after="0" w:line="248" w:lineRule="auto"/>
        <w:tabs>
          <w:tab w:leader="none" w:pos="22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and thereby deprive or deny the Banks and the Agent the intended benefits thereof or they shall thereby cease substantially to have the rights, titles, interests, remedies, powers or privileges intended to be created thereby; or</w:t>
      </w:r>
    </w:p>
    <w:p>
      <w:pPr>
        <w:spacing w:after="0" w:line="149" w:lineRule="exact"/>
        <w:rPr>
          <w:rFonts w:ascii="Times New Roman" w:cs="Times New Roman" w:eastAsia="Times New Roman" w:hAnsi="Times New Roman"/>
          <w:sz w:val="18"/>
          <w:szCs w:val="18"/>
          <w:color w:val="auto"/>
        </w:rPr>
      </w:pPr>
    </w:p>
    <w:p>
      <w:pPr>
        <w:jc w:val="both"/>
        <w:ind w:firstLine="1665"/>
        <w:spacing w:after="0" w:line="250" w:lineRule="auto"/>
        <w:tabs>
          <w:tab w:leader="none" w:pos="222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lien or assessment in excess of $2,000,000 is filed of record with respect to all or any part of the Borrower’s or any Guarantor’s assets having a value of at least that amount by the United States, or any department, agency or instrumentality thereof, or by any state, county, municipal, or other governmental agency, including, without limitation, the PBGC, becomes payable and the same is not paid, vacated, bonded or stayed pending appeal within thirty (30) days after the same becomes payable; or</w:t>
      </w:r>
    </w:p>
    <w:p>
      <w:pPr>
        <w:spacing w:after="0" w:line="146" w:lineRule="exact"/>
        <w:rPr>
          <w:rFonts w:ascii="Times New Roman" w:cs="Times New Roman" w:eastAsia="Times New Roman" w:hAnsi="Times New Roman"/>
          <w:sz w:val="18"/>
          <w:szCs w:val="18"/>
          <w:color w:val="auto"/>
        </w:rPr>
      </w:pPr>
    </w:p>
    <w:p>
      <w:pPr>
        <w:ind w:left="2240" w:hanging="575"/>
        <w:spacing w:after="0"/>
        <w:tabs>
          <w:tab w:leader="none" w:pos="2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ceases to be Solvent; or</w:t>
      </w:r>
    </w:p>
    <w:p>
      <w:pPr>
        <w:spacing w:after="0" w:line="185"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this Agreement, the Borrower ceases to conduct its business as contemplated or the Borrower is enjoined, restrained or in any way prevented by court order from conducting all or any material part of its business so as to cause or result in a Material Adverse Effect, and such injunction, restraint or other preventive order is not dismissed within thirty (30) days after the entry thereof.</w:t>
      </w:r>
    </w:p>
    <w:p>
      <w:pPr>
        <w:spacing w:after="0" w:line="140"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(a) If an Event of Default specified under subsections 7.1(a) through (f) or (h) through</w:t>
      </w:r>
    </w:p>
    <w:p>
      <w:pPr>
        <w:spacing w:after="0" w:line="21" w:lineRule="exact"/>
        <w:rPr>
          <w:sz w:val="20"/>
          <w:szCs w:val="20"/>
          <w:color w:val="auto"/>
        </w:rPr>
      </w:pPr>
    </w:p>
    <w:p>
      <w:pPr>
        <w:ind w:firstLine="1"/>
        <w:spacing w:after="0" w:line="256" w:lineRule="auto"/>
        <w:tabs>
          <w:tab w:leader="none" w:pos="31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occur and be continuing, the Banks shall be under no further obligation to make Loans hereunder, and the Agent upon the request of the Required Banks shall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5" w:name="page116"/>
    <w:bookmarkEnd w:id="115"/>
    <w:p>
      <w:pPr>
        <w:jc w:val="both"/>
        <w:spacing w:after="0" w:line="250" w:lineRule="auto"/>
        <w:rPr>
          <w:sz w:val="20"/>
          <w:szCs w:val="20"/>
          <w:color w:val="auto"/>
        </w:rPr>
      </w:pPr>
      <w:r>
        <w:rPr>
          <w:rFonts w:ascii="Times New Roman" w:cs="Times New Roman" w:eastAsia="Times New Roman" w:hAnsi="Times New Roman"/>
          <w:sz w:val="18"/>
          <w:szCs w:val="18"/>
          <w:color w:val="auto"/>
        </w:rPr>
        <w:t>by written notice to the Borrower, terminate the Commitments and the Swing Line Commitment and/or declare the unpaid principal amount of the Notes then outstanding and all interest accrued thereon, any unpaid fees and all other obligations of the Borrower to the Banks hereunder and thereunder to be forthwith due and payable, and the same shall thereupon become and be immediately due and payable to the Agent for the benefit of each Bank without presentment, demand, protest or any other notice of any kind, all of which are hereby expressly waived.</w:t>
      </w:r>
    </w:p>
    <w:p>
      <w:pPr>
        <w:spacing w:after="0" w:line="146" w:lineRule="exact"/>
        <w:rPr>
          <w:sz w:val="20"/>
          <w:szCs w:val="20"/>
          <w:color w:val="auto"/>
        </w:rPr>
      </w:pPr>
    </w:p>
    <w:p>
      <w:pPr>
        <w:jc w:val="both"/>
        <w:ind w:firstLine="1665"/>
        <w:spacing w:after="0" w:line="249" w:lineRule="auto"/>
        <w:tabs>
          <w:tab w:leader="none" w:pos="22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specified under subsections 7.1(g) hereof shall occur, the Commitments and the Swing Line Commitment shall immediately terminate and the Banks shall be under no further obligations to make Loans hereunder, and the unpaid principal amount of the Notes then outstanding and all interest accrued thereon, any unpaid fees and all other obligations of the Borrower to the Banks hereunder and thereunder shall be immediately due and payable, without presentment, demand, protest or notice of any kind, all of which are hereby expressly waived.</w:t>
      </w:r>
    </w:p>
    <w:p>
      <w:pPr>
        <w:spacing w:after="0" w:line="358" w:lineRule="exact"/>
        <w:rPr>
          <w:rFonts w:ascii="Times New Roman" w:cs="Times New Roman" w:eastAsia="Times New Roman" w:hAnsi="Times New Roman"/>
          <w:sz w:val="18"/>
          <w:szCs w:val="18"/>
          <w:color w:val="auto"/>
        </w:rPr>
      </w:pPr>
    </w:p>
    <w:p>
      <w:pPr>
        <w:jc w:val="both"/>
        <w:ind w:firstLine="1665"/>
        <w:spacing w:after="0" w:line="244" w:lineRule="auto"/>
        <w:tabs>
          <w:tab w:leader="none" w:pos="22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shall occur and be continuing, any Bank to whom any obligation is owed by the Borrower hereunder or under any other Loan Document or any participant of such Bank which has agreed in writing to be bound by the provisions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hereof and any branch, subsidiary or Affiliate of such Bank or Participant shall have the right, in addition to all other rights and remedies available to it, without notice to the Borrower, to set off against and apply to the then unpaid balance of all the Loans and all other obligations of the Borrower hereunder or under any other Loan Document any debt owing to, and any other funds held in any manner for the account of, the Borrower by such Bank or participant or by such branch, Subsidiary or Affiliate, including, without limitation, all funds in all deposit accounts (whether time or demand, general or special, provisionally credited or finally credited, or otherwise) now or hereafter maintained by the Borrower for its own account (but not including funds held in custodian or trust accounts or other accounts established solely for the benefit of parties other than the Borrower) with such Bank or Participant or such branch, Subsidiary or Affiliate. Such right shall exist whether or not any Bank or the Agent shall have made any demand under this Agreement or any other Loan Document, whether or not such debt owing to or funds held for the account of the Borrower is or are matured or unmatured and regardless of the existence or adequacy of any collateral, guaranty or any other security, right or remedy available to any Bank or the Agent.</w:t>
      </w:r>
    </w:p>
    <w:p>
      <w:pPr>
        <w:spacing w:after="0" w:line="149" w:lineRule="exact"/>
        <w:rPr>
          <w:rFonts w:ascii="Times New Roman" w:cs="Times New Roman" w:eastAsia="Times New Roman" w:hAnsi="Times New Roman"/>
          <w:sz w:val="18"/>
          <w:szCs w:val="18"/>
          <w:color w:val="auto"/>
        </w:rPr>
      </w:pPr>
    </w:p>
    <w:p>
      <w:pPr>
        <w:jc w:val="both"/>
        <w:ind w:firstLine="1665"/>
        <w:spacing w:after="0" w:line="247" w:lineRule="auto"/>
        <w:tabs>
          <w:tab w:leader="none" w:pos="22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to the contrary or in the other Loan Documents, any proceeds received by the Agent from any payment made by the Borrower under this Agreement or the other Loan Documents after the Commitments and the Swing Line Commitment have been terminated, or received by the Agent from the foreclosure, sale, lease, collection upon, realization of or other disposition of any collateral which may have been provided to the Agent for the obligations of the Borrower hereunder after the Commitments and the Swing Line Commitment have been terminated (including without limitation insurance proceeds), shall be applied by the Agent as follows, unless otherwise agreed by all the Banks:</w:t>
      </w:r>
    </w:p>
    <w:p>
      <w:pPr>
        <w:spacing w:after="0" w:line="117" w:lineRule="exact"/>
        <w:rPr>
          <w:rFonts w:ascii="Times New Roman" w:cs="Times New Roman" w:eastAsia="Times New Roman" w:hAnsi="Times New Roman"/>
          <w:sz w:val="18"/>
          <w:szCs w:val="18"/>
          <w:color w:val="auto"/>
        </w:rPr>
      </w:pPr>
    </w:p>
    <w:p>
      <w:pPr>
        <w:jc w:val="both"/>
        <w:ind w:left="1120" w:firstLine="1099"/>
        <w:spacing w:after="0" w:line="233" w:lineRule="exact"/>
        <w:tabs>
          <w:tab w:leader="none" w:pos="279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reimburse the Agent for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costs, expenses and disbursements, including without limitation reasonable attorneys’ fees and legal expenses, incurred by the Agent in connection with collection of any obligations of the Borrower under any of the Loan Documents;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6" w:name="page117"/>
    <w:bookmarkEnd w:id="116"/>
    <w:p>
      <w:pPr>
        <w:ind w:left="2820" w:hanging="601"/>
        <w:spacing w:after="0"/>
        <w:tabs>
          <w:tab w:leader="none" w:pos="28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accrued and unpaid interest on the Loans;</w:t>
      </w:r>
    </w:p>
    <w:p>
      <w:pPr>
        <w:spacing w:after="0" w:line="185" w:lineRule="exact"/>
        <w:rPr>
          <w:rFonts w:ascii="Times New Roman" w:cs="Times New Roman" w:eastAsia="Times New Roman" w:hAnsi="Times New Roman"/>
          <w:sz w:val="18"/>
          <w:szCs w:val="18"/>
          <w:color w:val="auto"/>
        </w:rPr>
      </w:pPr>
    </w:p>
    <w:p>
      <w:pPr>
        <w:ind w:left="2840" w:hanging="621"/>
        <w:spacing w:after="0"/>
        <w:tabs>
          <w:tab w:leader="none" w:pos="28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principal amount of the Loans then outstanding;</w:t>
      </w:r>
    </w:p>
    <w:p>
      <w:pPr>
        <w:spacing w:after="0" w:line="185" w:lineRule="exact"/>
        <w:rPr>
          <w:rFonts w:ascii="Times New Roman" w:cs="Times New Roman" w:eastAsia="Times New Roman" w:hAnsi="Times New Roman"/>
          <w:sz w:val="18"/>
          <w:szCs w:val="18"/>
          <w:color w:val="auto"/>
        </w:rPr>
      </w:pPr>
    </w:p>
    <w:p>
      <w:pPr>
        <w:ind w:left="1120" w:firstLine="1099"/>
        <w:spacing w:after="0" w:line="280" w:lineRule="auto"/>
        <w:tabs>
          <w:tab w:leader="none" w:pos="283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fees payable under this Agreement or any of the other Loan Documents (ratably according to the respective amounts then outstanding);</w:t>
      </w:r>
    </w:p>
    <w:p>
      <w:pPr>
        <w:spacing w:after="0" w:line="117" w:lineRule="exact"/>
        <w:rPr>
          <w:rFonts w:ascii="Times New Roman" w:cs="Times New Roman" w:eastAsia="Times New Roman" w:hAnsi="Times New Roman"/>
          <w:sz w:val="18"/>
          <w:szCs w:val="18"/>
          <w:color w:val="auto"/>
        </w:rPr>
      </w:pPr>
    </w:p>
    <w:p>
      <w:pPr>
        <w:jc w:val="both"/>
        <w:ind w:left="1120" w:firstLine="1099"/>
        <w:spacing w:after="0" w:line="255" w:lineRule="auto"/>
        <w:tabs>
          <w:tab w:leader="none" w:pos="279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to the repayment of all other indebtedness then due and unpaid of the Borrower to the Banks incurred under this Agreement or any of the other Loan Documents, whether of principal, interest, fees, expenses or otherwise (ratably according to the respective amounts then outstanding); and</w:t>
      </w:r>
    </w:p>
    <w:p>
      <w:pPr>
        <w:spacing w:after="0" w:line="356" w:lineRule="exact"/>
        <w:rPr>
          <w:rFonts w:ascii="Times New Roman" w:cs="Times New Roman" w:eastAsia="Times New Roman" w:hAnsi="Times New Roman"/>
          <w:sz w:val="18"/>
          <w:szCs w:val="18"/>
          <w:color w:val="auto"/>
        </w:rPr>
      </w:pPr>
    </w:p>
    <w:p>
      <w:pPr>
        <w:ind w:left="2820" w:hanging="601"/>
        <w:spacing w:after="0"/>
        <w:tabs>
          <w:tab w:leader="none" w:pos="28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if any, as required by law.</w:t>
      </w:r>
    </w:p>
    <w:p>
      <w:pPr>
        <w:spacing w:after="0" w:line="185" w:lineRule="exact"/>
        <w:rPr>
          <w:rFonts w:ascii="Times New Roman" w:cs="Times New Roman" w:eastAsia="Times New Roman" w:hAnsi="Times New Roman"/>
          <w:sz w:val="18"/>
          <w:szCs w:val="18"/>
          <w:color w:val="auto"/>
        </w:rPr>
      </w:pPr>
    </w:p>
    <w:p>
      <w:pPr>
        <w:jc w:val="both"/>
        <w:ind w:firstLine="1665"/>
        <w:spacing w:after="0" w:line="250" w:lineRule="auto"/>
        <w:tabs>
          <w:tab w:leader="none" w:pos="22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agrees that (i) if at any time it shall receive the proceeds of any collateral or any proceeds thereof or (ii) if after the Commitments and the Swing Line Commitment have been terminated it shall receive any payment on account of the Loans or any other amounts owing hereunder or under the other Loan Documents (in either case other than through application by the Agent in accordance with subsection 7.2(d)), it shall promptly turn the same over to the Agent for application in accordance with the terms of subsection 7.2(d).</w:t>
      </w:r>
    </w:p>
    <w:p>
      <w:pPr>
        <w:spacing w:after="0" w:line="146" w:lineRule="exact"/>
        <w:rPr>
          <w:rFonts w:ascii="Times New Roman" w:cs="Times New Roman" w:eastAsia="Times New Roman" w:hAnsi="Times New Roman"/>
          <w:sz w:val="18"/>
          <w:szCs w:val="18"/>
          <w:color w:val="auto"/>
        </w:rPr>
      </w:pPr>
    </w:p>
    <w:p>
      <w:pPr>
        <w:ind w:firstLine="1665"/>
        <w:spacing w:after="0" w:line="280" w:lineRule="auto"/>
        <w:tabs>
          <w:tab w:leader="none" w:pos="222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other rights and remedies contained in this Agreement or in the other Loan Documents, the Loans shall, at the Required Banks’ option, bear the interest rates provided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hereof.</w:t>
      </w:r>
    </w:p>
    <w:p>
      <w:pPr>
        <w:spacing w:after="0" w:line="117" w:lineRule="exact"/>
        <w:rPr>
          <w:rFonts w:ascii="Times New Roman" w:cs="Times New Roman" w:eastAsia="Times New Roman" w:hAnsi="Times New Roman"/>
          <w:sz w:val="18"/>
          <w:szCs w:val="18"/>
          <w:color w:val="auto"/>
        </w:rPr>
      </w:pPr>
    </w:p>
    <w:p>
      <w:pPr>
        <w:jc w:val="both"/>
        <w:ind w:firstLine="1665"/>
        <w:spacing w:after="0" w:line="223" w:lineRule="exact"/>
        <w:tabs>
          <w:tab w:leader="none" w:pos="22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of the rights and remedies contained in this Agreement or in any of the other Loan Documents, the Agent shall have all of the rights and remedies under applicable law, all of which rights and remedies shall be cumulative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to the extent permitted by law. The Agent may, and upon the request of the Required Banks shall, exercise all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 rights granted to it and the Banks under the Loan Documents or applicable law.</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8. THE AGENT</w:t>
      </w:r>
    </w:p>
    <w:p>
      <w:pPr>
        <w:spacing w:after="0" w:line="186"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Bank hereby irrevocably designates and appoints PNC as the Agent of such Bank under this Agreement. Each such Bank irrevocably authorizes the Agent, as the agent for such Bank to take such action on its behalf under the provisions of this Agreement and to exercise such powers and perform such duties as are expressly delegated to the Agent by the terms of this Agreement, together with such other powers as are reasonably incidental thereto. The provisions of this Article are solely for the benefit of the Agent and the Banks, and the Borrower shall not have rights as a third-party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Agent agrees to act as the Agent on behalf of the Banks to the extent provided in this Agreement.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7" w:name="page118"/>
    <w:bookmarkEnd w:id="117"/>
    <w:p>
      <w:pPr>
        <w:jc w:val="both"/>
        <w:ind w:firstLine="1109"/>
        <w:spacing w:after="0" w:line="217" w:lineRule="exact"/>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Agent may perform any and all of its duties and exercise its rights and powers hereunder or under any other Loan Document by or through any one or more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agents appointed by the Agent. The Agent and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and to the Related Parties of the Agent and any such sub-agent, and shall apply to their respective activities in connection with the syndication of the facilities hereunder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359"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xml:space="preserve"> The Agent shall not have any duties or obligations except those expressly specified herein and in the other Loan Documents, and its duties hereunder shall be administrative in nature. Without limiting the generality of the foregoing, the Agent:</w:t>
      </w:r>
    </w:p>
    <w:p>
      <w:pPr>
        <w:spacing w:after="0" w:line="136" w:lineRule="exact"/>
        <w:rPr>
          <w:sz w:val="20"/>
          <w:szCs w:val="20"/>
          <w:color w:val="auto"/>
        </w:rPr>
      </w:pPr>
    </w:p>
    <w:p>
      <w:pPr>
        <w:ind w:left="560" w:firstLine="1105"/>
        <w:spacing w:after="0" w:line="280" w:lineRule="auto"/>
        <w:tabs>
          <w:tab w:leader="none" w:pos="22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or Event of Default has occurred and is continuing;</w:t>
      </w:r>
    </w:p>
    <w:p>
      <w:pPr>
        <w:spacing w:after="0" w:line="117" w:lineRule="exact"/>
        <w:rPr>
          <w:rFonts w:ascii="Times New Roman" w:cs="Times New Roman" w:eastAsia="Times New Roman" w:hAnsi="Times New Roman"/>
          <w:sz w:val="18"/>
          <w:szCs w:val="18"/>
          <w:color w:val="auto"/>
        </w:rPr>
      </w:pPr>
    </w:p>
    <w:p>
      <w:pPr>
        <w:jc w:val="both"/>
        <w:ind w:left="560" w:firstLine="1105"/>
        <w:spacing w:after="0" w:line="245" w:lineRule="auto"/>
        <w:tabs>
          <w:tab w:leader="none" w:pos="226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Required Banks (or such other number or percentage of the Banks as shall be expressly provided for herein or in the other Loan Documents or as the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Bank in violation of any Debtor Relief Law; and</w:t>
      </w:r>
    </w:p>
    <w:p>
      <w:pPr>
        <w:spacing w:after="0" w:line="362" w:lineRule="exact"/>
        <w:rPr>
          <w:rFonts w:ascii="Times New Roman" w:cs="Times New Roman" w:eastAsia="Times New Roman" w:hAnsi="Times New Roman"/>
          <w:sz w:val="18"/>
          <w:szCs w:val="18"/>
          <w:color w:val="auto"/>
        </w:rPr>
      </w:pPr>
    </w:p>
    <w:p>
      <w:pPr>
        <w:jc w:val="both"/>
        <w:ind w:left="560" w:firstLine="1105"/>
        <w:spacing w:after="0" w:line="254" w:lineRule="auto"/>
        <w:tabs>
          <w:tab w:leader="none" w:pos="228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specified herein and in the other Loan Documents, have any duty to disclose, and shall not be liable for the failure to disclose, any information relating to the Borrower or any of its Affiliates that is communicated to or obtained by the Person serving as the Agent or any of its Affiliates in any capacity.</w:t>
      </w:r>
    </w:p>
    <w:p>
      <w:pPr>
        <w:spacing w:after="0" w:line="140" w:lineRule="exact"/>
        <w:rPr>
          <w:rFonts w:ascii="Times New Roman" w:cs="Times New Roman" w:eastAsia="Times New Roman" w:hAnsi="Times New Roman"/>
          <w:sz w:val="18"/>
          <w:szCs w:val="18"/>
          <w:color w:val="auto"/>
        </w:rPr>
      </w:pPr>
    </w:p>
    <w:p>
      <w:pPr>
        <w:jc w:val="both"/>
        <w:ind w:firstLine="1110"/>
        <w:spacing w:after="0" w:line="248" w:lineRule="auto"/>
        <w:tabs>
          <w:tab w:leader="none" w:pos="167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not be liable for any action taken or not taken by it (i) with the consent or at the request of the Required Banks (or such other number or percentage of the Banks as shall be necessary, or as the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Agent shall be deemed not to have knowledge of any Default or Event of Default unless and until notice describing such Default or Event of Default is given to the Agent in writing by the Borrower or a Bank.</w:t>
      </w:r>
    </w:p>
    <w:p>
      <w:pPr>
        <w:spacing w:after="0" w:line="149" w:lineRule="exact"/>
        <w:rPr>
          <w:rFonts w:ascii="Times New Roman" w:cs="Times New Roman" w:eastAsia="Times New Roman" w:hAnsi="Times New Roman"/>
          <w:sz w:val="18"/>
          <w:szCs w:val="18"/>
          <w:color w:val="auto"/>
        </w:rPr>
      </w:pPr>
    </w:p>
    <w:p>
      <w:pPr>
        <w:ind w:firstLine="1110"/>
        <w:spacing w:after="0" w:line="280" w:lineRule="auto"/>
        <w:tabs>
          <w:tab w:leader="none" w:pos="166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responsible for or have any duty to ascertain or inquire into (i) any statement, warranty or representation made in or in connection with this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8" w:name="page119"/>
    <w:bookmarkEnd w:id="118"/>
    <w:p>
      <w:pPr>
        <w:jc w:val="both"/>
        <w:spacing w:after="0" w:line="248" w:lineRule="auto"/>
        <w:rPr>
          <w:sz w:val="20"/>
          <w:szCs w:val="20"/>
          <w:color w:val="auto"/>
        </w:rPr>
      </w:pPr>
      <w:r>
        <w:rPr>
          <w:rFonts w:ascii="Times New Roman" w:cs="Times New Roman" w:eastAsia="Times New Roman" w:hAnsi="Times New Roman"/>
          <w:sz w:val="18"/>
          <w:szCs w:val="18"/>
          <w:color w:val="auto"/>
        </w:rPr>
        <w:t>Agreement or any other Loan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Default or Event of Default,</w:t>
      </w:r>
    </w:p>
    <w:p>
      <w:pPr>
        <w:spacing w:after="0" w:line="2" w:lineRule="exact"/>
        <w:rPr>
          <w:sz w:val="20"/>
          <w:szCs w:val="20"/>
          <w:color w:val="auto"/>
        </w:rPr>
      </w:pPr>
    </w:p>
    <w:p>
      <w:pPr>
        <w:jc w:val="both"/>
        <w:ind w:firstLine="1"/>
        <w:spacing w:after="0" w:line="249"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validity, enforceability, effectiveness or genuineness of this Agreement, any other Loan Document or any other agreement, instrument or document, or (v) the satisfaction of any condition specified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elsewhere herein, other than to confirm receipt of items expressly required to be delivered to the Agent.</w:t>
      </w:r>
    </w:p>
    <w:p>
      <w:pPr>
        <w:spacing w:after="0" w:line="144"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Reliance by Agent</w:t>
      </w:r>
      <w:r>
        <w:rPr>
          <w:rFonts w:ascii="Times New Roman" w:cs="Times New Roman" w:eastAsia="Times New Roman" w:hAnsi="Times New Roman"/>
          <w:sz w:val="18"/>
          <w:szCs w:val="18"/>
          <w:color w:val="auto"/>
        </w:rPr>
        <w:t>. The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Agent. The Agent may deem and treat the payee of any Note as the owner thereof for all purposes unless a written notice of assignment, negotiation or transfer thereof shall have been filed with the Agent. The Agent shall be fully justified in failing or refusing to take any action under this Agreement unless it shall first receive such advice or concurrence of the Required Banks as it deems appropriate or it shall first be indemnified to its satisfaction by the Banks against any and all liability and expense which may be incurred by it by reason of taking or continuing to take any such action. The Agent shall in all cases be fully protected in acting, or in refraining from acting, under this Agreement, the Notes and the other Loan Documents in accordance with a request of the Required Banks, and such request and any action taken or failure to act pursuant thereto shall be binding upon all the Banks and all future holders of the Notes. In determining compliance with any condition hereunder to the making of a Loan that by its terms must be fulfilled to the satisfaction of a Bank, the Agent may presume that such condition is satisfactory to such Bank unless the Agent shall have received notice to the contrary from Bank prior to the making of such Loan.</w:t>
      </w:r>
    </w:p>
    <w:p>
      <w:pPr>
        <w:spacing w:after="0" w:line="159"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Agent shall not be deemed to have knowledge or notice of the occurrence of any Default or Event of Default hereunder unless it has received notice from a Bank or the Borrower referring to this Agreement, describing such Default or Event of Default and stating that such notice is a “notice of default”. In the event that the Agent receives such a notice, the Agent shall give notice thereof to the Banks. The Agent shall take such action with respect to such Default or Event of Default as shall be reasonably directed by the Required Banks; provided that unless and until the Agent shall have received such directions, the Agent may (but shall not be obligated to) take such action, or refrain from taking such action, with respect to such Default or Event of Default as it shall deem advisable in the best interests of the Banks.</w:t>
      </w:r>
    </w:p>
    <w:p>
      <w:pPr>
        <w:spacing w:after="0" w:line="332" w:lineRule="exact"/>
        <w:rPr>
          <w:sz w:val="20"/>
          <w:szCs w:val="20"/>
          <w:color w:val="auto"/>
        </w:rPr>
      </w:pPr>
    </w:p>
    <w:p>
      <w:pPr>
        <w:jc w:val="both"/>
        <w:ind w:firstLine="1109"/>
        <w:spacing w:after="0" w:line="222" w:lineRule="exact"/>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Non</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Reliance on Agent and Other Banks</w:t>
      </w:r>
      <w:r>
        <w:rPr>
          <w:rFonts w:ascii="Times New Roman" w:cs="Times New Roman" w:eastAsia="Times New Roman" w:hAnsi="Times New Roman"/>
          <w:sz w:val="18"/>
          <w:szCs w:val="18"/>
          <w:color w:val="auto"/>
        </w:rPr>
        <w:t>. Each Bank expressly acknowledges that neither the Agent nor any of its officers, directors, employees, agents,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or Affiliates has made any representations or warranties to it and that no act by the Agent hereinafter taken, including any review of the affairs of the Borrower, shall be deemed to constitute any representation or warranty by the Agent to any Bank. Each Bank represents to the Agent that it has, independently and without reliance upon the Agent or any other Bank, and based on such documents and information as it has deemed appropriate, made its own appraisal of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19" w:name="page120"/>
    <w:bookmarkEnd w:id="119"/>
    <w:p>
      <w:pPr>
        <w:jc w:val="both"/>
        <w:spacing w:after="0" w:line="215" w:lineRule="exact"/>
        <w:rPr>
          <w:sz w:val="20"/>
          <w:szCs w:val="20"/>
          <w:color w:val="auto"/>
        </w:rPr>
      </w:pPr>
      <w:r>
        <w:rPr>
          <w:rFonts w:ascii="Times New Roman" w:cs="Times New Roman" w:eastAsia="Times New Roman" w:hAnsi="Times New Roman"/>
          <w:sz w:val="18"/>
          <w:szCs w:val="18"/>
          <w:color w:val="auto"/>
        </w:rPr>
        <w:t>an investigation into the business, operations, property, financial and other condition and creditworthiness of the Borrower and made its own decision to make its Loans hereunder and enter into this Agreement. Each Bank also represents that it will, independently and without reliance upon the Agent or any other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Banks by the Agent hereunder, the Agent shall not have any duty or responsibility to provide any Bank with any credit or other information concerning the business, operations, property, condition (financial or otherwise), prospects or creditworthiness of the Borrower which may come into the possession of the Agent or any of its officers, directors, employees, agents,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or Affiliates.</w:t>
      </w:r>
    </w:p>
    <w:p>
      <w:pPr>
        <w:spacing w:after="0" w:line="336"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Banks agree to indemnify the Agent in its capacity as such (to the extent not reimbursed by the Borrower and without limiting the obligation of the Borrower to do so), ratably according to their respective Commitment Percentages,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Agent in any way relating to or arising out of this Agreement, the other Loan Documents, or any documents contemplated by or referred to herein or therein or the transactions contemplated hereby or thereby or any action taken or omitted by the Agent under or in connection with any of the foregoing; provided that no Bank shall be liable for the payment of any portion of such liabilities, obligations, losses, damages, penalties, actions, judgments, suits, costs, expenses or disbursements resulting solely from the Agent’s gross negligence or willful misconduct as determined by a final order of a court of competent jurisdiction. The agreements in this Section 8.7 shall survive the payment of the Notes and all other amounts payable hereunder.</w:t>
      </w:r>
    </w:p>
    <w:p>
      <w:pPr>
        <w:spacing w:after="0" w:line="365"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The Agent and its Affiliates may make loans to, accept deposits from and generally engage in any kind of business with the Borrower as though it was not the Agent hereunder. With respect to its Loans made or renewed by it and any Note issued to it, the Agent shall have the same rights and powers under this Agreement as any Bank and may exercise the same as though it were not the Agent, and the terms “Bank” and “Banks” shall include the Agent in its individual capacity.</w:t>
      </w:r>
    </w:p>
    <w:p>
      <w:pPr>
        <w:spacing w:after="0" w:line="146"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u w:val="single" w:color="auto"/>
          <w:color w:val="auto"/>
        </w:rPr>
        <w:t>Successor Agent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665"/>
        <w:spacing w:after="0" w:line="246" w:lineRule="auto"/>
        <w:tabs>
          <w:tab w:leader="none" w:pos="22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at any time give notice of its resignation to the Lenders and the Borrower. Upon receipt of any such notice of resignation, the Required Banks shall have the right, subject (so long as no Potential Default or Event of Default has occurred and is continuing) to the approval of the Borrower (which approval shall not be unreasonably withheld), to appoint a successor, which shall be a bank with an office in Pennsylvania or New York, or an Affiliate of any such bank with an office in Pennsylvania or New York. If no such successor shall have been so appointed by the Required Banks and shall have accepted such appointment within 30 days after the retiring Agent gives notice of its resignation (or such earlier day as shall be agreed by the Required Banks) (the “</w:t>
      </w:r>
      <w:r>
        <w:rPr>
          <w:rFonts w:ascii="Times New Roman" w:cs="Times New Roman" w:eastAsia="Times New Roman" w:hAnsi="Times New Roman"/>
          <w:sz w:val="18"/>
          <w:szCs w:val="18"/>
          <w:u w:val="single" w:color="auto"/>
          <w:color w:val="auto"/>
        </w:rPr>
        <w:t>Resignation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then the retiring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20" w:name="page121"/>
    <w:bookmarkEnd w:id="120"/>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Agent may (but shall not be obligated to), on behalf of the Banks, appoint a successor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Agent be a Defaulting Bank. Whether or not a successor has been appointed, such resignation shall become effective in accordance with such notice on the Resignation Effective Date.</w:t>
      </w:r>
    </w:p>
    <w:p>
      <w:pPr>
        <w:spacing w:after="0" w:line="136" w:lineRule="exact"/>
        <w:rPr>
          <w:sz w:val="20"/>
          <w:szCs w:val="20"/>
          <w:color w:val="auto"/>
        </w:rPr>
      </w:pPr>
    </w:p>
    <w:p>
      <w:pPr>
        <w:jc w:val="both"/>
        <w:ind w:firstLine="1665"/>
        <w:spacing w:after="0" w:line="245" w:lineRule="auto"/>
        <w:tabs>
          <w:tab w:leader="none" w:pos="222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(i) the retiring or removed Agent shall be discharged from its duties and obligations hereunder and under the other Loan Documents and (ii) except for any indemnity payments owed to the retiring or removed Agent, all payments, communications and determinations provided to be made by, to or through the Agent shall instead be made by or to each Bank directly, until such time, if any, as the Required Banks appoint a successor Agent as provided for above. Upon the acceptance of a successor’s appointment as Agent hereunder, such successor shall succeed to and become vested with all of the rights, powers, privileges and duties of the retiring or removed Agent (other than any rights to indemnity payments owed to the retiring Agent), and the retiring Agent shall be discharged from all of its duties and obligations hereunder or under the other Loan Documents. The fees payable by the Borrower to a successor Agent shall be the same as those payable to its predecessor unless otherwise agreed between the Borrower and such successor.</w:t>
      </w:r>
    </w:p>
    <w:p>
      <w:pPr>
        <w:spacing w:after="0" w:line="151" w:lineRule="exact"/>
        <w:rPr>
          <w:rFonts w:ascii="Times New Roman" w:cs="Times New Roman" w:eastAsia="Times New Roman" w:hAnsi="Times New Roman"/>
          <w:sz w:val="18"/>
          <w:szCs w:val="18"/>
          <w:color w:val="auto"/>
        </w:rPr>
      </w:pPr>
    </w:p>
    <w:p>
      <w:pPr>
        <w:ind w:firstLine="1665"/>
        <w:spacing w:after="0" w:line="280" w:lineRule="auto"/>
        <w:tabs>
          <w:tab w:leader="none" w:pos="22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any retiring Agent’s resignation as Agent, the provisions of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inure to its benefit as to any actions taken or omitted to be taken by it while it was Agent under this Agreement.</w:t>
      </w:r>
    </w:p>
    <w:p>
      <w:pPr>
        <w:spacing w:after="0" w:line="118"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Except as expressly provided herein, the provisions of this Section 8 are solely for the benefit of the Agent and the Banks, and the Borrower shall not have any rights to rely on or enforce any of the provisions hereof. In performing their functions and duties under this Agreement the Agent shall act solely as agent of the Banks and does not assume and shall not be deemed to have assumed any obligation toward or relationship of agency or trust with or for the Borrower.</w:t>
      </w:r>
    </w:p>
    <w:p>
      <w:pPr>
        <w:spacing w:after="0" w:line="146"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USA Patriot Act; No Reliance on Agent’s Customer Identification Program</w:t>
      </w:r>
      <w:r>
        <w:rPr>
          <w:rFonts w:ascii="Times New Roman" w:cs="Times New Roman" w:eastAsia="Times New Roman" w:hAnsi="Times New Roman"/>
          <w:sz w:val="18"/>
          <w:szCs w:val="18"/>
          <w:color w:val="auto"/>
        </w:rPr>
        <w:t>. (a) Each Bank or assignee or participant of a Bank that is not incorporated under the laws of the United States of America or a state thereof (and is not excepted from the certification requirement contained in Section 313 of the USA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the Agent the certification, or, if applicable, recertification, certifying that such Bank is not a “shell” and certifying to other matters as required by Section 313 of the USA Patriot Act and the applicable regulations: (i) within 10 days after the Closing Date, and (ii) at such other times as are required under the USA Patriot Act.</w:t>
      </w:r>
    </w:p>
    <w:p>
      <w:pPr>
        <w:spacing w:after="0" w:line="359" w:lineRule="exact"/>
        <w:rPr>
          <w:sz w:val="20"/>
          <w:szCs w:val="20"/>
          <w:color w:val="auto"/>
        </w:rPr>
      </w:pPr>
    </w:p>
    <w:p>
      <w:pPr>
        <w:jc w:val="both"/>
        <w:ind w:firstLine="1665"/>
        <w:spacing w:after="0" w:line="250" w:lineRule="auto"/>
        <w:tabs>
          <w:tab w:leader="none" w:pos="222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acknowledges and agrees that neither such Bank, nor any of its Affiliates, participants or assignees, may rely on the Agent to carry out such Bank’s,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or any other Anti-Terrorism Law, including any programs involving any of the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21" w:name="page122"/>
    <w:bookmarkEnd w:id="121"/>
    <w:p>
      <w:pPr>
        <w:jc w:val="both"/>
        <w:spacing w:after="0" w:line="252" w:lineRule="auto"/>
        <w:rPr>
          <w:sz w:val="20"/>
          <w:szCs w:val="20"/>
          <w:color w:val="auto"/>
        </w:rPr>
      </w:pPr>
      <w:r>
        <w:rPr>
          <w:rFonts w:ascii="Times New Roman" w:cs="Times New Roman" w:eastAsia="Times New Roman" w:hAnsi="Times New Roman"/>
          <w:sz w:val="18"/>
          <w:szCs w:val="18"/>
          <w:color w:val="auto"/>
        </w:rPr>
        <w:t>following items relating to or in connection with the Borrower, its Affiliates or their agents, the Loan Documents or the transactions hereunder or contemplated hereby: (i) any identity verification procedures, (ii) any recordkeeping,</w:t>
      </w:r>
    </w:p>
    <w:p>
      <w:pPr>
        <w:spacing w:after="0" w:line="1" w:lineRule="exact"/>
        <w:rPr>
          <w:sz w:val="20"/>
          <w:szCs w:val="20"/>
          <w:color w:val="auto"/>
        </w:rPr>
      </w:pPr>
    </w:p>
    <w:p>
      <w:pPr>
        <w:ind w:firstLine="1"/>
        <w:spacing w:after="0" w:line="256" w:lineRule="auto"/>
        <w:tabs>
          <w:tab w:leader="none" w:pos="32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with government lists, (iv) customer notices or (v) other procedures required under the CIP Regulations or such other Anti-Terrorism Laws.</w:t>
      </w:r>
    </w:p>
    <w:p>
      <w:pPr>
        <w:spacing w:after="0" w:line="139"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8"/>
          <w:szCs w:val="18"/>
          <w:u w:val="single" w:color="auto"/>
          <w:color w:val="auto"/>
        </w:rPr>
        <w:t>ERISA Matters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665"/>
        <w:spacing w:after="0" w:line="254" w:lineRule="auto"/>
        <w:tabs>
          <w:tab w:leader="none" w:pos="22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(x) represents and warrants, as of the date such Person became a Bank party hereto, to, and (y) covenants, from the date such Person became a Bank party hereto to the date such Person ceases being a Bank party hereto, for the benefit of, Agent and their Affiliates, and not, for the avoidance of doubt, to or for the benefit of the Borrower, that at least one of the following is and will be true:</w:t>
      </w:r>
    </w:p>
    <w:p>
      <w:pPr>
        <w:spacing w:after="0" w:line="140" w:lineRule="exact"/>
        <w:rPr>
          <w:rFonts w:ascii="Times New Roman" w:cs="Times New Roman" w:eastAsia="Times New Roman" w:hAnsi="Times New Roman"/>
          <w:sz w:val="18"/>
          <w:szCs w:val="18"/>
          <w:color w:val="auto"/>
        </w:rPr>
      </w:pPr>
    </w:p>
    <w:p>
      <w:pPr>
        <w:jc w:val="both"/>
        <w:ind w:left="1120" w:firstLine="1099"/>
        <w:spacing w:after="0" w:line="260" w:lineRule="auto"/>
        <w:tabs>
          <w:tab w:leader="none" w:pos="279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Bank is not using “plan assets” (within the meaning of Section 3(42) of ERISA or otherwise) of one or more Plans with respect to such Bank’s entrance into, participation in, administration of and performance of the Loans or the Commitments or this Agreement,</w:t>
      </w:r>
    </w:p>
    <w:p>
      <w:pPr>
        <w:spacing w:after="0" w:line="135" w:lineRule="exact"/>
        <w:rPr>
          <w:rFonts w:ascii="Times New Roman" w:cs="Times New Roman" w:eastAsia="Times New Roman" w:hAnsi="Times New Roman"/>
          <w:sz w:val="18"/>
          <w:szCs w:val="18"/>
          <w:color w:val="auto"/>
        </w:rPr>
      </w:pPr>
    </w:p>
    <w:p>
      <w:pPr>
        <w:jc w:val="both"/>
        <w:ind w:left="1120" w:firstLine="1099"/>
        <w:spacing w:after="0" w:line="246" w:lineRule="auto"/>
        <w:tabs>
          <w:tab w:leader="none" w:pos="282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Prohibited Transaction Exemptions (“</w:t>
      </w:r>
      <w:r>
        <w:rPr>
          <w:rFonts w:ascii="Times New Roman" w:cs="Times New Roman" w:eastAsia="Times New Roman" w:hAnsi="Times New Roman"/>
          <w:sz w:val="18"/>
          <w:szCs w:val="18"/>
          <w:u w:val="single" w:color="auto"/>
          <w:color w:val="auto"/>
        </w:rPr>
        <w:t>PTEs</w:t>
      </w:r>
      <w:r>
        <w:rPr>
          <w:rFonts w:ascii="Times New Roman" w:cs="Times New Roman" w:eastAsia="Times New Roman" w:hAnsi="Times New Roman"/>
          <w:sz w:val="18"/>
          <w:szCs w:val="18"/>
          <w:color w:val="auto"/>
        </w:rPr>
        <w:t>”),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Commitments and this Agreement,</w:t>
      </w:r>
    </w:p>
    <w:p>
      <w:pPr>
        <w:spacing w:after="0" w:line="358" w:lineRule="exact"/>
        <w:rPr>
          <w:rFonts w:ascii="Times New Roman" w:cs="Times New Roman" w:eastAsia="Times New Roman" w:hAnsi="Times New Roman"/>
          <w:sz w:val="18"/>
          <w:szCs w:val="18"/>
          <w:color w:val="auto"/>
        </w:rPr>
      </w:pPr>
    </w:p>
    <w:p>
      <w:pPr>
        <w:jc w:val="both"/>
        <w:ind w:left="1120" w:firstLine="1099"/>
        <w:spacing w:after="0" w:line="246" w:lineRule="auto"/>
        <w:tabs>
          <w:tab w:leader="none" w:pos="284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Commitments and this Agreement, or</w:t>
      </w:r>
    </w:p>
    <w:p>
      <w:pPr>
        <w:spacing w:after="0" w:line="358" w:lineRule="exact"/>
        <w:rPr>
          <w:rFonts w:ascii="Times New Roman" w:cs="Times New Roman" w:eastAsia="Times New Roman" w:hAnsi="Times New Roman"/>
          <w:sz w:val="18"/>
          <w:szCs w:val="18"/>
          <w:color w:val="auto"/>
        </w:rPr>
      </w:pPr>
    </w:p>
    <w:p>
      <w:pPr>
        <w:ind w:left="1120" w:firstLine="1099"/>
        <w:spacing w:after="0" w:line="280" w:lineRule="auto"/>
        <w:tabs>
          <w:tab w:leader="none" w:pos="283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Agent, in its sole discretion, and such Bank.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22" w:name="page123"/>
    <w:bookmarkEnd w:id="122"/>
    <w:p>
      <w:pPr>
        <w:jc w:val="both"/>
        <w:ind w:firstLine="1665"/>
        <w:spacing w:after="0" w:line="248" w:lineRule="auto"/>
        <w:tabs>
          <w:tab w:leader="none" w:pos="222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either (1) sub-clause (i) in the immediately preceding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is true with respect to a Bank or (2) a Bank has provided another representation, warranty and covenant in accordance with sub-clause (iv) in the immediately preceding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such Bank further (x) represents and warrants, as of the date such Person became a Bank party hereto, and (y) covenants, from the date such Person became a Bank party hereto to the date such Person ceases being a Bank party hereto, for the benefit of, the Agent, any lead arranger and their respective Affiliates, and not, for the avoidance of doubt, to or for the benefit of the Borrower, that:</w:t>
      </w:r>
    </w:p>
    <w:p>
      <w:pPr>
        <w:spacing w:after="0" w:line="149" w:lineRule="exact"/>
        <w:rPr>
          <w:rFonts w:ascii="Times New Roman" w:cs="Times New Roman" w:eastAsia="Times New Roman" w:hAnsi="Times New Roman"/>
          <w:sz w:val="18"/>
          <w:szCs w:val="18"/>
          <w:color w:val="auto"/>
        </w:rPr>
      </w:pPr>
    </w:p>
    <w:p>
      <w:pPr>
        <w:jc w:val="both"/>
        <w:ind w:left="1120" w:firstLine="1099"/>
        <w:spacing w:after="0" w:line="250" w:lineRule="auto"/>
        <w:tabs>
          <w:tab w:leader="none" w:pos="27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Agent or any of their Affiliates is a fiduciary with respect to the assets of such Bank involved in such Bank’s entrance into, participation in, administration of and performance of the Loans, the Commitments and this Agreement (including in connection with the reservation or exercise of any rights by the Agent under this Agreement, any Loan Document or any other documents related hereto or thereto),</w:t>
      </w:r>
    </w:p>
    <w:p>
      <w:pPr>
        <w:spacing w:after="0" w:line="146" w:lineRule="exact"/>
        <w:rPr>
          <w:rFonts w:ascii="Times New Roman" w:cs="Times New Roman" w:eastAsia="Times New Roman" w:hAnsi="Times New Roman"/>
          <w:sz w:val="18"/>
          <w:szCs w:val="18"/>
          <w:color w:val="auto"/>
        </w:rPr>
      </w:pPr>
    </w:p>
    <w:p>
      <w:pPr>
        <w:jc w:val="both"/>
        <w:ind w:left="1120" w:firstLine="1099"/>
        <w:spacing w:after="0" w:line="254" w:lineRule="auto"/>
        <w:tabs>
          <w:tab w:leader="none" w:pos="282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Bank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Loans),</w:t>
      </w:r>
    </w:p>
    <w:p>
      <w:pPr>
        <w:spacing w:after="0" w:line="140" w:lineRule="exact"/>
        <w:rPr>
          <w:rFonts w:ascii="Times New Roman" w:cs="Times New Roman" w:eastAsia="Times New Roman" w:hAnsi="Times New Roman"/>
          <w:sz w:val="18"/>
          <w:szCs w:val="18"/>
          <w:color w:val="auto"/>
        </w:rPr>
      </w:pPr>
    </w:p>
    <w:p>
      <w:pPr>
        <w:jc w:val="both"/>
        <w:ind w:left="1120" w:firstLine="1099"/>
        <w:spacing w:after="0" w:line="250" w:lineRule="auto"/>
        <w:tabs>
          <w:tab w:leader="none" w:pos="284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Bank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46" w:lineRule="exact"/>
        <w:rPr>
          <w:rFonts w:ascii="Times New Roman" w:cs="Times New Roman" w:eastAsia="Times New Roman" w:hAnsi="Times New Roman"/>
          <w:sz w:val="18"/>
          <w:szCs w:val="18"/>
          <w:color w:val="auto"/>
        </w:rPr>
      </w:pPr>
    </w:p>
    <w:p>
      <w:pPr>
        <w:jc w:val="both"/>
        <w:ind w:left="1120" w:firstLine="1099"/>
        <w:spacing w:after="0" w:line="260" w:lineRule="auto"/>
        <w:tabs>
          <w:tab w:leader="none" w:pos="283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or other compensation is being paid directly to the Agent or any of their Affiliates for investment advice (as opposed to other services) in connection with the Loans, the Commitments or this Agreement.</w:t>
      </w:r>
    </w:p>
    <w:p>
      <w:pPr>
        <w:spacing w:after="0" w:line="136"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The Agent hereby informs the Banks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w:t>
      </w:r>
    </w:p>
    <w:p>
      <w:pPr>
        <w:spacing w:after="0" w:line="2" w:lineRule="exact"/>
        <w:rPr>
          <w:sz w:val="20"/>
          <w:szCs w:val="20"/>
          <w:color w:val="auto"/>
        </w:rPr>
      </w:pPr>
    </w:p>
    <w:p>
      <w:pPr>
        <w:jc w:val="both"/>
        <w:ind w:firstLine="1"/>
        <w:spacing w:after="0" w:line="243" w:lineRule="auto"/>
        <w:tabs>
          <w:tab w:leader="none" w:pos="2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receive interest or other payments with respect to the Loans, the Commitments and this Agreement, (ii) may recognize a gain if it extended the Loans, or the Commitments for an amount less than the amount being paid for an interest in the Loans or the Commitments by such Bank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23" w:name="page124"/>
    <w:bookmarkEnd w:id="123"/>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8.13</w:t>
      </w:r>
      <w:r>
        <w:rPr>
          <w:sz w:val="20"/>
          <w:szCs w:val="20"/>
          <w:color w:val="auto"/>
        </w:rPr>
        <w:tab/>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665"/>
        <w:spacing w:after="0" w:line="243" w:lineRule="auto"/>
        <w:tabs>
          <w:tab w:leader="none" w:pos="22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notifies a Bank or any Person who has received funds on behalf of a Bank (any such Bank or other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Agent has determined in its sole discretion (whether or not after receipt of any notice under immediately succeeding clause (b)) that any funds received by such Payment Recipient from the Agent or any of its Affiliates were erroneously transmitted to, or otherwise erroneously or mistakenly received by, such Payment Recipient (whether or not known to such Bank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Agent and shall be segregated by the Payment Recipient and held in trust for the benefit of the Agent, and such Bank shall (or, with respect to any Payment Recipient who received such funds on its behalf, shall cause such 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Overnight Bank Funding Rate and a rate determined by the Agent in accordance with banking industry rules on interbank compensation from time to time in effect. A notice of the Agent to any Payment Recipient under this clause (a) shall be conclusive, absent manifest error.</w:t>
      </w:r>
    </w:p>
    <w:p>
      <w:pPr>
        <w:spacing w:after="0" w:line="366" w:lineRule="exact"/>
        <w:rPr>
          <w:rFonts w:ascii="Times New Roman" w:cs="Times New Roman" w:eastAsia="Times New Roman" w:hAnsi="Times New Roman"/>
          <w:sz w:val="18"/>
          <w:szCs w:val="18"/>
          <w:color w:val="auto"/>
        </w:rPr>
      </w:pPr>
    </w:p>
    <w:p>
      <w:pPr>
        <w:jc w:val="both"/>
        <w:ind w:firstLine="1665"/>
        <w:spacing w:after="0" w:line="246" w:lineRule="auto"/>
        <w:tabs>
          <w:tab w:leader="none" w:pos="222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Bank, or any Person who has received funds on behalf of a Bank, hereby further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Bank or other such recipient, otherwise becomes aware was transmitted, or received, in error or by mistake (in whole or in part) in each case:</w:t>
      </w:r>
    </w:p>
    <w:p>
      <w:pPr>
        <w:spacing w:after="0" w:line="151" w:lineRule="exact"/>
        <w:rPr>
          <w:rFonts w:ascii="Times New Roman" w:cs="Times New Roman" w:eastAsia="Times New Roman" w:hAnsi="Times New Roman"/>
          <w:sz w:val="18"/>
          <w:szCs w:val="18"/>
          <w:color w:val="auto"/>
        </w:rPr>
      </w:pPr>
    </w:p>
    <w:p>
      <w:pPr>
        <w:jc w:val="both"/>
        <w:ind w:left="1120" w:firstLine="1099"/>
        <w:spacing w:after="0" w:line="254" w:lineRule="auto"/>
        <w:tabs>
          <w:tab w:leader="none" w:pos="279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immediately preceding clauses (x) or (y), an error shall be presumed to have been made (absent written confirmation from the Agent to the contrary) or (B) an error has been made (in the case of immediately preceding clause (z)), in each case, with respect to such payment, prepayment or repayment; and</w:t>
      </w:r>
    </w:p>
    <w:p>
      <w:pPr>
        <w:spacing w:after="0" w:line="140" w:lineRule="exact"/>
        <w:rPr>
          <w:rFonts w:ascii="Times New Roman" w:cs="Times New Roman" w:eastAsia="Times New Roman" w:hAnsi="Times New Roman"/>
          <w:sz w:val="18"/>
          <w:szCs w:val="18"/>
          <w:color w:val="auto"/>
        </w:rPr>
      </w:pPr>
    </w:p>
    <w:p>
      <w:pPr>
        <w:jc w:val="both"/>
        <w:ind w:left="1120" w:firstLine="1099"/>
        <w:spacing w:after="0" w:line="254" w:lineRule="auto"/>
        <w:tabs>
          <w:tab w:leader="none" w:pos="282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Bank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w:t>
      </w:r>
      <w:r>
        <w:rPr>
          <w:rFonts w:ascii="Times New Roman" w:cs="Times New Roman" w:eastAsia="Times New Roman" w:hAnsi="Times New Roman"/>
          <w:sz w:val="18"/>
          <w:szCs w:val="18"/>
          <w:u w:val="single" w:color="auto"/>
          <w:color w:val="auto"/>
        </w:rPr>
        <w:t>Section 8.13(b)</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24" w:name="page125"/>
    <w:bookmarkEnd w:id="124"/>
    <w:p>
      <w:pPr>
        <w:jc w:val="both"/>
        <w:ind w:firstLine="1665"/>
        <w:spacing w:after="0" w:line="254" w:lineRule="auto"/>
        <w:tabs>
          <w:tab w:leader="none" w:pos="22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hereby authorizes the Agent to set off, net and apply any and all amounts at any time owing to such Bank under any Loan Document, or otherwise payable or distributable by the Agent to such Bank from any source, against any amount due to the Agent under immediately preceding clause (a) or under the indemnification provisions of this Agreement.</w:t>
      </w:r>
    </w:p>
    <w:p>
      <w:pPr>
        <w:spacing w:after="0" w:line="140" w:lineRule="exact"/>
        <w:rPr>
          <w:rFonts w:ascii="Times New Roman" w:cs="Times New Roman" w:eastAsia="Times New Roman" w:hAnsi="Times New Roman"/>
          <w:sz w:val="18"/>
          <w:szCs w:val="18"/>
          <w:color w:val="auto"/>
        </w:rPr>
      </w:pPr>
    </w:p>
    <w:p>
      <w:pPr>
        <w:jc w:val="both"/>
        <w:ind w:firstLine="1665"/>
        <w:spacing w:after="0" w:line="242" w:lineRule="auto"/>
        <w:tabs>
          <w:tab w:leader="none" w:pos="222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Agent for any reason, after demand therefor by the Agent in accordance with immediately preceding clause (a), from any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Return Deficiency</w:t>
      </w:r>
      <w:r>
        <w:rPr>
          <w:rFonts w:ascii="Times New Roman" w:cs="Times New Roman" w:eastAsia="Times New Roman" w:hAnsi="Times New Roman"/>
          <w:sz w:val="18"/>
          <w:szCs w:val="18"/>
          <w:color w:val="auto"/>
        </w:rPr>
        <w:t>”), upon the Agent’s notice to such Bank at any time, (i) such Bank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Agent in such instance), and is hereby (together with the Borrower) deemed to execute and deliver an Assignment and Acceptance with respect to such Erroneous Payment Deficiency Assignment, and such Bank shall deliver any Notes evidencing such Loans to the Borrower or the Agent, (ii) the Agent as the assignee Bank shall be deemed to acquire the Erroneous Payment Deficiency Assignment, (iii) upon such deemed acquisition, the Agent as the assignee Bank shall become a Bank, as applicable, hereunder with respect to such Erroneous Payment Deficiency Assignment and the assigning Bank shall cease to be a Bank hereunder with respect to such Erroneous Payment Deficiency Assignment, excluding, for the avoidance of doubt, its obligations under the indemnification provisions of this Agreement and its applicable Commitments which shall survive as to such assigning Bank and (iv) the Agent may reflect in the Register its ownership interest in the Loans subject to the Erroneous Payment Deficiency Assignment. The Agent may, in its discretion, sell any Loans acquired pursuant to an Erroneous Payment Deficiency Assignment and upon receipt of the proceeds of such sale, the Erroneous Payment Return Deficiency owing by the applicable Bank shall be reduced by the net proceeds of the sale of such Loan (or portion thereof), and the Agent shall retain all other rights, remedies and claims against such Bank (and/or against any recipient that receives funds on its respective behalf). For the avoidance of doubt, no Erroneous Payment Deficiency Assignment will reduce the Commitments of any Bank and such Commitments shall remain available in accordance with the terms of this Agreement. In addition, each party hereto agrees that, except to the extent that the Agent has sold a Loan (or portion thereof) acquired pursuant to an Erroneous Payment Deficiency Assignment, and irrespective of whether the Agent may be equitably subrogated, the Agent shall be contractually subrogated to all the rights and interests of the applicable Bank under the Loan Documents with respect to each Erroneous Payment Return Deficiency (the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Subrogation Rights</w:t>
      </w:r>
      <w:r>
        <w:rPr>
          <w:rFonts w:ascii="Times New Roman" w:cs="Times New Roman" w:eastAsia="Times New Roman" w:hAnsi="Times New Roman"/>
          <w:sz w:val="18"/>
          <w:szCs w:val="18"/>
          <w:color w:val="auto"/>
        </w:rPr>
        <w:t>”).</w:t>
      </w:r>
    </w:p>
    <w:p>
      <w:pPr>
        <w:spacing w:after="0" w:line="371" w:lineRule="exact"/>
        <w:rPr>
          <w:rFonts w:ascii="Times New Roman" w:cs="Times New Roman" w:eastAsia="Times New Roman" w:hAnsi="Times New Roman"/>
          <w:sz w:val="18"/>
          <w:szCs w:val="18"/>
          <w:color w:val="auto"/>
        </w:rPr>
      </w:pPr>
    </w:p>
    <w:p>
      <w:pPr>
        <w:jc w:val="both"/>
        <w:ind w:firstLine="1665"/>
        <w:spacing w:after="0" w:line="250" w:lineRule="auto"/>
        <w:tabs>
          <w:tab w:leader="none" w:pos="22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Loans or other obligations hereunder or under the other Loan Documents owed by the Borrower, except, in each case, to the extent such Erroneous Payment is, and solely with respect to the amount of such Erroneous Payment that is, comprised of funds received by the Agent from the Borrower for the purpose of making such Erroneous Payment.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25" w:name="page126"/>
    <w:bookmarkEnd w:id="125"/>
    <w:p>
      <w:pPr>
        <w:jc w:val="both"/>
        <w:ind w:firstLine="1665"/>
        <w:spacing w:after="0" w:line="251" w:lineRule="auto"/>
        <w:tabs>
          <w:tab w:leader="none" w:pos="222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358"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2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shall survive the resignation or replacement of the Agent, the termination of the Commitments and/or the repayment, satisfaction or discharge of all Loans or other obligations hereunder or under the other Loan Documents (or any portion thereof) under any Loan Document.</w:t>
      </w:r>
    </w:p>
    <w:p>
      <w:pPr>
        <w:spacing w:after="0" w:line="140" w:lineRule="exact"/>
        <w:rPr>
          <w:sz w:val="20"/>
          <w:szCs w:val="20"/>
          <w:color w:val="auto"/>
        </w:rPr>
      </w:pPr>
    </w:p>
    <w:p>
      <w:pPr>
        <w:jc w:val="both"/>
        <w:ind w:firstLine="1109"/>
        <w:spacing w:after="0" w:line="242"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arranger, any bookrunner, the Agent or any Bank is intended to be or has been created in respect of the transactions contemplated hereby or by the other Loan Documents, irrespective of whether any arranger, any bookrunner, the Agent, or any Bank has advised or is advising the Borrower or any Subsidiary on other matters, (ii) the arranging and other services regarding this Agreement provided by any arranger, any bookrunner, the Agent, and the Banks are arm’s-length commercial transactions between the Borrower and its Affiliates, on the one hand, and any arranger, any bookrunner, the Agent, and the Banks,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by the other Loan Documents; and (b) (i) each of any arranger, any bookrunner, the Agent, and the Banks is and has been acting solely as a principal and, except as expressly agreed in writing by the relevant parties, has not been, is not, and will not be acting as an advisor, agent or fiduciary for the Borrower or any of its Affiliates, or any other Person; (ii) none of any arranger, any bookrunner, the Agent, and the Banks has any obligation to the Borrower or any of the Borrower’s Affiliates with respect to the transactions contemplated hereby except those obligations expressly set forth herein and in the other Loan Documents; and (iii) any arranger, any bookrunner, the Agent, and the Banks and their respective Affiliates may be engaged, for their own accounts or the accounts of customers, in a broad range of transactions that involve interests that differ from those of the Borrower and its Affiliates, and none of any arranger, any bookrunner, the Agent, and the Banks has any obligation to disclose any of such interests to the Borrower or its Affiliates. To the fullest extent permitted by law, the Borrower hereby waives and releases any claims that it may have against any of any arrangers, any bookrunner, the Agent, and the Banks with respect to any breach or alleged breach of agency or fiduciary duty in connection with any aspect of any transaction contemplated hereby.</w:t>
      </w:r>
    </w:p>
    <w:p>
      <w:pPr>
        <w:spacing w:after="0" w:line="375"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Agent May File Proofs of Claim</w:t>
      </w:r>
      <w:r>
        <w:rPr>
          <w:rFonts w:ascii="Times New Roman" w:cs="Times New Roman" w:eastAsia="Times New Roman" w:hAnsi="Times New Roman"/>
          <w:sz w:val="18"/>
          <w:szCs w:val="18"/>
          <w:color w:val="auto"/>
        </w:rPr>
        <w:t>. In case of the pendency of any proceeding under any Debtor Relief Law, the Agent (irrespective of whether the principal of any Loan shall then be due and payable as herein expressed or by declaration or otherwise and irrespective of whether the Agent shall have made any demand on the Borrower) shall be entitled and empowered (but not obligated) by intervention in such proceeding or otherwise: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26" w:name="page127"/>
    <w:bookmarkEnd w:id="126"/>
    <w:p>
      <w:pPr>
        <w:jc w:val="both"/>
        <w:ind w:firstLine="1665"/>
        <w:spacing w:after="0" w:line="248" w:lineRule="auto"/>
        <w:tabs>
          <w:tab w:leader="none" w:pos="22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obligations hereunder or under the other Loan Documents that are owing and unpaid and to file such other documents as may be necessary or advisable in order to have the claims of the Banks and the Agent (including any claim for the reasonable compensation, expenses, disbursements and advances of the Banks, and the Agent and their respective agents and counsel and all other amounts due the Banks and the Agent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allowed in such judicial proceeding; and</w:t>
      </w:r>
    </w:p>
    <w:p>
      <w:pPr>
        <w:spacing w:after="0" w:line="149" w:lineRule="exact"/>
        <w:rPr>
          <w:rFonts w:ascii="Times New Roman" w:cs="Times New Roman" w:eastAsia="Times New Roman" w:hAnsi="Times New Roman"/>
          <w:sz w:val="18"/>
          <w:szCs w:val="18"/>
          <w:color w:val="auto"/>
        </w:rPr>
      </w:pPr>
    </w:p>
    <w:p>
      <w:pPr>
        <w:ind w:firstLine="1665"/>
        <w:spacing w:after="0" w:line="280" w:lineRule="auto"/>
        <w:tabs>
          <w:tab w:leader="none" w:pos="222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Bank to make such payments to the Agent and, in the event that the Agent shall consent to the making of such payments directly to the Banks,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none of the bookrunners or arrangers listed on the cover page hereof shall have any powers, duties or responsibilities under this Agreement or any of the other Loan Documents, except in its capacity, as applicable, as the Agent or a Bank hereunder.</w:t>
      </w:r>
    </w:p>
    <w:p>
      <w:pPr>
        <w:spacing w:after="0" w:line="136"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No Reliance on Agent’s Customer Identification Program</w:t>
      </w:r>
      <w:r>
        <w:rPr>
          <w:rFonts w:ascii="Times New Roman" w:cs="Times New Roman" w:eastAsia="Times New Roman" w:hAnsi="Times New Roman"/>
          <w:sz w:val="18"/>
          <w:szCs w:val="18"/>
          <w:color w:val="auto"/>
        </w:rPr>
        <w:t>. Each Bank acknowledges and agrees that neither such Bank, nor any of its Affiliates, participants or assignees, may rely on the Agent to carry out such Bank’s, Affiliate’s, participant’s or assignee’s customer identification program, or other obligations required or imposed under or pursuant to the USA PATRIOT Act or the regulations thereunder, including the regulations contained in 31 CFR 103.121 (as hereafter amended or replaced, the “CIP Regulations”), or any other Anti-Money Laundering Law, any Anti-Corruption Law, or any International Trade Law, including any programs involving any of the following items relating to or in connection with the Borrower, any Guarantor,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MISCELLANEOUS</w:t>
      </w:r>
    </w:p>
    <w:p>
      <w:pPr>
        <w:spacing w:after="0" w:line="186"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Except as set forth in Section 2.10(d), neither this Agreement, any Note or any other Loan Document, nor any terms hereof of thereof may be amended, supplemented or modified except in accordance with the provisions of this subsection. With the written consent of the Required Banks, the Agent and the Borrower may, from time to time, enter into written amendments, supplements or modifications hereto and to the Notes and the other Loan Documents for the purpose of adding any provisions to this Agreement or the Notes or the other Loan Documents or changing in any manner the rights of the Banks or of the Borrower hereunder or thereunder or waiving, on such terms and conditions as the Agent may specify in such instrument, any of the requirements of this Agreement or the Notes or the other Loan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27" w:name="page128"/>
    <w:bookmarkEnd w:id="127"/>
    <w:p>
      <w:pPr>
        <w:jc w:val="both"/>
        <w:spacing w:after="0" w:line="243" w:lineRule="auto"/>
        <w:rPr>
          <w:sz w:val="20"/>
          <w:szCs w:val="20"/>
          <w:color w:val="auto"/>
        </w:rPr>
      </w:pPr>
      <w:r>
        <w:rPr>
          <w:rFonts w:ascii="Times New Roman" w:cs="Times New Roman" w:eastAsia="Times New Roman" w:hAnsi="Times New Roman"/>
          <w:sz w:val="18"/>
          <w:szCs w:val="18"/>
          <w:color w:val="auto"/>
        </w:rPr>
        <w:t>Documents or any Default or Event of Default and its consequences; provided, however, that no such waiver and no such amendment, supplement or modification shall directly or indirectly (a) reduce the amount or extend the maturity of any Note or any installment thereof, or reduce the rate or extend the time of payment of interest thereon, or reduce any Fees payable to any Bank hereunder, or change the duration or amount of any Bank’s Commitment, in each case without the consent of the Bank affected thereby or (b) amend, modify or waive any provision of this Section 9.1 or reduce the percentages specified in the definition of Required Banks or consent to the assignment or transfer by the Borrower of any of its rights and obligations under this Agreement, the Notes and the other Loan Documents or subordinate, or have the effect of subordinating, the Loans and other obligations hereunder to any other Debt for borrowed money, in each case without the written consent of all the Banks, (c) amend, modify or waive any provision of Section 2.2 without the written consent of the then Swing Line Bank or (d) amend, modify or waive any provision of Section 8 without the written consent of the then Agent. Any such waiver and any such amendment, supplement or modification shall apply equally to each of the Banks and shall be binding upon the Borrower, the Banks, the Agent and all future holders of the Notes. In the case of any waiver, the Borrower, the Banks and the Agent shall be restored to their former position and rights hereunder and under the outstanding Notes, and any Default or Event of Default waived shall be deemed to be cured and not continuing; but no such waiver shall extend to any subsequent or other Default or Event of Default, or impair any right consequent thereon.</w:t>
      </w:r>
    </w:p>
    <w:p>
      <w:pPr>
        <w:spacing w:after="0" w:line="368"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 xml:space="preserve">Furthermore, notwithstanding the foregoing: (a) the Agent, with the consent of the Borrower, may amend, modify or supplement any Loan Document without the consent of any Bank or the Required Banks in order to correct, amend or cure any ambiguity, inconsistency or defect or correct any typographical error or other manifest error in any Loan Document, (b) no consent with respect to any amendment, modification, waiver or supplement of this Agreement or any other Loan Document shall be required of any Defaulting Bank, except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(c) in the case of any amendment, modification, waiver or supplement referred to in the proviso of the first paragraph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no consent with respect to any amendment, modification, waiver or supplement of this Agreement or any other Loan Document shall be required of any Bank that receives payment in full of the principal of and interest accrued on each Loan made by such Bank, and all other amounts owing to or accrued for the account of such Bank under this Agreement and the other Loan Documents, at the time such amendment, modification, waiver or supplement becomes effective and whose Commitments terminate by the terms and upon the effectiveness of such amendment, modification, waiver or supplement.</w:t>
      </w:r>
    </w:p>
    <w:p>
      <w:pPr>
        <w:spacing w:after="0" w:line="365"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All notices, requests and demands to or upon the respective parties hereto to be effective shall be in writing (including electronic transmission, facsimile transmission or posting on a secured web site), and, unless otherwise expressly provided herein, shall be deemed to have been duly given or made when delivered by hand, or three days after being deposited in the mail, postage prepaid, or, in the case of facsimile transmission notice, when sent during normal business hours with electronic confirmation or otherwise when received, or in the case of electronic transmission, when received and in the case of posting on a secured web site, upon receipt of (i) notice of such posting and (ii) rights to access such web site, addressed as follows in the case of the Borrower and the Agent, and as set forth in Schedule I in the case of the other parties hereto, or to such other address as may be hereafter notified by the respective parties hereto and any future holders of the Notes: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762 W. Lancaster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Bryn Mawr, PA 19010-3489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Daniel J. Schuller, Executive Vice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djschuller@essential.co</w:t>
      </w:r>
    </w:p>
    <w:p>
      <w:pPr>
        <w:spacing w:after="0" w:line="166" w:lineRule="exact"/>
        <w:rPr>
          <w:sz w:val="20"/>
          <w:szCs w:val="20"/>
          <w:color w:val="auto"/>
        </w:rPr>
      </w:pPr>
    </w:p>
    <w:p>
      <w:pPr>
        <w:sectPr>
          <w:pgSz w:w="11900" w:h="16838" w:orient="portrait"/>
          <w:cols w:equalWidth="0" w:num="2">
            <w:col w:w="1720" w:space="720"/>
            <w:col w:w="6600"/>
          </w:cols>
          <w:pgMar w:left="1420" w:top="1179" w:right="1439" w:bottom="1440" w:gutter="0" w:footer="0" w:header="0"/>
        </w:sectPr>
      </w:pPr>
    </w:p>
    <w:p>
      <w:pPr>
        <w:jc w:val="cente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762 West Lancaster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Bryn Mawr, PA 19010</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Christopher P. Luning</w:t>
      </w:r>
    </w:p>
    <w:p>
      <w:pPr>
        <w:spacing w:after="0" w:line="2" w:lineRule="exact"/>
        <w:rPr>
          <w:sz w:val="20"/>
          <w:szCs w:val="20"/>
          <w:color w:val="auto"/>
        </w:rPr>
      </w:pPr>
    </w:p>
    <w:p>
      <w:pPr>
        <w:sectPr>
          <w:pgSz w:w="11900" w:h="16838" w:orient="portrait"/>
          <w:cols w:equalWidth="0" w:num="2">
            <w:col w:w="1760" w:space="680"/>
            <w:col w:w="6600"/>
          </w:cols>
          <w:pgMar w:left="1420" w:top="1179" w:right="14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244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9040"/>
          </w:cols>
          <w:pgMar w:left="1420" w:top="1179" w:right="1439" w:bottom="1440" w:gutter="0" w:footer="0" w:header="0"/>
          <w:type w:val="continuous"/>
        </w:sectPr>
      </w:pPr>
    </w:p>
    <w:p>
      <w:pPr>
        <w:spacing w:after="0" w:line="189" w:lineRule="exact"/>
        <w:rPr>
          <w:sz w:val="20"/>
          <w:szCs w:val="20"/>
          <w:color w:val="auto"/>
        </w:rPr>
      </w:pPr>
    </w:p>
    <w:p>
      <w:pPr>
        <w:jc w:val="both"/>
        <w:ind w:left="2160"/>
        <w:spacing w:after="0" w:line="260" w:lineRule="auto"/>
        <w:rPr>
          <w:sz w:val="20"/>
          <w:szCs w:val="20"/>
          <w:color w:val="auto"/>
        </w:rPr>
      </w:pPr>
      <w:r>
        <w:rPr>
          <w:rFonts w:ascii="Times New Roman" w:cs="Times New Roman" w:eastAsia="Times New Roman" w:hAnsi="Times New Roman"/>
          <w:sz w:val="18"/>
          <w:szCs w:val="18"/>
          <w:color w:val="auto"/>
        </w:rPr>
        <w:t>(provided that failure to send a copy of any notice to said counsel shall in no way affect, limit or invalidate any notice sent to the Borrower or the exercise of any of the Banks’ or the Agent’s rights or remedies pursuant to a notice sent to the Borrower.)</w:t>
      </w:r>
    </w:p>
    <w:p>
      <w:pPr>
        <w:sectPr>
          <w:pgSz w:w="11900" w:h="16838" w:orient="portrait"/>
          <w:cols w:equalWidth="0" w:num="1">
            <w:col w:w="9040"/>
          </w:cols>
          <w:pgMar w:left="1420" w:top="1179" w:right="1439" w:bottom="1440" w:gutter="0" w:footer="0" w:header="0"/>
          <w:type w:val="continuous"/>
        </w:sect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Agent or</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Swing Line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Westlakes Drive, Suite 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Berwyn, PA 19312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Domenic D’Ginto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(610) 725-5799</w:t>
      </w:r>
    </w:p>
    <w:p>
      <w:pPr>
        <w:spacing w:after="0" w:line="189" w:lineRule="exact"/>
        <w:rPr>
          <w:sz w:val="20"/>
          <w:szCs w:val="20"/>
          <w:color w:val="auto"/>
        </w:rPr>
      </w:pPr>
    </w:p>
    <w:p>
      <w:pPr>
        <w:sectPr>
          <w:pgSz w:w="11900" w:h="16838" w:orient="portrait"/>
          <w:cols w:equalWidth="0" w:num="2">
            <w:col w:w="1780" w:space="660"/>
            <w:col w:w="6600"/>
          </w:cols>
          <w:pgMar w:left="1420" w:top="1179" w:right="14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8"/>
          <w:szCs w:val="18"/>
          <w:color w:val="auto"/>
        </w:rPr>
        <w:t>and</w:t>
      </w:r>
    </w:p>
    <w:p>
      <w:pPr>
        <w:spacing w:after="0" w:line="2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PNC Agency Services</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One PNC Plaza</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249 Fifth Avenue</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9"/>
          <w:szCs w:val="9"/>
          <w:color w:val="auto"/>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Pittsburgh, PA 15222</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Attention: Agency Services</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Facsimile: (412) 762-8672</w:t>
      </w:r>
    </w:p>
    <w:p>
      <w:pPr>
        <w:sectPr>
          <w:pgSz w:w="11900" w:h="16838" w:orient="portrait"/>
          <w:cols w:equalWidth="0" w:num="1">
            <w:col w:w="9040"/>
          </w:cols>
          <w:pgMar w:left="1420" w:top="1179" w:right="1439" w:bottom="1440" w:gutter="0" w:footer="0" w:header="0"/>
          <w:type w:val="continuous"/>
        </w:sectPr>
      </w:pPr>
    </w:p>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request or demand to or upon the Agent, the Swing Line Bank or the Banks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shall not be effective until received.</w:t>
      </w:r>
    </w:p>
    <w:p>
      <w:pPr>
        <w:spacing w:after="0" w:line="118" w:lineRule="exact"/>
        <w:rPr>
          <w:sz w:val="20"/>
          <w:szCs w:val="20"/>
          <w:color w:val="auto"/>
        </w:rPr>
      </w:pPr>
    </w:p>
    <w:p>
      <w:pPr>
        <w:jc w:val="both"/>
        <w:ind w:firstLine="1665"/>
        <w:spacing w:after="0" w:line="248" w:lineRule="auto"/>
        <w:tabs>
          <w:tab w:leader="none" w:pos="222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Banks hereunder may be delivered or furnished by electronic communication (including e-mail and Internet or intranet websites) pursuant to procedures approved by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Bank pursuant to Article 2 if such Bank, as applicable, has notified the Agent that it is incapable of receiving notices under such Article by electronic communication. The Agent or the Borrower may, in its discretion, agree to accept notices and other communications to it hereunder by electronic communications pursuant to procedures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79" w:right="14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 xml:space="preserve">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1" w:lineRule="exact"/>
        <w:rPr>
          <w:sz w:val="20"/>
          <w:szCs w:val="20"/>
          <w:color w:val="auto"/>
        </w:rPr>
      </w:pPr>
    </w:p>
    <w:p>
      <w:pPr>
        <w:ind w:firstLine="1665"/>
        <w:spacing w:after="0" w:line="280" w:lineRule="auto"/>
        <w:tabs>
          <w:tab w:leader="none" w:pos="22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Any party hereto may change its address or facsimile number for notices and other communications hereunder by notice to the other parties hereto.</w:t>
      </w:r>
    </w:p>
    <w:p>
      <w:pPr>
        <w:spacing w:after="0" w:line="117"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1120" w:firstLine="1099"/>
        <w:spacing w:after="0" w:line="267" w:lineRule="auto"/>
        <w:tabs>
          <w:tab w:leader="none" w:pos="279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Agent may, but shall not be obligated to, make the Communications (as defined below) available to the Banks by posting the Communications on the Platform.</w:t>
      </w:r>
    </w:p>
    <w:p>
      <w:pPr>
        <w:spacing w:after="0" w:line="348" w:lineRule="exact"/>
        <w:rPr>
          <w:rFonts w:ascii="Times New Roman" w:cs="Times New Roman" w:eastAsia="Times New Roman" w:hAnsi="Times New Roman"/>
          <w:sz w:val="18"/>
          <w:szCs w:val="18"/>
          <w:color w:val="auto"/>
        </w:rPr>
      </w:pPr>
    </w:p>
    <w:p>
      <w:pPr>
        <w:jc w:val="both"/>
        <w:ind w:left="1120" w:firstLine="1099"/>
        <w:spacing w:after="0" w:line="244" w:lineRule="auto"/>
        <w:tabs>
          <w:tab w:leader="none" w:pos="282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Bank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the Borrower pursuant to this Agreement or any other Loan Document or the transactions contemplated herein or therein which is distributed to the Agent, any Bank by means of electronic communications pursuant to this Section, including through the Platform.</w:t>
      </w:r>
    </w:p>
    <w:p>
      <w:pPr>
        <w:spacing w:after="0" w:line="150"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0" w:name="page131"/>
    <w:bookmarkEnd w:id="130"/>
    <w:p>
      <w:pPr>
        <w:jc w:val="both"/>
        <w:spacing w:after="0" w:line="280" w:lineRule="auto"/>
        <w:rPr>
          <w:sz w:val="20"/>
          <w:szCs w:val="20"/>
          <w:color w:val="auto"/>
        </w:rPr>
      </w:pPr>
      <w:r>
        <w:rPr>
          <w:rFonts w:ascii="Times New Roman" w:cs="Times New Roman" w:eastAsia="Times New Roman" w:hAnsi="Times New Roman"/>
          <w:sz w:val="18"/>
          <w:szCs w:val="18"/>
          <w:color w:val="auto"/>
        </w:rPr>
        <w:t>other right, remedy, power or privilege. The rights, remedies, powers and privileges herein provided are cumulative and not exclusive of any rights, remedies, powers and privileges provided by law.</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and in any document, certificate or statement delivered pursuant hereto or in connection herewith shall survive the execution and delivery of this Agreement, the Notes and the other Loan Documents.</w:t>
      </w:r>
    </w:p>
    <w:p>
      <w:pPr>
        <w:spacing w:after="0" w:line="136" w:lineRule="exact"/>
        <w:rPr>
          <w:sz w:val="20"/>
          <w:szCs w:val="20"/>
          <w:color w:val="auto"/>
        </w:rPr>
      </w:pPr>
    </w:p>
    <w:p>
      <w:pPr>
        <w:jc w:val="both"/>
        <w:ind w:firstLine="1109"/>
        <w:spacing w:after="0" w:line="210" w:lineRule="exact"/>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Payment of Expenses and Taxes</w:t>
      </w:r>
      <w:r>
        <w:rPr>
          <w:rFonts w:ascii="Times New Roman" w:cs="Times New Roman" w:eastAsia="Times New Roman" w:hAnsi="Times New Roman"/>
          <w:sz w:val="18"/>
          <w:szCs w:val="18"/>
          <w:color w:val="auto"/>
        </w:rPr>
        <w:t>. The Borrower agrees (a) to pay or reimburse the Agent for all of its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costs and expenses incurred in connection with any amendment, supplement or modification to this Agreement, the Notes, the other Loan Documents and any other documents prepared in connection therewith, including, without limitation, the reasonable fees and disbursements of counsel to the Agent (which counsel may or may not include employees of the Agent), (b) to pay or reimburse each Bank and the Agent for all of their costs and expenses incurred in connection with the enforcement or preservation of any rights under this Agreement, the other Loan Documents and any such other documents, including, without limitation, reasonable fees and disbursements of counsel to the Agent (which counsel may or may not include employees of the Agent) and to the several Banks, and (c) to pay, indemnify, and hold each Bank and the Agent harmless from, any and all recording and filing fees and any and all liabilities with respect to, or resulting from any delay in paying, stamp, excise and other similar taxes, if any (other than Taxes expressly excluded from the definition of Taxes in Section 2.12 and Taxes for which the Borrower has no liability under subsection 2.12(c)) which may be payable or determined to be payable in connection with the execution and delivery of, or consummation of any of the transactions contemplated by, or any amendment, supplement or modification of, or any waiver or consent under or in respect of, this Agreement, the Notes, the other Loan Documents, and any such other documents, and (d) to pay, indemnify, and hold each Bank and the Agent harmless from and against any and all other liabilities, obligations, losses, damages, penalties, actions, judgments, suits, costs, expenses or disbursements of any kind or nature whatsoever with respect to the execution, delivery, enforcement, and, incident to a Default or Event of Default, the performance and administration, of this Agreement, the Notes, the other Loan Documents and any such other documents or the transactions contemplated hereby or thereby or any action taken or omitted under or in connection with any of the foregoing including all out-of-pocket expenses incurred by the Agent or any Bank (including reasonable fees, charges and disbursements of any counsel for the Agent or any Bank), in connection with the enforcement or protection of its rights (A) in connection with this Agreement and the other Loan Documents, including its rights under this Section, or (B) in connection with the Loans made hereunder, including all such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during any workout, restructuring or negotiations in respect of such Loans (all the foregoing, collectively, the “indemnified liabilities”), provided, that the Borrower shall have no obligation hereunder to the Agent or any Bank with respect to indemnified liabilities arising from the gross negligence or willful misconduct of the Agent or any such Bank as determined by a final non-appealable judgement of a court of competent jurisdiction. The Borrower shall be given notice of any claim for indemnified liabilities and shall be afforded a reasonable opportunity to participate in the defense, compromise or settlement thereof. The agreements in this subsection shall survive repayment of the Notes and all other amounts payable hereunder.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1" w:name="page132"/>
    <w:bookmarkEnd w:id="131"/>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To the fullest extent permitted by applicable law, none of the parties hereto shall assert, or permit any of its controlled Affiliates to assert, and each party hereto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provided that nothing in this paragraph shall limit the Borrower’s indemnity and reimbursement obligations set forth in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including such indemnity and reimbursement obligations with respect to any special, indirect, consequential or punitive damages arising out of, in connection with or as a result of any claim, litigation, investigation or proceeding brought against any indemnitee by any third party.</w:t>
      </w:r>
    </w:p>
    <w:p>
      <w:pPr>
        <w:spacing w:after="0" w:line="151"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Whenever in this Agreement any of the parties hereto is referred to, such reference shall be deemed to include the successors and assigns of such party, and all covenants, promises and agreements by or on behalf of the Borrower, the Agent or the Banks that are contained in this Agreement shall bind and inure to the benefit of their respective successors and assigns. The Borrower may not assign or transfer any of its rights or obligations under this Agreement or the other Loan Documents without the prior written consent of each Bank.</w:t>
      </w:r>
    </w:p>
    <w:p>
      <w:pPr>
        <w:spacing w:after="0" w:line="146" w:lineRule="exact"/>
        <w:rPr>
          <w:sz w:val="20"/>
          <w:szCs w:val="20"/>
          <w:color w:val="auto"/>
        </w:rPr>
      </w:pPr>
    </w:p>
    <w:p>
      <w:pPr>
        <w:jc w:val="both"/>
        <w:ind w:firstLine="1665"/>
        <w:spacing w:after="0" w:line="248" w:lineRule="auto"/>
        <w:tabs>
          <w:tab w:leader="none" w:pos="222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Bank may, in accordance with applicable law, assign all or a portion of its interests, rights and obligations under this Agreement and the other Loan Documents (including all or a portion of its Commitment or the Swing Line Commitment, and the Loans at the time owing to it and the Notes held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2" w:lineRule="exact"/>
        <w:rPr>
          <w:rFonts w:ascii="Times New Roman" w:cs="Times New Roman" w:eastAsia="Times New Roman" w:hAnsi="Times New Roman"/>
          <w:sz w:val="18"/>
          <w:szCs w:val="18"/>
          <w:color w:val="auto"/>
        </w:rPr>
      </w:pPr>
    </w:p>
    <w:p>
      <w:pPr>
        <w:jc w:val="both"/>
        <w:ind w:firstLine="1"/>
        <w:spacing w:after="0" w:line="241" w:lineRule="auto"/>
        <w:tabs>
          <w:tab w:leader="none" w:pos="22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assignment shall be to a Bank or Affiliate thereof, or, with the written consent of the Agent and, prior to the occurrence of an Event of Default, of the Borrower (each such consent not to be unreasonably withheld or delayed) to one or more banks or other financial institutions, (ii) the amount of each such assignment (determined as of the date the Assignment and Acceptance with respect to such assignment is delivered to the Agent) shall not be less than $5,000,000,</w:t>
      </w:r>
    </w:p>
    <w:p>
      <w:pPr>
        <w:jc w:val="both"/>
        <w:ind w:firstLine="1"/>
        <w:spacing w:after="0" w:line="242" w:lineRule="auto"/>
        <w:tabs>
          <w:tab w:leader="none" w:pos="33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each such assignment shall execute and deliver to the Agent an Assignment and Acceptance, together with the Note or Notes subject to such assignment and a processing and recordation fee of $3,500 (except in the case of an assignment by any Bank to one of its Affiliates), (iv) any assignment of the Swing Line Commitment may be made only to a Bank which holds a Commitment hereunder and must be of the entire Swing Line Commitment and (v) each such assignment of Revolving Credit Loans and all or any portion of a Bank’s Commitment shall be of a constant, and not a varying, percentage of the assigning Bank’s Commitment and Revolving Credit Loans then outstanding. Upon acceptance and recording pursuant to paragraph (d)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from and after the effective date specified in each Assignment and Acceptance, which effective date shall be at least five Business Days after the execution thereof, (A) the assignee thereunder shall be a party hereto and, to the extent of the interest assigned by such Assignment and Acceptance, have the rights and obligations of a Bank under this Agreement and (B) the assigning Bank thereunder shall, to the extent of the interest assigned by such Assignment and Acceptance, be released from its obligations under this Agreement (and, in the case of an Assignment and Acceptance covering all or the remaining portion of an assigning Bank’s rights and obligations under this Agreement, such Bank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xml:space="preserve"> (to the extent that such Bank’s entitlement to such benefits arose out of such Bank’s position as a Bank prior to the applicable assignment)). Notwithstanding subsection 9.6(b)(i), after the Commitments and the Swing Line Commitments have been terminated, any Bank may, with the written consent of the Agent (such consent not to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2" w:name="page133"/>
    <w:bookmarkEnd w:id="132"/>
    <w:p>
      <w:pPr>
        <w:jc w:val="both"/>
        <w:spacing w:after="0" w:line="254" w:lineRule="auto"/>
        <w:rPr>
          <w:sz w:val="20"/>
          <w:szCs w:val="20"/>
          <w:color w:val="auto"/>
        </w:rPr>
      </w:pPr>
      <w:r>
        <w:rPr>
          <w:rFonts w:ascii="Times New Roman" w:cs="Times New Roman" w:eastAsia="Times New Roman" w:hAnsi="Times New Roman"/>
          <w:sz w:val="18"/>
          <w:szCs w:val="18"/>
          <w:color w:val="auto"/>
        </w:rPr>
        <w:t>be unreasonably withheld or delayed), assign its interests, rights and obligations under this Agreement and the other Loan Documents to any entity other than the Borrower or an Affiliate thereof (whether or not an entity described in clause (i) above), it being understood that the provisions of subsection 9.6(b) (other than clause (i) thereof), shall continue to apply to any such assignment.</w:t>
      </w:r>
    </w:p>
    <w:p>
      <w:pPr>
        <w:spacing w:after="0" w:line="140" w:lineRule="exact"/>
        <w:rPr>
          <w:sz w:val="20"/>
          <w:szCs w:val="20"/>
          <w:color w:val="auto"/>
        </w:rPr>
      </w:pPr>
    </w:p>
    <w:p>
      <w:pPr>
        <w:ind w:left="2220" w:hanging="555"/>
        <w:spacing w:after="0"/>
        <w:tabs>
          <w:tab w:leader="none" w:pos="22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5" w:lineRule="exact"/>
        <w:rPr>
          <w:rFonts w:ascii="Times New Roman" w:cs="Times New Roman" w:eastAsia="Times New Roman" w:hAnsi="Times New Roman"/>
          <w:sz w:val="18"/>
          <w:szCs w:val="18"/>
          <w:color w:val="auto"/>
        </w:rPr>
      </w:pPr>
    </w:p>
    <w:p>
      <w:pPr>
        <w:jc w:val="both"/>
        <w:ind w:firstLine="1665"/>
        <w:spacing w:after="0" w:line="247" w:lineRule="auto"/>
        <w:tabs>
          <w:tab w:leader="none" w:pos="22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maintain at its offices in Philadelphia, Pennsylvania a copy of each Assignment and Acceptance and the names and addresses of the Banks, and the Commitment and/or the Swing Line Commitment of, and principal amount of the Loans owing to, each Bank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in the absence of manifest error and the Borrower, the Agent and the Banks may treat each person whose name is recorded in the Register pursuant to the terms hereof as a Bank hereunder for all purposes of this Agreement. The Register shall be available for inspection by the Borrower and any Bank, at any reasonable time and from time to time upon reasonable prior notice.</w:t>
      </w:r>
    </w:p>
    <w:p>
      <w:pPr>
        <w:spacing w:after="0" w:line="149" w:lineRule="exact"/>
        <w:rPr>
          <w:rFonts w:ascii="Times New Roman" w:cs="Times New Roman" w:eastAsia="Times New Roman" w:hAnsi="Times New Roman"/>
          <w:sz w:val="18"/>
          <w:szCs w:val="18"/>
          <w:color w:val="auto"/>
        </w:rPr>
      </w:pPr>
    </w:p>
    <w:p>
      <w:pPr>
        <w:jc w:val="both"/>
        <w:ind w:firstLine="1665"/>
        <w:spacing w:after="0" w:line="244" w:lineRule="auto"/>
        <w:tabs>
          <w:tab w:leader="none" w:pos="22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a duly completed Assignment and Acceptance executed by an assigning Bank and an assignee together with the Note or Notes subject to such assignment, the processing and recordation fee referred to in paragraph (b) above, the Agent shall (i) accept such Assignment and Acceptance, (ii) record the information contained therein in the Register and (iii) give prompt notice thereof to the Banks. Within five Business Days after receipt of notice, the Borrower, at its own expense, shall execute and deliver to the Agent, in exchange for the surrendered original Note(s), (x) a new Revolving Credit Note to the order of such assignee in an amount equal to the portion of the Commitment assumed by it pursuant to such Assignment and Acceptance and, if applicable, a new Swing Line Note to the order of such assignee in an amount equal to the Swing Line Commitment and, (y) if the assigning Bank has retained a Commitment, a new Revolving Credit Note to the order of such assigning Bank in a principal amount equal to the applicable Commitment retained by it. Such new Notes shall be in an aggregate principal amount equal to the aggregate principal amount of such surrendered Notes; such new Notes shall be dated the date of the surrendered Notes which they replace and shall otherwise be in substantially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hereto, as appropriate. Canceled Notes shall be returned to the Borrower.</w:t>
      </w:r>
    </w:p>
    <w:p>
      <w:pPr>
        <w:spacing w:after="0" w:line="362" w:lineRule="exact"/>
        <w:rPr>
          <w:rFonts w:ascii="Times New Roman" w:cs="Times New Roman" w:eastAsia="Times New Roman" w:hAnsi="Times New Roman"/>
          <w:sz w:val="18"/>
          <w:szCs w:val="18"/>
          <w:color w:val="auto"/>
        </w:rPr>
      </w:pPr>
    </w:p>
    <w:p>
      <w:pPr>
        <w:jc w:val="both"/>
        <w:ind w:firstLine="1665"/>
        <w:spacing w:after="0" w:line="245" w:lineRule="auto"/>
        <w:tabs>
          <w:tab w:leader="none" w:pos="222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may without the consent of the Borrower or the Agent sell participations to one or more banks or other entities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its rights and obligations under this Agreement (including all or a portion of its Commitment or Swing Line Commitment and the Loans owing to it and the Notes held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Bank’s obligations under this Agreement shall remain unchanged, (ii) such Bank shall remain solely responsible to the other parties hereto for the performance of such obligations, (iii) such Bank shall remain the holder of any such Note for all purposes under this Agreement, (iv) the Borrower, the Agent and the other Banks shall continue to deal solely and directly with such Bank in connection with such Bank’s rights and obligations under this Agreement, (v) in any proceeding under the Bankruptcy Code such Bank shall be, to the extent permitted by law, the sole representative with respect to the obligations held in the name of such Bank whether for its own account or for the account of any Participant and (vi) such Bank shall retain the sole right to enforce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3" w:name="page134"/>
    <w:bookmarkEnd w:id="133"/>
    <w:p>
      <w:pPr>
        <w:jc w:val="both"/>
        <w:spacing w:after="0" w:line="243" w:lineRule="auto"/>
        <w:rPr>
          <w:sz w:val="20"/>
          <w:szCs w:val="20"/>
          <w:color w:val="auto"/>
        </w:rPr>
      </w:pPr>
      <w:r>
        <w:rPr>
          <w:rFonts w:ascii="Times New Roman" w:cs="Times New Roman" w:eastAsia="Times New Roman" w:hAnsi="Times New Roman"/>
          <w:sz w:val="18"/>
          <w:szCs w:val="18"/>
          <w:color w:val="auto"/>
        </w:rPr>
        <w:t>the obligations of the Borrower relating to the Loans and to approve any amendment, modification or waiver of any provision of this Agreement or the Note or Notes held by such Bank other than any such amendment, modification or waiver with respect to any Loan or Commitment in which such Participant has an interest and which is described in subsection 9.1(a) hereof. Each Bank that sells a participation will, acting solely for this purpose as a non-fiduciary agent of the Borrower, maintain a register on which it enters the name and address of each Participant and the principal amounts (and stated interest) of each Participant’s interest in the Revolving Credit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Bank has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are conclusive absent manifest error, and such Bank must treat each Person whose name is recorded in the Participant Register as the owner of such participation for all purposes of this Agreement notwithstanding any notice to the contrary. For the avoidance of doubt, the Agent has no responsibility for maintaining a Participant Register for any other Bank.</w:t>
      </w:r>
    </w:p>
    <w:p>
      <w:pPr>
        <w:spacing w:after="0" w:line="370" w:lineRule="exact"/>
        <w:rPr>
          <w:sz w:val="20"/>
          <w:szCs w:val="20"/>
          <w:color w:val="auto"/>
        </w:rPr>
      </w:pPr>
    </w:p>
    <w:p>
      <w:pPr>
        <w:jc w:val="both"/>
        <w:ind w:firstLine="1665"/>
        <w:spacing w:after="0" w:line="245" w:lineRule="auto"/>
        <w:tabs>
          <w:tab w:leader="none" w:pos="222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amounts outstanding under this Agreement and the Notes are due or unpaid, or shall have been declared or shall have become due and payable upon the occurrence of an Event of Default, each Participant shall be deemed to have the right of set-off in respect of its participating interest in amounts owing under this Agreement and any Note to the same extent as if the amount of its participating interest were owing directly to it as a Bank under this Agreement or any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purchasing such participation such Participant shall be deemed to have agreed to share with the Banks the proceeds thereof as provided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The Borrower also agrees that each Participant shall be entitled to the benefits of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xml:space="preserve"> with respect to its participation in the Commitments and the Loans outstanding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Participant shall be entitled to receive any greater amount pursuant to such Sections than the Bank selling the participation would have been entitled to receive in respect of the amount of the participation transferred by such Bank to such Participant had no such transfer occurred.</w:t>
      </w:r>
    </w:p>
    <w:p>
      <w:pPr>
        <w:spacing w:after="0" w:line="151" w:lineRule="exact"/>
        <w:rPr>
          <w:rFonts w:ascii="Times New Roman" w:cs="Times New Roman" w:eastAsia="Times New Roman" w:hAnsi="Times New Roman"/>
          <w:sz w:val="18"/>
          <w:szCs w:val="18"/>
          <w:color w:val="auto"/>
        </w:rPr>
      </w:pPr>
    </w:p>
    <w:p>
      <w:pPr>
        <w:jc w:val="both"/>
        <w:ind w:firstLine="1665"/>
        <w:spacing w:after="0" w:line="246" w:lineRule="auto"/>
        <w:tabs>
          <w:tab w:leader="none" w:pos="222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Participant is organized under the laws of any jurisdiction other than the United States or any state thereof, the Bank selling the participation, concurrently with the sale of a participating interest to such Participant, shall cause such Participant (i) to represent to the Bank selling the participation (for the benefit of such Bank, the other Banks, the Agent and the Borrower) that under applicable law and treaties no taxes will be required to be withheld by the Agent, the Borrower or the Bank selling the participation with respect to any payments to be made to such Participant in respect of its participation in the Loans and (ii) to agree (for the benefit of such Bank, the other Banks, the Agent and Borrower) that it will deliver the tax forms and other documents required to be delivered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comply from time to time with all applicable U.S. laws and regulations with respect to withholding tax exemptions.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4" w:name="page135"/>
    <w:bookmarkEnd w:id="134"/>
    <w:p>
      <w:pPr>
        <w:jc w:val="both"/>
        <w:ind w:firstLine="1665"/>
        <w:spacing w:after="0" w:line="260" w:lineRule="auto"/>
        <w:tabs>
          <w:tab w:leader="none" w:pos="223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Bank may at any time assign all or any portion of its rights under this Agreement and the Notes issued to it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assignment shall release a Bank from any of its obligations hereunder.</w:t>
      </w:r>
    </w:p>
    <w:p>
      <w:pPr>
        <w:spacing w:after="0" w:line="136"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Banks agree that they will maintain all information and financial statements provided to them or otherwise obtained by them with respect to the Borrower and its Subsidiaries confidential and that they will not disclose the same or use it for any purposes; provided that nothing herein shall prevent any Bank from disclosing any such information (a) to the Agent or any other Bank or any affiliate thereof, (b) to any prospective assignee or participant in connection with any assignment or participation (or prospective assignment or participation) of Loans permitted by this Agreement, (c) to its employees, directors, agents, attorneys, accountants and other professional advisers, provided that any such person is advised by such Bank that such information is subject to the confidentiality limitations of this Section, (d) upon the request or demand of any Governmental Authority having jurisdiction over such Bank, (e) in response to any order of any court or other Governmental Authority or as may otherwise be required pursuant to any Requirement of Law, provided that the Borrower has (unless prohibited by the terms of any such order or requirement) been advised at least ten (10) days (or if such is not possible or practicable, such lesser number of days as is possible or practicable under the circumstances) prior to such disclosure of the existence of such order or requirement,</w:t>
      </w:r>
    </w:p>
    <w:p>
      <w:pPr>
        <w:jc w:val="both"/>
        <w:ind w:firstLine="1"/>
        <w:spacing w:after="0" w:line="242" w:lineRule="auto"/>
        <w:tabs>
          <w:tab w:leader="none" w:pos="24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been publicly disclosed other than in breach of this Agreement, (g) in connection with the exercise of any remedy hereunder or under the Notes, (h) to the National Association of Insurance Commissioners or any similar organization or any nationally recognized rating agency that requires access to information about a Bank’s investment portfolio in connection with ratings issued with respect to such Bank, or (i) if agreed by the Borrower in its sole discretion, to any other Person. “Information” means all information received from the Borrower or Subsidiary of Borrower relating to the Borrower or any Subsidiary of Borrower or any Guarantor or their businesses, other than any such information that is available to the Agent or any Bank on a non-confidential basis prior to disclosure by the Borrower or Subsidiary of Borrower and other than information pertaining to this Agreement routinely provided by arrangers to data service providers, including league table providers, that serve the lending industry; provided that in the case of information received from the Borrower or Subsidiary of Borrower after the date hereof, such information is clearly identified at the time of delivery as confidential. Any Person required to maintain the confidentiality of Information as provided in this Section 9.7 shall be considered to have complied with its obligation to do so if such Person has exercised the same degree of care to maintain the confidentiality of such Information as such Person would accord its own confidential information.</w:t>
      </w: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avoidance of doubt, nothing in this Section shall prohibit any Person from voluntarily communicating, disclosing or providing information within the scope of the confidentiality provisions of this Section regarding suspected violations of laws, rules, or regulations to a governmental, regulatory or self-regulatory organization without any notification to any Person.</w:t>
      </w:r>
    </w:p>
    <w:p>
      <w:pPr>
        <w:spacing w:after="0" w:line="109" w:lineRule="exact"/>
        <w:rPr>
          <w:sz w:val="20"/>
          <w:szCs w:val="20"/>
          <w:color w:val="auto"/>
        </w:rPr>
      </w:pPr>
    </w:p>
    <w:p>
      <w:pPr>
        <w:jc w:val="both"/>
        <w:ind w:firstLine="1109"/>
        <w:spacing w:after="0" w:line="232" w:lineRule="exact"/>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Adjustments; Set</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off</w:t>
      </w:r>
      <w:r>
        <w:rPr>
          <w:rFonts w:ascii="Times New Roman" w:cs="Times New Roman" w:eastAsia="Times New Roman" w:hAnsi="Times New Roman"/>
          <w:sz w:val="18"/>
          <w:szCs w:val="18"/>
          <w:color w:val="auto"/>
        </w:rPr>
        <w:t>. (a) If any Bank (a “benefited Bank”) shall at any time receive any payment of all or part of its Loans, or interest thereon, or receive any collateral in respect thereof (whether voluntarily or involuntarily, by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pursuant to events or proceedings of the nature referred to in subsection 7.1(g) or otherwise), in a greater proportion than any such payment to or collateral received by any other Bank, if any, in respect of such other Bank’s Loans,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5" w:name="page136"/>
    <w:bookmarkEnd w:id="135"/>
    <w:p>
      <w:pPr>
        <w:jc w:val="both"/>
        <w:spacing w:after="0" w:line="213" w:lineRule="exact"/>
        <w:rPr>
          <w:sz w:val="20"/>
          <w:szCs w:val="20"/>
          <w:color w:val="auto"/>
        </w:rPr>
      </w:pPr>
      <w:r>
        <w:rPr>
          <w:rFonts w:ascii="Times New Roman" w:cs="Times New Roman" w:eastAsia="Times New Roman" w:hAnsi="Times New Roman"/>
          <w:sz w:val="18"/>
          <w:szCs w:val="18"/>
          <w:color w:val="auto"/>
        </w:rPr>
        <w:t>or interest thereon, being paid in respect of Loans being repaid simultaneously therewith or Loans required hereby to be paid proportionately such benefited Bank shall purchase for cash from the other Banks such portion of each such other Bank’s Loan, or shall provide such other Banks with the benefits of any such collateral, or the proceeds thereof, as shall be necessary to cause such benefited Bank to share the excess payment or benefits of such collateral or proceeds ratably with each of the Banks; provided, however, that if all or any portion of such excess payment or benefits is thereafter recovered from such benefited Bank, such purchase shall be rescinded, and the purchase price and benefits returned, to the extent of such recovery, but without interest. The Borrower agrees that each Bank so purchasing a portion of another Bank’s Loan may exercise all rights of payment (including, without limitation, rights of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with respect to such portion as fully as if such Bank were the direct holder of such portion.</w:t>
      </w:r>
    </w:p>
    <w:p>
      <w:pPr>
        <w:spacing w:after="0" w:line="158" w:lineRule="exact"/>
        <w:rPr>
          <w:sz w:val="20"/>
          <w:szCs w:val="20"/>
          <w:color w:val="auto"/>
        </w:rPr>
      </w:pPr>
    </w:p>
    <w:p>
      <w:pPr>
        <w:jc w:val="both"/>
        <w:ind w:firstLine="1665"/>
        <w:spacing w:after="0" w:line="216" w:lineRule="exact"/>
        <w:tabs>
          <w:tab w:leader="none" w:pos="222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rights and remedies of the Banks provided by law, upon the occurrence of an Event of Default, each Bank shall have the right, without prior notice to the Borrower, any such notice being expressly waived by the Borrower to the extent permitted by applicable law, upon any amount becoming due and payable by the Borrower hereunder or under the Notes (whether at the stated maturity, by acceleration or otherwise) to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Bank to or for the credit or the account of the Borrower. Each Bank agrees promptly to notify the Borrower and the Agent after any such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off and application made by such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application.</w:t>
      </w:r>
    </w:p>
    <w:p>
      <w:pPr>
        <w:spacing w:after="0" w:line="358"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Borrower and each of the Banks.</w:t>
      </w:r>
    </w:p>
    <w:p>
      <w:pPr>
        <w:spacing w:after="0" w:line="140"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0"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represents the agreement of the Borrower, the Agent and the Banks with respect to the subject matter hereof, and there are no promises, undertakings, representations or warranties by the Agent or any Bank relative to subject matter hereof not expressly set forth or referred to herein or in the Notes or the other Loan Documents.</w:t>
      </w:r>
    </w:p>
    <w:p>
      <w:pPr>
        <w:spacing w:after="0" w:line="136" w:lineRule="exact"/>
        <w:rPr>
          <w:sz w:val="20"/>
          <w:szCs w:val="20"/>
          <w:color w:val="auto"/>
        </w:rPr>
      </w:pPr>
    </w:p>
    <w:p>
      <w:pPr>
        <w:jc w:val="both"/>
        <w:ind w:firstLine="1109"/>
        <w:spacing w:after="0" w:line="252"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THE NOTES AND THE OTHER LOAN DOCUMENTS HAVE BEEN EXECUTED IN THE COMMONWEALTH OF PENNSYLVANIA AND SAID DOCUMENT AND THE RIGHTS AND OBLIGATIONS OF THE PARTIES UNDER THIS AGREEMENT, THE NOTES AND THE OTHER LOAN DOCUMENTS SHALL BE GOVERNED BY, AND CONSTRUED AND INTERPRETED IN ACCORDANCE WITH, THE LAW OF THE COMMONWEALTH OF PENNSYLVANIA.</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6" w:name="page137"/>
    <w:bookmarkEnd w:id="136"/>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The Borrower hereby irrevocably and unconditionally:</w:t>
      </w:r>
    </w:p>
    <w:p>
      <w:pPr>
        <w:spacing w:after="0" w:line="186" w:lineRule="exact"/>
        <w:rPr>
          <w:sz w:val="20"/>
          <w:szCs w:val="20"/>
          <w:color w:val="auto"/>
        </w:rPr>
      </w:pPr>
    </w:p>
    <w:p>
      <w:pPr>
        <w:jc w:val="both"/>
        <w:ind w:firstLine="1665"/>
        <w:spacing w:after="0" w:line="217" w:lineRule="exact"/>
        <w:tabs>
          <w:tab w:leader="none" w:pos="22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the Notes or the other Loan Documents, or for recognition and enforcement of any judgment in respect thereof,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general jurisdiction of the Courts of the Commonwealth of Pennsylvania located in Montgomery and Philadelphia Counties, the courts of the United States of America for the Eastern District of Pennsylvania, and appellate courts from any thereof;</w:t>
      </w:r>
    </w:p>
    <w:p>
      <w:pPr>
        <w:spacing w:after="0" w:line="153"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2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35" w:lineRule="exact"/>
        <w:rPr>
          <w:rFonts w:ascii="Times New Roman" w:cs="Times New Roman" w:eastAsia="Times New Roman" w:hAnsi="Times New Roman"/>
          <w:sz w:val="18"/>
          <w:szCs w:val="18"/>
          <w:color w:val="auto"/>
        </w:rPr>
      </w:pPr>
    </w:p>
    <w:p>
      <w:pPr>
        <w:jc w:val="both"/>
        <w:ind w:firstLine="1665"/>
        <w:spacing w:after="0" w:line="254" w:lineRule="auto"/>
        <w:tabs>
          <w:tab w:leader="none" w:pos="22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Borrower at the address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for the Borrower or at such other address of which the Agent shall have been notified pursuant thereto; and</w:t>
      </w:r>
    </w:p>
    <w:p>
      <w:pPr>
        <w:spacing w:after="0" w:line="140" w:lineRule="exact"/>
        <w:rPr>
          <w:rFonts w:ascii="Times New Roman" w:cs="Times New Roman" w:eastAsia="Times New Roman" w:hAnsi="Times New Roman"/>
          <w:sz w:val="18"/>
          <w:szCs w:val="18"/>
          <w:color w:val="auto"/>
        </w:rPr>
      </w:pPr>
    </w:p>
    <w:p>
      <w:pPr>
        <w:ind w:firstLine="1665"/>
        <w:spacing w:after="0" w:line="280" w:lineRule="auto"/>
        <w:tabs>
          <w:tab w:leader="none" w:pos="222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w:t>
      </w:r>
    </w:p>
    <w:p>
      <w:pPr>
        <w:spacing w:after="0" w:line="118"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The Borrower hereby acknowledges that:</w:t>
      </w:r>
    </w:p>
    <w:p>
      <w:pPr>
        <w:spacing w:after="0" w:line="186" w:lineRule="exact"/>
        <w:rPr>
          <w:sz w:val="20"/>
          <w:szCs w:val="20"/>
          <w:color w:val="auto"/>
        </w:rPr>
      </w:pPr>
    </w:p>
    <w:p>
      <w:pPr>
        <w:ind w:firstLine="1665"/>
        <w:spacing w:after="0" w:line="280" w:lineRule="auto"/>
        <w:tabs>
          <w:tab w:leader="none" w:pos="22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the Notes and the other Loan Documents;</w:t>
      </w:r>
    </w:p>
    <w:p>
      <w:pPr>
        <w:spacing w:after="0" w:line="117" w:lineRule="exact"/>
        <w:rPr>
          <w:rFonts w:ascii="Times New Roman" w:cs="Times New Roman" w:eastAsia="Times New Roman" w:hAnsi="Times New Roman"/>
          <w:sz w:val="18"/>
          <w:szCs w:val="18"/>
          <w:color w:val="auto"/>
        </w:rPr>
      </w:pPr>
    </w:p>
    <w:p>
      <w:pPr>
        <w:jc w:val="both"/>
        <w:ind w:firstLine="1665"/>
        <w:spacing w:after="0" w:line="260" w:lineRule="auto"/>
        <w:tabs>
          <w:tab w:leader="none" w:pos="222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any Bank has any fiduciary relationship to the Borrower, and the relationship between the Agent and the Banks, on one hand, and the Borrower, on the other hand, is solely that of debtor and creditor; and</w:t>
      </w:r>
    </w:p>
    <w:p>
      <w:pPr>
        <w:spacing w:after="0" w:line="135"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exists among the Banks or between the Borrower and the Banks.</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EACH OF THE BORROWER, THE AGENT AND THE BANKS HEREBY IRREVOCABLY AND UNCONDITIONALLY WAIVES TRIAL BY JURY IN ANY LEGAL ACTION OR PROCEEDING RELATING TO THIS AGREEMENT, THE NOTES OR THE OTHER LOAN DOCUMENTS AND FOR ANY COUNTERCLAIM THEREIN.</w:t>
      </w:r>
    </w:p>
    <w:p>
      <w:pPr>
        <w:spacing w:after="0" w:line="140"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Bank that is subject to the requirements of the USA Patriot Act hereby notifies the Borrower that pursuant to the requirements of the USA Patriot Act, it is required to obtain, verify and record information that identifies the Borrower, which information includes the name and address of the Borrower and other information that will allow such Bank to identify the Borrower in accordance with the USA Patriot Act.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7" w:name="page138"/>
    <w:bookmarkEnd w:id="137"/>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 xml:space="preserve">9.17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46" w:lineRule="exact"/>
        <w:rPr>
          <w:sz w:val="20"/>
          <w:szCs w:val="20"/>
          <w:color w:val="auto"/>
        </w:rPr>
      </w:pPr>
    </w:p>
    <w:p>
      <w:pPr>
        <w:jc w:val="both"/>
        <w:ind w:firstLine="1665"/>
        <w:spacing w:after="0" w:line="260" w:lineRule="auto"/>
        <w:tabs>
          <w:tab w:leader="none" w:pos="22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5" w:lineRule="exact"/>
        <w:rPr>
          <w:rFonts w:ascii="Times New Roman" w:cs="Times New Roman" w:eastAsia="Times New Roman" w:hAnsi="Times New Roman"/>
          <w:sz w:val="18"/>
          <w:szCs w:val="18"/>
          <w:color w:val="auto"/>
        </w:rPr>
      </w:pPr>
    </w:p>
    <w:p>
      <w:pPr>
        <w:ind w:left="2220" w:hanging="555"/>
        <w:spacing w:after="0"/>
        <w:tabs>
          <w:tab w:leader="none" w:pos="22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85" w:lineRule="exact"/>
        <w:rPr>
          <w:rFonts w:ascii="Times New Roman" w:cs="Times New Roman" w:eastAsia="Times New Roman" w:hAnsi="Times New Roman"/>
          <w:sz w:val="18"/>
          <w:szCs w:val="18"/>
          <w:color w:val="auto"/>
        </w:rPr>
      </w:pPr>
    </w:p>
    <w:p>
      <w:pPr>
        <w:ind w:left="2780" w:hanging="561"/>
        <w:spacing w:after="0"/>
        <w:tabs>
          <w:tab w:leader="none" w:pos="27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85" w:lineRule="exact"/>
        <w:rPr>
          <w:rFonts w:ascii="Times New Roman" w:cs="Times New Roman" w:eastAsia="Times New Roman" w:hAnsi="Times New Roman"/>
          <w:sz w:val="18"/>
          <w:szCs w:val="18"/>
          <w:color w:val="auto"/>
        </w:rPr>
      </w:pPr>
    </w:p>
    <w:p>
      <w:pPr>
        <w:jc w:val="both"/>
        <w:ind w:left="1120" w:firstLine="1099"/>
        <w:spacing w:after="0" w:line="250" w:lineRule="auto"/>
        <w:tabs>
          <w:tab w:leader="none" w:pos="282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6" w:lineRule="exact"/>
        <w:rPr>
          <w:rFonts w:ascii="Times New Roman" w:cs="Times New Roman" w:eastAsia="Times New Roman" w:hAnsi="Times New Roman"/>
          <w:sz w:val="18"/>
          <w:szCs w:val="18"/>
          <w:color w:val="auto"/>
        </w:rPr>
      </w:pPr>
    </w:p>
    <w:p>
      <w:pPr>
        <w:ind w:left="1120" w:firstLine="1099"/>
        <w:spacing w:after="0" w:line="280" w:lineRule="auto"/>
        <w:tabs>
          <w:tab w:leader="none" w:pos="284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18"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9.18 Acknowledgement Regarding Any Supported QFCs. To the extent that the Loan Documents provide support, through a guarantee or otherwise, for interest rate hedge agreements or contracts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Commonwealth of Pennsylvania and/or of the United States or any other state of the United States):</w:t>
      </w:r>
    </w:p>
    <w:p>
      <w:pPr>
        <w:spacing w:after="0" w:line="155" w:lineRule="exact"/>
        <w:rPr>
          <w:sz w:val="20"/>
          <w:szCs w:val="20"/>
          <w:color w:val="auto"/>
        </w:rPr>
      </w:pPr>
    </w:p>
    <w:p>
      <w:pPr>
        <w:jc w:val="both"/>
        <w:ind w:left="1120" w:firstLine="1099"/>
        <w:spacing w:after="0" w:line="250" w:lineRule="auto"/>
        <w:tabs>
          <w:tab w:leader="none" w:pos="27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8" w:name="page139"/>
    <w:bookmarkEnd w:id="138"/>
    <w:p>
      <w:pPr>
        <w:jc w:val="both"/>
        <w:ind w:left="1120"/>
        <w:spacing w:after="0" w:line="245" w:lineRule="auto"/>
        <w:rPr>
          <w:sz w:val="20"/>
          <w:szCs w:val="20"/>
          <w:color w:val="auto"/>
        </w:rPr>
      </w:pPr>
      <w:r>
        <w:rPr>
          <w:rFonts w:ascii="Times New Roman" w:cs="Times New Roman" w:eastAsia="Times New Roman" w:hAnsi="Times New Roman"/>
          <w:sz w:val="18"/>
          <w:szCs w:val="18"/>
          <w:color w:val="auto"/>
        </w:rPr>
        <w:t>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w:t>
      </w:r>
    </w:p>
    <w:p>
      <w:pPr>
        <w:spacing w:after="0" w:line="148" w:lineRule="exact"/>
        <w:rPr>
          <w:sz w:val="20"/>
          <w:szCs w:val="20"/>
          <w:color w:val="auto"/>
        </w:rPr>
      </w:pPr>
    </w:p>
    <w:p>
      <w:pPr>
        <w:ind w:left="2820" w:hanging="601"/>
        <w:spacing w:after="0"/>
        <w:tabs>
          <w:tab w:leader="none" w:pos="28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the following terms have the following meanings:</w:t>
      </w:r>
    </w:p>
    <w:p>
      <w:pPr>
        <w:spacing w:after="0" w:line="186" w:lineRule="exact"/>
        <w:rPr>
          <w:sz w:val="20"/>
          <w:szCs w:val="20"/>
          <w:color w:val="auto"/>
        </w:rPr>
      </w:pPr>
    </w:p>
    <w:p>
      <w:pPr>
        <w:ind w:left="1120" w:firstLine="554"/>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86" w:lineRule="exact"/>
        <w:rPr>
          <w:sz w:val="20"/>
          <w:szCs w:val="20"/>
          <w:color w:val="auto"/>
        </w:rPr>
      </w:pPr>
    </w:p>
    <w:p>
      <w:pPr>
        <w:ind w:left="2220" w:hanging="555"/>
        <w:spacing w:after="0"/>
        <w:tabs>
          <w:tab w:leader="none" w:pos="2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entity” as that term is defined in, and interpreted in accordance with, 12 C.F.R.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252.82(b);</w:t>
      </w:r>
    </w:p>
    <w:p>
      <w:pPr>
        <w:spacing w:after="0" w:line="166" w:lineRule="exact"/>
        <w:rPr>
          <w:sz w:val="20"/>
          <w:szCs w:val="20"/>
          <w:color w:val="auto"/>
        </w:rPr>
      </w:pPr>
    </w:p>
    <w:p>
      <w:pPr>
        <w:ind w:left="2220" w:hanging="555"/>
        <w:spacing w:after="0"/>
        <w:tabs>
          <w:tab w:leader="none" w:pos="22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bank” as that term is defined in, and interpreted in accordance with, 12 C.F.R.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47.3(b); or</w:t>
      </w:r>
    </w:p>
    <w:p>
      <w:pPr>
        <w:spacing w:after="0" w:line="166" w:lineRule="exact"/>
        <w:rPr>
          <w:sz w:val="20"/>
          <w:szCs w:val="20"/>
          <w:color w:val="auto"/>
        </w:rPr>
      </w:pPr>
    </w:p>
    <w:p>
      <w:pPr>
        <w:ind w:left="2220" w:hanging="555"/>
        <w:spacing w:after="0"/>
        <w:tabs>
          <w:tab w:leader="none" w:pos="22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382.2(b).</w:t>
      </w:r>
    </w:p>
    <w:p>
      <w:pPr>
        <w:spacing w:after="0" w:line="166" w:lineRule="exact"/>
        <w:rPr>
          <w:sz w:val="20"/>
          <w:szCs w:val="20"/>
          <w:color w:val="auto"/>
        </w:rPr>
      </w:pPr>
    </w:p>
    <w:p>
      <w:pPr>
        <w:ind w:left="1120" w:firstLine="554"/>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18" w:lineRule="exact"/>
        <w:rPr>
          <w:sz w:val="20"/>
          <w:szCs w:val="20"/>
          <w:color w:val="auto"/>
        </w:rPr>
      </w:pPr>
    </w:p>
    <w:p>
      <w:pPr>
        <w:ind w:left="1120" w:firstLine="554"/>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xml:space="preserve"> ” has the meaning assigned to the term “qualified financial contract” in, and shall be interpreted in accordance with, 12 U.S.C. 5390(c)(8)(D).</w:t>
      </w:r>
    </w:p>
    <w:p>
      <w:pPr>
        <w:spacing w:after="0" w:line="118"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 xml:space="preserve">9.19 </w:t>
      </w:r>
      <w:r>
        <w:rPr>
          <w:rFonts w:ascii="Times New Roman" w:cs="Times New Roman" w:eastAsia="Times New Roman" w:hAnsi="Times New Roman"/>
          <w:sz w:val="18"/>
          <w:szCs w:val="18"/>
          <w:u w:val="single" w:color="auto"/>
          <w:color w:val="auto"/>
        </w:rPr>
        <w:t>Mutual Negotiations</w:t>
      </w:r>
      <w:r>
        <w:rPr>
          <w:rFonts w:ascii="Times New Roman" w:cs="Times New Roman" w:eastAsia="Times New Roman" w:hAnsi="Times New Roman"/>
          <w:sz w:val="18"/>
          <w:szCs w:val="18"/>
          <w:color w:val="auto"/>
        </w:rPr>
        <w:t>. This Agreement and the other Loan Documents are the product of mutual negotiations by the parties thereto and their counsel, and no party shall be deemed the draftsperson of this Agreement or any other Loan Document or any provision hereof or thereof or to have provided the same. Accordingly, in the event of any inconsistency or ambiguity of any provision of this Agreement or any other Loan Document, such inconsistency or ambiguity shall not be interpreted against any party because of such party’s involvement in the drafting thereof.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39" w:name="page140"/>
    <w:bookmarkEnd w:id="139"/>
    <w:p>
      <w:pPr>
        <w:ind w:firstLine="554"/>
        <w:spacing w:after="0" w:line="280"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00" w:type="dxa"/>
        <w:tblCellMar>
          <w:top w:w="0" w:type="dxa"/>
          <w:left w:w="0" w:type="dxa"/>
          <w:bottom w:w="0" w:type="dxa"/>
          <w:right w:w="0" w:type="dxa"/>
        </w:tblCellMar>
      </w:tblPr>
      <w:tr>
        <w:trPr>
          <w:trHeight w:val="245"/>
        </w:trPr>
        <w:tc>
          <w:tcPr>
            <w:tcW w:w="2200" w:type="dxa"/>
            <w:vAlign w:val="bottom"/>
          </w:tcPr>
          <w:p>
            <w:pPr>
              <w:spacing w:after="0"/>
              <w:rPr>
                <w:sz w:val="21"/>
                <w:szCs w:val="21"/>
                <w:color w:val="auto"/>
              </w:rPr>
            </w:pPr>
          </w:p>
        </w:tc>
        <w:tc>
          <w:tcPr>
            <w:tcW w:w="57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AQUA PENNSYLVANIA, INC.</w:t>
            </w:r>
          </w:p>
        </w:tc>
        <w:tc>
          <w:tcPr>
            <w:tcW w:w="880" w:type="dxa"/>
            <w:vAlign w:val="bottom"/>
          </w:tcPr>
          <w:p>
            <w:pPr>
              <w:spacing w:after="0"/>
              <w:rPr>
                <w:sz w:val="21"/>
                <w:szCs w:val="21"/>
                <w:color w:val="auto"/>
              </w:rPr>
            </w:pPr>
          </w:p>
        </w:tc>
      </w:tr>
      <w:tr>
        <w:trPr>
          <w:trHeight w:val="545"/>
        </w:trPr>
        <w:tc>
          <w:tcPr>
            <w:tcW w:w="2200" w:type="dxa"/>
            <w:vAlign w:val="bottom"/>
          </w:tcPr>
          <w:p>
            <w:pPr>
              <w:spacing w:after="0"/>
              <w:rPr>
                <w:sz w:val="24"/>
                <w:szCs w:val="24"/>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By:/s/</w:t>
            </w: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Brian</w:t>
            </w:r>
          </w:p>
        </w:tc>
      </w:tr>
      <w:tr>
        <w:trPr>
          <w:trHeight w:val="208"/>
        </w:trPr>
        <w:tc>
          <w:tcPr>
            <w:tcW w:w="2200" w:type="dxa"/>
            <w:vAlign w:val="bottom"/>
          </w:tcPr>
          <w:p>
            <w:pPr>
              <w:spacing w:after="0"/>
              <w:rPr>
                <w:sz w:val="18"/>
                <w:szCs w:val="18"/>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Dingerdissen</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2200" w:type="dxa"/>
            <w:vAlign w:val="bottom"/>
          </w:tcPr>
          <w:p>
            <w:pPr>
              <w:spacing w:after="0"/>
              <w:rPr>
                <w:sz w:val="18"/>
                <w:szCs w:val="18"/>
                <w:color w:val="auto"/>
              </w:rPr>
            </w:pPr>
          </w:p>
        </w:tc>
        <w:tc>
          <w:tcPr>
            <w:tcW w:w="5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Name: Brian Dingerdissen</w:t>
            </w:r>
          </w:p>
        </w:tc>
        <w:tc>
          <w:tcPr>
            <w:tcW w:w="880" w:type="dxa"/>
            <w:vAlign w:val="bottom"/>
          </w:tcPr>
          <w:p>
            <w:pPr>
              <w:spacing w:after="0"/>
              <w:rPr>
                <w:sz w:val="18"/>
                <w:szCs w:val="18"/>
                <w:color w:val="auto"/>
              </w:rPr>
            </w:pPr>
          </w:p>
        </w:tc>
      </w:tr>
      <w:tr>
        <w:trPr>
          <w:trHeight w:val="208"/>
        </w:trPr>
        <w:tc>
          <w:tcPr>
            <w:tcW w:w="2200" w:type="dxa"/>
            <w:vAlign w:val="bottom"/>
          </w:tcPr>
          <w:p>
            <w:pPr>
              <w:spacing w:after="0"/>
              <w:rPr>
                <w:sz w:val="18"/>
                <w:szCs w:val="18"/>
                <w:color w:val="auto"/>
              </w:rPr>
            </w:pPr>
          </w:p>
        </w:tc>
        <w:tc>
          <w:tcPr>
            <w:tcW w:w="664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Title: Vice President Financial Planning &amp; Analysis and</w:t>
            </w:r>
          </w:p>
        </w:tc>
      </w:tr>
      <w:tr>
        <w:trPr>
          <w:trHeight w:val="241"/>
        </w:trPr>
        <w:tc>
          <w:tcPr>
            <w:tcW w:w="2200" w:type="dxa"/>
            <w:vAlign w:val="bottom"/>
          </w:tcPr>
          <w:p>
            <w:pPr>
              <w:spacing w:after="0"/>
              <w:rPr>
                <w:sz w:val="20"/>
                <w:szCs w:val="20"/>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Treasurer</w:t>
            </w: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45"/>
        </w:trPr>
        <w:tc>
          <w:tcPr>
            <w:tcW w:w="2200" w:type="dxa"/>
            <w:vAlign w:val="bottom"/>
          </w:tcPr>
          <w:p>
            <w:pPr>
              <w:spacing w:after="0"/>
              <w:rPr>
                <w:sz w:val="24"/>
                <w:szCs w:val="24"/>
                <w:color w:val="auto"/>
              </w:rPr>
            </w:pPr>
          </w:p>
        </w:tc>
        <w:tc>
          <w:tcPr>
            <w:tcW w:w="57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r>
      <w:tr>
        <w:trPr>
          <w:trHeight w:val="241"/>
        </w:trPr>
        <w:tc>
          <w:tcPr>
            <w:tcW w:w="2200" w:type="dxa"/>
            <w:vAlign w:val="bottom"/>
          </w:tcPr>
          <w:p>
            <w:pPr>
              <w:spacing w:after="0"/>
              <w:rPr>
                <w:sz w:val="20"/>
                <w:szCs w:val="20"/>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as Agent and as a Bank</w:t>
            </w: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45"/>
        </w:trPr>
        <w:tc>
          <w:tcPr>
            <w:tcW w:w="2200" w:type="dxa"/>
            <w:vAlign w:val="bottom"/>
          </w:tcPr>
          <w:p>
            <w:pPr>
              <w:spacing w:after="0"/>
              <w:rPr>
                <w:sz w:val="24"/>
                <w:szCs w:val="24"/>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Domenic</w:t>
            </w:r>
          </w:p>
        </w:tc>
      </w:tr>
      <w:tr>
        <w:trPr>
          <w:trHeight w:val="208"/>
        </w:trPr>
        <w:tc>
          <w:tcPr>
            <w:tcW w:w="2200" w:type="dxa"/>
            <w:vAlign w:val="bottom"/>
          </w:tcPr>
          <w:p>
            <w:pPr>
              <w:spacing w:after="0"/>
              <w:rPr>
                <w:sz w:val="18"/>
                <w:szCs w:val="18"/>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D’Ginto</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2200" w:type="dxa"/>
            <w:vAlign w:val="bottom"/>
          </w:tcPr>
          <w:p>
            <w:pPr>
              <w:spacing w:after="0"/>
              <w:rPr>
                <w:sz w:val="18"/>
                <w:szCs w:val="18"/>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 Domenic D’Ginto</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2200" w:type="dxa"/>
            <w:vAlign w:val="bottom"/>
          </w:tcPr>
          <w:p>
            <w:pPr>
              <w:spacing w:after="0"/>
              <w:rPr>
                <w:sz w:val="20"/>
                <w:szCs w:val="20"/>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 Managing Director</w:t>
            </w: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8"/>
        </w:trPr>
        <w:tc>
          <w:tcPr>
            <w:tcW w:w="2200" w:type="dxa"/>
            <w:vAlign w:val="bottom"/>
          </w:tcPr>
          <w:p>
            <w:pPr>
              <w:spacing w:after="0"/>
              <w:rPr>
                <w:sz w:val="24"/>
                <w:szCs w:val="24"/>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CITIZENS BANK, N.A.</w:t>
            </w:r>
          </w:p>
        </w:tc>
        <w:tc>
          <w:tcPr>
            <w:tcW w:w="1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45"/>
        </w:trPr>
        <w:tc>
          <w:tcPr>
            <w:tcW w:w="2200" w:type="dxa"/>
            <w:vAlign w:val="bottom"/>
          </w:tcPr>
          <w:p>
            <w:pPr>
              <w:spacing w:after="0"/>
              <w:rPr>
                <w:sz w:val="24"/>
                <w:szCs w:val="24"/>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By:/s/</w:t>
            </w: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Timothy</w:t>
            </w:r>
          </w:p>
        </w:tc>
      </w:tr>
      <w:tr>
        <w:trPr>
          <w:trHeight w:val="208"/>
        </w:trPr>
        <w:tc>
          <w:tcPr>
            <w:tcW w:w="2200" w:type="dxa"/>
            <w:vAlign w:val="bottom"/>
          </w:tcPr>
          <w:p>
            <w:pPr>
              <w:spacing w:after="0"/>
              <w:rPr>
                <w:sz w:val="18"/>
                <w:szCs w:val="18"/>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Whalen</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2200" w:type="dxa"/>
            <w:vAlign w:val="bottom"/>
          </w:tcPr>
          <w:p>
            <w:pPr>
              <w:spacing w:after="0"/>
              <w:rPr>
                <w:sz w:val="18"/>
                <w:szCs w:val="18"/>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 Timothy Whalen</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2200" w:type="dxa"/>
            <w:vAlign w:val="bottom"/>
          </w:tcPr>
          <w:p>
            <w:pPr>
              <w:spacing w:after="0"/>
              <w:rPr>
                <w:sz w:val="20"/>
                <w:szCs w:val="20"/>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 Vice President</w:t>
            </w: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8"/>
        </w:trPr>
        <w:tc>
          <w:tcPr>
            <w:tcW w:w="2200" w:type="dxa"/>
            <w:vAlign w:val="bottom"/>
          </w:tcPr>
          <w:p>
            <w:pPr>
              <w:spacing w:after="0"/>
              <w:rPr>
                <w:sz w:val="24"/>
                <w:szCs w:val="24"/>
                <w:color w:val="auto"/>
              </w:rPr>
            </w:pPr>
          </w:p>
        </w:tc>
        <w:tc>
          <w:tcPr>
            <w:tcW w:w="57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THE HUNTINGTON NATIONAL BANK</w:t>
            </w:r>
          </w:p>
        </w:tc>
        <w:tc>
          <w:tcPr>
            <w:tcW w:w="880" w:type="dxa"/>
            <w:vAlign w:val="bottom"/>
          </w:tcPr>
          <w:p>
            <w:pPr>
              <w:spacing w:after="0"/>
              <w:rPr>
                <w:sz w:val="24"/>
                <w:szCs w:val="24"/>
                <w:color w:val="auto"/>
              </w:rPr>
            </w:pPr>
          </w:p>
        </w:tc>
      </w:tr>
      <w:tr>
        <w:trPr>
          <w:trHeight w:val="545"/>
        </w:trPr>
        <w:tc>
          <w:tcPr>
            <w:tcW w:w="2200" w:type="dxa"/>
            <w:vAlign w:val="bottom"/>
          </w:tcPr>
          <w:p>
            <w:pPr>
              <w:spacing w:after="0"/>
              <w:rPr>
                <w:sz w:val="24"/>
                <w:szCs w:val="24"/>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By:/s/</w:t>
            </w: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Nolan</w:t>
            </w:r>
          </w:p>
        </w:tc>
      </w:tr>
      <w:tr>
        <w:trPr>
          <w:trHeight w:val="208"/>
        </w:trPr>
        <w:tc>
          <w:tcPr>
            <w:tcW w:w="2200" w:type="dxa"/>
            <w:vAlign w:val="bottom"/>
          </w:tcPr>
          <w:p>
            <w:pPr>
              <w:spacing w:after="0"/>
              <w:rPr>
                <w:sz w:val="18"/>
                <w:szCs w:val="18"/>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Woodbury</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2200" w:type="dxa"/>
            <w:vAlign w:val="bottom"/>
          </w:tcPr>
          <w:p>
            <w:pPr>
              <w:spacing w:after="0"/>
              <w:rPr>
                <w:sz w:val="18"/>
                <w:szCs w:val="18"/>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 Nolan Woodbury</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2200" w:type="dxa"/>
            <w:vAlign w:val="bottom"/>
          </w:tcPr>
          <w:p>
            <w:pPr>
              <w:spacing w:after="0"/>
              <w:rPr>
                <w:sz w:val="20"/>
                <w:szCs w:val="20"/>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 Associate Director</w:t>
            </w: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color w:val="auto"/>
        </w:rPr>
        <w:t>NG-58S8J20W #4917-6479-2381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51435</wp:posOffset>
            </wp:positionV>
            <wp:extent cx="5783580" cy="47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40" w:name="page141"/>
    <w:bookmarkEnd w:id="140"/>
    <w:tbl>
      <w:tblPr>
        <w:tblLayout w:type="fixed"/>
        <w:tblInd w:w="80" w:type="dxa"/>
        <w:tblCellMar>
          <w:top w:w="0" w:type="dxa"/>
          <w:left w:w="0" w:type="dxa"/>
          <w:bottom w:w="0" w:type="dxa"/>
          <w:right w:w="0" w:type="dxa"/>
        </w:tblCellMar>
      </w:tblPr>
      <w:tr>
        <w:trPr>
          <w:trHeight w:val="241"/>
        </w:trPr>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gridSpan w:val="3"/>
          </w:tcPr>
          <w:p>
            <w:pPr>
              <w:jc w:val="center"/>
              <w:ind w:left="8"/>
              <w:spacing w:after="0"/>
              <w:rPr>
                <w:sz w:val="20"/>
                <w:szCs w:val="20"/>
                <w:color w:val="auto"/>
              </w:rPr>
            </w:pPr>
            <w:r>
              <w:rPr>
                <w:rFonts w:ascii="Times New Roman" w:cs="Times New Roman" w:eastAsia="Times New Roman" w:hAnsi="Times New Roman"/>
                <w:sz w:val="18"/>
                <w:szCs w:val="18"/>
                <w:color w:val="auto"/>
              </w:rPr>
              <w:t>Schedule I</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3"/>
        </w:trPr>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gridSpan w:val="3"/>
          </w:tcPr>
          <w:p>
            <w:pPr>
              <w:jc w:val="center"/>
              <w:ind w:left="8"/>
              <w:spacing w:after="0"/>
              <w:rPr>
                <w:sz w:val="20"/>
                <w:szCs w:val="20"/>
                <w:color w:val="auto"/>
              </w:rPr>
            </w:pPr>
            <w:r>
              <w:rPr>
                <w:rFonts w:ascii="Times New Roman" w:cs="Times New Roman" w:eastAsia="Times New Roman" w:hAnsi="Times New Roman"/>
                <w:sz w:val="18"/>
                <w:szCs w:val="18"/>
                <w:color w:val="auto"/>
              </w:rPr>
              <w:t>Bank and Commitment Information</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26"/>
        </w:trPr>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Swing Line</w:t>
            </w:r>
          </w:p>
        </w:tc>
      </w:tr>
      <w:tr>
        <w:trPr>
          <w:trHeight w:val="196"/>
        </w:trPr>
        <w:tc>
          <w:tcPr>
            <w:tcW w:w="158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Bank</w:t>
            </w: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0" w:type="dxa"/>
            <w:vAlign w:val="bottom"/>
            <w:gridSpan w:val="2"/>
          </w:tcPr>
          <w:p>
            <w:pPr>
              <w:jc w:val="center"/>
              <w:ind w:right="820"/>
              <w:spacing w:after="0" w:line="196" w:lineRule="exact"/>
              <w:rPr>
                <w:sz w:val="20"/>
                <w:szCs w:val="20"/>
                <w:color w:val="auto"/>
              </w:rPr>
            </w:pPr>
            <w:r>
              <w:rPr>
                <w:rFonts w:ascii="Times New Roman" w:cs="Times New Roman" w:eastAsia="Times New Roman" w:hAnsi="Times New Roman"/>
                <w:sz w:val="18"/>
                <w:szCs w:val="18"/>
                <w:color w:val="auto"/>
              </w:rPr>
              <w:t>Commitment</w:t>
            </w:r>
          </w:p>
        </w:tc>
        <w:tc>
          <w:tcPr>
            <w:tcW w:w="1220" w:type="dxa"/>
            <w:vAlign w:val="bottom"/>
            <w:gridSpan w:val="2"/>
          </w:tcPr>
          <w:p>
            <w:pPr>
              <w:jc w:val="center"/>
              <w:ind w:left="148"/>
              <w:spacing w:after="0" w:line="196" w:lineRule="exact"/>
              <w:rPr>
                <w:sz w:val="20"/>
                <w:szCs w:val="20"/>
                <w:color w:val="auto"/>
              </w:rPr>
            </w:pPr>
            <w:r>
              <w:rPr>
                <w:rFonts w:ascii="Times New Roman" w:cs="Times New Roman" w:eastAsia="Times New Roman" w:hAnsi="Times New Roman"/>
                <w:sz w:val="18"/>
                <w:szCs w:val="18"/>
                <w:color w:val="auto"/>
              </w:rPr>
              <w:t>Commitment</w:t>
            </w:r>
          </w:p>
        </w:tc>
      </w:tr>
      <w:tr>
        <w:trPr>
          <w:trHeight w:val="20"/>
        </w:trPr>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384"/>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2380" w:type="dxa"/>
            <w:vAlign w:val="bottom"/>
            <w:gridSpan w:val="2"/>
          </w:tcPr>
          <w:p>
            <w:pPr>
              <w:jc w:val="center"/>
              <w:ind w:left="1328"/>
              <w:spacing w:after="0"/>
              <w:rPr>
                <w:sz w:val="20"/>
                <w:szCs w:val="20"/>
                <w:color w:val="auto"/>
              </w:rPr>
            </w:pPr>
            <w:r>
              <w:rPr>
                <w:rFonts w:ascii="Times New Roman" w:cs="Times New Roman" w:eastAsia="Times New Roman" w:hAnsi="Times New Roman"/>
                <w:sz w:val="18"/>
                <w:szCs w:val="18"/>
                <w:color w:val="auto"/>
              </w:rPr>
              <w:t>$50,000,000</w:t>
            </w:r>
          </w:p>
        </w:tc>
        <w:tc>
          <w:tcPr>
            <w:tcW w:w="820" w:type="dxa"/>
            <w:vAlign w:val="bottom"/>
          </w:tcPr>
          <w:p>
            <w:pPr>
              <w:spacing w:after="0"/>
              <w:rPr>
                <w:sz w:val="24"/>
                <w:szCs w:val="24"/>
                <w:color w:val="auto"/>
              </w:rPr>
            </w:pPr>
          </w:p>
        </w:tc>
        <w:tc>
          <w:tcPr>
            <w:tcW w:w="1220" w:type="dxa"/>
            <w:vAlign w:val="bottom"/>
            <w:gridSpan w:val="2"/>
          </w:tcPr>
          <w:p>
            <w:pPr>
              <w:jc w:val="center"/>
              <w:ind w:left="128"/>
              <w:spacing w:after="0"/>
              <w:rPr>
                <w:sz w:val="20"/>
                <w:szCs w:val="20"/>
                <w:color w:val="auto"/>
              </w:rPr>
            </w:pPr>
            <w:r>
              <w:rPr>
                <w:rFonts w:ascii="Times New Roman" w:cs="Times New Roman" w:eastAsia="Times New Roman" w:hAnsi="Times New Roman"/>
                <w:sz w:val="18"/>
                <w:szCs w:val="18"/>
                <w:color w:val="auto"/>
              </w:rPr>
              <w:t>$10,000,000</w:t>
            </w:r>
          </w:p>
        </w:tc>
      </w:tr>
      <w:tr>
        <w:trPr>
          <w:trHeight w:val="20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1000 Westlakes Drive</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Suite 300</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Berwyn, PA 19312</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Attention: Domenic D’Ginto</w:t>
            </w: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0"/>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2380" w:type="dxa"/>
            <w:vAlign w:val="bottom"/>
            <w:gridSpan w:val="2"/>
          </w:tcPr>
          <w:p>
            <w:pPr>
              <w:jc w:val="center"/>
              <w:ind w:left="1328"/>
              <w:spacing w:after="0"/>
              <w:rPr>
                <w:sz w:val="20"/>
                <w:szCs w:val="20"/>
                <w:color w:val="auto"/>
              </w:rPr>
            </w:pPr>
            <w:r>
              <w:rPr>
                <w:rFonts w:ascii="Times New Roman" w:cs="Times New Roman" w:eastAsia="Times New Roman" w:hAnsi="Times New Roman"/>
                <w:sz w:val="18"/>
                <w:szCs w:val="18"/>
                <w:color w:val="auto"/>
              </w:rPr>
              <w:t>$25,000,000</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0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610 W. Germantown Avenue</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Plymouth Meeting, PA 19462</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Attention: Leslie Broderick</w:t>
            </w: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1"/>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Huntington National Bank</w:t>
            </w:r>
          </w:p>
        </w:tc>
        <w:tc>
          <w:tcPr>
            <w:tcW w:w="2380" w:type="dxa"/>
            <w:vAlign w:val="bottom"/>
            <w:gridSpan w:val="2"/>
          </w:tcPr>
          <w:p>
            <w:pPr>
              <w:jc w:val="center"/>
              <w:ind w:left="1328"/>
              <w:spacing w:after="0"/>
              <w:rPr>
                <w:sz w:val="20"/>
                <w:szCs w:val="20"/>
                <w:color w:val="auto"/>
              </w:rPr>
            </w:pPr>
            <w:r>
              <w:rPr>
                <w:rFonts w:ascii="Times New Roman" w:cs="Times New Roman" w:eastAsia="Times New Roman" w:hAnsi="Times New Roman"/>
                <w:sz w:val="18"/>
                <w:szCs w:val="18"/>
                <w:color w:val="auto"/>
              </w:rPr>
              <w:t>$25,000,000</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0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310 Grant Street, 2nd Floor</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Pittsburgh PA 15219</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Attention: Chris Olsen</w:t>
            </w: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color w:val="auto"/>
        </w:rPr>
        <w:t>Schedule 3.6</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Existing Litigation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24" w:right="144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color w:val="auto"/>
        </w:rPr>
        <w:t>Schedule 3.11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Regulatory Approvals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24" w:right="1440"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color w:val="auto"/>
        </w:rPr>
        <w:t>Schedule 3.13</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Environmental Matters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8"/>
          <w:szCs w:val="18"/>
          <w:color w:val="auto"/>
        </w:rPr>
        <w:t>Schedule 3.19</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Interests in Partnerships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24" w:right="1440" w:bottom="1440" w:gutter="0" w:footer="0" w:header="0"/>
        </w:sectPr>
      </w:pPr>
    </w:p>
    <w:bookmarkStart w:id="145" w:name="page146"/>
    <w:bookmarkEnd w:id="145"/>
    <w:p>
      <w:pPr>
        <w:ind w:left="4039"/>
        <w:spacing w:after="0"/>
        <w:rPr>
          <w:sz w:val="20"/>
          <w:szCs w:val="20"/>
          <w:color w:val="auto"/>
        </w:rPr>
      </w:pPr>
      <w:r>
        <w:rPr>
          <w:rFonts w:ascii="Times New Roman" w:cs="Times New Roman" w:eastAsia="Times New Roman" w:hAnsi="Times New Roman"/>
          <w:sz w:val="18"/>
          <w:szCs w:val="18"/>
          <w:color w:val="auto"/>
        </w:rPr>
        <w:t>Schedule 6.3</w:t>
      </w:r>
    </w:p>
    <w:p>
      <w:pPr>
        <w:spacing w:after="0" w:line="186" w:lineRule="exact"/>
        <w:rPr>
          <w:sz w:val="20"/>
          <w:szCs w:val="20"/>
          <w:color w:val="auto"/>
        </w:rPr>
      </w:pPr>
    </w:p>
    <w:p>
      <w:pPr>
        <w:ind w:left="3979"/>
        <w:spacing w:after="0"/>
        <w:rPr>
          <w:sz w:val="20"/>
          <w:szCs w:val="20"/>
          <w:color w:val="auto"/>
        </w:rPr>
      </w:pPr>
      <w:r>
        <w:rPr>
          <w:rFonts w:ascii="Times New Roman" w:cs="Times New Roman" w:eastAsia="Times New Roman" w:hAnsi="Times New Roman"/>
          <w:sz w:val="18"/>
          <w:szCs w:val="18"/>
          <w:color w:val="auto"/>
        </w:rPr>
        <w:t>Existing Liens</w:t>
      </w:r>
    </w:p>
    <w:p>
      <w:pPr>
        <w:spacing w:after="0" w:line="186" w:lineRule="exact"/>
        <w:rPr>
          <w:sz w:val="20"/>
          <w:szCs w:val="20"/>
          <w:color w:val="auto"/>
        </w:rPr>
      </w:pPr>
    </w:p>
    <w:p>
      <w:pPr>
        <w:ind w:left="559" w:right="2039" w:hanging="559"/>
        <w:spacing w:after="0" w:line="260" w:lineRule="auto"/>
        <w:tabs>
          <w:tab w:leader="none" w:pos="7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of Mortgage dated as of January 1, 1941 from the Borrower to the Bank of New York Mellon Trust Company, N.A., as current trustee thereunder, as amended and supplemented.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Schedule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5783580" cy="476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8"/>
          </w:cols>
          <w:pgMar w:left="1421" w:top="324" w:right="1440" w:bottom="1440" w:gutter="0" w:footer="0" w:header="0"/>
        </w:sectPr>
      </w:pPr>
    </w:p>
    <w:bookmarkStart w:id="146" w:name="page147"/>
    <w:bookmarkEnd w:id="146"/>
    <w:p>
      <w:pPr>
        <w:ind w:left="4060"/>
        <w:spacing w:after="0"/>
        <w:rPr>
          <w:sz w:val="20"/>
          <w:szCs w:val="20"/>
          <w:color w:val="auto"/>
        </w:rPr>
      </w:pPr>
      <w:r>
        <w:rPr>
          <w:rFonts w:ascii="Times New Roman" w:cs="Times New Roman" w:eastAsia="Times New Roman" w:hAnsi="Times New Roman"/>
          <w:sz w:val="18"/>
          <w:szCs w:val="18"/>
          <w:color w:val="auto"/>
        </w:rPr>
        <w:t>EXHIBIT A</w:t>
      </w:r>
    </w:p>
    <w:p>
      <w:pPr>
        <w:spacing w:after="0" w:line="18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BORROWING REQUEST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Agent for the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Banks referred to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Agency 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PNC Plaza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249 Fifth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9"/>
          <w:szCs w:val="9"/>
          <w:color w:val="auto"/>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Agency Services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86"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The undersigned, Aqua Pennsylvania, Inc. (the “Borrower”), refers to the Amended and Restated Credit Agreement dated as of June 3, 2025 (as amended, modified, extended or restated from time to time, the “Agreement”), among the Borrower, the Banks party thereto and PNC Bank, National Association as Agent. Capitalized terms used herein and not otherwise defined herein shall have the meanings assigned to such terms in the Agreement. The Borrower hereby gives you notice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Agreement that it requests a Borrowing under the Agreement, and in that connection sets forth below the terms on which such Borrowing is requested to be made:</w:t>
      </w:r>
    </w:p>
    <w:p>
      <w:pPr>
        <w:spacing w:after="0" w:line="195" w:lineRule="exact"/>
        <w:rPr>
          <w:sz w:val="20"/>
          <w:szCs w:val="20"/>
          <w:color w:val="auto"/>
        </w:rPr>
      </w:pPr>
    </w:p>
    <w:p>
      <w:pPr>
        <w:ind w:left="920" w:right="6200" w:hanging="815"/>
        <w:spacing w:after="0" w:line="280" w:lineRule="auto"/>
        <w:tabs>
          <w:tab w:leader="none" w:pos="9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Borrowing (which is a Business Day)</w:t>
      </w:r>
    </w:p>
    <w:p>
      <w:pPr>
        <w:sectPr>
          <w:pgSz w:w="11900" w:h="16838" w:orient="portrait"/>
          <w:cols w:equalWidth="0" w:num="1">
            <w:col w:w="9040"/>
          </w:cols>
          <w:pgMar w:left="1420" w:top="324" w:right="1439" w:bottom="1440" w:gutter="0" w:footer="0" w:header="0"/>
        </w:sectPr>
      </w:pPr>
    </w:p>
    <w:p>
      <w:pPr>
        <w:spacing w:after="0" w:line="141" w:lineRule="exact"/>
        <w:rPr>
          <w:sz w:val="20"/>
          <w:szCs w:val="20"/>
          <w:color w:val="auto"/>
        </w:rPr>
      </w:pPr>
    </w:p>
    <w:p>
      <w:pPr>
        <w:ind w:left="920" w:right="520" w:hanging="819"/>
        <w:spacing w:after="0" w:line="260" w:lineRule="auto"/>
        <w:tabs>
          <w:tab w:leader="none" w:pos="9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xml:space="preserve">Principal Amount of Borrowing </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2" w:lineRule="exact"/>
        <w:rPr>
          <w:sz w:val="20"/>
          <w:szCs w:val="20"/>
          <w:color w:val="auto"/>
        </w:rPr>
      </w:pPr>
    </w:p>
    <w:p>
      <w:pPr>
        <w:sectPr>
          <w:pgSz w:w="11900" w:h="16838" w:orient="portrait"/>
          <w:cols w:equalWidth="0" w:num="2">
            <w:col w:w="2960" w:space="720"/>
            <w:col w:w="5360"/>
          </w:cols>
          <w:pgMar w:left="1420" w:top="324" w:right="1439" w:bottom="1440" w:gutter="0" w:footer="0" w:header="0"/>
          <w:type w:val="continuous"/>
        </w:sectPr>
      </w:pPr>
    </w:p>
    <w:p>
      <w:pPr>
        <w:ind w:left="920" w:hanging="815"/>
        <w:spacing w:after="0" w:line="226" w:lineRule="auto"/>
        <w:tabs>
          <w:tab w:leader="none" w:pos="9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rate basis </w:t>
      </w:r>
      <w:r>
        <w:rPr>
          <w:rFonts w:ascii="Times New Roman" w:cs="Times New Roman" w:eastAsia="Times New Roman" w:hAnsi="Times New Roman"/>
          <w:sz w:val="9"/>
          <w:szCs w:val="9"/>
          <w:color w:val="auto"/>
        </w:rPr>
        <w:t>2</w:t>
      </w:r>
    </w:p>
    <w:p>
      <w:pPr>
        <w:ind w:left="920" w:right="6460" w:hanging="815"/>
        <w:spacing w:after="0" w:line="256" w:lineRule="auto"/>
        <w:tabs>
          <w:tab w:leader="none" w:pos="9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and the last day thereof</w:t>
      </w:r>
    </w:p>
    <w:p>
      <w:pPr>
        <w:spacing w:after="0" w:line="370"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Upon acceptance of any or all of the Revolving Credit Loans made by the Banks in response to this request, the Borrower shall be deemed to have represented and warranted that the conditions to lending specified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Agreement have been satisfied.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type w:val="continuous"/>
        </w:sectPr>
      </w:pPr>
    </w:p>
    <w:bookmarkStart w:id="147" w:name="page148"/>
    <w:bookmarkEnd w:id="147"/>
    <w:p>
      <w:pPr>
        <w:ind w:left="38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00" w:lineRule="exact"/>
        <w:rPr>
          <w:sz w:val="20"/>
          <w:szCs w:val="20"/>
          <w:color w:val="auto"/>
        </w:rPr>
      </w:pPr>
    </w:p>
    <w:p>
      <w:pPr>
        <w:spacing w:after="0" w:line="21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Title: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5"/>
          <w:szCs w:val="15"/>
          <w:color w:val="auto"/>
        </w:rPr>
        <w:t>Not less than $500,000 or a whole multiple of $100,000 in excess thereof for a Term SOFR Rate Borrowing nor less than $250,000 or a whole multiple of $50,000 in excess thereof for a Base Rate Borrowing.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5"/>
          <w:szCs w:val="15"/>
          <w:color w:val="auto"/>
        </w:rPr>
        <w:t>Term SOFR Rate Loan or Base Rate Loan.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color w:val="auto"/>
        </w:rPr>
        <w:t>EXHIBIT B-1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w:t>
      </w:r>
    </w:p>
    <w:p>
      <w:pPr>
        <w:sectPr>
          <w:pgSz w:w="11900" w:h="16838" w:orient="portrait"/>
          <w:cols w:equalWidth="0" w:num="1">
            <w:col w:w="9040"/>
          </w:cols>
          <w:pgMar w:left="1420" w:top="324"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6080" w:space="720"/>
            <w:col w:w="2240"/>
          </w:cols>
          <w:pgMar w:left="1420" w:top="324" w:right="1439" w:bottom="1440" w:gutter="0" w:footer="0" w:header="0"/>
          <w:type w:val="continuous"/>
        </w:sectPr>
      </w:pPr>
    </w:p>
    <w:p>
      <w:pPr>
        <w:spacing w:after="0" w:line="35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FOR VALUE RECEIVED, the undersigned, AQUA PENNSYLVANIA,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promises to pay to the order of ___________________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at the office of PNC Bank, National Association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at 1600 Market Street, Philadelphia, PA 19103, on the Termination Date, the lesser of the principal sum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___________ Dollars ($__________) and the aggregate unpaid principal amount of all Loans made by the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Bank to the Borrower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Amended and Restated Credit Agreement dated as of June 3, 2025, among the Borrower, the Banks party thereto and the Agent (as amended, modified, extended or restated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lawful money of the United States of America in same day funds, and to pay interest from the date hereof on such principal amount from time to time outstanding, in like funds, at said office, at a rate or rates per annum and payable on the dates determined pursuant to the Agreement.</w:t>
      </w:r>
    </w:p>
    <w:p>
      <w:pPr>
        <w:spacing w:after="0" w:line="148"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The Borrower promises to pay interest, on demand, on any overdue principal and, to the extent permitted by law, overdue interest from their due dates at the rate or rates determined as set forth in the Agreement.</w:t>
      </w:r>
    </w:p>
    <w:p>
      <w:pPr>
        <w:spacing w:after="0" w:line="118"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The Borrower hereby waives diligence, presentment, demand, protest and notice of any kind whatsoever. The nonexercise by the holder of any of its rights hereunder in any particular instance shall not constitute a waiver thereof in that or any subsequent instance.</w:t>
      </w:r>
    </w:p>
    <w:p>
      <w:pPr>
        <w:spacing w:after="0" w:line="136"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All borrowings evidenced by this Note and all payments and prepayments of the principal hereof and interest hereon and the respective dates thereof may be endorsed by the holder hereof on the schedule attached hereto and made a part hereof, or on a continuation thereof which shall be attached hereto and made a part hereof, or otherwise recorded by such holder in its internal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holder hereof to make such a notation or any error in such a notation shall not in any manner affect the obligations of the Borrower to make payments of principal and interest in accordance with the terms of this Note and the Agreement.</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Note amends, restates and supersedes a prior note of the Borrower payable to the Bank, dated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u w:val="single" w:color="auto"/>
          <w:color w:val="auto"/>
        </w:rPr>
        <w:t>Prior Note</w:t>
      </w:r>
      <w:r>
        <w:rPr>
          <w:rFonts w:ascii="Times New Roman" w:cs="Times New Roman" w:eastAsia="Times New Roman" w:hAnsi="Times New Roman"/>
          <w:sz w:val="18"/>
          <w:szCs w:val="18"/>
          <w:color w:val="auto"/>
        </w:rPr>
        <w:t>”). This Note shall in no way extinguish the Borrower’s unconditional obligation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repay all indebtedness evidenced by the Prior Note, is given in substitution for and not as payment of the Prior Note and is in no way intended to constitute a novation of the Prior Note.]</w:t>
      </w:r>
    </w:p>
    <w:p>
      <w:pPr>
        <w:spacing w:after="0" w:line="13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This Note is one of the Notes referred to, in evidences indebtedness incurred under, and is entitled to the benefits of the Agreement. The Agreement, among other things, contains provisions for the acceleration of the maturity hereof upon the happening of certain events, for optional and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type w:val="continuous"/>
        </w:sectPr>
      </w:pPr>
    </w:p>
    <w:bookmarkStart w:id="149" w:name="page150"/>
    <w:bookmarkEnd w:id="149"/>
    <w:p>
      <w:pPr>
        <w:jc w:val="both"/>
        <w:spacing w:after="0" w:line="250" w:lineRule="auto"/>
        <w:rPr>
          <w:sz w:val="20"/>
          <w:szCs w:val="20"/>
          <w:color w:val="auto"/>
        </w:rPr>
      </w:pPr>
      <w:r>
        <w:rPr>
          <w:rFonts w:ascii="Times New Roman" w:cs="Times New Roman" w:eastAsia="Times New Roman" w:hAnsi="Times New Roman"/>
          <w:sz w:val="18"/>
          <w:szCs w:val="18"/>
          <w:color w:val="auto"/>
        </w:rPr>
        <w:t>mandatory prepayments of the principal hereof prior to the maturity hereof, for a higher rate of interest hereunder after an Event of Default and for the amendment or waiver of certain provisions of the Agreement, all upon the terms and conditions therein specified. This Note shall be construed in accordance with and governed by the laws of the Commonwealth of Pennsylvania and any applicable laws of the United States of America. Capitalized terms not otherwise defined herein shall have the meanings set forth in the Agreement.</w:t>
      </w:r>
    </w:p>
    <w:p>
      <w:pPr>
        <w:spacing w:after="0" w:line="35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Title: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Loans and Payments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Unpaid</w:t>
            </w:r>
          </w:p>
        </w:tc>
        <w:tc>
          <w:tcPr>
            <w:tcW w:w="84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color w:val="auto"/>
              </w:rPr>
              <w:t>Name of</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Payments</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Principal</w:t>
            </w:r>
          </w:p>
        </w:tc>
        <w:tc>
          <w:tcPr>
            <w:tcW w:w="2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Person</w:t>
            </w:r>
          </w:p>
        </w:tc>
        <w:tc>
          <w:tcPr>
            <w:tcW w:w="0" w:type="dxa"/>
            <w:vAlign w:val="bottom"/>
          </w:tcPr>
          <w:p>
            <w:pPr>
              <w:spacing w:after="0"/>
              <w:rPr>
                <w:sz w:val="1"/>
                <w:szCs w:val="1"/>
                <w:color w:val="auto"/>
              </w:rPr>
            </w:pPr>
          </w:p>
        </w:tc>
      </w:tr>
      <w:tr>
        <w:trPr>
          <w:trHeight w:val="42"/>
        </w:trPr>
        <w:tc>
          <w:tcPr>
            <w:tcW w:w="320" w:type="dxa"/>
            <w:vAlign w:val="bottom"/>
          </w:tcPr>
          <w:p>
            <w:pPr>
              <w:spacing w:after="0"/>
              <w:rPr>
                <w:sz w:val="3"/>
                <w:szCs w:val="3"/>
                <w:color w:val="auto"/>
              </w:rPr>
            </w:pPr>
          </w:p>
        </w:tc>
        <w:tc>
          <w:tcPr>
            <w:tcW w:w="15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7"/>
                <w:szCs w:val="17"/>
                <w:color w:val="auto"/>
              </w:rPr>
              <w:t>Amount</w:t>
            </w:r>
          </w:p>
        </w:tc>
        <w:tc>
          <w:tcPr>
            <w:tcW w:w="10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w w:val="97"/>
              </w:rPr>
              <w:t>Interest</w:t>
            </w:r>
          </w:p>
        </w:tc>
        <w:tc>
          <w:tcPr>
            <w:tcW w:w="11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rPr>
              <w:t>Interest</w:t>
            </w: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60" w:type="dxa"/>
            <w:vAlign w:val="bottom"/>
            <w:gridSpan w:val="5"/>
            <w:vMerge w:val="continue"/>
          </w:tcPr>
          <w:p>
            <w:pPr>
              <w:spacing w:after="0"/>
              <w:rPr>
                <w:sz w:val="3"/>
                <w:szCs w:val="3"/>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rPr>
              <w:t>Balance of</w:t>
            </w:r>
          </w:p>
        </w:tc>
        <w:tc>
          <w:tcPr>
            <w:tcW w:w="24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Making</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w w:val="93"/>
              </w:rPr>
              <w:t>Date</w:t>
            </w:r>
          </w:p>
        </w:tc>
        <w:tc>
          <w:tcPr>
            <w:tcW w:w="680" w:type="dxa"/>
            <w:vAlign w:val="bottom"/>
          </w:tcPr>
          <w:p>
            <w:pPr>
              <w:spacing w:after="0"/>
              <w:rPr>
                <w:sz w:val="15"/>
                <w:szCs w:val="15"/>
                <w:color w:val="auto"/>
              </w:rPr>
            </w:pPr>
          </w:p>
        </w:tc>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w w:val="97"/>
              </w:rPr>
              <w:t>of Loan</w:t>
            </w:r>
          </w:p>
        </w:tc>
        <w:tc>
          <w:tcPr>
            <w:tcW w:w="300" w:type="dxa"/>
            <w:vAlign w:val="bottom"/>
          </w:tcPr>
          <w:p>
            <w:pPr>
              <w:spacing w:after="0"/>
              <w:rPr>
                <w:sz w:val="15"/>
                <w:szCs w:val="15"/>
                <w:color w:val="auto"/>
              </w:rPr>
            </w:pPr>
          </w:p>
        </w:tc>
        <w:tc>
          <w:tcPr>
            <w:tcW w:w="1080" w:type="dxa"/>
            <w:vAlign w:val="bottom"/>
            <w:gridSpan w:val="3"/>
          </w:tcPr>
          <w:p>
            <w:pPr>
              <w:jc w:val="center"/>
              <w:ind w:right="20"/>
              <w:spacing w:after="0" w:line="181" w:lineRule="exact"/>
              <w:rPr>
                <w:sz w:val="20"/>
                <w:szCs w:val="20"/>
                <w:color w:val="auto"/>
              </w:rPr>
            </w:pPr>
            <w:r>
              <w:rPr>
                <w:rFonts w:ascii="Times New Roman" w:cs="Times New Roman" w:eastAsia="Times New Roman" w:hAnsi="Times New Roman"/>
                <w:sz w:val="17"/>
                <w:szCs w:val="17"/>
                <w:color w:val="auto"/>
                <w:w w:val="96"/>
              </w:rPr>
              <w:t>Rate</w:t>
            </w:r>
          </w:p>
        </w:tc>
        <w:tc>
          <w:tcPr>
            <w:tcW w:w="340" w:type="dxa"/>
            <w:vAlign w:val="bottom"/>
          </w:tcPr>
          <w:p>
            <w:pPr>
              <w:spacing w:after="0"/>
              <w:rPr>
                <w:sz w:val="15"/>
                <w:szCs w:val="15"/>
                <w:color w:val="auto"/>
              </w:rPr>
            </w:pPr>
          </w:p>
        </w:tc>
        <w:tc>
          <w:tcPr>
            <w:tcW w:w="7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7"/>
                <w:szCs w:val="17"/>
                <w:color w:val="auto"/>
                <w:w w:val="99"/>
              </w:rPr>
              <w:t>Period</w:t>
            </w:r>
          </w:p>
        </w:tc>
        <w:tc>
          <w:tcPr>
            <w:tcW w:w="1160" w:type="dxa"/>
            <w:vAlign w:val="bottom"/>
            <w:gridSpan w:val="4"/>
          </w:tcPr>
          <w:p>
            <w:pPr>
              <w:ind w:left="260"/>
              <w:spacing w:after="0" w:line="181" w:lineRule="exact"/>
              <w:rPr>
                <w:sz w:val="20"/>
                <w:szCs w:val="20"/>
                <w:color w:val="auto"/>
              </w:rPr>
            </w:pPr>
            <w:r>
              <w:rPr>
                <w:rFonts w:ascii="Times New Roman" w:cs="Times New Roman" w:eastAsia="Times New Roman" w:hAnsi="Times New Roman"/>
                <w:sz w:val="17"/>
                <w:szCs w:val="17"/>
                <w:color w:val="auto"/>
              </w:rPr>
              <w:t>Principal</w:t>
            </w:r>
          </w:p>
        </w:tc>
        <w:tc>
          <w:tcPr>
            <w:tcW w:w="1000" w:type="dxa"/>
            <w:vAlign w:val="bottom"/>
            <w:gridSpan w:val="3"/>
          </w:tcPr>
          <w:p>
            <w:pPr>
              <w:ind w:left="260"/>
              <w:spacing w:after="0" w:line="181" w:lineRule="exact"/>
              <w:rPr>
                <w:sz w:val="20"/>
                <w:szCs w:val="20"/>
                <w:color w:val="auto"/>
              </w:rPr>
            </w:pPr>
            <w:r>
              <w:rPr>
                <w:rFonts w:ascii="Times New Roman" w:cs="Times New Roman" w:eastAsia="Times New Roman" w:hAnsi="Times New Roman"/>
                <w:sz w:val="17"/>
                <w:szCs w:val="17"/>
                <w:color w:val="auto"/>
              </w:rPr>
              <w:t>Interest</w:t>
            </w:r>
          </w:p>
        </w:tc>
        <w:tc>
          <w:tcPr>
            <w:tcW w:w="120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7"/>
                <w:szCs w:val="17"/>
                <w:color w:val="auto"/>
              </w:rPr>
              <w:t>Note</w:t>
            </w:r>
          </w:p>
        </w:tc>
        <w:tc>
          <w:tcPr>
            <w:tcW w:w="840" w:type="dxa"/>
            <w:vAlign w:val="bottom"/>
            <w:gridSpan w:val="2"/>
          </w:tcPr>
          <w:p>
            <w:pPr>
              <w:jc w:val="center"/>
              <w:ind w:left="155"/>
              <w:spacing w:after="0" w:line="181" w:lineRule="exact"/>
              <w:rPr>
                <w:sz w:val="20"/>
                <w:szCs w:val="20"/>
                <w:color w:val="auto"/>
              </w:rPr>
            </w:pPr>
            <w:r>
              <w:rPr>
                <w:rFonts w:ascii="Times New Roman" w:cs="Times New Roman" w:eastAsia="Times New Roman" w:hAnsi="Times New Roman"/>
                <w:sz w:val="17"/>
                <w:szCs w:val="17"/>
                <w:color w:val="auto"/>
              </w:rPr>
              <w:t>Notation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color w:val="auto"/>
        </w:rPr>
        <w:t>EXHIBIT B-2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SWING LINE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08"/>
        </w:trPr>
        <w:tc>
          <w:tcPr>
            <w:tcW w:w="3680" w:type="dxa"/>
            <w:vAlign w:val="bottom"/>
          </w:tcPr>
          <w:p>
            <w:pPr>
              <w:jc w:val="right"/>
              <w:ind w:right="2668"/>
              <w:spacing w:after="0"/>
              <w:rPr>
                <w:sz w:val="20"/>
                <w:szCs w:val="20"/>
                <w:color w:val="auto"/>
              </w:rPr>
            </w:pPr>
            <w:r>
              <w:rPr>
                <w:rFonts w:ascii="Times New Roman" w:cs="Times New Roman" w:eastAsia="Times New Roman" w:hAnsi="Times New Roman"/>
                <w:sz w:val="18"/>
                <w:szCs w:val="18"/>
                <w:color w:val="auto"/>
                <w:w w:val="99"/>
              </w:rPr>
              <w:t>$10,000,000</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Philadelphia, Pennsylvania</w:t>
            </w:r>
          </w:p>
        </w:tc>
      </w:tr>
      <w:tr>
        <w:trPr>
          <w:trHeight w:val="241"/>
        </w:trPr>
        <w:tc>
          <w:tcPr>
            <w:tcW w:w="3680" w:type="dxa"/>
            <w:vAlign w:val="bottom"/>
          </w:tcPr>
          <w:p>
            <w:pPr>
              <w:spacing w:after="0"/>
              <w:rPr>
                <w:sz w:val="20"/>
                <w:szCs w:val="20"/>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 2025</w:t>
            </w:r>
          </w:p>
        </w:tc>
      </w:tr>
    </w:tbl>
    <w:p>
      <w:pPr>
        <w:spacing w:after="0" w:line="152"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FOR VALUE RECEIVED, the undersigned, AQUA PENNSYLVANIA,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 hereby promises to pay to the order of PNC BANK, NATIONAL ASSOCIATION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xml:space="preserve">”), at the office of the Agent (as hereinafter defined), at 1600 Market Street, Philadelphia, PA 19103, in accordance with the terms of the Agreement (as hereinafter defined), the lesser of the principal sum of Ten Million Dollars ($10,000,000) and the aggregate unpaid principal amount of all Swing Line Loans made by the Bank to the Borrower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Amended and Restated Credit Agreement dated as of June 3, 2025, among the Borrower, the Banks party thereto and PNC Bank, National Association, as agent for the Banks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(as amended, modified, extended or restated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lawful money of the United States of America in same day funds, and to pay interest from the date hereof on such principal amount from time to time outstanding, in like funds, at said office, at a rate or rates per annum and payable on the dates determined pursuant to the Agreement.</w:t>
      </w:r>
    </w:p>
    <w:p>
      <w:pPr>
        <w:spacing w:after="0" w:line="151"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The Borrower promises to pay interest, on demand, on any overdue principal and, to the extent permitted by law, overdue interest from their due dates at the rate or rates determined as set forth in the Agreement.</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The Borrower hereby waives diligence, presentment, demand, protest and notice of any kind whatsoever. The nonexercise by the holder of any of its rights hereunder in any particular instance shall not constitute a waiver thereof in that or any subsequent instance.</w:t>
      </w:r>
    </w:p>
    <w:p>
      <w:pPr>
        <w:spacing w:after="0" w:line="136"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 xml:space="preserve">All borrowings evidenced by this Swing Line Note and all payments and prepayments of the principal hereof and interest hereon and the respective dates thereof may be endorsed by the holder hereof on the schedule attached hereto and made a part hereof, or on a continuation thereof which shall be attached hereto and made a part hereof, or otherwise recorded by such holder in its internal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holder hereof to make such a notation or any error in such a notation shall not in any manner affect the obligations of the Borrower to make payments of principal and interest in accordance with the terms of this Swing Line Note and the Agreement.</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[This Note amends, restates and supersedes a prior note of the Borrower payable to the Bank, dated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u w:val="single" w:color="auto"/>
          <w:color w:val="auto"/>
        </w:rPr>
        <w:t>Prior Note</w:t>
      </w:r>
      <w:r>
        <w:rPr>
          <w:rFonts w:ascii="Times New Roman" w:cs="Times New Roman" w:eastAsia="Times New Roman" w:hAnsi="Times New Roman"/>
          <w:sz w:val="18"/>
          <w:szCs w:val="18"/>
          <w:color w:val="auto"/>
        </w:rPr>
        <w:t>”). This Note shall in no way extinguish the Borrower’s unconditional obligation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repay all indebtedness evidenced by the Prior Note, is given in substitution for and not as payment of the Prior Note and is in no way intended to constitute a novation of the Prior Note.]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52" w:name="page153"/>
    <w:bookmarkEnd w:id="152"/>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This Swing Line Note is the Swing Line Note referred to in, evidences indebtedness incurred under, and is entitled to the benefits of the Agreement. The Agreement, among other things, contains provisions for the acceleration of the maturity hereof upon the happening of certain events, for optional and mandatory prepayments of the principal hereof prior to the maturity hereof, for a higher rate of interest hereunder after an Event of Default and for the amendment or waiver of certain provisions of the Agreement, all upon the terms and conditions therein specified. This Swing Line Note shall be construed in accordance with and governed by the laws of the Commonwealth of Pennsylvania and any applicable laws of the United States of America. Capitalized terms not otherwise defined herein shall have the meanings set forth in the Agreement.</w:t>
      </w:r>
    </w:p>
    <w:p>
      <w:pPr>
        <w:spacing w:after="0" w:line="3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00" w:lineRule="exact"/>
        <w:rPr>
          <w:sz w:val="20"/>
          <w:szCs w:val="20"/>
          <w:color w:val="auto"/>
        </w:rPr>
      </w:pPr>
    </w:p>
    <w:p>
      <w:pPr>
        <w:spacing w:after="0" w:line="21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Title: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auto"/>
        </w:rPr>
        <w:t>Loans and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Unpaid</w:t>
            </w:r>
          </w:p>
        </w:tc>
        <w:tc>
          <w:tcPr>
            <w:tcW w:w="84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color w:val="auto"/>
              </w:rPr>
              <w:t>Name of</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Swing Line</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Payments</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Principal</w:t>
            </w:r>
          </w:p>
        </w:tc>
        <w:tc>
          <w:tcPr>
            <w:tcW w:w="2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Person</w:t>
            </w:r>
          </w:p>
        </w:tc>
        <w:tc>
          <w:tcPr>
            <w:tcW w:w="0" w:type="dxa"/>
            <w:vAlign w:val="bottom"/>
          </w:tcPr>
          <w:p>
            <w:pPr>
              <w:spacing w:after="0"/>
              <w:rPr>
                <w:sz w:val="1"/>
                <w:szCs w:val="1"/>
                <w:color w:val="auto"/>
              </w:rPr>
            </w:pPr>
          </w:p>
        </w:tc>
      </w:tr>
      <w:tr>
        <w:trPr>
          <w:trHeight w:val="42"/>
        </w:trPr>
        <w:tc>
          <w:tcPr>
            <w:tcW w:w="320" w:type="dxa"/>
            <w:vAlign w:val="bottom"/>
          </w:tcPr>
          <w:p>
            <w:pPr>
              <w:spacing w:after="0"/>
              <w:rPr>
                <w:sz w:val="3"/>
                <w:szCs w:val="3"/>
                <w:color w:val="auto"/>
              </w:rPr>
            </w:pPr>
          </w:p>
        </w:tc>
        <w:tc>
          <w:tcPr>
            <w:tcW w:w="15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7"/>
                <w:szCs w:val="17"/>
                <w:color w:val="auto"/>
              </w:rPr>
              <w:t>Amount</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Interest</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Repayment</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60" w:type="dxa"/>
            <w:vAlign w:val="bottom"/>
            <w:gridSpan w:val="5"/>
            <w:vMerge w:val="continue"/>
          </w:tcPr>
          <w:p>
            <w:pPr>
              <w:spacing w:after="0"/>
              <w:rPr>
                <w:sz w:val="3"/>
                <w:szCs w:val="3"/>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rPr>
              <w:t>Balance of</w:t>
            </w:r>
          </w:p>
        </w:tc>
        <w:tc>
          <w:tcPr>
            <w:tcW w:w="24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Making</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w w:val="93"/>
              </w:rPr>
              <w:t>Date</w:t>
            </w:r>
          </w:p>
        </w:tc>
        <w:tc>
          <w:tcPr>
            <w:tcW w:w="680" w:type="dxa"/>
            <w:vAlign w:val="bottom"/>
          </w:tcPr>
          <w:p>
            <w:pPr>
              <w:spacing w:after="0"/>
              <w:rPr>
                <w:sz w:val="15"/>
                <w:szCs w:val="15"/>
                <w:color w:val="auto"/>
              </w:rPr>
            </w:pPr>
          </w:p>
        </w:tc>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w w:val="97"/>
              </w:rPr>
              <w:t>of Loan</w:t>
            </w:r>
          </w:p>
        </w:tc>
        <w:tc>
          <w:tcPr>
            <w:tcW w:w="300" w:type="dxa"/>
            <w:vAlign w:val="bottom"/>
          </w:tcPr>
          <w:p>
            <w:pPr>
              <w:spacing w:after="0"/>
              <w:rPr>
                <w:sz w:val="15"/>
                <w:szCs w:val="15"/>
                <w:color w:val="auto"/>
              </w:rPr>
            </w:pPr>
          </w:p>
        </w:tc>
        <w:tc>
          <w:tcPr>
            <w:tcW w:w="102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7"/>
                <w:szCs w:val="17"/>
                <w:color w:val="auto"/>
                <w:w w:val="96"/>
              </w:rPr>
              <w:t>Rate</w:t>
            </w:r>
          </w:p>
        </w:tc>
        <w:tc>
          <w:tcPr>
            <w:tcW w:w="460" w:type="dxa"/>
            <w:vAlign w:val="bottom"/>
          </w:tcPr>
          <w:p>
            <w:pPr>
              <w:spacing w:after="0"/>
              <w:rPr>
                <w:sz w:val="15"/>
                <w:szCs w:val="15"/>
                <w:color w:val="auto"/>
              </w:rPr>
            </w:pPr>
          </w:p>
        </w:tc>
        <w:tc>
          <w:tcPr>
            <w:tcW w:w="760" w:type="dxa"/>
            <w:vAlign w:val="bottom"/>
            <w:gridSpan w:val="2"/>
          </w:tcPr>
          <w:p>
            <w:pPr>
              <w:jc w:val="center"/>
              <w:ind w:right="440"/>
              <w:spacing w:after="0" w:line="181" w:lineRule="exact"/>
              <w:rPr>
                <w:sz w:val="20"/>
                <w:szCs w:val="20"/>
                <w:color w:val="auto"/>
              </w:rPr>
            </w:pPr>
            <w:r>
              <w:rPr>
                <w:rFonts w:ascii="Times New Roman" w:cs="Times New Roman" w:eastAsia="Times New Roman" w:hAnsi="Times New Roman"/>
                <w:sz w:val="17"/>
                <w:szCs w:val="17"/>
                <w:color w:val="auto"/>
                <w:w w:val="99"/>
              </w:rPr>
              <w:t>Date</w:t>
            </w:r>
          </w:p>
        </w:tc>
        <w:tc>
          <w:tcPr>
            <w:tcW w:w="1100" w:type="dxa"/>
            <w:vAlign w:val="bottom"/>
            <w:gridSpan w:val="4"/>
          </w:tcPr>
          <w:p>
            <w:pPr>
              <w:ind w:left="200"/>
              <w:spacing w:after="0" w:line="181" w:lineRule="exact"/>
              <w:rPr>
                <w:sz w:val="20"/>
                <w:szCs w:val="20"/>
                <w:color w:val="auto"/>
              </w:rPr>
            </w:pPr>
            <w:r>
              <w:rPr>
                <w:rFonts w:ascii="Times New Roman" w:cs="Times New Roman" w:eastAsia="Times New Roman" w:hAnsi="Times New Roman"/>
                <w:sz w:val="17"/>
                <w:szCs w:val="17"/>
                <w:color w:val="auto"/>
              </w:rPr>
              <w:t>Principal</w:t>
            </w:r>
          </w:p>
        </w:tc>
        <w:tc>
          <w:tcPr>
            <w:tcW w:w="1000" w:type="dxa"/>
            <w:vAlign w:val="bottom"/>
            <w:gridSpan w:val="3"/>
          </w:tcPr>
          <w:p>
            <w:pPr>
              <w:ind w:left="260"/>
              <w:spacing w:after="0" w:line="181" w:lineRule="exact"/>
              <w:rPr>
                <w:sz w:val="20"/>
                <w:szCs w:val="20"/>
                <w:color w:val="auto"/>
              </w:rPr>
            </w:pPr>
            <w:r>
              <w:rPr>
                <w:rFonts w:ascii="Times New Roman" w:cs="Times New Roman" w:eastAsia="Times New Roman" w:hAnsi="Times New Roman"/>
                <w:sz w:val="17"/>
                <w:szCs w:val="17"/>
                <w:color w:val="auto"/>
              </w:rPr>
              <w:t>Interest</w:t>
            </w:r>
          </w:p>
        </w:tc>
        <w:tc>
          <w:tcPr>
            <w:tcW w:w="120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7"/>
                <w:szCs w:val="17"/>
                <w:color w:val="auto"/>
              </w:rPr>
              <w:t>Note</w:t>
            </w:r>
          </w:p>
        </w:tc>
        <w:tc>
          <w:tcPr>
            <w:tcW w:w="840" w:type="dxa"/>
            <w:vAlign w:val="bottom"/>
            <w:gridSpan w:val="2"/>
          </w:tcPr>
          <w:p>
            <w:pPr>
              <w:jc w:val="center"/>
              <w:ind w:left="155"/>
              <w:spacing w:after="0" w:line="181" w:lineRule="exact"/>
              <w:rPr>
                <w:sz w:val="20"/>
                <w:szCs w:val="20"/>
                <w:color w:val="auto"/>
              </w:rPr>
            </w:pPr>
            <w:r>
              <w:rPr>
                <w:rFonts w:ascii="Times New Roman" w:cs="Times New Roman" w:eastAsia="Times New Roman" w:hAnsi="Times New Roman"/>
                <w:sz w:val="17"/>
                <w:szCs w:val="17"/>
                <w:color w:val="auto"/>
              </w:rPr>
              <w:t>Notation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24" w:right="1440" w:bottom="1440" w:gutter="0" w:footer="0" w:header="0"/>
        </w:sectPr>
      </w:pPr>
    </w:p>
    <w:bookmarkStart w:id="154" w:name="page155"/>
    <w:bookmarkEnd w:id="154"/>
    <w:p>
      <w:pPr>
        <w:ind w:left="4060"/>
        <w:spacing w:after="0"/>
        <w:rPr>
          <w:sz w:val="20"/>
          <w:szCs w:val="20"/>
          <w:color w:val="auto"/>
        </w:rPr>
      </w:pPr>
      <w:r>
        <w:rPr>
          <w:rFonts w:ascii="Times New Roman" w:cs="Times New Roman" w:eastAsia="Times New Roman" w:hAnsi="Times New Roman"/>
          <w:sz w:val="18"/>
          <w:szCs w:val="18"/>
          <w:color w:val="auto"/>
        </w:rPr>
        <w:t>EXHIBIT C</w:t>
      </w:r>
    </w:p>
    <w:p>
      <w:pPr>
        <w:spacing w:after="0" w:line="18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ACCEPTANCE</w:t>
      </w:r>
    </w:p>
    <w:p>
      <w:pPr>
        <w:spacing w:after="0" w:line="166"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This Assignment and Assumption Agreement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specified below and is entered into by and between [the][each]</w:t>
      </w:r>
      <w:r>
        <w:rPr>
          <w:rFonts w:ascii="Times New Roman" w:cs="Times New Roman" w:eastAsia="Times New Roman" w:hAnsi="Times New Roman"/>
          <w:sz w:val="9"/>
          <w:szCs w:val="9"/>
          <w:color w:val="auto"/>
        </w:rPr>
        <w:t>4</w:t>
      </w:r>
      <w:r>
        <w:rPr>
          <w:rFonts w:ascii="Times New Roman" w:cs="Times New Roman" w:eastAsia="Times New Roman" w:hAnsi="Times New Roman"/>
          <w:sz w:val="18"/>
          <w:szCs w:val="18"/>
          <w:color w:val="auto"/>
        </w:rPr>
        <w:t xml:space="preserve"> Assignor identified in item 1 below ([the][each,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xml:space="preserve">”) and [the][each] </w:t>
      </w:r>
      <w:r>
        <w:rPr>
          <w:rFonts w:ascii="Times New Roman" w:cs="Times New Roman" w:eastAsia="Times New Roman" w:hAnsi="Times New Roman"/>
          <w:sz w:val="9"/>
          <w:szCs w:val="9"/>
          <w:color w:val="auto"/>
        </w:rPr>
        <w:t>5</w:t>
      </w:r>
      <w:r>
        <w:rPr>
          <w:rFonts w:ascii="Times New Roman" w:cs="Times New Roman" w:eastAsia="Times New Roman" w:hAnsi="Times New Roman"/>
          <w:sz w:val="18"/>
          <w:szCs w:val="18"/>
          <w:color w:val="auto"/>
        </w:rPr>
        <w:t>Assignee identified in item 2 below ([the][each,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[It is understood and agreed that the rights and obligations of [the Assignors][the Assignees]</w:t>
      </w:r>
      <w:r>
        <w:rPr>
          <w:rFonts w:ascii="Times New Roman" w:cs="Times New Roman" w:eastAsia="Times New Roman" w:hAnsi="Times New Roman"/>
          <w:sz w:val="9"/>
          <w:szCs w:val="9"/>
          <w:color w:val="auto"/>
        </w:rPr>
        <w:t>6</w:t>
      </w:r>
      <w:r>
        <w:rPr>
          <w:rFonts w:ascii="Times New Roman" w:cs="Times New Roman" w:eastAsia="Times New Roman" w:hAnsi="Times New Roman"/>
          <w:sz w:val="18"/>
          <w:szCs w:val="18"/>
          <w:color w:val="auto"/>
        </w:rPr>
        <w:t xml:space="preserve"> hereunder are several and not joint.]</w:t>
      </w:r>
      <w:r>
        <w:rPr>
          <w:rFonts w:ascii="Times New Roman" w:cs="Times New Roman" w:eastAsia="Times New Roman" w:hAnsi="Times New Roman"/>
          <w:sz w:val="9"/>
          <w:szCs w:val="9"/>
          <w:color w:val="auto"/>
        </w:rPr>
        <w:t>7</w:t>
      </w:r>
      <w:r>
        <w:rPr>
          <w:rFonts w:ascii="Times New Roman" w:cs="Times New Roman" w:eastAsia="Times New Roman" w:hAnsi="Times New Roman"/>
          <w:sz w:val="18"/>
          <w:szCs w:val="18"/>
          <w:color w:val="auto"/>
        </w:rPr>
        <w:t xml:space="preserve"> Capitalized terms used but not defined herein shall have the meanings given to them in the Credit Agreement identified below (as amended,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[the][each] Assignee. The Standard Terms and Conditions specified in Annex 1 attached hereto are hereby agreed to and incorporated herein by reference and made a part of this Assignment and Assumption as if specified herein in full.</w:t>
      </w:r>
    </w:p>
    <w:p>
      <w:pPr>
        <w:spacing w:after="0" w:line="151"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Agent as contemplated below (i) all of [the Assignor’s][the respective Assignors’] rights and obligations in [its capacity as a Bank][their respective capacities as Banks]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 Line Loans included in such facilities), and (ii) to the extent permitted to be assigned under applicable law, all claims, suits, causes of action and any other right of [the Assignor (in its capacity as a Bank)][the respective Assignors (in their respective capacities as Banks)]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Each such sale and</w:t>
      </w:r>
    </w:p>
    <w:p>
      <w:pPr>
        <w:spacing w:after="0" w:line="3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94" w:lineRule="exact"/>
        <w:rPr>
          <w:sz w:val="20"/>
          <w:szCs w:val="20"/>
          <w:color w:val="auto"/>
        </w:rPr>
      </w:pPr>
    </w:p>
    <w:p>
      <w:pPr>
        <w:ind w:firstLine="556"/>
        <w:spacing w:after="0" w:line="294" w:lineRule="auto"/>
        <w:tabs>
          <w:tab w:leader="none" w:pos="631" w:val="left"/>
        </w:tabs>
        <w:numPr>
          <w:ilvl w:val="0"/>
          <w:numId w:val="1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74" w:lineRule="exact"/>
        <w:rPr>
          <w:sz w:val="20"/>
          <w:szCs w:val="20"/>
          <w:color w:val="auto"/>
        </w:rPr>
      </w:pPr>
    </w:p>
    <w:p>
      <w:pPr>
        <w:ind w:firstLine="556"/>
        <w:spacing w:after="0" w:line="294" w:lineRule="auto"/>
        <w:tabs>
          <w:tab w:leader="none" w:pos="631" w:val="left"/>
        </w:tabs>
        <w:numPr>
          <w:ilvl w:val="0"/>
          <w:numId w:val="13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vertAlign w:val="superscript"/>
        </w:rPr>
        <w:t>6</w:t>
      </w:r>
      <w:r>
        <w:rPr>
          <w:rFonts w:ascii="Times New Roman" w:cs="Times New Roman" w:eastAsia="Times New Roman" w:hAnsi="Times New Roman"/>
          <w:sz w:val="15"/>
          <w:szCs w:val="15"/>
          <w:color w:val="auto"/>
        </w:rPr>
        <w:t>Select as appropriate.</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vertAlign w:val="superscript"/>
        </w:rPr>
        <w:t>7</w:t>
      </w:r>
      <w:r>
        <w:rPr>
          <w:rFonts w:ascii="Times New Roman" w:cs="Times New Roman" w:eastAsia="Times New Roman" w:hAnsi="Times New Roman"/>
          <w:sz w:val="15"/>
          <w:szCs w:val="15"/>
          <w:color w:val="auto"/>
        </w:rPr>
        <w:t>Include bracketed language if there are either multiple Assignors or multiple Assignees.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55" w:name="page156"/>
    <w:bookmarkEnd w:id="155"/>
    <w:p>
      <w:pPr>
        <w:ind w:right="220" w:firstLine="554"/>
        <w:spacing w:after="0" w:line="280" w:lineRule="auto"/>
        <w:rPr>
          <w:sz w:val="20"/>
          <w:szCs w:val="20"/>
          <w:color w:val="auto"/>
        </w:rPr>
      </w:pPr>
      <w:r>
        <w:rPr>
          <w:rFonts w:ascii="Times New Roman" w:cs="Times New Roman" w:eastAsia="Times New Roman" w:hAnsi="Times New Roman"/>
          <w:sz w:val="18"/>
          <w:szCs w:val="18"/>
          <w:color w:val="auto"/>
        </w:rPr>
        <w:t>assignment is without recourse to [the][any] Assignor and, except as expressly provided in this Assignment and Assumption, without representation or warranty by [the][any] Assignor.</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1.</w:t>
            </w:r>
          </w:p>
        </w:tc>
        <w:tc>
          <w:tcPr>
            <w:tcW w:w="48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Assignor[s]:</w:t>
            </w:r>
          </w:p>
        </w:tc>
        <w:tc>
          <w:tcPr>
            <w:tcW w:w="3260" w:type="dxa"/>
            <w:vAlign w:val="bottom"/>
          </w:tcPr>
          <w:p>
            <w:pPr>
              <w:jc w:val="right"/>
              <w:ind w:right="328"/>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416"/>
        </w:trPr>
        <w:tc>
          <w:tcPr>
            <w:tcW w:w="340" w:type="dxa"/>
            <w:vAlign w:val="bottom"/>
          </w:tcPr>
          <w:p>
            <w:pPr>
              <w:spacing w:after="0"/>
              <w:rPr>
                <w:sz w:val="24"/>
                <w:szCs w:val="24"/>
                <w:color w:val="auto"/>
              </w:rPr>
            </w:pPr>
          </w:p>
        </w:tc>
        <w:tc>
          <w:tcPr>
            <w:tcW w:w="48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260" w:type="dxa"/>
            <w:vAlign w:val="bottom"/>
          </w:tcPr>
          <w:p>
            <w:pPr>
              <w:spacing w:after="0"/>
              <w:rPr>
                <w:sz w:val="24"/>
                <w:szCs w:val="24"/>
                <w:color w:val="auto"/>
              </w:rPr>
            </w:pPr>
          </w:p>
        </w:tc>
      </w:tr>
      <w:tr>
        <w:trPr>
          <w:trHeight w:val="393"/>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2.</w:t>
            </w:r>
          </w:p>
        </w:tc>
        <w:tc>
          <w:tcPr>
            <w:tcW w:w="48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Assignee[s]:</w:t>
            </w:r>
          </w:p>
        </w:tc>
        <w:tc>
          <w:tcPr>
            <w:tcW w:w="32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416"/>
        </w:trPr>
        <w:tc>
          <w:tcPr>
            <w:tcW w:w="340" w:type="dxa"/>
            <w:vAlign w:val="bottom"/>
          </w:tcPr>
          <w:p>
            <w:pPr>
              <w:spacing w:after="0"/>
              <w:rPr>
                <w:sz w:val="24"/>
                <w:szCs w:val="24"/>
                <w:color w:val="auto"/>
              </w:rPr>
            </w:pPr>
          </w:p>
        </w:tc>
        <w:tc>
          <w:tcPr>
            <w:tcW w:w="48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260" w:type="dxa"/>
            <w:vAlign w:val="bottom"/>
          </w:tcPr>
          <w:p>
            <w:pPr>
              <w:spacing w:after="0"/>
              <w:rPr>
                <w:sz w:val="24"/>
                <w:szCs w:val="24"/>
                <w:color w:val="auto"/>
              </w:rPr>
            </w:pPr>
          </w:p>
        </w:tc>
      </w:tr>
      <w:tr>
        <w:trPr>
          <w:trHeight w:val="393"/>
        </w:trPr>
        <w:tc>
          <w:tcPr>
            <w:tcW w:w="340" w:type="dxa"/>
            <w:vAlign w:val="bottom"/>
          </w:tcPr>
          <w:p>
            <w:pPr>
              <w:spacing w:after="0"/>
              <w:rPr>
                <w:sz w:val="24"/>
                <w:szCs w:val="24"/>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[Assignee is an [Affiliate][Approved Fund] of [</w:t>
            </w:r>
            <w:r>
              <w:rPr>
                <w:rFonts w:ascii="Times New Roman" w:cs="Times New Roman" w:eastAsia="Times New Roman" w:hAnsi="Times New Roman"/>
                <w:sz w:val="18"/>
                <w:szCs w:val="18"/>
                <w:i w:val="1"/>
                <w:iCs w:val="1"/>
                <w:color w:val="auto"/>
              </w:rPr>
              <w:t>identify Bank</w:t>
            </w:r>
            <w:r>
              <w:rPr>
                <w:rFonts w:ascii="Times New Roman" w:cs="Times New Roman" w:eastAsia="Times New Roman" w:hAnsi="Times New Roman"/>
                <w:sz w:val="18"/>
                <w:szCs w:val="18"/>
                <w:color w:val="auto"/>
              </w:rPr>
              <w:t>]</w:t>
            </w:r>
          </w:p>
        </w:tc>
        <w:tc>
          <w:tcPr>
            <w:tcW w:w="3260" w:type="dxa"/>
            <w:vAlign w:val="bottom"/>
          </w:tcPr>
          <w:p>
            <w:pPr>
              <w:spacing w:after="0"/>
              <w:rPr>
                <w:sz w:val="24"/>
                <w:szCs w:val="24"/>
                <w:color w:val="auto"/>
              </w:rPr>
            </w:pPr>
          </w:p>
        </w:tc>
      </w:tr>
      <w:tr>
        <w:trPr>
          <w:trHeight w:val="393"/>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3.</w:t>
            </w:r>
          </w:p>
        </w:tc>
        <w:tc>
          <w:tcPr>
            <w:tcW w:w="48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Borrower(s):</w:t>
            </w:r>
          </w:p>
        </w:tc>
        <w:tc>
          <w:tcPr>
            <w:tcW w:w="3260" w:type="dxa"/>
            <w:vAlign w:val="bottom"/>
          </w:tcPr>
          <w:p>
            <w:pPr>
              <w:jc w:val="right"/>
              <w:ind w:right="668"/>
              <w:spacing w:after="0"/>
              <w:rPr>
                <w:sz w:val="20"/>
                <w:szCs w:val="20"/>
                <w:color w:val="auto"/>
              </w:rPr>
            </w:pPr>
            <w:r>
              <w:rPr>
                <w:rFonts w:ascii="Times New Roman" w:cs="Times New Roman" w:eastAsia="Times New Roman" w:hAnsi="Times New Roman"/>
                <w:sz w:val="18"/>
                <w:szCs w:val="18"/>
                <w:color w:val="auto"/>
              </w:rPr>
              <w:t>AQUA PENNSYLVANIA INC.</w:t>
            </w:r>
          </w:p>
        </w:tc>
      </w:tr>
      <w:tr>
        <w:trPr>
          <w:trHeight w:val="360"/>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4.</w:t>
            </w:r>
          </w:p>
        </w:tc>
        <w:tc>
          <w:tcPr>
            <w:tcW w:w="48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Administrative Agent:</w:t>
            </w:r>
          </w:p>
        </w:tc>
        <w:tc>
          <w:tcPr>
            <w:tcW w:w="3260" w:type="dxa"/>
            <w:vAlign w:val="bottom"/>
          </w:tcPr>
          <w:p>
            <w:pPr>
              <w:jc w:val="right"/>
              <w:ind w:right="348"/>
              <w:spacing w:after="0"/>
              <w:rPr>
                <w:sz w:val="20"/>
                <w:szCs w:val="20"/>
                <w:color w:val="auto"/>
              </w:rPr>
            </w:pPr>
            <w:r>
              <w:rPr>
                <w:rFonts w:ascii="Times New Roman" w:cs="Times New Roman" w:eastAsia="Times New Roman" w:hAnsi="Times New Roman"/>
                <w:sz w:val="18"/>
                <w:szCs w:val="18"/>
                <w:color w:val="auto"/>
              </w:rPr>
              <w:t>PNC BANK, NATIONAL</w:t>
            </w:r>
          </w:p>
        </w:tc>
      </w:tr>
      <w:tr>
        <w:trPr>
          <w:trHeight w:val="241"/>
        </w:trPr>
        <w:tc>
          <w:tcPr>
            <w:tcW w:w="340" w:type="dxa"/>
            <w:vAlign w:val="bottom"/>
          </w:tcPr>
          <w:p>
            <w:pPr>
              <w:spacing w:after="0"/>
              <w:rPr>
                <w:sz w:val="20"/>
                <w:szCs w:val="20"/>
                <w:color w:val="auto"/>
              </w:rPr>
            </w:pPr>
          </w:p>
        </w:tc>
        <w:tc>
          <w:tcPr>
            <w:tcW w:w="81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ASSOCIATION, as the administrative agent under the Credit Agreement</w:t>
            </w:r>
          </w:p>
        </w:tc>
      </w:tr>
      <w:tr>
        <w:trPr>
          <w:trHeight w:val="360"/>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5.</w:t>
            </w:r>
          </w:p>
        </w:tc>
        <w:tc>
          <w:tcPr>
            <w:tcW w:w="48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Credit Agreement: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$100,000,000 Credit Agreement</w:t>
            </w:r>
          </w:p>
        </w:tc>
      </w:tr>
      <w:tr>
        <w:trPr>
          <w:trHeight w:val="208"/>
        </w:trPr>
        <w:tc>
          <w:tcPr>
            <w:tcW w:w="340" w:type="dxa"/>
            <w:vAlign w:val="bottom"/>
          </w:tcPr>
          <w:p>
            <w:pPr>
              <w:spacing w:after="0"/>
              <w:rPr>
                <w:sz w:val="18"/>
                <w:szCs w:val="18"/>
                <w:color w:val="auto"/>
              </w:rPr>
            </w:pPr>
          </w:p>
        </w:tc>
        <w:tc>
          <w:tcPr>
            <w:tcW w:w="81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dated as of June 3, 2025 among Aqua Pennsylvania, Inc., the Banks parties thereto,</w:t>
            </w:r>
          </w:p>
        </w:tc>
      </w:tr>
      <w:tr>
        <w:trPr>
          <w:trHeight w:val="241"/>
        </w:trPr>
        <w:tc>
          <w:tcPr>
            <w:tcW w:w="340" w:type="dxa"/>
            <w:vAlign w:val="bottom"/>
          </w:tcPr>
          <w:p>
            <w:pPr>
              <w:spacing w:after="0"/>
              <w:rPr>
                <w:sz w:val="20"/>
                <w:szCs w:val="20"/>
                <w:color w:val="auto"/>
              </w:rPr>
            </w:pPr>
          </w:p>
        </w:tc>
        <w:tc>
          <w:tcPr>
            <w:tcW w:w="81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PNC Bank, National Association, as Agent, and the other agents parties thereto</w:t>
            </w:r>
          </w:p>
        </w:tc>
      </w:tr>
    </w:tbl>
    <w:p>
      <w:pPr>
        <w:spacing w:after="0" w:line="152" w:lineRule="exact"/>
        <w:rPr>
          <w:sz w:val="20"/>
          <w:szCs w:val="20"/>
          <w:color w:val="auto"/>
        </w:rPr>
      </w:pPr>
    </w:p>
    <w:p>
      <w:pPr>
        <w:ind w:left="1080" w:hanging="5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Interest[s]:</w:t>
      </w:r>
    </w:p>
    <w:p>
      <w:pPr>
        <w:spacing w:after="0" w:line="200" w:lineRule="exact"/>
        <w:rPr>
          <w:sz w:val="20"/>
          <w:szCs w:val="20"/>
          <w:color w:val="auto"/>
        </w:rPr>
      </w:pPr>
    </w:p>
    <w:tbl>
      <w:tblPr>
        <w:tblLayout w:type="fixed"/>
        <w:tblInd w:w="90" w:type="dxa"/>
        <w:tblCellMar>
          <w:top w:w="0" w:type="dxa"/>
          <w:left w:w="0" w:type="dxa"/>
          <w:bottom w:w="0" w:type="dxa"/>
          <w:right w:w="0" w:type="dxa"/>
        </w:tblCellMar>
      </w:tblPr>
      <w:tr>
        <w:trPr>
          <w:trHeight w:val="197"/>
        </w:trPr>
        <w:tc>
          <w:tcPr>
            <w:tcW w:w="1140" w:type="dxa"/>
            <w:vAlign w:val="bottom"/>
            <w:tcBorders>
              <w:top w:val="single" w:sz="8" w:color="auto"/>
              <w:left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Aggregate</w:t>
            </w:r>
          </w:p>
        </w:tc>
        <w:tc>
          <w:tcPr>
            <w:tcW w:w="170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r>
      <w:tr>
        <w:trPr>
          <w:trHeight w:val="208"/>
        </w:trPr>
        <w:tc>
          <w:tcPr>
            <w:tcW w:w="114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17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820" w:type="dxa"/>
            <w:vAlign w:val="bottom"/>
            <w:tcBorders>
              <w:right w:val="single" w:sz="8" w:color="auto"/>
            </w:tcBorders>
          </w:tcPr>
          <w:p>
            <w:pPr>
              <w:spacing w:after="0"/>
              <w:rPr>
                <w:sz w:val="18"/>
                <w:szCs w:val="18"/>
                <w:color w:val="auto"/>
              </w:rPr>
            </w:pPr>
          </w:p>
        </w:tc>
      </w:tr>
      <w:tr>
        <w:trPr>
          <w:trHeight w:val="208"/>
        </w:trPr>
        <w:tc>
          <w:tcPr>
            <w:tcW w:w="114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Commitment/</w:t>
            </w:r>
          </w:p>
        </w:tc>
        <w:tc>
          <w:tcPr>
            <w:tcW w:w="17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Amount of</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Assigned of</w:t>
            </w:r>
          </w:p>
        </w:tc>
        <w:tc>
          <w:tcPr>
            <w:tcW w:w="820" w:type="dxa"/>
            <w:vAlign w:val="bottom"/>
            <w:tcBorders>
              <w:right w:val="single" w:sz="8" w:color="auto"/>
            </w:tcBorders>
          </w:tcPr>
          <w:p>
            <w:pPr>
              <w:spacing w:after="0"/>
              <w:rPr>
                <w:sz w:val="18"/>
                <w:szCs w:val="18"/>
                <w:color w:val="auto"/>
              </w:rPr>
            </w:pPr>
          </w:p>
        </w:tc>
      </w:tr>
      <w:tr>
        <w:trPr>
          <w:trHeight w:val="208"/>
        </w:trPr>
        <w:tc>
          <w:tcPr>
            <w:tcW w:w="114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Facility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Loans for all</w:t>
            </w:r>
          </w:p>
        </w:tc>
        <w:tc>
          <w:tcPr>
            <w:tcW w:w="1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Commitment/Loans</w:t>
            </w:r>
          </w:p>
        </w:tc>
        <w:tc>
          <w:tcPr>
            <w:tcW w:w="12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color w:val="auto"/>
              </w:rPr>
              <w:t>Commitment/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CUSIP</w:t>
            </w:r>
          </w:p>
        </w:tc>
      </w:tr>
      <w:tr>
        <w:trPr>
          <w:trHeight w:val="231"/>
        </w:trPr>
        <w:tc>
          <w:tcPr>
            <w:tcW w:w="1140" w:type="dxa"/>
            <w:vAlign w:val="bottom"/>
            <w:tcBorders>
              <w:left w:val="single" w:sz="8" w:color="auto"/>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color w:val="auto"/>
              </w:rPr>
              <w:t>Assignor[s]</w:t>
            </w:r>
            <w:r>
              <w:rPr>
                <w:rFonts w:ascii="Times New Roman" w:cs="Times New Roman" w:eastAsia="Times New Roman" w:hAnsi="Times New Roman"/>
                <w:sz w:val="9"/>
                <w:szCs w:val="9"/>
                <w:color w:val="auto"/>
              </w:rPr>
              <w:t>8</w:t>
            </w: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Assignee[s]</w:t>
            </w:r>
            <w:r>
              <w:rPr>
                <w:rFonts w:ascii="Times New Roman" w:cs="Times New Roman" w:eastAsia="Times New Roman" w:hAnsi="Times New Roman"/>
                <w:sz w:val="9"/>
                <w:szCs w:val="9"/>
                <w:color w:val="auto"/>
              </w:rPr>
              <w:t>9</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Assigned</w:t>
            </w:r>
            <w:r>
              <w:rPr>
                <w:rFonts w:ascii="Times New Roman" w:cs="Times New Roman" w:eastAsia="Times New Roman" w:hAnsi="Times New Roman"/>
                <w:sz w:val="9"/>
                <w:szCs w:val="9"/>
                <w:color w:val="auto"/>
              </w:rPr>
              <w:t>10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Banks</w:t>
            </w:r>
            <w:r>
              <w:rPr>
                <w:rFonts w:ascii="Times New Roman" w:cs="Times New Roman" w:eastAsia="Times New Roman" w:hAnsi="Times New Roman"/>
                <w:sz w:val="9"/>
                <w:szCs w:val="9"/>
                <w:color w:val="auto"/>
              </w:rPr>
              <w:t>11</w:t>
            </w:r>
          </w:p>
        </w:tc>
        <w:tc>
          <w:tcPr>
            <w:tcW w:w="17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Assigned</w:t>
            </w:r>
            <w:r>
              <w:rPr>
                <w:rFonts w:ascii="Times New Roman" w:cs="Times New Roman" w:eastAsia="Times New Roman" w:hAnsi="Times New Roman"/>
                <w:sz w:val="9"/>
                <w:szCs w:val="9"/>
                <w:color w:val="auto"/>
              </w:rPr>
              <w:t>8</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9"/>
                <w:szCs w:val="9"/>
                <w:color w:val="auto"/>
              </w:rPr>
              <w:t>12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w:t>
            </w:r>
          </w:p>
        </w:tc>
      </w:tr>
      <w:tr>
        <w:trPr>
          <w:trHeight w:val="199"/>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968"/>
              <w:spacing w:after="0" w:line="200"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28"/>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spacing w:after="0"/>
              <w:rPr>
                <w:sz w:val="17"/>
                <w:szCs w:val="17"/>
                <w:color w:val="auto"/>
              </w:rPr>
            </w:pPr>
          </w:p>
        </w:tc>
      </w:tr>
      <w:tr>
        <w:trPr>
          <w:trHeight w:val="199"/>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968"/>
              <w:spacing w:after="0" w:line="200"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28"/>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spacing w:after="0"/>
              <w:rPr>
                <w:sz w:val="17"/>
                <w:szCs w:val="17"/>
                <w:color w:val="auto"/>
              </w:rPr>
            </w:pPr>
          </w:p>
        </w:tc>
      </w:tr>
      <w:tr>
        <w:trPr>
          <w:trHeight w:val="199"/>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968"/>
              <w:spacing w:after="0" w:line="200"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28"/>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spacing w:after="0"/>
              <w:rPr>
                <w:sz w:val="17"/>
                <w:szCs w:val="17"/>
                <w:color w:val="auto"/>
              </w:rPr>
            </w:pPr>
          </w:p>
        </w:tc>
      </w:tr>
      <w:tr>
        <w:trPr>
          <w:trHeight w:val="417"/>
        </w:trPr>
        <w:tc>
          <w:tcPr>
            <w:tcW w:w="1140" w:type="dxa"/>
            <w:vAlign w:val="bottom"/>
          </w:tcPr>
          <w:p>
            <w:pPr>
              <w:jc w:val="right"/>
              <w:ind w:right="428"/>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24"/>
                <w:szCs w:val="24"/>
                <w:color w:val="auto"/>
              </w:rPr>
            </w:pPr>
          </w:p>
        </w:tc>
        <w:tc>
          <w:tcPr>
            <w:tcW w:w="22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[Trade Date:</w:t>
            </w:r>
          </w:p>
        </w:tc>
        <w:tc>
          <w:tcPr>
            <w:tcW w:w="29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______________]</w:t>
            </w:r>
            <w:r>
              <w:rPr>
                <w:rFonts w:ascii="Times New Roman" w:cs="Times New Roman" w:eastAsia="Times New Roman" w:hAnsi="Times New Roman"/>
                <w:sz w:val="9"/>
                <w:szCs w:val="9"/>
                <w:color w:val="auto"/>
              </w:rPr>
              <w:t>13</w:t>
            </w:r>
          </w:p>
        </w:tc>
        <w:tc>
          <w:tcPr>
            <w:tcW w:w="82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36" w:lineRule="exact"/>
        <w:rPr>
          <w:sz w:val="20"/>
          <w:szCs w:val="20"/>
          <w:color w:val="auto"/>
        </w:rPr>
      </w:pPr>
    </w:p>
    <w:p>
      <w:pPr>
        <w:ind w:left="80" w:hanging="79"/>
        <w:spacing w:after="0"/>
        <w:tabs>
          <w:tab w:leader="none" w:pos="80" w:val="left"/>
        </w:tabs>
        <w:numPr>
          <w:ilvl w:val="0"/>
          <w:numId w:val="13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List each Assignor, as appropriate.</w:t>
      </w:r>
    </w:p>
    <w:p>
      <w:pPr>
        <w:spacing w:after="0" w:line="28"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9</w:t>
      </w:r>
      <w:r>
        <w:rPr>
          <w:rFonts w:ascii="Times New Roman" w:cs="Times New Roman" w:eastAsia="Times New Roman" w:hAnsi="Times New Roman"/>
          <w:sz w:val="15"/>
          <w:szCs w:val="15"/>
          <w:color w:val="auto"/>
        </w:rPr>
        <w:t xml:space="preserve"> List each Assignee, as appropriate.</w:t>
      </w:r>
    </w:p>
    <w:p>
      <w:pPr>
        <w:spacing w:after="0" w:line="12" w:lineRule="exact"/>
        <w:rPr>
          <w:rFonts w:ascii="Times New Roman" w:cs="Times New Roman" w:eastAsia="Times New Roman" w:hAnsi="Times New Roman"/>
          <w:sz w:val="15"/>
          <w:szCs w:val="15"/>
          <w:color w:val="auto"/>
          <w:vertAlign w:val="superscript"/>
        </w:rPr>
      </w:pPr>
    </w:p>
    <w:p>
      <w:pPr>
        <w:spacing w:after="0" w:line="256"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10</w:t>
      </w:r>
      <w:r>
        <w:rPr>
          <w:rFonts w:ascii="Times New Roman" w:cs="Times New Roman" w:eastAsia="Times New Roman" w:hAnsi="Times New Roman"/>
          <w:sz w:val="15"/>
          <w:szCs w:val="15"/>
          <w:color w:val="auto"/>
        </w:rPr>
        <w:t xml:space="preserve"> Fill in the appropriate terminology for the types of facilities under the Credit Agreement that are being assigned under this Assignment (e.g., “Revolving Credit Commitment,” “Term Loan Commitment,” etc.)</w:t>
      </w:r>
    </w:p>
    <w:p>
      <w:pPr>
        <w:spacing w:after="0" w:line="257"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11</w:t>
      </w:r>
      <w:r>
        <w:rPr>
          <w:rFonts w:ascii="Times New Roman" w:cs="Times New Roman" w:eastAsia="Times New Roman" w:hAnsi="Times New Roman"/>
          <w:sz w:val="15"/>
          <w:szCs w:val="15"/>
          <w:color w:val="auto"/>
        </w:rPr>
        <w:t xml:space="preserve"> Amount to be adjusted by the counterparties to take into account any payments or prepayments made between the Trade Date and the Effective Date.</w:t>
      </w: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12</w:t>
      </w:r>
      <w:r>
        <w:rPr>
          <w:rFonts w:ascii="Times New Roman" w:cs="Times New Roman" w:eastAsia="Times New Roman" w:hAnsi="Times New Roman"/>
          <w:sz w:val="15"/>
          <w:szCs w:val="15"/>
          <w:color w:val="auto"/>
        </w:rPr>
        <w:t xml:space="preserve"> Specified, to at least 9 decimals, as a percentage of the Commitment/Loans of all Banks thereunder.</w:t>
      </w:r>
    </w:p>
    <w:p>
      <w:pPr>
        <w:spacing w:after="0" w:line="21"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8"/>
          <w:szCs w:val="18"/>
          <w:color w:val="auto"/>
          <w:vertAlign w:val="superscript"/>
        </w:rPr>
        <w:t>13</w:t>
      </w:r>
      <w:r>
        <w:rPr>
          <w:rFonts w:ascii="Times New Roman" w:cs="Times New Roman" w:eastAsia="Times New Roman" w:hAnsi="Times New Roman"/>
          <w:sz w:val="15"/>
          <w:szCs w:val="15"/>
          <w:color w:val="auto"/>
        </w:rPr>
        <w:t xml:space="preserve"> To be completed if the Assignor(s) and the Assignee(s) intend that the minimum assignment amount is to be determined as of the Trade Date.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56" w:name="page157"/>
    <w:bookmarkEnd w:id="156"/>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Effective Date:</w:t>
        <w:tab/>
        <w:t>_____________ ___, 20___ [TO BE INSERTED BY AGENT AND WHICH SHALL BE THE</w:t>
      </w:r>
    </w:p>
    <w:p>
      <w:pPr>
        <w:spacing w:after="0" w:line="21" w:lineRule="exact"/>
        <w:rPr>
          <w:sz w:val="20"/>
          <w:szCs w:val="20"/>
          <w:color w:val="auto"/>
        </w:rPr>
      </w:pPr>
    </w:p>
    <w:p>
      <w:pPr>
        <w:ind w:right="1960"/>
        <w:spacing w:after="0" w:line="463" w:lineRule="auto"/>
        <w:rPr>
          <w:sz w:val="20"/>
          <w:szCs w:val="20"/>
          <w:color w:val="auto"/>
        </w:rPr>
      </w:pPr>
      <w:r>
        <w:rPr>
          <w:rFonts w:ascii="Times New Roman" w:cs="Times New Roman" w:eastAsia="Times New Roman" w:hAnsi="Times New Roman"/>
          <w:sz w:val="18"/>
          <w:szCs w:val="18"/>
          <w:color w:val="auto"/>
        </w:rPr>
        <w:t>EFFECTIVE DATE OF RECORDATION OF TRANSFER IN THE REGISTER THEREFOR.] The terms specified in this Assignment and Assumption are hereby agreed to:</w:t>
      </w:r>
    </w:p>
    <w:tbl>
      <w:tblPr>
        <w:tblLayout w:type="fixed"/>
        <w:tblInd w:w="10" w:type="dxa"/>
        <w:tblCellMar>
          <w:top w:w="0" w:type="dxa"/>
          <w:left w:w="0" w:type="dxa"/>
          <w:bottom w:w="0" w:type="dxa"/>
          <w:right w:w="0" w:type="dxa"/>
        </w:tblCellMar>
      </w:tblPr>
      <w:tr>
        <w:trPr>
          <w:trHeight w:val="178"/>
        </w:trPr>
        <w:tc>
          <w:tcPr>
            <w:tcW w:w="3840" w:type="dxa"/>
            <w:vAlign w:val="bottom"/>
            <w:tcBorders>
              <w:top w:val="single" w:sz="8" w:color="auto"/>
              <w:left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rPr>
              <w:t>ASSIGNOR[S]</w:t>
            </w:r>
            <w:r>
              <w:rPr>
                <w:rFonts w:ascii="Times New Roman" w:cs="Times New Roman" w:eastAsia="Times New Roman" w:hAnsi="Times New Roman"/>
                <w:sz w:val="9"/>
                <w:szCs w:val="9"/>
                <w:color w:val="auto"/>
              </w:rPr>
              <w:t>14</w:t>
            </w:r>
          </w:p>
        </w:tc>
        <w:tc>
          <w:tcPr>
            <w:tcW w:w="120" w:type="dxa"/>
            <w:vAlign w:val="bottom"/>
            <w:tcBorders>
              <w:top w:val="single" w:sz="8" w:color="auto"/>
              <w:right w:val="single" w:sz="8" w:color="auto"/>
            </w:tcBorders>
          </w:tcPr>
          <w:p>
            <w:pPr>
              <w:spacing w:after="0"/>
              <w:rPr>
                <w:sz w:val="15"/>
                <w:szCs w:val="15"/>
                <w:color w:val="auto"/>
              </w:rPr>
            </w:pPr>
          </w:p>
        </w:tc>
      </w:tr>
      <w:tr>
        <w:trPr>
          <w:trHeight w:val="231"/>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ASSIGNOR]</w:t>
            </w:r>
          </w:p>
        </w:tc>
        <w:tc>
          <w:tcPr>
            <w:tcW w:w="120" w:type="dxa"/>
            <w:vAlign w:val="bottom"/>
            <w:tcBorders>
              <w:right w:val="single" w:sz="8" w:color="auto"/>
            </w:tcBorders>
          </w:tcPr>
          <w:p>
            <w:pPr>
              <w:spacing w:after="0"/>
              <w:rPr>
                <w:sz w:val="20"/>
                <w:szCs w:val="20"/>
                <w:color w:val="auto"/>
              </w:rPr>
            </w:pPr>
          </w:p>
        </w:tc>
      </w:tr>
      <w:tr>
        <w:trPr>
          <w:trHeight w:val="546"/>
        </w:trPr>
        <w:tc>
          <w:tcPr>
            <w:tcW w:w="38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By:______________________________</w:t>
            </w:r>
          </w:p>
        </w:tc>
        <w:tc>
          <w:tcPr>
            <w:tcW w:w="120" w:type="dxa"/>
            <w:vAlign w:val="bottom"/>
            <w:tcBorders>
              <w:right w:val="single" w:sz="8" w:color="auto"/>
            </w:tcBorders>
          </w:tcPr>
          <w:p>
            <w:pPr>
              <w:spacing w:after="0"/>
              <w:rPr>
                <w:sz w:val="24"/>
                <w:szCs w:val="24"/>
                <w:color w:val="auto"/>
              </w:rPr>
            </w:pPr>
          </w:p>
        </w:tc>
      </w:tr>
      <w:tr>
        <w:trPr>
          <w:trHeight w:val="23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bottom w:val="single" w:sz="8" w:color="auto"/>
              <w:right w:val="single" w:sz="8" w:color="auto"/>
            </w:tcBorders>
          </w:tcPr>
          <w:p>
            <w:pPr>
              <w:spacing w:after="0"/>
              <w:rPr>
                <w:sz w:val="20"/>
                <w:szCs w:val="20"/>
                <w:color w:val="auto"/>
              </w:rPr>
            </w:pPr>
          </w:p>
        </w:tc>
      </w:tr>
      <w:tr>
        <w:trPr>
          <w:trHeight w:val="232"/>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[NAME OF ASSIGNOR]</w:t>
            </w:r>
          </w:p>
        </w:tc>
        <w:tc>
          <w:tcPr>
            <w:tcW w:w="120" w:type="dxa"/>
            <w:vAlign w:val="bottom"/>
            <w:tcBorders>
              <w:right w:val="single" w:sz="8" w:color="auto"/>
            </w:tcBorders>
          </w:tcPr>
          <w:p>
            <w:pPr>
              <w:spacing w:after="0"/>
              <w:rPr>
                <w:sz w:val="20"/>
                <w:szCs w:val="20"/>
                <w:color w:val="auto"/>
              </w:rPr>
            </w:pPr>
          </w:p>
        </w:tc>
      </w:tr>
      <w:tr>
        <w:trPr>
          <w:trHeight w:val="522"/>
        </w:trPr>
        <w:tc>
          <w:tcPr>
            <w:tcW w:w="38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By:______________________________</w:t>
            </w:r>
          </w:p>
        </w:tc>
        <w:tc>
          <w:tcPr>
            <w:tcW w:w="120" w:type="dxa"/>
            <w:vAlign w:val="bottom"/>
            <w:tcBorders>
              <w:right w:val="single" w:sz="8" w:color="auto"/>
            </w:tcBorders>
          </w:tcPr>
          <w:p>
            <w:pPr>
              <w:spacing w:after="0"/>
              <w:rPr>
                <w:sz w:val="24"/>
                <w:szCs w:val="24"/>
                <w:color w:val="auto"/>
              </w:rPr>
            </w:pPr>
          </w:p>
        </w:tc>
      </w:tr>
      <w:tr>
        <w:trPr>
          <w:trHeight w:val="23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bottom w:val="single" w:sz="8" w:color="auto"/>
              <w:right w:val="single" w:sz="8" w:color="auto"/>
            </w:tcBorders>
          </w:tcPr>
          <w:p>
            <w:pPr>
              <w:spacing w:after="0"/>
              <w:rPr>
                <w:sz w:val="20"/>
                <w:szCs w:val="20"/>
                <w:color w:val="auto"/>
              </w:rPr>
            </w:pPr>
          </w:p>
        </w:tc>
      </w:tr>
      <w:tr>
        <w:trPr>
          <w:trHeight w:val="177"/>
        </w:trPr>
        <w:tc>
          <w:tcPr>
            <w:tcW w:w="384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ASSIGNEE[S]</w:t>
            </w:r>
            <w:r>
              <w:rPr>
                <w:rFonts w:ascii="Times New Roman" w:cs="Times New Roman" w:eastAsia="Times New Roman" w:hAnsi="Times New Roman"/>
                <w:sz w:val="9"/>
                <w:szCs w:val="9"/>
                <w:color w:val="auto"/>
              </w:rPr>
              <w:t>15</w:t>
            </w:r>
          </w:p>
        </w:tc>
        <w:tc>
          <w:tcPr>
            <w:tcW w:w="120" w:type="dxa"/>
            <w:vAlign w:val="bottom"/>
            <w:tcBorders>
              <w:right w:val="single" w:sz="8" w:color="auto"/>
            </w:tcBorders>
          </w:tcPr>
          <w:p>
            <w:pPr>
              <w:spacing w:after="0"/>
              <w:rPr>
                <w:sz w:val="15"/>
                <w:szCs w:val="15"/>
                <w:color w:val="auto"/>
              </w:rPr>
            </w:pPr>
          </w:p>
        </w:tc>
      </w:tr>
      <w:tr>
        <w:trPr>
          <w:trHeight w:val="231"/>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ASSIGNEE]</w:t>
            </w:r>
          </w:p>
        </w:tc>
        <w:tc>
          <w:tcPr>
            <w:tcW w:w="120" w:type="dxa"/>
            <w:vAlign w:val="bottom"/>
            <w:tcBorders>
              <w:right w:val="single" w:sz="8" w:color="auto"/>
            </w:tcBorders>
          </w:tcPr>
          <w:p>
            <w:pPr>
              <w:spacing w:after="0"/>
              <w:rPr>
                <w:sz w:val="20"/>
                <w:szCs w:val="20"/>
                <w:color w:val="auto"/>
              </w:rPr>
            </w:pPr>
          </w:p>
        </w:tc>
      </w:tr>
      <w:tr>
        <w:trPr>
          <w:trHeight w:val="546"/>
        </w:trPr>
        <w:tc>
          <w:tcPr>
            <w:tcW w:w="38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By:______________________________</w:t>
            </w:r>
          </w:p>
        </w:tc>
        <w:tc>
          <w:tcPr>
            <w:tcW w:w="120" w:type="dxa"/>
            <w:vAlign w:val="bottom"/>
            <w:tcBorders>
              <w:right w:val="single" w:sz="8" w:color="auto"/>
            </w:tcBorders>
          </w:tcPr>
          <w:p>
            <w:pPr>
              <w:spacing w:after="0"/>
              <w:rPr>
                <w:sz w:val="24"/>
                <w:szCs w:val="24"/>
                <w:color w:val="auto"/>
              </w:rPr>
            </w:pPr>
          </w:p>
        </w:tc>
      </w:tr>
      <w:tr>
        <w:trPr>
          <w:trHeight w:val="23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bottom w:val="single" w:sz="8" w:color="auto"/>
              <w:right w:val="single" w:sz="8" w:color="auto"/>
            </w:tcBorders>
          </w:tcPr>
          <w:p>
            <w:pPr>
              <w:spacing w:after="0"/>
              <w:rPr>
                <w:sz w:val="20"/>
                <w:szCs w:val="20"/>
                <w:color w:val="auto"/>
              </w:rPr>
            </w:pPr>
          </w:p>
        </w:tc>
      </w:tr>
      <w:tr>
        <w:trPr>
          <w:trHeight w:val="232"/>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[NAME OF ASSIGNEE]</w:t>
            </w:r>
          </w:p>
        </w:tc>
        <w:tc>
          <w:tcPr>
            <w:tcW w:w="120" w:type="dxa"/>
            <w:vAlign w:val="bottom"/>
            <w:tcBorders>
              <w:right w:val="single" w:sz="8" w:color="auto"/>
            </w:tcBorders>
          </w:tcPr>
          <w:p>
            <w:pPr>
              <w:spacing w:after="0"/>
              <w:rPr>
                <w:sz w:val="20"/>
                <w:szCs w:val="20"/>
                <w:color w:val="auto"/>
              </w:rPr>
            </w:pPr>
          </w:p>
        </w:tc>
      </w:tr>
      <w:tr>
        <w:trPr>
          <w:trHeight w:val="522"/>
        </w:trPr>
        <w:tc>
          <w:tcPr>
            <w:tcW w:w="38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By:______________________________</w:t>
            </w:r>
          </w:p>
        </w:tc>
        <w:tc>
          <w:tcPr>
            <w:tcW w:w="120" w:type="dxa"/>
            <w:vAlign w:val="bottom"/>
            <w:tcBorders>
              <w:right w:val="single" w:sz="8" w:color="auto"/>
            </w:tcBorders>
          </w:tcPr>
          <w:p>
            <w:pPr>
              <w:spacing w:after="0"/>
              <w:rPr>
                <w:sz w:val="24"/>
                <w:szCs w:val="24"/>
                <w:color w:val="auto"/>
              </w:rPr>
            </w:pPr>
          </w:p>
        </w:tc>
      </w:tr>
      <w:tr>
        <w:trPr>
          <w:trHeight w:val="23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bottom w:val="single" w:sz="8" w:color="auto"/>
              <w:right w:val="single" w:sz="8" w:color="auto"/>
            </w:tcBorders>
          </w:tcPr>
          <w:p>
            <w:pPr>
              <w:spacing w:after="0"/>
              <w:rPr>
                <w:sz w:val="20"/>
                <w:szCs w:val="20"/>
                <w:color w:val="auto"/>
              </w:rPr>
            </w:pPr>
          </w:p>
        </w:tc>
      </w:tr>
      <w:tr>
        <w:trPr>
          <w:trHeight w:val="177"/>
        </w:trPr>
        <w:tc>
          <w:tcPr>
            <w:tcW w:w="38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9"/>
                <w:szCs w:val="9"/>
                <w:color w:val="auto"/>
              </w:rPr>
              <w:t>16</w:t>
            </w:r>
            <w:r>
              <w:rPr>
                <w:rFonts w:ascii="Times New Roman" w:cs="Times New Roman" w:eastAsia="Times New Roman" w:hAnsi="Times New Roman"/>
                <w:sz w:val="18"/>
                <w:szCs w:val="18"/>
                <w:color w:val="auto"/>
              </w:rPr>
              <w:t xml:space="preserve"> Accepted:</w:t>
            </w:r>
          </w:p>
        </w:tc>
        <w:tc>
          <w:tcPr>
            <w:tcW w:w="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20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PNC BANK, NATIONAL ASSOCIATION, as</w:t>
            </w: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r>
      <w:tr>
        <w:trPr>
          <w:trHeight w:val="241"/>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Agent</w:t>
            </w: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545"/>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By:_________________________________</w:t>
            </w: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231"/>
        </w:trPr>
        <w:tc>
          <w:tcPr>
            <w:tcW w:w="3840" w:type="dxa"/>
            <w:vAlign w:val="bottom"/>
            <w:tcBorders>
              <w:left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77"/>
        </w:trPr>
        <w:tc>
          <w:tcPr>
            <w:tcW w:w="38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9"/>
                <w:szCs w:val="9"/>
                <w:color w:val="auto"/>
              </w:rPr>
              <w:t>17</w:t>
            </w:r>
          </w:p>
        </w:tc>
        <w:tc>
          <w:tcPr>
            <w:tcW w:w="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241"/>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RELEVANT PARTY]</w:t>
            </w: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545"/>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By:________________________________</w:t>
            </w: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231"/>
        </w:trPr>
        <w:tc>
          <w:tcPr>
            <w:tcW w:w="3840" w:type="dxa"/>
            <w:vAlign w:val="bottom"/>
            <w:tcBorders>
              <w:left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41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03" w:lineRule="exact"/>
        <w:rPr>
          <w:sz w:val="20"/>
          <w:szCs w:val="20"/>
          <w:color w:val="auto"/>
        </w:rPr>
      </w:pPr>
    </w:p>
    <w:p>
      <w:pPr>
        <w:ind w:left="100" w:hanging="99"/>
        <w:spacing w:after="0"/>
        <w:tabs>
          <w:tab w:leader="none" w:pos="100" w:val="left"/>
        </w:tabs>
        <w:numPr>
          <w:ilvl w:val="0"/>
          <w:numId w:val="14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Add additional signature blocks as needed</w:t>
      </w:r>
    </w:p>
    <w:p>
      <w:pPr>
        <w:spacing w:after="0" w:line="39" w:lineRule="exact"/>
        <w:rPr>
          <w:rFonts w:ascii="Times New Roman" w:cs="Times New Roman" w:eastAsia="Times New Roman" w:hAnsi="Times New Roman"/>
          <w:sz w:val="14"/>
          <w:szCs w:val="14"/>
          <w:color w:val="auto"/>
          <w:vertAlign w:val="superscript"/>
        </w:rPr>
      </w:pPr>
    </w:p>
    <w:p>
      <w:pPr>
        <w:ind w:left="100" w:hanging="99"/>
        <w:spacing w:after="0"/>
        <w:tabs>
          <w:tab w:leader="none" w:pos="100" w:val="left"/>
        </w:tabs>
        <w:numPr>
          <w:ilvl w:val="0"/>
          <w:numId w:val="14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Add additional signature blocks as needed.</w:t>
      </w:r>
    </w:p>
    <w:p>
      <w:pPr>
        <w:spacing w:after="0" w:line="23" w:lineRule="exact"/>
        <w:rPr>
          <w:rFonts w:ascii="Times New Roman" w:cs="Times New Roman" w:eastAsia="Times New Roman" w:hAnsi="Times New Roman"/>
          <w:sz w:val="14"/>
          <w:szCs w:val="14"/>
          <w:color w:val="auto"/>
          <w:vertAlign w:val="superscript"/>
        </w:rPr>
      </w:pPr>
    </w:p>
    <w:p>
      <w:pPr>
        <w:ind w:left="120" w:hanging="119"/>
        <w:spacing w:after="0"/>
        <w:tabs>
          <w:tab w:leader="none" w:pos="120" w:val="left"/>
        </w:tabs>
        <w:numPr>
          <w:ilvl w:val="0"/>
          <w:numId w:val="14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To be added only if the consent of the Agent is required by the terms of the Credit Agreement.</w:t>
      </w:r>
    </w:p>
    <w:p>
      <w:pPr>
        <w:spacing w:after="0" w:line="12" w:lineRule="exact"/>
        <w:rPr>
          <w:rFonts w:ascii="Times New Roman" w:cs="Times New Roman" w:eastAsia="Times New Roman" w:hAnsi="Times New Roman"/>
          <w:sz w:val="15"/>
          <w:szCs w:val="15"/>
          <w:color w:val="auto"/>
          <w:vertAlign w:val="superscript"/>
        </w:rPr>
      </w:pPr>
    </w:p>
    <w:p>
      <w:pPr>
        <w:ind w:left="100" w:hanging="99"/>
        <w:spacing w:after="0"/>
        <w:tabs>
          <w:tab w:leader="none" w:pos="100" w:val="left"/>
        </w:tabs>
        <w:numPr>
          <w:ilvl w:val="0"/>
          <w:numId w:val="14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To be added only if the consent of the Borrower and/or other parties (e.g., Swing Line Banks) is required by the terms of the Credit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57" w:name="page158"/>
    <w:bookmarkEnd w:id="157"/>
    <w:p>
      <w:pPr>
        <w:ind w:left="8260"/>
        <w:spacing w:after="0"/>
        <w:rPr>
          <w:sz w:val="20"/>
          <w:szCs w:val="20"/>
          <w:color w:val="auto"/>
        </w:rPr>
      </w:pPr>
      <w:r>
        <w:rPr>
          <w:rFonts w:ascii="Times New Roman" w:cs="Times New Roman" w:eastAsia="Times New Roman" w:hAnsi="Times New Roman"/>
          <w:sz w:val="18"/>
          <w:szCs w:val="18"/>
          <w:color w:val="auto"/>
        </w:rPr>
        <w:t>ANNEX 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166" w:lineRule="exact"/>
        <w:rPr>
          <w:sz w:val="20"/>
          <w:szCs w:val="20"/>
          <w:color w:val="auto"/>
        </w:rPr>
      </w:pPr>
    </w:p>
    <w:p>
      <w:pPr>
        <w:ind w:left="1140" w:hanging="584"/>
        <w:spacing w:after="0"/>
        <w:tabs>
          <w:tab w:leader="none" w:pos="11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Assignor[s]</w:t>
      </w:r>
      <w:r>
        <w:rPr>
          <w:rFonts w:ascii="Times New Roman" w:cs="Times New Roman" w:eastAsia="Times New Roman" w:hAnsi="Times New Roman"/>
          <w:sz w:val="18"/>
          <w:szCs w:val="18"/>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Bank;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51"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Bank under the Credit Agreement, (ii) it meets all the requirements to be an assignee under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of the Credit Agreement (subject to such consents, if any, as may be required thereunder), (iii) from and after the Effective Date, it shall be bound by the provisions of the Credit Agreement as a Bank thereunder and, to the extent of [the][the relevant] Assigned Interest, shall have the obligations of a Bank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Agent or any other Bank and based on such documents and information as it has deemed appropriate, made its own credit analysis and decision to enter into this Assignment and Assumption and to purchase [the][such] Assigned Interest, and (vii) if it is a foreign Bank attached to the Assignment and Assumption is any documentation required to be delivered by it pursuant to the terms of the Credit Agreement, duly completed and executed by [the][such] Assignee; and (b) agrees that (i) it will, independently and without reliance on the Agent, [the][any]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532" w:right="1439" w:bottom="1440" w:gutter="0" w:footer="0" w:header="0"/>
        </w:sectPr>
      </w:pPr>
    </w:p>
    <w:bookmarkStart w:id="158" w:name="page159"/>
    <w:bookmarkEnd w:id="158"/>
    <w:p>
      <w:pPr>
        <w:jc w:val="both"/>
        <w:ind w:firstLine="556"/>
        <w:spacing w:after="0" w:line="249" w:lineRule="auto"/>
        <w:tabs>
          <w:tab w:leader="none" w:pos="124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Agent shall make all payments in respect of [the] [each]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Agent shall make all payments of interest, fees or other amounts paid or payable in kind from and after the Effective Date to [the][the relevant] Assignee.</w:t>
      </w:r>
    </w:p>
    <w:p>
      <w:pPr>
        <w:spacing w:after="0" w:line="358" w:lineRule="exact"/>
        <w:rPr>
          <w:rFonts w:ascii="Times New Roman" w:cs="Times New Roman" w:eastAsia="Times New Roman" w:hAnsi="Times New Roman"/>
          <w:sz w:val="18"/>
          <w:szCs w:val="18"/>
          <w:color w:val="auto"/>
        </w:rPr>
      </w:pPr>
    </w:p>
    <w:p>
      <w:pPr>
        <w:jc w:val="both"/>
        <w:ind w:firstLine="556"/>
        <w:spacing w:after="0" w:line="248" w:lineRule="auto"/>
        <w:tabs>
          <w:tab w:leader="none" w:pos="124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Commonwealth of Pennsylvania.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902335</wp:posOffset>
            </wp:positionH>
            <wp:positionV relativeFrom="page">
              <wp:posOffset>3998595</wp:posOffset>
            </wp:positionV>
            <wp:extent cx="5743575"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43575" cy="14605"/>
                    </a:xfrm>
                    <a:prstGeom prst="rect">
                      <a:avLst/>
                    </a:prstGeom>
                    <a:noFill/>
                  </pic:spPr>
                </pic:pic>
              </a:graphicData>
            </a:graphic>
          </wp:anchor>
        </w:drawing>
        <w:drawing>
          <wp:anchor simplePos="0" relativeHeight="251657728" behindDoc="1" locked="0" layoutInCell="0" allowOverlap="1">
            <wp:simplePos x="0" y="0"/>
            <wp:positionH relativeFrom="page">
              <wp:posOffset>889635</wp:posOffset>
            </wp:positionH>
            <wp:positionV relativeFrom="page">
              <wp:posOffset>4690110</wp:posOffset>
            </wp:positionV>
            <wp:extent cx="5783580" cy="47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83580" cy="47625"/>
                    </a:xfrm>
                    <a:prstGeom prst="rect">
                      <a:avLst/>
                    </a:prstGeom>
                    <a:noFill/>
                  </pic:spPr>
                </pic:pic>
              </a:graphicData>
            </a:graphic>
          </wp:anchor>
        </w:drawing>
        <w:t>EXECUTION VERSION</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CUSIP No. 69349CAP3</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REVOLVER CUSIP No. 69349CAQ15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134620</wp:posOffset>
            </wp:positionV>
            <wp:extent cx="5743575"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4357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PNG COMPANIES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Lead Arranger and Sole Bookrunner</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 2025</w:t>
      </w:r>
    </w:p>
    <w:p>
      <w:pPr>
        <w:sectPr>
          <w:pgSz w:w="11900" w:h="16838" w:orient="portrait"/>
          <w:cols w:equalWidth="0" w:num="1">
            <w:col w:w="9020"/>
          </w:cols>
          <w:pgMar w:left="1440" w:top="114" w:right="14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TABLE OF CONTENTS</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6"/>
        </w:trPr>
        <w:tc>
          <w:tcPr>
            <w:tcW w:w="71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SECTION 1. DEFINITIONS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Defined Terms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Other Definitional Provisions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Benchmark Replacement Notification; Rates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4</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Divisions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5</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Negative Covenant Compliance</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6</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Timing of Payment or Performance</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7</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Rounding</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8</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Certifications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188"/>
        </w:trPr>
        <w:tc>
          <w:tcPr>
            <w:tcW w:w="7120" w:type="dxa"/>
            <w:vAlign w:val="bottom"/>
            <w:gridSpan w:val="29"/>
          </w:tcPr>
          <w:p>
            <w:pPr>
              <w:spacing w:after="0" w:line="188" w:lineRule="exact"/>
              <w:rPr>
                <w:sz w:val="20"/>
                <w:szCs w:val="20"/>
                <w:color w:val="auto"/>
              </w:rPr>
            </w:pPr>
            <w:r>
              <w:rPr>
                <w:rFonts w:ascii="Times New Roman" w:cs="Times New Roman" w:eastAsia="Times New Roman" w:hAnsi="Times New Roman"/>
                <w:sz w:val="18"/>
                <w:szCs w:val="18"/>
                <w:color w:val="0000EE"/>
              </w:rPr>
              <w:t>SECTION 2. AMOUNT AND TERMS OF COMMITMENTS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Borders>
              <w:top w:val="single" w:sz="8" w:color="0000EE"/>
            </w:tcBorders>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3640" w:type="dxa"/>
            <w:vAlign w:val="bottom"/>
            <w:tcBorders>
              <w:top w:val="single" w:sz="8" w:color="0000EE"/>
            </w:tcBorders>
            <w:gridSpan w:val="22"/>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Revolving Commitments; Payments</w:t>
            </w:r>
          </w:p>
        </w:tc>
        <w:tc>
          <w:tcPr>
            <w:tcW w:w="2480" w:type="dxa"/>
            <w:vAlign w:val="bottom"/>
            <w:gridSpan w:val="5"/>
          </w:tcPr>
          <w:p>
            <w:pPr>
              <w:spacing w:after="0"/>
              <w:rPr>
                <w:sz w:val="16"/>
                <w:szCs w:val="16"/>
                <w:color w:val="auto"/>
              </w:rPr>
            </w:pPr>
          </w:p>
        </w:tc>
        <w:tc>
          <w:tcPr>
            <w:tcW w:w="1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Procedure for Revolving Loan Borrowing</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6120" w:type="dxa"/>
            <w:vAlign w:val="bottom"/>
            <w:gridSpan w:val="27"/>
          </w:tcPr>
          <w:p>
            <w:pPr>
              <w:ind w:left="80"/>
              <w:spacing w:after="0" w:line="188" w:lineRule="exact"/>
              <w:rPr>
                <w:sz w:val="20"/>
                <w:szCs w:val="20"/>
                <w:color w:val="auto"/>
              </w:rPr>
            </w:pPr>
            <w:r>
              <w:rPr>
                <w:rFonts w:ascii="Times New Roman" w:cs="Times New Roman" w:eastAsia="Times New Roman" w:hAnsi="Times New Roman"/>
                <w:sz w:val="18"/>
                <w:szCs w:val="18"/>
                <w:color w:val="0000EE"/>
              </w:rPr>
              <w:t>Additional Fees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Termination or Reduction of Total Revolving Commitments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Optional Prepayments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Mandatory Prepayments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Conversion and Continuation Options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Limitations on Tranches of Term SOFR Rate Loans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Interest Rates and Payment Dates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10</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Computation of Interest and Fees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line="20" w:lineRule="exact"/>
              <w:rPr>
                <w:sz w:val="1"/>
                <w:szCs w:val="1"/>
                <w:color w:val="auto"/>
              </w:rPr>
            </w:pPr>
          </w:p>
        </w:tc>
      </w:tr>
      <w:tr>
        <w:trPr>
          <w:trHeight w:val="188"/>
        </w:trPr>
        <w:tc>
          <w:tcPr>
            <w:tcW w:w="600" w:type="dxa"/>
            <w:vAlign w:val="bottom"/>
          </w:tcPr>
          <w:p>
            <w:pPr>
              <w:spacing w:after="0"/>
              <w:rPr>
                <w:sz w:val="16"/>
                <w:szCs w:val="16"/>
                <w:color w:val="auto"/>
              </w:rPr>
            </w:pPr>
          </w:p>
        </w:tc>
        <w:tc>
          <w:tcPr>
            <w:tcW w:w="6520" w:type="dxa"/>
            <w:vAlign w:val="bottom"/>
            <w:gridSpan w:val="28"/>
          </w:tcPr>
          <w:p>
            <w:pPr>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Inability to Determine Interest Rate</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12</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Pro Rata Treatment and Payments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13</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Requirements of Law</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14</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Taxes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15</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Indemnity</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16</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Change of Lending Office</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17</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Replacement of Lenders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18</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Benchmark Replacement Setting</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19</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Defaulting Lender</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20</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Swing Line Loans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21</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Conforming Changes Relating to the Term SOFR Rate</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8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line="20" w:lineRule="exact"/>
              <w:rPr>
                <w:sz w:val="1"/>
                <w:szCs w:val="1"/>
                <w:color w:val="auto"/>
              </w:rPr>
            </w:pPr>
          </w:p>
        </w:tc>
      </w:tr>
      <w:tr>
        <w:trPr>
          <w:trHeight w:val="188"/>
        </w:trPr>
        <w:tc>
          <w:tcPr>
            <w:tcW w:w="7120" w:type="dxa"/>
            <w:vAlign w:val="bottom"/>
            <w:gridSpan w:val="29"/>
          </w:tcPr>
          <w:p>
            <w:pPr>
              <w:spacing w:after="0" w:line="188" w:lineRule="exact"/>
              <w:rPr>
                <w:sz w:val="20"/>
                <w:szCs w:val="20"/>
                <w:color w:val="auto"/>
              </w:rPr>
            </w:pPr>
            <w:r>
              <w:rPr>
                <w:rFonts w:ascii="Times New Roman" w:cs="Times New Roman" w:eastAsia="Times New Roman" w:hAnsi="Times New Roman"/>
                <w:sz w:val="18"/>
                <w:szCs w:val="18"/>
                <w:color w:val="0000EE"/>
              </w:rPr>
              <w:t>SECTION 3. [Reserved]</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line="20" w:lineRule="exact"/>
              <w:rPr>
                <w:sz w:val="1"/>
                <w:szCs w:val="1"/>
                <w:color w:val="auto"/>
              </w:rPr>
            </w:pPr>
          </w:p>
        </w:tc>
      </w:tr>
      <w:tr>
        <w:trPr>
          <w:trHeight w:val="188"/>
        </w:trPr>
        <w:tc>
          <w:tcPr>
            <w:tcW w:w="4400" w:type="dxa"/>
            <w:vAlign w:val="bottom"/>
            <w:tcBorders>
              <w:bottom w:val="single" w:sz="8" w:color="0000EE"/>
            </w:tcBorders>
            <w:gridSpan w:val="22"/>
          </w:tcPr>
          <w:p>
            <w:pPr>
              <w:spacing w:after="0" w:line="188" w:lineRule="exact"/>
              <w:rPr>
                <w:sz w:val="20"/>
                <w:szCs w:val="20"/>
                <w:color w:val="auto"/>
              </w:rPr>
            </w:pPr>
            <w:r>
              <w:rPr>
                <w:rFonts w:ascii="Times New Roman" w:cs="Times New Roman" w:eastAsia="Times New Roman" w:hAnsi="Times New Roman"/>
                <w:sz w:val="18"/>
                <w:szCs w:val="18"/>
                <w:color w:val="0000EE"/>
              </w:rPr>
              <w:t>SECTION 4. REPRESENTATIONS AND WARRANTIES</w:t>
            </w:r>
          </w:p>
        </w:tc>
        <w:tc>
          <w:tcPr>
            <w:tcW w:w="2720" w:type="dxa"/>
            <w:vAlign w:val="bottom"/>
            <w:gridSpan w:val="7"/>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Financial Condition</w:t>
            </w:r>
          </w:p>
        </w:tc>
        <w:tc>
          <w:tcPr>
            <w:tcW w:w="1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No Change</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Existence; Compliance with Law</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Borders>
              <w:left w:val="single" w:sz="8" w:color="0000EE"/>
            </w:tcBorders>
            <w:gridSpan w:val="11"/>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Power; Authorization; Enforceable Obligations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500" w:type="dxa"/>
            <w:vAlign w:val="bottom"/>
            <w:tcBorders>
              <w:left w:val="single" w:sz="8" w:color="0000EE"/>
            </w:tcBorders>
            <w:gridSpan w:val="16"/>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No Legal Bar</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20" w:type="dxa"/>
            <w:vAlign w:val="bottom"/>
            <w:gridSpan w:val="22"/>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Litigation</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2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6120" w:type="dxa"/>
            <w:vAlign w:val="bottom"/>
            <w:gridSpan w:val="27"/>
          </w:tcPr>
          <w:p>
            <w:pPr>
              <w:ind w:left="100"/>
              <w:spacing w:after="0" w:line="188" w:lineRule="exact"/>
              <w:rPr>
                <w:sz w:val="20"/>
                <w:szCs w:val="20"/>
                <w:color w:val="auto"/>
              </w:rPr>
            </w:pPr>
            <w:r>
              <w:rPr>
                <w:rFonts w:ascii="Times New Roman" w:cs="Times New Roman" w:eastAsia="Times New Roman" w:hAnsi="Times New Roman"/>
                <w:sz w:val="18"/>
                <w:szCs w:val="18"/>
                <w:color w:val="0000EE"/>
              </w:rPr>
              <w:t>No Default</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5783580" cy="47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06" w:right="14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8"/>
          </w:tcPr>
          <w:p>
            <w:pPr>
              <w:jc w:val="center"/>
              <w:ind w:right="1620"/>
              <w:spacing w:after="0"/>
              <w:rPr>
                <w:sz w:val="20"/>
                <w:szCs w:val="20"/>
                <w:color w:val="auto"/>
              </w:rPr>
            </w:pPr>
            <w:r>
              <w:rPr>
                <w:rFonts w:ascii="Times New Roman" w:cs="Times New Roman" w:eastAsia="Times New Roman" w:hAnsi="Times New Roman"/>
                <w:sz w:val="18"/>
                <w:szCs w:val="18"/>
                <w:color w:val="auto"/>
              </w:rPr>
              <w:t>TABLE OF CONTENTS</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(continued)</w:t>
            </w:r>
          </w:p>
        </w:tc>
        <w:tc>
          <w:tcPr>
            <w:tcW w:w="1620" w:type="dxa"/>
            <w:vAlign w:val="bottom"/>
          </w:tcPr>
          <w:p>
            <w:pPr>
              <w:spacing w:after="0"/>
              <w:rPr>
                <w:sz w:val="20"/>
                <w:szCs w:val="20"/>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8"/>
        </w:trPr>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p>
        </w:tc>
        <w:tc>
          <w:tcPr>
            <w:tcW w:w="6080" w:type="dxa"/>
            <w:vAlign w:val="bottom"/>
            <w:gridSpan w:val="26"/>
          </w:tcPr>
          <w:p>
            <w:pPr>
              <w:ind w:left="100"/>
              <w:spacing w:after="0"/>
              <w:rPr>
                <w:sz w:val="20"/>
                <w:szCs w:val="20"/>
                <w:color w:val="auto"/>
              </w:rPr>
            </w:pPr>
            <w:r>
              <w:rPr>
                <w:rFonts w:ascii="Times New Roman" w:cs="Times New Roman" w:eastAsia="Times New Roman" w:hAnsi="Times New Roman"/>
                <w:sz w:val="18"/>
                <w:szCs w:val="18"/>
                <w:color w:val="0000EE"/>
              </w:rPr>
              <w:t>Ownership of Property; Liens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[Reserved]</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Taxes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11</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Federal Regulations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[Reserved]</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ERISA</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Investment Company Act</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Subsidiaries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Environmental Matters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p>
        </w:tc>
        <w:tc>
          <w:tcPr>
            <w:tcW w:w="6080" w:type="dxa"/>
            <w:vAlign w:val="bottom"/>
            <w:gridSpan w:val="26"/>
          </w:tcPr>
          <w:p>
            <w:pPr>
              <w:ind w:left="80"/>
              <w:spacing w:after="0" w:line="188" w:lineRule="exact"/>
              <w:rPr>
                <w:sz w:val="20"/>
                <w:szCs w:val="20"/>
                <w:color w:val="auto"/>
              </w:rPr>
            </w:pPr>
            <w:r>
              <w:rPr>
                <w:rFonts w:ascii="Times New Roman" w:cs="Times New Roman" w:eastAsia="Times New Roman" w:hAnsi="Times New Roman"/>
                <w:sz w:val="18"/>
                <w:szCs w:val="18"/>
                <w:color w:val="0000EE"/>
              </w:rPr>
              <w:t>Accuracy of Information, etc.</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Security Documents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Solvency</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[Reserved]</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21</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Patriot Act; Anti-Corruption Laws; Sanctions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Pari Passu Obligations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23</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Regulation</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24</w:t>
            </w:r>
          </w:p>
        </w:tc>
        <w:tc>
          <w:tcPr>
            <w:tcW w:w="6080" w:type="dxa"/>
            <w:vAlign w:val="bottom"/>
            <w:gridSpan w:val="26"/>
          </w:tcPr>
          <w:p>
            <w:pPr>
              <w:ind w:left="80"/>
              <w:spacing w:after="0" w:line="188" w:lineRule="exact"/>
              <w:rPr>
                <w:sz w:val="20"/>
                <w:szCs w:val="20"/>
                <w:color w:val="auto"/>
              </w:rPr>
            </w:pPr>
            <w:r>
              <w:rPr>
                <w:rFonts w:ascii="Times New Roman" w:cs="Times New Roman" w:eastAsia="Times New Roman" w:hAnsi="Times New Roman"/>
                <w:sz w:val="18"/>
                <w:szCs w:val="18"/>
                <w:color w:val="0000EE"/>
              </w:rPr>
              <w:t>Affected Financial Institutions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25</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Beneficial Ownership Certification</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line="20" w:lineRule="exact"/>
              <w:rPr>
                <w:sz w:val="1"/>
                <w:szCs w:val="1"/>
                <w:color w:val="auto"/>
              </w:rPr>
            </w:pPr>
          </w:p>
        </w:tc>
      </w:tr>
      <w:tr>
        <w:trPr>
          <w:trHeight w:val="188"/>
        </w:trPr>
        <w:tc>
          <w:tcPr>
            <w:tcW w:w="3280" w:type="dxa"/>
            <w:vAlign w:val="bottom"/>
            <w:tcBorders>
              <w:bottom w:val="single" w:sz="8" w:color="0000EE"/>
            </w:tcBorders>
            <w:gridSpan w:val="16"/>
          </w:tcPr>
          <w:p>
            <w:pPr>
              <w:spacing w:after="0" w:line="188" w:lineRule="exact"/>
              <w:rPr>
                <w:sz w:val="20"/>
                <w:szCs w:val="20"/>
                <w:color w:val="auto"/>
              </w:rPr>
            </w:pPr>
            <w:r>
              <w:rPr>
                <w:rFonts w:ascii="Times New Roman" w:cs="Times New Roman" w:eastAsia="Times New Roman" w:hAnsi="Times New Roman"/>
                <w:sz w:val="18"/>
                <w:szCs w:val="18"/>
                <w:color w:val="0000EE"/>
              </w:rPr>
              <w:t>SECTION 5. CONDITIONS PRECEDENT</w:t>
            </w:r>
          </w:p>
        </w:tc>
        <w:tc>
          <w:tcPr>
            <w:tcW w:w="3800" w:type="dxa"/>
            <w:vAlign w:val="bottom"/>
            <w:gridSpan w:val="12"/>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Conditions to Initial Extension of Credit</w:t>
            </w:r>
          </w:p>
        </w:tc>
        <w:tc>
          <w:tcPr>
            <w:tcW w:w="1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Conditions to Each Extension of Credit</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tcBorders>
              <w:left w:val="single" w:sz="8" w:color="0000EE"/>
            </w:tcBorders>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line="20" w:lineRule="exact"/>
              <w:rPr>
                <w:sz w:val="1"/>
                <w:szCs w:val="1"/>
                <w:color w:val="auto"/>
              </w:rPr>
            </w:pPr>
          </w:p>
        </w:tc>
      </w:tr>
      <w:tr>
        <w:trPr>
          <w:trHeight w:val="188"/>
        </w:trPr>
        <w:tc>
          <w:tcPr>
            <w:tcW w:w="3420" w:type="dxa"/>
            <w:vAlign w:val="bottom"/>
            <w:tcBorders>
              <w:bottom w:val="single" w:sz="8" w:color="0000EE"/>
            </w:tcBorders>
            <w:gridSpan w:val="19"/>
          </w:tcPr>
          <w:p>
            <w:pPr>
              <w:spacing w:after="0" w:line="188" w:lineRule="exact"/>
              <w:rPr>
                <w:sz w:val="20"/>
                <w:szCs w:val="20"/>
                <w:color w:val="auto"/>
              </w:rPr>
            </w:pPr>
            <w:r>
              <w:rPr>
                <w:rFonts w:ascii="Times New Roman" w:cs="Times New Roman" w:eastAsia="Times New Roman" w:hAnsi="Times New Roman"/>
                <w:sz w:val="18"/>
                <w:szCs w:val="18"/>
                <w:color w:val="0000EE"/>
              </w:rPr>
              <w:t>SECTION 6. AFFIRMATIVE COVENANTS</w:t>
            </w:r>
          </w:p>
        </w:tc>
        <w:tc>
          <w:tcPr>
            <w:tcW w:w="3660" w:type="dxa"/>
            <w:vAlign w:val="bottom"/>
            <w:gridSpan w:val="9"/>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Financial Statements</w:t>
            </w:r>
          </w:p>
        </w:tc>
        <w:tc>
          <w:tcPr>
            <w:tcW w:w="1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Certificates; Other Information</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Payment of Taxes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4</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Maintenance of Existence; Compliance</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5</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Maintenance of Property; Insurance</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6</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Inspection of Property; Books and Records; Discussions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900" w:type="dxa"/>
            <w:vAlign w:val="bottom"/>
            <w:tcBorders>
              <w:left w:val="single" w:sz="8" w:color="0000EE"/>
            </w:tcBorders>
            <w:gridSpan w:val="9"/>
            <w:shd w:val="clear" w:color="auto" w:fill="0000EE"/>
          </w:tcPr>
          <w:p>
            <w:pPr>
              <w:spacing w:after="0" w:line="20" w:lineRule="exact"/>
              <w:rPr>
                <w:sz w:val="1"/>
                <w:szCs w:val="1"/>
                <w:color w:val="auto"/>
              </w:rPr>
            </w:pPr>
          </w:p>
        </w:tc>
        <w:tc>
          <w:tcPr>
            <w:tcW w:w="1860" w:type="dxa"/>
            <w:vAlign w:val="bottom"/>
            <w:tcBorders>
              <w:left w:val="single" w:sz="8" w:color="0000EE"/>
            </w:tcBorders>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7</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Notices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8</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Environmental Laws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9</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Use of Proceeds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10</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Further Assurances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11</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[Reserved]</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12</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Intercompany Loans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7"/>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13</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First Priority Security Interest</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7"/>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14</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Direct Ownership</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7"/>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120" w:type="dxa"/>
            <w:vAlign w:val="bottom"/>
            <w:gridSpan w:val="11"/>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15</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Sanctions; Anti-Terrorism Laws; Anti-Corruption Laws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9"/>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120" w:type="dxa"/>
            <w:vAlign w:val="bottom"/>
            <w:gridSpan w:val="11"/>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line="20" w:lineRule="exact"/>
              <w:rPr>
                <w:sz w:val="1"/>
                <w:szCs w:val="1"/>
                <w:color w:val="auto"/>
              </w:rPr>
            </w:pPr>
          </w:p>
        </w:tc>
      </w:tr>
      <w:tr>
        <w:trPr>
          <w:trHeight w:val="188"/>
        </w:trPr>
        <w:tc>
          <w:tcPr>
            <w:tcW w:w="3100" w:type="dxa"/>
            <w:vAlign w:val="bottom"/>
            <w:tcBorders>
              <w:bottom w:val="single" w:sz="8" w:color="0000EE"/>
            </w:tcBorders>
            <w:gridSpan w:val="15"/>
          </w:tcPr>
          <w:p>
            <w:pPr>
              <w:spacing w:after="0" w:line="188" w:lineRule="exact"/>
              <w:rPr>
                <w:sz w:val="20"/>
                <w:szCs w:val="20"/>
                <w:color w:val="auto"/>
              </w:rPr>
            </w:pPr>
            <w:r>
              <w:rPr>
                <w:rFonts w:ascii="Times New Roman" w:cs="Times New Roman" w:eastAsia="Times New Roman" w:hAnsi="Times New Roman"/>
                <w:sz w:val="18"/>
                <w:szCs w:val="18"/>
                <w:color w:val="0000EE"/>
              </w:rPr>
              <w:t>SECTION 7. NEGATIVE COVENANTS</w:t>
            </w:r>
          </w:p>
        </w:tc>
        <w:tc>
          <w:tcPr>
            <w:tcW w:w="3980" w:type="dxa"/>
            <w:vAlign w:val="bottom"/>
            <w:gridSpan w:val="13"/>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Financial Covenants</w:t>
            </w:r>
          </w:p>
        </w:tc>
        <w:tc>
          <w:tcPr>
            <w:tcW w:w="1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9"/>
            <w:shd w:val="clear" w:color="auto" w:fill="0000EE"/>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2</w:t>
            </w:r>
          </w:p>
        </w:tc>
        <w:tc>
          <w:tcPr>
            <w:tcW w:w="6080" w:type="dxa"/>
            <w:vAlign w:val="bottom"/>
            <w:gridSpan w:val="26"/>
          </w:tcPr>
          <w:p>
            <w:pPr>
              <w:ind w:left="100"/>
              <w:spacing w:after="0" w:line="188" w:lineRule="exact"/>
              <w:rPr>
                <w:sz w:val="20"/>
                <w:szCs w:val="20"/>
                <w:color w:val="auto"/>
              </w:rPr>
            </w:pPr>
            <w:r>
              <w:rPr>
                <w:rFonts w:ascii="Times New Roman" w:cs="Times New Roman" w:eastAsia="Times New Roman" w:hAnsi="Times New Roman"/>
                <w:sz w:val="18"/>
                <w:szCs w:val="18"/>
                <w:color w:val="0000EE"/>
              </w:rPr>
              <w:t>Liens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5783580" cy="476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06" w:right="14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gridSpan w:val="11"/>
          </w:tcPr>
          <w:p>
            <w:pPr>
              <w:jc w:val="center"/>
              <w:ind w:right="2140"/>
              <w:spacing w:after="0"/>
              <w:rPr>
                <w:sz w:val="20"/>
                <w:szCs w:val="20"/>
                <w:color w:val="auto"/>
              </w:rPr>
            </w:pPr>
            <w:r>
              <w:rPr>
                <w:rFonts w:ascii="Times New Roman" w:cs="Times New Roman" w:eastAsia="Times New Roman" w:hAnsi="Times New Roman"/>
                <w:sz w:val="18"/>
                <w:szCs w:val="18"/>
                <w:color w:val="auto"/>
              </w:rPr>
              <w:t>TABLE OF CONTENTS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7"/>
          </w:tcPr>
          <w:p>
            <w:pPr>
              <w:jc w:val="center"/>
              <w:ind w:right="400"/>
              <w:spacing w:after="0"/>
              <w:rPr>
                <w:sz w:val="20"/>
                <w:szCs w:val="20"/>
                <w:color w:val="auto"/>
              </w:rPr>
            </w:pPr>
            <w:r>
              <w:rPr>
                <w:rFonts w:ascii="Times New Roman" w:cs="Times New Roman" w:eastAsia="Times New Roman" w:hAnsi="Times New Roman"/>
                <w:sz w:val="18"/>
                <w:szCs w:val="18"/>
                <w:color w:val="auto"/>
              </w:rPr>
              <w:t>(continued)</w:t>
            </w:r>
          </w:p>
        </w:tc>
        <w:tc>
          <w:tcPr>
            <w:tcW w:w="2140" w:type="dxa"/>
            <w:vAlign w:val="bottom"/>
            <w:gridSpan w:val="2"/>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8"/>
        </w:trPr>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3</w:t>
            </w:r>
          </w:p>
        </w:tc>
        <w:tc>
          <w:tcPr>
            <w:tcW w:w="6600" w:type="dxa"/>
            <w:vAlign w:val="bottom"/>
            <w:gridSpan w:val="28"/>
          </w:tcPr>
          <w:p>
            <w:pPr>
              <w:ind w:left="100"/>
              <w:spacing w:after="0"/>
              <w:rPr>
                <w:sz w:val="20"/>
                <w:szCs w:val="20"/>
                <w:color w:val="auto"/>
              </w:rPr>
            </w:pPr>
            <w:r>
              <w:rPr>
                <w:rFonts w:ascii="Times New Roman" w:cs="Times New Roman" w:eastAsia="Times New Roman" w:hAnsi="Times New Roman"/>
                <w:sz w:val="18"/>
                <w:szCs w:val="18"/>
                <w:color w:val="0000EE"/>
              </w:rPr>
              <w:t>Fundamental Changes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4</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Disposition of Property</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5</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Restricted Payments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6</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Transactions with Affiliates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7</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Indebtedness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8</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Swap Agreements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9</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Changes in Fiscal Periods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10</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Clauses Restricting Distributions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88"/>
        </w:trPr>
        <w:tc>
          <w:tcPr>
            <w:tcW w:w="600" w:type="dxa"/>
            <w:vAlign w:val="bottom"/>
          </w:tcPr>
          <w:p>
            <w:pPr>
              <w:spacing w:after="0"/>
              <w:rPr>
                <w:sz w:val="16"/>
                <w:szCs w:val="16"/>
                <w:color w:val="auto"/>
              </w:rPr>
            </w:pPr>
          </w:p>
        </w:tc>
        <w:tc>
          <w:tcPr>
            <w:tcW w:w="3560" w:type="dxa"/>
            <w:vAlign w:val="bottom"/>
            <w:tcBorders>
              <w:bottom w:val="single" w:sz="8" w:color="0000EE"/>
            </w:tcBorders>
            <w:gridSpan w:val="21"/>
          </w:tcPr>
          <w:p>
            <w:pPr>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Amendments to Indebtedness Documents</w:t>
            </w:r>
          </w:p>
        </w:tc>
        <w:tc>
          <w:tcPr>
            <w:tcW w:w="3440" w:type="dxa"/>
            <w:vAlign w:val="bottom"/>
            <w:gridSpan w:val="8"/>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12</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New Subsidiaries</w:t>
            </w:r>
          </w:p>
        </w:tc>
        <w:tc>
          <w:tcPr>
            <w:tcW w:w="14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13</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Lines of Business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14</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[Reserved]</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15</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Use of Proceeds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16</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Sanctions and other Anti-Terrorism Laws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line="20" w:lineRule="exact"/>
              <w:rPr>
                <w:sz w:val="1"/>
                <w:szCs w:val="1"/>
                <w:color w:val="auto"/>
              </w:rPr>
            </w:pPr>
          </w:p>
        </w:tc>
      </w:tr>
      <w:tr>
        <w:trPr>
          <w:trHeight w:val="188"/>
        </w:trPr>
        <w:tc>
          <w:tcPr>
            <w:tcW w:w="7600" w:type="dxa"/>
            <w:vAlign w:val="bottom"/>
            <w:gridSpan w:val="30"/>
          </w:tcPr>
          <w:p>
            <w:pPr>
              <w:spacing w:after="0" w:line="188" w:lineRule="exact"/>
              <w:rPr>
                <w:sz w:val="20"/>
                <w:szCs w:val="20"/>
                <w:color w:val="auto"/>
              </w:rPr>
            </w:pPr>
            <w:r>
              <w:rPr>
                <w:rFonts w:ascii="Times New Roman" w:cs="Times New Roman" w:eastAsia="Times New Roman" w:hAnsi="Times New Roman"/>
                <w:sz w:val="18"/>
                <w:szCs w:val="18"/>
                <w:color w:val="0000EE"/>
              </w:rPr>
              <w:t>SECTION 8. EVENTS OF DEFAULT</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60" w:type="dxa"/>
            <w:vAlign w:val="bottom"/>
            <w:tcBorders>
              <w:top w:val="single" w:sz="8" w:color="0000EE"/>
              <w:bottom w:val="single" w:sz="8" w:color="0000EE"/>
            </w:tcBorders>
            <w:gridSpan w:val="7"/>
          </w:tcPr>
          <w:p>
            <w:pPr>
              <w:spacing w:after="0" w:line="188" w:lineRule="exact"/>
              <w:rPr>
                <w:sz w:val="20"/>
                <w:szCs w:val="20"/>
                <w:color w:val="auto"/>
              </w:rPr>
            </w:pPr>
            <w:r>
              <w:rPr>
                <w:rFonts w:ascii="Times New Roman" w:cs="Times New Roman" w:eastAsia="Times New Roman" w:hAnsi="Times New Roman"/>
                <w:sz w:val="18"/>
                <w:szCs w:val="18"/>
                <w:color w:val="0000EE"/>
              </w:rPr>
              <w:t>SECTION 9. THE AGENTS</w:t>
            </w:r>
          </w:p>
        </w:tc>
        <w:tc>
          <w:tcPr>
            <w:tcW w:w="660" w:type="dxa"/>
            <w:vAlign w:val="bottom"/>
            <w:tcBorders>
              <w:top w:val="single" w:sz="8" w:color="0000EE"/>
            </w:tcBorders>
            <w:gridSpan w:val="7"/>
          </w:tcPr>
          <w:p>
            <w:pPr>
              <w:spacing w:after="0"/>
              <w:rPr>
                <w:sz w:val="16"/>
                <w:szCs w:val="16"/>
                <w:color w:val="auto"/>
              </w:rPr>
            </w:pPr>
          </w:p>
        </w:tc>
        <w:tc>
          <w:tcPr>
            <w:tcW w:w="4780" w:type="dxa"/>
            <w:vAlign w:val="bottom"/>
            <w:gridSpan w:val="16"/>
          </w:tcPr>
          <w:p>
            <w:pPr>
              <w:spacing w:after="0"/>
              <w:rPr>
                <w:sz w:val="16"/>
                <w:szCs w:val="16"/>
                <w:color w:val="auto"/>
              </w:rPr>
            </w:pPr>
          </w:p>
        </w:tc>
        <w:tc>
          <w:tcPr>
            <w:tcW w:w="14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6600" w:type="dxa"/>
            <w:vAlign w:val="bottom"/>
            <w:gridSpan w:val="28"/>
          </w:tcPr>
          <w:p>
            <w:pPr>
              <w:ind w:left="80"/>
              <w:spacing w:after="0" w:line="188" w:lineRule="exact"/>
              <w:rPr>
                <w:sz w:val="20"/>
                <w:szCs w:val="20"/>
                <w:color w:val="auto"/>
              </w:rPr>
            </w:pPr>
            <w:r>
              <w:rPr>
                <w:rFonts w:ascii="Times New Roman" w:cs="Times New Roman" w:eastAsia="Times New Roman" w:hAnsi="Times New Roman"/>
                <w:sz w:val="18"/>
                <w:szCs w:val="18"/>
                <w:color w:val="0000EE"/>
              </w:rPr>
              <w:t>Appointment</w:t>
            </w:r>
          </w:p>
        </w:tc>
        <w:tc>
          <w:tcPr>
            <w:tcW w:w="14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2</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Delegation of Duties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3</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Exculpatory Provisions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4</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Reliance by Administrative Agent; Delegation of Duties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5</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Notice of Default</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6</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Non-Reliance on Agents and Other Lenders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7</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Indemnification</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8</w:t>
            </w:r>
          </w:p>
        </w:tc>
        <w:tc>
          <w:tcPr>
            <w:tcW w:w="6600" w:type="dxa"/>
            <w:vAlign w:val="bottom"/>
            <w:gridSpan w:val="28"/>
          </w:tcPr>
          <w:p>
            <w:pPr>
              <w:ind w:left="80"/>
              <w:spacing w:after="0" w:line="188" w:lineRule="exact"/>
              <w:rPr>
                <w:sz w:val="20"/>
                <w:szCs w:val="20"/>
                <w:color w:val="auto"/>
              </w:rPr>
            </w:pPr>
            <w:r>
              <w:rPr>
                <w:rFonts w:ascii="Times New Roman" w:cs="Times New Roman" w:eastAsia="Times New Roman" w:hAnsi="Times New Roman"/>
                <w:sz w:val="18"/>
                <w:szCs w:val="18"/>
                <w:color w:val="0000EE"/>
              </w:rPr>
              <w:t>Agent in Its Individual Capacity</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9</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Successor Administrative Agent</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10</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Lead Arranger</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11</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Certain ERISA Matters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12</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Erroneous Payments.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13</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No Advisory or Fiduciary Relationship</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14</w:t>
            </w:r>
          </w:p>
        </w:tc>
        <w:tc>
          <w:tcPr>
            <w:tcW w:w="6600" w:type="dxa"/>
            <w:vAlign w:val="bottom"/>
            <w:gridSpan w:val="28"/>
          </w:tcPr>
          <w:p>
            <w:pPr>
              <w:ind w:left="80"/>
              <w:spacing w:after="0" w:line="188" w:lineRule="exact"/>
              <w:rPr>
                <w:sz w:val="20"/>
                <w:szCs w:val="20"/>
                <w:color w:val="auto"/>
              </w:rPr>
            </w:pPr>
            <w:r>
              <w:rPr>
                <w:rFonts w:ascii="Times New Roman" w:cs="Times New Roman" w:eastAsia="Times New Roman" w:hAnsi="Times New Roman"/>
                <w:sz w:val="18"/>
                <w:szCs w:val="18"/>
                <w:color w:val="0000EE"/>
              </w:rPr>
              <w:t>Administrative Agent May File Proofs of Claim</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15</w:t>
            </w:r>
          </w:p>
        </w:tc>
        <w:tc>
          <w:tcPr>
            <w:tcW w:w="6600" w:type="dxa"/>
            <w:vAlign w:val="bottom"/>
            <w:gridSpan w:val="28"/>
          </w:tcPr>
          <w:p>
            <w:pPr>
              <w:ind w:left="100"/>
              <w:spacing w:after="0" w:line="188" w:lineRule="exact"/>
              <w:rPr>
                <w:sz w:val="20"/>
                <w:szCs w:val="20"/>
                <w:color w:val="auto"/>
              </w:rPr>
            </w:pPr>
            <w:r>
              <w:rPr>
                <w:rFonts w:ascii="Times New Roman" w:cs="Times New Roman" w:eastAsia="Times New Roman" w:hAnsi="Times New Roman"/>
                <w:sz w:val="18"/>
                <w:szCs w:val="18"/>
                <w:color w:val="0000EE"/>
              </w:rPr>
              <w:t>No Reliance on Administrative Agent’s Customer Identification Program</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line="20" w:lineRule="exact"/>
              <w:rPr>
                <w:sz w:val="1"/>
                <w:szCs w:val="1"/>
                <w:color w:val="auto"/>
              </w:rPr>
            </w:pPr>
          </w:p>
        </w:tc>
      </w:tr>
      <w:tr>
        <w:trPr>
          <w:trHeight w:val="188"/>
        </w:trPr>
        <w:tc>
          <w:tcPr>
            <w:tcW w:w="7600" w:type="dxa"/>
            <w:vAlign w:val="bottom"/>
            <w:gridSpan w:val="30"/>
          </w:tcPr>
          <w:p>
            <w:pPr>
              <w:spacing w:after="0" w:line="188" w:lineRule="exact"/>
              <w:rPr>
                <w:sz w:val="20"/>
                <w:szCs w:val="20"/>
                <w:color w:val="auto"/>
              </w:rPr>
            </w:pPr>
            <w:r>
              <w:rPr>
                <w:rFonts w:ascii="Times New Roman" w:cs="Times New Roman" w:eastAsia="Times New Roman" w:hAnsi="Times New Roman"/>
                <w:sz w:val="18"/>
                <w:szCs w:val="18"/>
                <w:color w:val="0000EE"/>
              </w:rPr>
              <w:t>SECTION 10. MISCELLANEOUS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600" w:type="dxa"/>
            <w:vAlign w:val="bottom"/>
            <w:gridSpan w:val="28"/>
          </w:tcPr>
          <w:p>
            <w:pPr>
              <w:ind w:left="180"/>
              <w:spacing w:after="0" w:line="188" w:lineRule="exact"/>
              <w:rPr>
                <w:sz w:val="20"/>
                <w:szCs w:val="20"/>
                <w:color w:val="auto"/>
              </w:rPr>
            </w:pPr>
            <w:r>
              <w:rPr>
                <w:rFonts w:ascii="Times New Roman" w:cs="Times New Roman" w:eastAsia="Times New Roman" w:hAnsi="Times New Roman"/>
                <w:sz w:val="18"/>
                <w:szCs w:val="18"/>
                <w:color w:val="0000EE"/>
              </w:rPr>
              <w:t>Amendments and Waivers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6600" w:type="dxa"/>
            <w:vAlign w:val="bottom"/>
            <w:gridSpan w:val="28"/>
          </w:tcPr>
          <w:p>
            <w:pPr>
              <w:ind w:left="200"/>
              <w:spacing w:after="0" w:line="188" w:lineRule="exact"/>
              <w:rPr>
                <w:sz w:val="20"/>
                <w:szCs w:val="20"/>
                <w:color w:val="auto"/>
              </w:rPr>
            </w:pPr>
            <w:r>
              <w:rPr>
                <w:rFonts w:ascii="Times New Roman" w:cs="Times New Roman" w:eastAsia="Times New Roman" w:hAnsi="Times New Roman"/>
                <w:sz w:val="18"/>
                <w:szCs w:val="18"/>
                <w:color w:val="0000EE"/>
              </w:rPr>
              <w:t>Notices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6600" w:type="dxa"/>
            <w:vAlign w:val="bottom"/>
            <w:gridSpan w:val="28"/>
          </w:tcPr>
          <w:p>
            <w:pPr>
              <w:ind w:left="200"/>
              <w:spacing w:after="0" w:line="188" w:lineRule="exact"/>
              <w:rPr>
                <w:sz w:val="20"/>
                <w:szCs w:val="20"/>
                <w:color w:val="auto"/>
              </w:rPr>
            </w:pPr>
            <w:r>
              <w:rPr>
                <w:rFonts w:ascii="Times New Roman" w:cs="Times New Roman" w:eastAsia="Times New Roman" w:hAnsi="Times New Roman"/>
                <w:sz w:val="18"/>
                <w:szCs w:val="18"/>
                <w:color w:val="0000EE"/>
              </w:rPr>
              <w:t>No Waiver; Cumulative Remedies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000" w:type="dxa"/>
            <w:vAlign w:val="bottom"/>
            <w:tcBorders>
              <w:left w:val="single" w:sz="8" w:color="0000EE"/>
            </w:tcBorders>
            <w:gridSpan w:val="7"/>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6600" w:type="dxa"/>
            <w:vAlign w:val="bottom"/>
            <w:gridSpan w:val="28"/>
          </w:tcPr>
          <w:p>
            <w:pPr>
              <w:ind w:left="200"/>
              <w:spacing w:after="0" w:line="188" w:lineRule="exact"/>
              <w:rPr>
                <w:sz w:val="20"/>
                <w:szCs w:val="20"/>
                <w:color w:val="auto"/>
              </w:rPr>
            </w:pPr>
            <w:r>
              <w:rPr>
                <w:rFonts w:ascii="Times New Roman" w:cs="Times New Roman" w:eastAsia="Times New Roman" w:hAnsi="Times New Roman"/>
                <w:sz w:val="18"/>
                <w:szCs w:val="18"/>
                <w:color w:val="0000EE"/>
              </w:rPr>
              <w:t>Survival of Representations and Warranties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680" w:type="dxa"/>
            <w:vAlign w:val="bottom"/>
            <w:tcBorders>
              <w:left w:val="single" w:sz="8" w:color="0000EE"/>
            </w:tcBorders>
            <w:gridSpan w:val="11"/>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p>
        </w:tc>
        <w:tc>
          <w:tcPr>
            <w:tcW w:w="6600" w:type="dxa"/>
            <w:vAlign w:val="bottom"/>
            <w:gridSpan w:val="28"/>
          </w:tcPr>
          <w:p>
            <w:pPr>
              <w:ind w:left="200"/>
              <w:spacing w:after="0" w:line="188" w:lineRule="exact"/>
              <w:rPr>
                <w:sz w:val="20"/>
                <w:szCs w:val="20"/>
                <w:color w:val="auto"/>
              </w:rPr>
            </w:pPr>
            <w:r>
              <w:rPr>
                <w:rFonts w:ascii="Times New Roman" w:cs="Times New Roman" w:eastAsia="Times New Roman" w:hAnsi="Times New Roman"/>
                <w:sz w:val="18"/>
                <w:szCs w:val="18"/>
                <w:color w:val="0000EE"/>
              </w:rPr>
              <w:t>Payment of Expenses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2660" w:type="dxa"/>
            <w:vAlign w:val="bottom"/>
            <w:tcBorders>
              <w:left w:val="single" w:sz="8" w:color="0000EE"/>
            </w:tcBorders>
            <w:gridSpan w:val="14"/>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p>
        </w:tc>
        <w:tc>
          <w:tcPr>
            <w:tcW w:w="6600" w:type="dxa"/>
            <w:vAlign w:val="bottom"/>
            <w:gridSpan w:val="28"/>
          </w:tcPr>
          <w:p>
            <w:pPr>
              <w:ind w:left="200"/>
              <w:spacing w:after="0" w:line="188" w:lineRule="exact"/>
              <w:rPr>
                <w:sz w:val="20"/>
                <w:szCs w:val="20"/>
                <w:color w:val="auto"/>
              </w:rPr>
            </w:pPr>
            <w:r>
              <w:rPr>
                <w:rFonts w:ascii="Times New Roman" w:cs="Times New Roman" w:eastAsia="Times New Roman" w:hAnsi="Times New Roman"/>
                <w:sz w:val="18"/>
                <w:szCs w:val="18"/>
                <w:color w:val="0000EE"/>
              </w:rPr>
              <w:t>Successors and Assigns; Participations and Assignments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2660" w:type="dxa"/>
            <w:vAlign w:val="bottom"/>
            <w:tcBorders>
              <w:left w:val="single" w:sz="8" w:color="0000EE"/>
            </w:tcBorders>
            <w:gridSpan w:val="14"/>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p>
        </w:tc>
        <w:tc>
          <w:tcPr>
            <w:tcW w:w="6600" w:type="dxa"/>
            <w:vAlign w:val="bottom"/>
            <w:gridSpan w:val="28"/>
          </w:tcPr>
          <w:p>
            <w:pPr>
              <w:ind w:left="180"/>
              <w:spacing w:after="0" w:line="188" w:lineRule="exact"/>
              <w:rPr>
                <w:sz w:val="20"/>
                <w:szCs w:val="20"/>
                <w:color w:val="auto"/>
              </w:rPr>
            </w:pPr>
            <w:r>
              <w:rPr>
                <w:rFonts w:ascii="Times New Roman" w:cs="Times New Roman" w:eastAsia="Times New Roman" w:hAnsi="Times New Roman"/>
                <w:sz w:val="18"/>
                <w:szCs w:val="18"/>
                <w:color w:val="0000EE"/>
              </w:rPr>
              <w:t>Adjustments; Set-off</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4880" w:type="dxa"/>
            <w:vAlign w:val="bottom"/>
            <w:gridSpan w:val="17"/>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p>
        </w:tc>
        <w:tc>
          <w:tcPr>
            <w:tcW w:w="6600" w:type="dxa"/>
            <w:vAlign w:val="bottom"/>
            <w:gridSpan w:val="28"/>
          </w:tcPr>
          <w:p>
            <w:pPr>
              <w:ind w:left="200"/>
              <w:spacing w:after="0" w:line="188" w:lineRule="exact"/>
              <w:rPr>
                <w:sz w:val="20"/>
                <w:szCs w:val="20"/>
                <w:color w:val="auto"/>
              </w:rPr>
            </w:pPr>
            <w:r>
              <w:rPr>
                <w:rFonts w:ascii="Times New Roman" w:cs="Times New Roman" w:eastAsia="Times New Roman" w:hAnsi="Times New Roman"/>
                <w:sz w:val="18"/>
                <w:szCs w:val="18"/>
                <w:color w:val="0000EE"/>
              </w:rPr>
              <w:t>Counterparts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60" w:type="dxa"/>
            <w:vAlign w:val="bottom"/>
            <w:gridSpan w:val="24"/>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line="20" w:lineRule="exact"/>
              <w:rPr>
                <w:sz w:val="1"/>
                <w:szCs w:val="1"/>
                <w:color w:val="auto"/>
              </w:rPr>
            </w:pPr>
          </w:p>
        </w:tc>
      </w:tr>
      <w:tr>
        <w:trPr>
          <w:trHeight w:val="188"/>
        </w:trPr>
        <w:tc>
          <w:tcPr>
            <w:tcW w:w="1000" w:type="dxa"/>
            <w:vAlign w:val="bottom"/>
            <w:gridSpan w:val="2"/>
          </w:tcPr>
          <w:p>
            <w:pPr>
              <w:ind w:left="600"/>
              <w:spacing w:after="0" w:line="188"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p>
        </w:tc>
        <w:tc>
          <w:tcPr>
            <w:tcW w:w="6600" w:type="dxa"/>
            <w:vAlign w:val="bottom"/>
            <w:gridSpan w:val="28"/>
          </w:tcPr>
          <w:p>
            <w:pPr>
              <w:ind w:left="200"/>
              <w:spacing w:after="0" w:line="188" w:lineRule="exact"/>
              <w:rPr>
                <w:sz w:val="20"/>
                <w:szCs w:val="20"/>
                <w:color w:val="auto"/>
              </w:rPr>
            </w:pPr>
            <w:r>
              <w:rPr>
                <w:rFonts w:ascii="Times New Roman" w:cs="Times New Roman" w:eastAsia="Times New Roman" w:hAnsi="Times New Roman"/>
                <w:sz w:val="18"/>
                <w:szCs w:val="18"/>
                <w:color w:val="0000EE"/>
              </w:rPr>
              <w:t>Severability</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5783580" cy="476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06" w:right="1439" w:bottom="1440" w:gutter="0" w:footer="0" w:header="0"/>
        </w:sectPr>
      </w:pPr>
    </w:p>
    <w:bookmarkStart w:id="163" w:name="page164"/>
    <w:bookmarkEnd w:id="16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351"/>
        </w:trPr>
        <w:tc>
          <w:tcPr>
            <w:tcW w:w="5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10</w:t>
            </w:r>
          </w:p>
        </w:tc>
        <w:tc>
          <w:tcPr>
            <w:tcW w:w="6600" w:type="dxa"/>
            <w:vAlign w:val="bottom"/>
            <w:gridSpan w:val="14"/>
          </w:tcPr>
          <w:p>
            <w:pPr>
              <w:ind w:left="100"/>
              <w:spacing w:after="0"/>
              <w:rPr>
                <w:sz w:val="20"/>
                <w:szCs w:val="20"/>
                <w:color w:val="auto"/>
              </w:rPr>
            </w:pPr>
            <w:r>
              <w:rPr>
                <w:rFonts w:ascii="Times New Roman" w:cs="Times New Roman" w:eastAsia="Times New Roman" w:hAnsi="Times New Roman"/>
                <w:sz w:val="18"/>
                <w:szCs w:val="18"/>
                <w:color w:val="0000EE"/>
              </w:rPr>
              <w:t>Integration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line="20" w:lineRule="exact"/>
              <w:rPr>
                <w:sz w:val="1"/>
                <w:szCs w:val="1"/>
                <w:color w:val="auto"/>
              </w:rPr>
            </w:pPr>
          </w:p>
        </w:tc>
      </w:tr>
      <w:tr>
        <w:trPr>
          <w:trHeight w:val="188"/>
        </w:trPr>
        <w:tc>
          <w:tcPr>
            <w:tcW w:w="500" w:type="dxa"/>
            <w:vAlign w:val="bottom"/>
            <w:tcBorders>
              <w:bottom w:val="single" w:sz="8" w:color="0000EE"/>
            </w:tcBorders>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p>
        </w:tc>
        <w:tc>
          <w:tcPr>
            <w:tcW w:w="1640" w:type="dxa"/>
            <w:vAlign w:val="bottom"/>
            <w:tcBorders>
              <w:bottom w:val="single" w:sz="8" w:color="0000EE"/>
            </w:tcBorders>
            <w:gridSpan w:val="7"/>
          </w:tcPr>
          <w:p>
            <w:pPr>
              <w:ind w:left="80"/>
              <w:spacing w:after="0" w:line="188" w:lineRule="exact"/>
              <w:rPr>
                <w:sz w:val="20"/>
                <w:szCs w:val="20"/>
                <w:color w:val="auto"/>
              </w:rPr>
            </w:pPr>
            <w:r>
              <w:rPr>
                <w:rFonts w:ascii="Times New Roman" w:cs="Times New Roman" w:eastAsia="Times New Roman" w:hAnsi="Times New Roman"/>
                <w:sz w:val="18"/>
                <w:szCs w:val="18"/>
                <w:color w:val="0000EE"/>
              </w:rPr>
              <w:t>GOVERNING LAW</w:t>
            </w:r>
          </w:p>
        </w:tc>
        <w:tc>
          <w:tcPr>
            <w:tcW w:w="4960" w:type="dxa"/>
            <w:vAlign w:val="bottom"/>
            <w:gridSpan w:val="7"/>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0" w:type="dxa"/>
            <w:vAlign w:val="bottom"/>
            <w:tcBorders>
              <w:bottom w:val="single" w:sz="8" w:color="0000EE"/>
            </w:tcBorders>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12</w:t>
            </w:r>
          </w:p>
        </w:tc>
        <w:tc>
          <w:tcPr>
            <w:tcW w:w="2800" w:type="dxa"/>
            <w:vAlign w:val="bottom"/>
            <w:tcBorders>
              <w:bottom w:val="single" w:sz="8" w:color="0000EE"/>
            </w:tcBorders>
            <w:gridSpan w:val="10"/>
          </w:tcPr>
          <w:p>
            <w:pPr>
              <w:ind w:left="100"/>
              <w:spacing w:after="0" w:line="188" w:lineRule="exact"/>
              <w:rPr>
                <w:sz w:val="20"/>
                <w:szCs w:val="20"/>
                <w:color w:val="auto"/>
              </w:rPr>
            </w:pPr>
            <w:r>
              <w:rPr>
                <w:rFonts w:ascii="Times New Roman" w:cs="Times New Roman" w:eastAsia="Times New Roman" w:hAnsi="Times New Roman"/>
                <w:sz w:val="18"/>
                <w:szCs w:val="18"/>
                <w:color w:val="0000EE"/>
              </w:rPr>
              <w:t>Submission To Jurisdiction; Waivers</w:t>
            </w:r>
          </w:p>
        </w:tc>
        <w:tc>
          <w:tcPr>
            <w:tcW w:w="3800" w:type="dxa"/>
            <w:vAlign w:val="bottom"/>
            <w:gridSpan w:val="4"/>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88"/>
        </w:trPr>
        <w:tc>
          <w:tcPr>
            <w:tcW w:w="500" w:type="dxa"/>
            <w:vAlign w:val="bottom"/>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13</w:t>
            </w:r>
          </w:p>
        </w:tc>
        <w:tc>
          <w:tcPr>
            <w:tcW w:w="6600" w:type="dxa"/>
            <w:vAlign w:val="bottom"/>
            <w:gridSpan w:val="14"/>
          </w:tcPr>
          <w:p>
            <w:pPr>
              <w:ind w:left="80"/>
              <w:spacing w:after="0" w:line="188" w:lineRule="exact"/>
              <w:rPr>
                <w:sz w:val="20"/>
                <w:szCs w:val="20"/>
                <w:color w:val="auto"/>
              </w:rPr>
            </w:pPr>
            <w:r>
              <w:rPr>
                <w:rFonts w:ascii="Times New Roman" w:cs="Times New Roman" w:eastAsia="Times New Roman" w:hAnsi="Times New Roman"/>
                <w:sz w:val="18"/>
                <w:szCs w:val="18"/>
                <w:color w:val="0000EE"/>
              </w:rPr>
              <w:t>Acknowledgements</w:t>
            </w: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88"/>
        </w:trPr>
        <w:tc>
          <w:tcPr>
            <w:tcW w:w="500" w:type="dxa"/>
            <w:vAlign w:val="bottom"/>
            <w:tcBorders>
              <w:top w:val="single" w:sz="8" w:color="0000EE"/>
              <w:bottom w:val="single" w:sz="8" w:color="0000EE"/>
            </w:tcBorders>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14</w:t>
            </w:r>
          </w:p>
        </w:tc>
        <w:tc>
          <w:tcPr>
            <w:tcW w:w="1400" w:type="dxa"/>
            <w:vAlign w:val="bottom"/>
            <w:tcBorders>
              <w:top w:val="single" w:sz="8" w:color="0000EE"/>
              <w:bottom w:val="single" w:sz="8" w:color="0000EE"/>
            </w:tcBorders>
            <w:gridSpan w:val="4"/>
          </w:tcPr>
          <w:p>
            <w:pPr>
              <w:ind w:left="100"/>
              <w:spacing w:after="0" w:line="188" w:lineRule="exact"/>
              <w:rPr>
                <w:sz w:val="20"/>
                <w:szCs w:val="20"/>
                <w:color w:val="auto"/>
              </w:rPr>
            </w:pPr>
            <w:r>
              <w:rPr>
                <w:rFonts w:ascii="Times New Roman" w:cs="Times New Roman" w:eastAsia="Times New Roman" w:hAnsi="Times New Roman"/>
                <w:sz w:val="18"/>
                <w:szCs w:val="18"/>
                <w:color w:val="0000EE"/>
              </w:rPr>
              <w:t>Releases of Liens</w:t>
            </w:r>
          </w:p>
        </w:tc>
        <w:tc>
          <w:tcPr>
            <w:tcW w:w="140" w:type="dxa"/>
            <w:vAlign w:val="bottom"/>
            <w:tcBorders>
              <w:top w:val="single" w:sz="8" w:color="0000EE"/>
            </w:tcBorders>
          </w:tcPr>
          <w:p>
            <w:pPr>
              <w:spacing w:after="0"/>
              <w:rPr>
                <w:sz w:val="16"/>
                <w:szCs w:val="16"/>
                <w:color w:val="auto"/>
              </w:rPr>
            </w:pPr>
          </w:p>
        </w:tc>
        <w:tc>
          <w:tcPr>
            <w:tcW w:w="5060" w:type="dxa"/>
            <w:vAlign w:val="bottom"/>
            <w:gridSpan w:val="9"/>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88"/>
        </w:trPr>
        <w:tc>
          <w:tcPr>
            <w:tcW w:w="500" w:type="dxa"/>
            <w:vAlign w:val="bottom"/>
            <w:tcBorders>
              <w:bottom w:val="single" w:sz="8" w:color="0000EE"/>
            </w:tcBorders>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15</w:t>
            </w:r>
          </w:p>
        </w:tc>
        <w:tc>
          <w:tcPr>
            <w:tcW w:w="1220" w:type="dxa"/>
            <w:vAlign w:val="bottom"/>
            <w:tcBorders>
              <w:bottom w:val="single" w:sz="8" w:color="0000EE"/>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0000EE"/>
              </w:rPr>
              <w:t>Confidentiality</w:t>
            </w:r>
          </w:p>
        </w:tc>
        <w:tc>
          <w:tcPr>
            <w:tcW w:w="5380" w:type="dxa"/>
            <w:vAlign w:val="bottom"/>
            <w:gridSpan w:val="12"/>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88"/>
        </w:trPr>
        <w:tc>
          <w:tcPr>
            <w:tcW w:w="500" w:type="dxa"/>
            <w:vAlign w:val="bottom"/>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16</w:t>
            </w:r>
          </w:p>
        </w:tc>
        <w:tc>
          <w:tcPr>
            <w:tcW w:w="6600" w:type="dxa"/>
            <w:vAlign w:val="bottom"/>
            <w:gridSpan w:val="14"/>
          </w:tcPr>
          <w:p>
            <w:pPr>
              <w:ind w:left="80"/>
              <w:spacing w:after="0" w:line="188" w:lineRule="exact"/>
              <w:rPr>
                <w:sz w:val="20"/>
                <w:szCs w:val="20"/>
                <w:color w:val="auto"/>
              </w:rPr>
            </w:pPr>
            <w:r>
              <w:rPr>
                <w:rFonts w:ascii="Times New Roman" w:cs="Times New Roman" w:eastAsia="Times New Roman" w:hAnsi="Times New Roman"/>
                <w:sz w:val="18"/>
                <w:szCs w:val="18"/>
                <w:color w:val="0000EE"/>
              </w:rPr>
              <w:t>WAIVERS OF JURY TRIAL</w:t>
            </w: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88"/>
        </w:trPr>
        <w:tc>
          <w:tcPr>
            <w:tcW w:w="500" w:type="dxa"/>
            <w:vAlign w:val="bottom"/>
            <w:tcBorders>
              <w:top w:val="single" w:sz="8" w:color="0000EE"/>
              <w:bottom w:val="single" w:sz="8" w:color="0000EE"/>
            </w:tcBorders>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17</w:t>
            </w:r>
          </w:p>
        </w:tc>
        <w:tc>
          <w:tcPr>
            <w:tcW w:w="1320" w:type="dxa"/>
            <w:vAlign w:val="bottom"/>
            <w:tcBorders>
              <w:top w:val="single" w:sz="8" w:color="0000EE"/>
              <w:bottom w:val="single" w:sz="8" w:color="0000EE"/>
            </w:tcBorders>
            <w:gridSpan w:val="3"/>
          </w:tcPr>
          <w:p>
            <w:pPr>
              <w:ind w:left="100"/>
              <w:spacing w:after="0" w:line="188" w:lineRule="exact"/>
              <w:rPr>
                <w:sz w:val="20"/>
                <w:szCs w:val="20"/>
                <w:color w:val="auto"/>
              </w:rPr>
            </w:pPr>
            <w:r>
              <w:rPr>
                <w:rFonts w:ascii="Times New Roman" w:cs="Times New Roman" w:eastAsia="Times New Roman" w:hAnsi="Times New Roman"/>
                <w:sz w:val="18"/>
                <w:szCs w:val="18"/>
                <w:color w:val="0000EE"/>
              </w:rPr>
              <w:t>USA Patriot Act</w:t>
            </w:r>
          </w:p>
        </w:tc>
        <w:tc>
          <w:tcPr>
            <w:tcW w:w="960" w:type="dxa"/>
            <w:vAlign w:val="bottom"/>
            <w:tcBorders>
              <w:top w:val="single" w:sz="8" w:color="0000EE"/>
            </w:tcBorders>
            <w:gridSpan w:val="6"/>
          </w:tcPr>
          <w:p>
            <w:pPr>
              <w:spacing w:after="0"/>
              <w:rPr>
                <w:sz w:val="16"/>
                <w:szCs w:val="16"/>
                <w:color w:val="auto"/>
              </w:rPr>
            </w:pPr>
          </w:p>
        </w:tc>
        <w:tc>
          <w:tcPr>
            <w:tcW w:w="4320" w:type="dxa"/>
            <w:vAlign w:val="bottom"/>
            <w:gridSpan w:val="5"/>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88"/>
        </w:trPr>
        <w:tc>
          <w:tcPr>
            <w:tcW w:w="500" w:type="dxa"/>
            <w:vAlign w:val="bottom"/>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18</w:t>
            </w:r>
          </w:p>
        </w:tc>
        <w:tc>
          <w:tcPr>
            <w:tcW w:w="6600" w:type="dxa"/>
            <w:vAlign w:val="bottom"/>
            <w:gridSpan w:val="14"/>
          </w:tcPr>
          <w:p>
            <w:pPr>
              <w:ind w:left="100"/>
              <w:spacing w:after="0" w:line="188" w:lineRule="exact"/>
              <w:rPr>
                <w:sz w:val="20"/>
                <w:szCs w:val="20"/>
                <w:color w:val="auto"/>
              </w:rPr>
            </w:pPr>
            <w:r>
              <w:rPr>
                <w:rFonts w:ascii="Times New Roman" w:cs="Times New Roman" w:eastAsia="Times New Roman" w:hAnsi="Times New Roman"/>
                <w:sz w:val="18"/>
                <w:szCs w:val="18"/>
                <w:color w:val="0000EE"/>
              </w:rPr>
              <w:t>Intercreditor Agreement</w:t>
            </w: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line="20" w:lineRule="exact"/>
              <w:rPr>
                <w:sz w:val="1"/>
                <w:szCs w:val="1"/>
                <w:color w:val="auto"/>
              </w:rPr>
            </w:pPr>
          </w:p>
        </w:tc>
      </w:tr>
      <w:tr>
        <w:trPr>
          <w:trHeight w:val="188"/>
        </w:trPr>
        <w:tc>
          <w:tcPr>
            <w:tcW w:w="500" w:type="dxa"/>
            <w:vAlign w:val="bottom"/>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19</w:t>
            </w:r>
          </w:p>
        </w:tc>
        <w:tc>
          <w:tcPr>
            <w:tcW w:w="6600" w:type="dxa"/>
            <w:vAlign w:val="bottom"/>
            <w:gridSpan w:val="14"/>
          </w:tcPr>
          <w:p>
            <w:pPr>
              <w:ind w:left="80"/>
              <w:spacing w:after="0" w:line="188" w:lineRule="exact"/>
              <w:rPr>
                <w:sz w:val="20"/>
                <w:szCs w:val="20"/>
                <w:color w:val="auto"/>
              </w:rPr>
            </w:pPr>
            <w:r>
              <w:rPr>
                <w:rFonts w:ascii="Times New Roman" w:cs="Times New Roman" w:eastAsia="Times New Roman" w:hAnsi="Times New Roman"/>
                <w:sz w:val="18"/>
                <w:szCs w:val="18"/>
                <w:color w:val="0000EE"/>
              </w:rPr>
              <w:t>Acknowledgment Regarding any Supported QFCs</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line="20" w:lineRule="exact"/>
              <w:rPr>
                <w:sz w:val="1"/>
                <w:szCs w:val="1"/>
                <w:color w:val="auto"/>
              </w:rPr>
            </w:pPr>
          </w:p>
        </w:tc>
      </w:tr>
      <w:tr>
        <w:trPr>
          <w:trHeight w:val="188"/>
        </w:trPr>
        <w:tc>
          <w:tcPr>
            <w:tcW w:w="500" w:type="dxa"/>
            <w:vAlign w:val="bottom"/>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20</w:t>
            </w:r>
          </w:p>
        </w:tc>
        <w:tc>
          <w:tcPr>
            <w:tcW w:w="6600" w:type="dxa"/>
            <w:vAlign w:val="bottom"/>
            <w:gridSpan w:val="14"/>
          </w:tcPr>
          <w:p>
            <w:pPr>
              <w:ind w:left="80"/>
              <w:spacing w:after="0" w:line="188" w:lineRule="exact"/>
              <w:rPr>
                <w:sz w:val="20"/>
                <w:szCs w:val="20"/>
                <w:color w:val="auto"/>
              </w:rPr>
            </w:pPr>
            <w:r>
              <w:rPr>
                <w:rFonts w:ascii="Times New Roman" w:cs="Times New Roman" w:eastAsia="Times New Roman" w:hAnsi="Times New Roman"/>
                <w:sz w:val="18"/>
                <w:szCs w:val="18"/>
                <w:color w:val="0000EE"/>
              </w:rPr>
              <w:t>Acknowledgment and Consent to Bail-In of Affected Financial Institutions</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0" w:type="dxa"/>
            <w:vAlign w:val="bottom"/>
            <w:tcBorders>
              <w:top w:val="single" w:sz="8" w:color="0000EE"/>
              <w:bottom w:val="single" w:sz="8" w:color="0000EE"/>
            </w:tcBorders>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21</w:t>
            </w:r>
          </w:p>
        </w:tc>
        <w:tc>
          <w:tcPr>
            <w:tcW w:w="1620" w:type="dxa"/>
            <w:vAlign w:val="bottom"/>
            <w:tcBorders>
              <w:top w:val="single" w:sz="8" w:color="0000EE"/>
              <w:bottom w:val="single" w:sz="8" w:color="0000EE"/>
            </w:tcBorders>
            <w:gridSpan w:val="6"/>
          </w:tcPr>
          <w:p>
            <w:pPr>
              <w:ind w:left="100"/>
              <w:spacing w:after="0" w:line="188" w:lineRule="exact"/>
              <w:rPr>
                <w:sz w:val="20"/>
                <w:szCs w:val="20"/>
                <w:color w:val="auto"/>
              </w:rPr>
            </w:pPr>
            <w:r>
              <w:rPr>
                <w:rFonts w:ascii="Times New Roman" w:cs="Times New Roman" w:eastAsia="Times New Roman" w:hAnsi="Times New Roman"/>
                <w:sz w:val="18"/>
                <w:szCs w:val="18"/>
                <w:color w:val="0000EE"/>
              </w:rPr>
              <w:t>Mutual Negotiations</w:t>
            </w:r>
          </w:p>
        </w:tc>
        <w:tc>
          <w:tcPr>
            <w:tcW w:w="4000" w:type="dxa"/>
            <w:vAlign w:val="bottom"/>
            <w:tcBorders>
              <w:top w:val="single" w:sz="8" w:color="0000EE"/>
            </w:tcBorders>
            <w:gridSpan w:val="7"/>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88"/>
        </w:trPr>
        <w:tc>
          <w:tcPr>
            <w:tcW w:w="500" w:type="dxa"/>
            <w:vAlign w:val="bottom"/>
          </w:tcPr>
          <w:p>
            <w:pPr>
              <w:jc w:val="right"/>
              <w:ind w:right="8"/>
              <w:spacing w:after="0" w:line="188"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22</w:t>
            </w:r>
          </w:p>
        </w:tc>
        <w:tc>
          <w:tcPr>
            <w:tcW w:w="6600" w:type="dxa"/>
            <w:vAlign w:val="bottom"/>
            <w:gridSpan w:val="14"/>
          </w:tcPr>
          <w:p>
            <w:pPr>
              <w:ind w:left="80"/>
              <w:spacing w:after="0" w:line="188" w:lineRule="exact"/>
              <w:rPr>
                <w:sz w:val="20"/>
                <w:szCs w:val="20"/>
                <w:color w:val="auto"/>
              </w:rPr>
            </w:pPr>
            <w:r>
              <w:rPr>
                <w:rFonts w:ascii="Times New Roman" w:cs="Times New Roman" w:eastAsia="Times New Roman" w:hAnsi="Times New Roman"/>
                <w:sz w:val="18"/>
                <w:szCs w:val="18"/>
                <w:color w:val="0000EE"/>
              </w:rPr>
              <w:t>Amendment and Restatement of Existing Credit Agreement</w:t>
            </w: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574675</wp:posOffset>
            </wp:positionV>
            <wp:extent cx="5783580" cy="476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115" w:right="1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1.1A</w:t>
      </w:r>
      <w:r>
        <w:rPr>
          <w:sz w:val="20"/>
          <w:szCs w:val="20"/>
          <w:color w:val="auto"/>
        </w:rPr>
        <w:tab/>
      </w:r>
      <w:r>
        <w:rPr>
          <w:rFonts w:ascii="Times New Roman" w:cs="Times New Roman" w:eastAsia="Times New Roman" w:hAnsi="Times New Roman"/>
          <w:sz w:val="18"/>
          <w:szCs w:val="18"/>
          <w:color w:val="auto"/>
        </w:rPr>
        <w:t>Commitments</w:t>
      </w:r>
    </w:p>
    <w:p>
      <w:pPr>
        <w:spacing w:after="0" w:line="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Consents, Authorizations, Filings and Notices</w:t>
      </w:r>
    </w:p>
    <w:p>
      <w:pPr>
        <w:spacing w:after="0" w:line="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Subsidiaries</w:t>
      </w:r>
    </w:p>
    <w:p>
      <w:pPr>
        <w:spacing w:after="0" w:line="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8"/>
          <w:szCs w:val="18"/>
          <w:color w:val="auto"/>
        </w:rPr>
        <w:t>UCC Filing Jurisdictions</w:t>
      </w:r>
    </w:p>
    <w:p>
      <w:pPr>
        <w:spacing w:after="0" w:line="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Existing Liens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ind w:left="680" w:hanging="679"/>
        <w:spacing w:after="0"/>
        <w:tabs>
          <w:tab w:leader="none" w:pos="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BForm of Closing Certificate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CForm of Assignment and Assumption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DForm of Legal Opinion of O’Melveny &amp; Myers LLP</w:t>
      </w:r>
    </w:p>
    <w:p>
      <w:pPr>
        <w:ind w:left="560" w:hanging="554"/>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E-1Form of U.S. Tax Certificate (For Non-U.S. Lenders That Are Not Partnerships For U.S. Federal Income Tax Purposes)</w:t>
      </w:r>
    </w:p>
    <w:p>
      <w:pPr>
        <w:ind w:left="560" w:hanging="554"/>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E-2Form of U.S. Tax Certificate (For Non-U.S. Lenders That Are Partnerships For U.S. Federal Income Tax Purposes)</w:t>
      </w:r>
    </w:p>
    <w:p>
      <w:pPr>
        <w:spacing w:after="0" w:line="207" w:lineRule="exact"/>
        <w:rPr>
          <w:rFonts w:ascii="Times New Roman" w:cs="Times New Roman" w:eastAsia="Times New Roman" w:hAnsi="Times New Roman"/>
          <w:sz w:val="18"/>
          <w:szCs w:val="18"/>
          <w:color w:val="auto"/>
        </w:rPr>
      </w:pPr>
    </w:p>
    <w:p>
      <w:pPr>
        <w:ind w:left="560" w:hanging="554"/>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E-3Form of U.S. Tax Certificate (For Non-U.S. Participants That Are Not Partnerships For U.S. Federal Income Tax Purposes)</w:t>
      </w:r>
    </w:p>
    <w:p>
      <w:pPr>
        <w:ind w:left="560" w:hanging="554"/>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E-4Form of U.S. Tax Certificate (For Non-U.S. Participants That Are Partnerships For U.S. Federal Income Tax Purposes)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FForm of Borrowing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GForm of Note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HForm of Conversion Notice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574675</wp:posOffset>
            </wp:positionV>
            <wp:extent cx="5783580" cy="47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65" w:name="page166"/>
    <w:bookmarkEnd w:id="165"/>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3, 2025, among PNG Companies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or entities from time to time parties to this Agreement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PNC Capital Markets LLC, as lead arranger and sole bookrunner (in such capacity, the “</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and PNC Bank, National Association,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WHEREAS, the Borrower, the Lenders, the Lead Arranger and the Administrative Agent are parties to that certain Credit Agreement, dated as of November 25, 2020 (as heretofore amended, amended and restated, supplemented or otherwise modified,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WHEREAS, the Borrower has requested, and the Lenders have agreed, to amend and restate the Existing Credit Agreement and to make available a revolving facility in an aggregate amount, as of the Closing Date, of $300,000,000, the proceeds of which shall be used for (i) purchases of natural gas inventory and/or (ii) other working capital needs and general corporate purposes of the Borrower and its Subsidiaries.</w:t>
      </w:r>
    </w:p>
    <w:p>
      <w:pPr>
        <w:spacing w:after="0" w:line="140"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hereinafter set forth, the parties hereto agree as follows: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186"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As used in this Agreement (including the preamble and recitals hereof), the terms listed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have the respective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for any day, a fluctuating per annum rate of interest equal to the highest of (i) the Overnight Bank Funding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 (ii) the Prime Rate, and (iii)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so long as Daily Simple SOFR is offered, ascertainable and not unlawful;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ABR as determined above would be less than zero, then such rate shall be deemed to be zero. Any change in the ABR (or any component thereof) shall take effect at the opening of business on the day such change occurs without notice to the Borrower. Notwithstanding anything to the contrary contained herein, in the case of any event specified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to the extent any such determination affects the calculation of the ABR, the definition hereof shall be calculated without reference to clause (iii) until the circumstances giving rise to such event no longer exist.</w:t>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Loans the rate of interest applicable to which is based upon the ABR.</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Option</w:t>
      </w:r>
      <w:r>
        <w:rPr>
          <w:rFonts w:ascii="Times New Roman" w:cs="Times New Roman" w:eastAsia="Times New Roman" w:hAnsi="Times New Roman"/>
          <w:sz w:val="18"/>
          <w:szCs w:val="18"/>
          <w:color w:val="auto"/>
        </w:rPr>
        <w:t xml:space="preserve">”: the option of the Borrower to have Loans bear interest at the ABR and under the terms specified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267335</wp:posOffset>
            </wp:positionV>
            <wp:extent cx="5783580" cy="476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66" w:name="page167"/>
    <w:bookmarkEnd w:id="166"/>
    <w:p>
      <w:pPr>
        <w:jc w:val="both"/>
        <w:ind w:firstLine="110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PNC Bank, National Association, together with its affiliates, as the administrative agent for the Lenders under this Agreement and the other Loan Documents, together with any of its successors.</w:t>
      </w:r>
    </w:p>
    <w:p>
      <w:pPr>
        <w:spacing w:after="0" w:line="3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(a) any EEA Financial Institution or (b) any UK Financial Institution.</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as to any Person, any other Person that,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the Administrative Agent and the Collateral Agent.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defined in the preamble hereto.</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all laws, rules and regulations of any jurisdiction applicable to the Borrower or its Subsidiaries from time to time concerning or relating to anti-bribery or anti-corruption, including without limitation, the Foreign Corrupt Practices Act of 1977 and the U.K. Bribery Act of 2010 and the rules and regulations thereunder.</w:t>
      </w:r>
    </w:p>
    <w:p>
      <w:pPr>
        <w:spacing w:after="0" w:line="13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 the Bank Secrecy Act and the Patriot Act; (b) the U.K. Proceeds of Crime Act 2002, the Money Laundering Regulations 2017, as amended and the Terrorist Asset-Freezing etc. Act 2010; and (c) any other applicable law or regulation relating to anti-money laundering and countering the financing of terrorism in any jurisdiction in which any Loan Party is located or doing business.</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the rate per annum equal to the rates set forth in the table below:</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226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Applicable Margin</w:t>
            </w:r>
          </w:p>
        </w:tc>
        <w:tc>
          <w:tcPr>
            <w:tcW w:w="2220" w:type="dxa"/>
            <w:vAlign w:val="bottom"/>
            <w:tcBorders>
              <w:top w:val="single" w:sz="8" w:color="auto"/>
              <w:right w:val="single" w:sz="8" w:color="auto"/>
            </w:tcBorders>
          </w:tcPr>
          <w:p>
            <w:pPr>
              <w:spacing w:after="0"/>
              <w:rPr>
                <w:sz w:val="17"/>
                <w:szCs w:val="17"/>
                <w:color w:val="auto"/>
              </w:rPr>
            </w:pPr>
          </w:p>
        </w:tc>
      </w:tr>
      <w:tr>
        <w:trPr>
          <w:trHeight w:val="208"/>
        </w:trPr>
        <w:tc>
          <w:tcPr>
            <w:tcW w:w="2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Term SOFR Rate</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Applicable Margin</w:t>
            </w:r>
          </w:p>
        </w:tc>
      </w:tr>
      <w:tr>
        <w:trPr>
          <w:trHeight w:val="231"/>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ABR Loans</w:t>
            </w:r>
          </w:p>
        </w:tc>
      </w:tr>
      <w:tr>
        <w:trPr>
          <w:trHeight w:val="199"/>
        </w:trPr>
        <w:tc>
          <w:tcPr>
            <w:tcW w:w="226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0.90%</w:t>
            </w:r>
          </w:p>
        </w:tc>
        <w:tc>
          <w:tcPr>
            <w:tcW w:w="222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0.00%</w:t>
            </w:r>
          </w:p>
        </w:tc>
      </w:tr>
    </w:tbl>
    <w:p>
      <w:pPr>
        <w:spacing w:after="0" w:line="1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10.6(b)(ii)</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10.6(b)(i)</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an Assignment and Assumption,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approved by the Administrative Agent.</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67" w:name="page168"/>
    <w:bookmarkEnd w:id="167"/>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Commitments</w:t>
      </w:r>
      <w:r>
        <w:rPr>
          <w:rFonts w:ascii="Times New Roman" w:cs="Times New Roman" w:eastAsia="Times New Roman" w:hAnsi="Times New Roman"/>
          <w:sz w:val="18"/>
          <w:szCs w:val="18"/>
          <w:color w:val="auto"/>
        </w:rPr>
        <w:t xml:space="preserve">”: with respect to any Lender at any time, an amount equal to the excess, if any, of (a) such Lender’s Revolving Commitment then in effect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such Lender’s Revolving Extensions of Credit then outstanding.</w:t>
      </w:r>
    </w:p>
    <w:p>
      <w:pPr>
        <w:spacing w:after="0" w:line="13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the exercise of any Write-Down and Conversion Powers by the applicable Resolution Authority in respect of any liability of an Affected Financial Institution.</w:t>
      </w:r>
    </w:p>
    <w:p>
      <w:pPr>
        <w:spacing w:after="0" w:line="118" w:lineRule="exact"/>
        <w:rPr>
          <w:sz w:val="20"/>
          <w:szCs w:val="20"/>
          <w:color w:val="auto"/>
        </w:rPr>
      </w:pPr>
    </w:p>
    <w:p>
      <w:pPr>
        <w:jc w:val="both"/>
        <w:ind w:firstLine="110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9"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 certification regarding beneficial ownership as required by the Beneficial Ownership Regulation.</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31 C.F.R. § 1010.230.</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Blocked Property</w:t>
      </w:r>
      <w:r>
        <w:rPr>
          <w:rFonts w:ascii="Times New Roman" w:cs="Times New Roman" w:eastAsia="Times New Roman" w:hAnsi="Times New Roman"/>
          <w:sz w:val="18"/>
          <w:szCs w:val="18"/>
          <w:color w:val="auto"/>
        </w:rPr>
        <w:t>”: any property (a) owned, directly or indirectly, by a Sanctioned Person; (b) that is due to or from a Sanctioned Person; (c) in which a Sanctioned Person otherwise holds any interest; (d) that is located in a Sanctioned Jurisdiction; or (e) that otherwise would cause any actual or possible violation by the Lenders, the Administrative Agent or the Collateral Agent</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68" w:name="page169"/>
    <w:bookmarkEnd w:id="168"/>
    <w:p>
      <w:pPr>
        <w:jc w:val="both"/>
        <w:spacing w:after="0" w:line="280" w:lineRule="auto"/>
        <w:rPr>
          <w:sz w:val="20"/>
          <w:szCs w:val="20"/>
          <w:color w:val="auto"/>
        </w:rPr>
      </w:pPr>
      <w:r>
        <w:rPr>
          <w:rFonts w:ascii="Times New Roman" w:cs="Times New Roman" w:eastAsia="Times New Roman" w:hAnsi="Times New Roman"/>
          <w:sz w:val="18"/>
          <w:szCs w:val="18"/>
          <w:color w:val="auto"/>
        </w:rPr>
        <w:t>of any applicable International Trade Law if the Lenders or the Administrative Agent were to obtain an encumbrance on, lien on, pledge of, or security interest in such property, or provide services in consideration of such property.</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Governors of the Federal Reserve System of the United States (or any successor).</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as defined in the preamble hereto.</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any Business Day specified by the Borrower as a date on which the Borrower requests the relevant Lenders to make Loans hereunder.</w:t>
      </w:r>
    </w:p>
    <w:p>
      <w:pPr>
        <w:spacing w:after="0" w:line="118" w:lineRule="exact"/>
        <w:rPr>
          <w:sz w:val="20"/>
          <w:szCs w:val="20"/>
          <w:color w:val="auto"/>
        </w:rPr>
      </w:pPr>
    </w:p>
    <w:p>
      <w:pPr>
        <w:jc w:val="both"/>
        <w:ind w:firstLine="1109"/>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with respect to any request for borrowing of Revolving Loans hereunder, a notice from the Borrower, substantially in the form of, and containing the information prescribed by,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(or such other form approved by the Administrative Agent) delivered to the Administrative Agent, which Borrowing Request shall, unless otherwise agreed by the Administrative Agent and the Borrower, detail whether the proceeds of such Revolving Loan are being used for (a) purchases of natural gas inventory or (b) other working capital needs and general corporate purposes.</w:t>
      </w:r>
    </w:p>
    <w:p>
      <w:pPr>
        <w:spacing w:after="0" w:line="359"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Tranche</w:t>
      </w:r>
      <w:r>
        <w:rPr>
          <w:rFonts w:ascii="Times New Roman" w:cs="Times New Roman" w:eastAsia="Times New Roman" w:hAnsi="Times New Roman"/>
          <w:sz w:val="18"/>
          <w:szCs w:val="18"/>
          <w:color w:val="auto"/>
        </w:rPr>
        <w:t>”: specified portions of Loans outstanding as follows: (a) any Loans to which a Term SOFR Rate Option applies under the same Borrowing Request by the Borrower and which have the same Interest Period shall constitute one Borrowing Tranche, and (b) all Loans to which an ABR Option applies shall constitute one Borrowing Tranche.</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any day other than a Saturday or Sunday or a legal holiday on which commercial banks are authorized or required to be closed, or are in fact closed, for business in New York, New York or Pittsburgh, Pennsylvania (or, if otherwise, the Funding Office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spacing w:after="0" w:line="149"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36"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$500,000,000 and which are rated at least AA- by S&amp;P or Aa3 by Moody’s;</w:t>
      </w:r>
    </w:p>
    <w:p>
      <w:pPr>
        <w:spacing w:after="0" w:line="5" w:lineRule="exact"/>
        <w:rPr>
          <w:sz w:val="20"/>
          <w:szCs w:val="20"/>
          <w:color w:val="auto"/>
        </w:rPr>
      </w:pPr>
    </w:p>
    <w:p>
      <w:pPr>
        <w:jc w:val="right"/>
        <w:ind w:left="4560" w:right="4380" w:hanging="4559"/>
        <w:spacing w:after="0" w:line="712" w:lineRule="auto"/>
        <w:tabs>
          <w:tab w:leader="none" w:pos="24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of an issuer rated at least AA- by S&amp;P or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5783580" cy="476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69" w:name="page170"/>
    <w:bookmarkEnd w:id="169"/>
    <w:p>
      <w:pPr>
        <w:jc w:val="both"/>
        <w:spacing w:after="0" w:line="244" w:lineRule="auto"/>
        <w:rPr>
          <w:sz w:val="20"/>
          <w:szCs w:val="20"/>
          <w:color w:val="auto"/>
        </w:rPr>
      </w:pPr>
      <w:r>
        <w:rPr>
          <w:rFonts w:ascii="Times New Roman" w:cs="Times New Roman" w:eastAsia="Times New Roman" w:hAnsi="Times New Roman"/>
          <w:sz w:val="18"/>
          <w:szCs w:val="18"/>
          <w:color w:val="auto"/>
        </w:rPr>
        <w:t>P-1 by Moody’s, or carrying an equivalent rating by a nationally recognized rating agency, if both of the two named rating agencies cease publishing ratings of commercial paper issuers generally, and maturing within 270 days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AA- by S&amp;P or Aa3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date on which the conditions precedent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have been satisfied, which date is June 3, 2025.</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 from time to time.</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all real and personal property of the Borrower, now owned or hereafter acquired, upon which a Lien is purported to be created by any Security Document (including without limitation, all Pledged Stock).</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Wilmington Trust, National Association, as collateral agent and its successors and permitted assigns under the Intercreditor Agreement.</w:t>
      </w:r>
    </w:p>
    <w:p>
      <w:pPr>
        <w:spacing w:after="0" w:line="118"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Authority</w:t>
      </w:r>
      <w:r>
        <w:rPr>
          <w:rFonts w:ascii="Times New Roman" w:cs="Times New Roman" w:eastAsia="Times New Roman" w:hAnsi="Times New Roman"/>
          <w:sz w:val="18"/>
          <w:szCs w:val="18"/>
          <w:color w:val="auto"/>
        </w:rPr>
        <w:t>”: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Governmental Authority with jurisdiction to administer Anti-Corruption Laws, Anti-Terrorism Laws, Anti-Money Laundering Laws or International Trade Laws with respect to the conduct of a Covered Entity. As used in this definition, the term “</w:t>
      </w:r>
      <w:r>
        <w:rPr>
          <w:rFonts w:ascii="Times New Roman" w:cs="Times New Roman" w:eastAsia="Times New Roman" w:hAnsi="Times New Roman"/>
          <w:sz w:val="18"/>
          <w:szCs w:val="18"/>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shall mean (i) the Borrower and each of the Borrower’s Subsidiaries; (ii) each guarantor, if any, and any Person who has pledged (or will pledge) Collateral under any Loan Document; and (iii) each Person that, directly or indirectly, controls a Person described in clause (i) or (ii) above.</w:t>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a certificate duly executed by a Responsible Officer substantially in the form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70" w:name="page171"/>
    <w:bookmarkEnd w:id="170"/>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with respect to the Term SOFR Rate or any Benchmark Replacement in relation thereto, any technical, administrative or operational changes (including changes to the definition of “ABR,”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or the Benchmark Replacement exists, in such other manner of administration as the Administrative Agent decides is reasonably necessary in connection with the administration of this Agreement and the other Loan Documents).</w:t>
      </w:r>
    </w:p>
    <w:p>
      <w:pPr>
        <w:spacing w:after="0" w:line="155"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Other Connection Taxes that are imposed on or measured by net income (however denominated) or that are franchise Taxes or branch profits Taxes.</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Capitalization</w:t>
      </w:r>
      <w:r>
        <w:rPr>
          <w:rFonts w:ascii="Times New Roman" w:cs="Times New Roman" w:eastAsia="Times New Roman" w:hAnsi="Times New Roman"/>
          <w:sz w:val="18"/>
          <w:szCs w:val="18"/>
          <w:color w:val="auto"/>
        </w:rPr>
        <w:t>” at any date, the sum of (a) Consolidated Total Net Worth as at the end of the most recently ended fiscal quarter of the Borrower and (b) Consolidated Debt at such date.</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Debt</w:t>
      </w:r>
      <w:r>
        <w:rPr>
          <w:rFonts w:ascii="Times New Roman" w:cs="Times New Roman" w:eastAsia="Times New Roman" w:hAnsi="Times New Roman"/>
          <w:sz w:val="18"/>
          <w:szCs w:val="18"/>
          <w:color w:val="auto"/>
        </w:rPr>
        <w:t>”: at any date, the aggregate principal amount of all Indebtedness of the Borrower and its Subsidiaries at such date, determined on a consolidated basis in accordance with GAAP.</w:t>
      </w:r>
    </w:p>
    <w:p>
      <w:pPr>
        <w:spacing w:after="0" w:line="118"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for any period, Consolidated Net Income for such period plus, without duplication and to the extent reflected as a charge in the statement of such Consolidated Net Income for such period, the sum of (a) income tax expense, (b) interest expense, amortization or writeoff of debt discount, debt issuance costs and commissions, discounts and other fees and charges associated with Indebtedness, (c) depreciation and amortization expense, (d) amortization of intangibles (including, but not limited to, goodwill) and organization costs and (e) any extraordinary or non-recurring non-cash expenses or losses (including, whether or not otherwise includable as a separate item in the statement of such Consolidated Net Income for such period, non-cash losses on sales of assets outside of the ordinary course of business), provided, that the amounts referred to in this clause (e) shall not, in the aggregate, exceed $15,000,000 for any fiscal year of the Borrower, and minus, (1) to the extent included in the statement of such Consolidated Net Income for such period, the sum of (i) any extraordinary, unusual or non-recurring income or gains (including, whether or not otherwise includable as a separate item in the statement of such Consolidated Net Income for such period, gains on the sales of assets outside of the ordinary course of business), (ii) income tax credits (to the extent not netted from income tax expense) and (iii) any other non-cash income and (2) any cash payments made during such period in respect of items described in clause (e) above subsequent to the fiscal quarter in which the relevant non-cash expenses or losses were reflected as a charge in the statement of Consolidated Net Income, all as determined on a consolidated basis.</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71" w:name="page172"/>
    <w:bookmarkEnd w:id="171"/>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for any period, total cash interest expense (including that attributable to Finance Lease Obligations and capitalized interest)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4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for any period, the consolidated net income (or loss) of the Borrower and its Subsidiaries determined on a consolidated basis in accordance with GAAP.</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as of the date of any determination thereof, the total assets of the Borrower and its Subsidiaries that would be shown as assets on a consolidated balance sheet of the Borrower and its Subsidiaries as of such date prepared in accordance with GAAP.</w:t>
      </w:r>
    </w:p>
    <w:p>
      <w:pPr>
        <w:spacing w:after="0" w:line="13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Worth</w:t>
      </w:r>
      <w:r>
        <w:rPr>
          <w:rFonts w:ascii="Times New Roman" w:cs="Times New Roman" w:eastAsia="Times New Roman" w:hAnsi="Times New Roman"/>
          <w:sz w:val="18"/>
          <w:szCs w:val="18"/>
          <w:color w:val="auto"/>
        </w:rPr>
        <w:t>”: at any date, all amounts that would, in conformity with GAAP, be included on a consolidated balance sheet of the Borrower and its Subsidiaries under stockholders’ equity at such date.</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the Administrative Agent or any Lender.</w:t>
      </w:r>
    </w:p>
    <w:p>
      <w:pPr>
        <w:spacing w:after="0" w:line="186"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xml:space="preserve"> ”), the interest rate per annum determined by the Administrative Agent (rounded upwards, at the Administrative Agent’s discretion, to the nearest 1/100th of 1%) equal to SOFR for the day (the “SOFR Determination Date”)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72" w:name="page173"/>
    <w:bookmarkEnd w:id="172"/>
    <w:p>
      <w:pPr>
        <w:jc w:val="both"/>
        <w:ind w:firstLine="110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357"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whether or not any requirement for the giving of notice, the lapse of time, or both, hereunder has been satisfied.</w:t>
      </w:r>
    </w:p>
    <w:p>
      <w:pPr>
        <w:spacing w:after="0" w:line="118" w:lineRule="exact"/>
        <w:rPr>
          <w:sz w:val="20"/>
          <w:szCs w:val="20"/>
          <w:color w:val="auto"/>
        </w:rPr>
      </w:pPr>
    </w:p>
    <w:p>
      <w:pPr>
        <w:jc w:val="both"/>
        <w:ind w:firstLine="1109"/>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any Lender, as determined by the Administrative Agent, that (a) has failed, within three (3) Business Days of the date required to be funded or paid, to (i) fund any portion of its Loans, (ii) fund any portion of its participations in Swing 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condition precedent, together with any applicable default)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condition precedent, together with any applicable default) to funding a loan under this Agreement cannot be satisfied) or generally under other agreements in which it commits to extend credit, (c) has failed, within three (3) Business Days after written request by a Credit Party, acting in good faith, to provide a certification in writing from an authorized officer of such Lender that it will comply with its obligations to fund prospective Loans and participations in Swing Line Loans under this Agreement, provided that such Lender shall cease to be a Defaulting Lender pursuant to this clause (c) upon such Credit Party’s receipt of such certification in form and substance satisfactory to it and the Administrative Agent, (d) has become, or has a Parent that has become, the subject of a Bankruptcy Event, or (e) has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2.9(e)</w:t>
      </w:r>
      <w:r>
        <w:rPr>
          <w:rFonts w:ascii="Times New Roman" w:cs="Times New Roman" w:eastAsia="Times New Roman" w:hAnsi="Times New Roman"/>
          <w:sz w:val="18"/>
          <w:szCs w:val="18"/>
          <w:color w:val="auto"/>
        </w:rPr>
        <w:t>) upon delivery of written notice of such determination to the Borrower, the Swing Line Lender and each Lender.</w:t>
      </w:r>
    </w:p>
    <w:p>
      <w:pPr>
        <w:spacing w:after="0" w:line="3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Delta</w:t>
      </w:r>
      <w:r>
        <w:rPr>
          <w:rFonts w:ascii="Times New Roman" w:cs="Times New Roman" w:eastAsia="Times New Roman" w:hAnsi="Times New Roman"/>
          <w:sz w:val="18"/>
          <w:szCs w:val="18"/>
          <w:color w:val="auto"/>
        </w:rPr>
        <w:t>”: Delta Natural Gas Company, Inc., a Kentucky corporation.</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with respect to any property, any sale, lease, sale and leaseback, assignment, conveyance, transfer or other disposition thereof. The terms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Disposed of</w:t>
      </w:r>
      <w:r>
        <w:rPr>
          <w:rFonts w:ascii="Times New Roman" w:cs="Times New Roman" w:eastAsia="Times New Roman" w:hAnsi="Times New Roman"/>
          <w:sz w:val="18"/>
          <w:szCs w:val="18"/>
          <w:color w:val="auto"/>
        </w:rPr>
        <w:t>” shall have correlative meanings.</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dollars in lawful currency of the United States.</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73" w:name="page174"/>
    <w:bookmarkEnd w:id="173"/>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any of the member states of the European Union, Iceland, Liechtenstein,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16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3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(with respect to exposure to Materials of Environmental Concern) or the environment.</w:t>
      </w:r>
    </w:p>
    <w:p>
      <w:pPr>
        <w:spacing w:after="0" w:line="140"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Employee Retirement Income Security Act of 1974, as amended from time to time, and the rules and regulations promulgated thereunder.</w:t>
      </w:r>
    </w:p>
    <w:p>
      <w:pPr>
        <w:spacing w:after="0" w:line="118"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any trade or business, whether or not incorporated, that together with any Group Member is treated as a single employer within the meaning of Section 414(b) or Section 414(c) of the Code or, solely for purposes of provisions relating to Section 302 of ERISA or Section 412 of the Code, is treated as a single employer with any Group Member under Section 414(m) or Section (o) of the Code.</w:t>
      </w:r>
    </w:p>
    <w:p>
      <w:pPr>
        <w:spacing w:after="0" w:line="140"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(a) any Reportable Event; (b) the existence with respect to any Plan of a non-exempt Prohibited Transaction; (c) any failure by any Plan to satisfy the minimum funding standards (within the meaning of Section 412 of the Code or Section 302 of ERISA) applicable to such Plan, whether or not waived in accordance with Section 412(c) of the Code or Section 302(c) of ERISA; (d) the filing pursuant to Section 412 of the Code or Section 302 of ERISA of an application for a waiver of the minimum funding standard with respect to any Plan, the failure to make by its due date a required installment under Section 430(j) of the Code with respect to any Plan or the failure by any Group Member or any ERISA Affiliate to make any required contribution to a Multiemployer Plan pursuant to Sections 431 or 432 of the Code; (e) the occurrence of any event or condition which constitutes grounds under ERISA for the termination of, or the appointment of a trustee to administer, any Plan or the incurrence by any Group Member or any ERISA Affiliate of any liability under Title IV of ERISA with respect to the termination of any Plan, including but not limited to the imposition of any Lien in favor of the PBGC or any Plan; (f) a determination that any Plan is, or is expected to be, in “at risk” status (within the meaning of Section 430 of the Code or Section 303 of ERISA); (g) the incurrence by any Group Member or any ERISA Affiliate of any liability under Title IV of ERISA other than a liability to the PBGC for premiums under Section 4007 of ERISA that are not past due; (h) the receipt by any Group Member or any ERISA Affiliate from the PBGC or a plan administrator of any notice relating to</w:t>
      </w: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74" w:name="page175"/>
    <w:bookmarkEnd w:id="174"/>
    <w:p>
      <w:pPr>
        <w:jc w:val="both"/>
        <w:spacing w:after="0" w:line="244" w:lineRule="auto"/>
        <w:rPr>
          <w:sz w:val="20"/>
          <w:szCs w:val="20"/>
          <w:color w:val="auto"/>
        </w:rPr>
      </w:pPr>
      <w:r>
        <w:rPr>
          <w:rFonts w:ascii="Times New Roman" w:cs="Times New Roman" w:eastAsia="Times New Roman" w:hAnsi="Times New Roman"/>
          <w:sz w:val="18"/>
          <w:szCs w:val="18"/>
          <w:color w:val="auto"/>
        </w:rPr>
        <w:t>an intention to terminate any Plan or to appoint a trustee to administer any Plan under Section 4042 of ERISA; (i) the incurrence by any Group Member or any ERISA Affiliate of any liability with respect to the withdrawal or partial withdrawal (within the meaning of Sections 4203 and 4205 of ERISA) from any Plan or Multiemployer Plan; (j) the receipt by any Group Member or any ERISA Affiliate of any notice, or the receipt by any Multiemployer Plan from a Group Member or any ERISA Affiliate of any notice, concerning the imposition of Withdrawal Liability or a determination that a Multiemployer Plan is, or is expected to be, Insolvent or in “endangered” or “critical” status (within the meaning of Sections 431 or 432 of the Code or Sections 304 or 305 of ERISA) or terminated (within the meaning of Section 4041A of ERISA) or that it intends to terminate or has terminated under Section 4041A or 4042 of ERISA;</w:t>
      </w:r>
    </w:p>
    <w:p>
      <w:pPr>
        <w:jc w:val="both"/>
        <w:ind w:firstLine="1"/>
        <w:spacing w:after="0" w:line="243" w:lineRule="auto"/>
        <w:tabs>
          <w:tab w:leader="none" w:pos="26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any Group Member or any of its ERISA Affiliates to pay when due (after expiration of any applicable grace period) any installment payment with respect to Withdrawal Liability under Section 4201 of ERISA; (l) the withdrawal by any Group Member or any of their respective ERISA Affiliates from any Plan with two or more contributing sponsors or the termination of any such Plan resulting in liability to any Group Member or any of their respective Affiliates pursuant to Section 4063 or 4064 of ERISA; or (m) any failure by any Group Member or any ERISA Affiliate to make any contribution or payment to any Plan or Multiemployer Plan, or any amendment to any Plan that has resulted or could result in the imposition of a Lien or the posting of a bond or other security under ERISA or the Code.</w:t>
      </w:r>
    </w:p>
    <w:p>
      <w:pPr>
        <w:spacing w:after="0" w:line="1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Essential</w:t>
      </w:r>
      <w:r>
        <w:rPr>
          <w:rFonts w:ascii="Times New Roman" w:cs="Times New Roman" w:eastAsia="Times New Roman" w:hAnsi="Times New Roman"/>
          <w:sz w:val="18"/>
          <w:szCs w:val="18"/>
          <w:color w:val="auto"/>
        </w:rPr>
        <w:t>”: Essential Utilities, Inc., a Pennsylvania corporation.</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Essential Group</w:t>
      </w:r>
      <w:r>
        <w:rPr>
          <w:rFonts w:ascii="Times New Roman" w:cs="Times New Roman" w:eastAsia="Times New Roman" w:hAnsi="Times New Roman"/>
          <w:sz w:val="18"/>
          <w:szCs w:val="18"/>
          <w:color w:val="auto"/>
        </w:rPr>
        <w:t>”: the collective reference to Essential and its Subsidiaries.</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the EU Bail-In Legislation Schedule published by the Loan Market Association (or any successor Person), as in effect from time to time.</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requirement for the giving of notice, the lapse of time, or both, has been satisfied.</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United States Securities Exchange Act of 1934.</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Affiliate</w:t>
      </w:r>
      <w:r>
        <w:rPr>
          <w:rFonts w:ascii="Times New Roman" w:cs="Times New Roman" w:eastAsia="Times New Roman" w:hAnsi="Times New Roman"/>
          <w:sz w:val="18"/>
          <w:szCs w:val="18"/>
          <w:color w:val="auto"/>
        </w:rPr>
        <w:t>”: as to any Person, any other Person (other than a Subsidiary of that Person) that, directly or indirectly, is under common control with such Person.</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any of the following Taxes imposed on or with respect to a Recipient or required to be withheld or deducted from a payment to a Recipient, (a) Taxes imposed on or measured by net income (however denominated), franchise Taxes, and branch profits Taxes,</w:t>
      </w: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75" w:name="page176"/>
    <w:bookmarkEnd w:id="175"/>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on the date (i) such Lender acquires an interest in the Loan or Revolving Commitment (other than pursuant to an assignment request by the Borrower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jc w:val="both"/>
        <w:ind w:firstLine="1"/>
        <w:spacing w:after="0" w:line="241" w:lineRule="auto"/>
        <w:tabs>
          <w:tab w:leader="none" w:pos="27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paragraph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and (d) any U.S. federal withholding Taxes imposed under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as defined in the first WITNESSETH clause.</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Sections 1471 through 1474 of the Code, as of the date of this Agreement (or any amended or successor provisions that are substantively comparable and not materially more onerous to comply with), any current or future regulations or official interpretations thereof and any agreements entered into pursuant to Section 1471(b)(1) of the Code or any intergovernmental agreements entered into pursuant to the foregoing, and any fiscal or regulatory legislation, rules or official practices, in each case, adopted pursuant to any such intergovernmental agreement.</w:t>
      </w:r>
    </w:p>
    <w:p>
      <w:pPr>
        <w:spacing w:after="0" w:line="14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 Obligations</w:t>
      </w:r>
      <w:r>
        <w:rPr>
          <w:rFonts w:ascii="Times New Roman" w:cs="Times New Roman" w:eastAsia="Times New Roman" w:hAnsi="Times New Roman"/>
          <w:sz w:val="18"/>
          <w:szCs w:val="18"/>
          <w:color w:val="auto"/>
        </w:rPr>
        <w:t>”: as to any Person, the obligations of such Person and its Subsidiaries to pay rent or other amounts under any lease of (or other arrangement conveying the right to use) real or personal property, or a combination thereof, which obligations are required to be classified and accounted for as finance leases on a consolidated balance sheet of such Person and its Subsidiaries under GAAP and, for the purposes of this Agreement, the amount of such obligations at any time shall be the capitalized amount thereof at such time determined in accordance with GAAP.</w:t>
      </w:r>
    </w:p>
    <w:p>
      <w:pPr>
        <w:spacing w:after="0" w:line="14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the chief financial officer, principal financial officer, principal accounting officer, senior vice president-finance, vice president-finance, vice president-treasury, treasurer, assistant treasurer or controller of the Borrower.</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each Plan, whether or not subject to ERISA, that is not subject to U.S. law.</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xml:space="preserve">”: the office of the Administrative Agent specified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such other office as may be specified from time to time by the Administrative Agent as its funding office by written notice to the Borrower and the Lenders.</w:t>
      </w:r>
    </w:p>
    <w:p>
      <w:pPr>
        <w:spacing w:after="0" w:line="13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generally accepted accounting principles in the United States as in effect from time to time, except that for purposes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GAAP shall be determined on the basis</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76" w:name="page177"/>
    <w:bookmarkEnd w:id="176"/>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of such principles in effect on the date hereof and consistent with those used in the preparation of the most recent audited financial statements referred to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In the event that any “Accounting Change” (as defined below) shall occur and such change results in a change in the method of calculation of financial covenants, standards or terms in this Agreement, then the Borrower and the Administrative Agent agree to enter into negotiations in order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refers to changes in accounting principles required by the promulgation of any rule, regulation, pronouncement or opinion by the Financial Accounting Standards Board of the American Institute of Certified Public Accountants or, if applicable, the SEC.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(ii) without giving effect to any treatment of Indebtedness in respect of convertible debt instruments under Accounting Standards Codification 470-20 to value any such Indebtedness in a reduced or bifurcated manner as described therein, and such Indebtedness shall at all times be valued at the full stated principal amount thereof and (iii) without giving effect to any change in accounting for leases resulting from the implementation of Financial Accounting Standards Board ASU No. 2016-02, Leases (Topic 842), to the extent any lease (or similar arrangement conveying the right to use) would be required to be treated as a finance lease where such lease (or similar arrangement) would not have been required to be so treated under GAAP as in effect on December 31, 2016, and all calculations and deliverables under this Agreement or any other Loan Document shall be made or delivered, as applicable, in accordance therewith.</w:t>
      </w:r>
    </w:p>
    <w:p>
      <w:pPr>
        <w:spacing w:after="0" w:line="374" w:lineRule="exact"/>
        <w:rPr>
          <w:sz w:val="20"/>
          <w:szCs w:val="20"/>
          <w:color w:val="auto"/>
        </w:rPr>
      </w:pPr>
    </w:p>
    <w:p>
      <w:pPr>
        <w:jc w:val="both"/>
        <w:ind w:firstLine="110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any nation or government, any state or other political subdivision thereof, any agency, authority, instrumentality, regulatory body, court, central bank or other entity (including any supra-national bodies such as the European Union or the European Central Bank) exercising executive, legislative, judicial, taxing, regulatory or administrative functions of or pertaining to government, any securities exchange, any self-regulatory organization (including the National Association of Insurance Commissioners), and any group or body charged with setting financial accounting or regulatory capital rules or standards (including, without limitation, the Bank for International Settlements or the Basel Committee on Banking Supervision or any successor or similar authority to any of the foregoing).</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Members</w:t>
      </w:r>
      <w:r>
        <w:rPr>
          <w:rFonts w:ascii="Times New Roman" w:cs="Times New Roman" w:eastAsia="Times New Roman" w:hAnsi="Times New Roman"/>
          <w:sz w:val="18"/>
          <w:szCs w:val="18"/>
          <w:color w:val="auto"/>
        </w:rPr>
        <w:t>”: the collective reference to the Borrower and its Subsidiaries.</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77" w:name="page178"/>
    <w:bookmarkEnd w:id="177"/>
    <w:p>
      <w:pPr>
        <w:jc w:val="both"/>
        <w:spacing w:after="0" w:line="244" w:lineRule="auto"/>
        <w:rPr>
          <w:sz w:val="20"/>
          <w:szCs w:val="20"/>
          <w:color w:val="auto"/>
        </w:rPr>
      </w:pPr>
      <w:r>
        <w:rPr>
          <w:rFonts w:ascii="Times New Roman" w:cs="Times New Roman" w:eastAsia="Times New Roman" w:hAnsi="Times New Roman"/>
          <w:sz w:val="18"/>
          <w:szCs w:val="18"/>
          <w:color w:val="auto"/>
        </w:rPr>
        <w:t>effect guarantees, any Indebtedness, leases, dividends or other obligations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including any obligation of the guaranteeing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w:t>
      </w:r>
    </w:p>
    <w:p>
      <w:pPr>
        <w:spacing w:after="0" w:line="3" w:lineRule="exact"/>
        <w:rPr>
          <w:sz w:val="20"/>
          <w:szCs w:val="20"/>
          <w:color w:val="auto"/>
        </w:rPr>
      </w:pPr>
    </w:p>
    <w:p>
      <w:pPr>
        <w:jc w:val="both"/>
        <w:ind w:firstLine="1"/>
        <w:spacing w:after="0" w:line="243" w:lineRule="auto"/>
        <w:tabs>
          <w:tab w:leader="none" w:pos="34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50"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Finance Lease Obligations of such Person, (f) all obligations of such Person, contingent or otherwise, as an account party or applicant under or in respect of acceptances, letters of credit, surety bonds or similar arrangements, (g) the liquidation value of all redeemable preferred Capital Stock of such Person,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xml:space="preserve"> only, all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3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78" w:name="page179"/>
    <w:bookmarkEnd w:id="178"/>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(a) Taxes, other than Excluded Taxes, imposed on or with respect to any payment made by or on account of any obligation of any Loan Party under any Loan Document and (b) to the extent not otherwise described in (a), Other Taxes.</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with respect to any Multiemployer Plan, the condition that such Plan is insolvent within the meaning of Section 4245 of ERISA.</w:t>
      </w:r>
    </w:p>
    <w:p>
      <w:pPr>
        <w:spacing w:after="0" w:line="118"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the Intercreditor and Collateral Agency Agreement, originally dated as of February 26, 2010, as amended by Amendment No. 1, dated as of August 10, 2011, as further amended by Amendment No. 2, dated as of August 22, 2013, as further amended by Amendment No. 3, dated as of October 20, 2020, and as further supplemented by the Joinder to Intercreditor Agreement, among the Collateral Agent, Administrative Agent, holders of the Senior Notes and other holders of pari passu Indebtedness of the Borrower, which may become party to the agreement from time to time.</w:t>
      </w:r>
    </w:p>
    <w:p>
      <w:pPr>
        <w:spacing w:after="0" w:line="149"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 as to any ABR Loan or any Swing Line Loan, the first Business Day following the last day of each March, June, September and December to occur while such Loan is outstanding and the final maturity date of such Loan, (b) as to any Term SOFR Rate Loan having an Interest Period of three months or less, the last day of such Interest Period, (c) as to any Term SOFR Rate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w:t>
      </w:r>
    </w:p>
    <w:p>
      <w:pPr>
        <w:spacing w:after="0" w:line="149"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as to any Term SOFR Rate Loan, (a) initially, the period commencing on the borrowing or conversion date, as the case may be, with respect to such Term SOFR Rate Loan and ending one, three or six months thereafter (or such shorter or longer period as shall have been consented to by each Lender participating in such Term SOFR Rate Loan), as selected by the Borrower in its notice of borrowing or notice of conversion, as the case may be, given with respect thereto; and (b) thereafter, each period commencing on the last day of the next preceding Interest Period applicable to such Term SOFR Rate Loan and ending one, three or six months (or other applicable period) thereafter, as selected by the Borrower by irrevocable notice to the Administrative Agent not later than 11:00 A.M., New York City time, on the date that is three Business Days prior to the last day of the then current Interest Period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of the foregoing provisions relating to Interest Periods are subject to the following:</w:t>
      </w:r>
    </w:p>
    <w:p>
      <w:pPr>
        <w:spacing w:after="0" w:line="155" w:lineRule="exact"/>
        <w:rPr>
          <w:sz w:val="20"/>
          <w:szCs w:val="20"/>
          <w:color w:val="auto"/>
        </w:rPr>
      </w:pPr>
    </w:p>
    <w:p>
      <w:pPr>
        <w:jc w:val="both"/>
        <w:ind w:firstLine="1110"/>
        <w:spacing w:after="0" w:line="254" w:lineRule="auto"/>
        <w:tabs>
          <w:tab w:leader="none" w:pos="183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40" w:lineRule="exact"/>
        <w:rPr>
          <w:rFonts w:ascii="Times New Roman" w:cs="Times New Roman" w:eastAsia="Times New Roman" w:hAnsi="Times New Roman"/>
          <w:sz w:val="18"/>
          <w:szCs w:val="18"/>
          <w:color w:val="auto"/>
        </w:rPr>
      </w:pPr>
    </w:p>
    <w:p>
      <w:pPr>
        <w:ind w:firstLine="1110"/>
        <w:spacing w:after="0" w:line="280" w:lineRule="auto"/>
        <w:tabs>
          <w:tab w:leader="none" w:pos="188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select an Interest Period that would extend beyond the Revolving Commitment Termination Date; and</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79" w:name="page180"/>
    <w:bookmarkEnd w:id="179"/>
    <w:p>
      <w:pPr>
        <w:jc w:val="both"/>
        <w:ind w:firstLine="1110"/>
        <w:spacing w:after="0" w:line="260" w:lineRule="auto"/>
        <w:tabs>
          <w:tab w:leader="none" w:pos="194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3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all laws relating to economic and financial sanctions, trade embargoes, export controls, customs and anti-boycott measures.</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the United States Internal Revenue Service.</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to Intercreditor Agreement</w:t>
      </w:r>
      <w:r>
        <w:rPr>
          <w:rFonts w:ascii="Times New Roman" w:cs="Times New Roman" w:eastAsia="Times New Roman" w:hAnsi="Times New Roman"/>
          <w:sz w:val="18"/>
          <w:szCs w:val="18"/>
          <w:color w:val="auto"/>
        </w:rPr>
        <w:t>”: that certain (a) Joinder to Intercreditor Agreement (Administrative Agent), dated as of December 25, 2020, by the Administrative Agent, and (b) Joinder and Reaffirmation of Joinder to Intercreditor Agreement (Administrative Agent), dated as of the date hereof, by the Administrative Agent and acknowledged by the Collateral Agent.</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LDC Holdings</w:t>
      </w:r>
      <w:r>
        <w:rPr>
          <w:rFonts w:ascii="Times New Roman" w:cs="Times New Roman" w:eastAsia="Times New Roman" w:hAnsi="Times New Roman"/>
          <w:sz w:val="18"/>
          <w:szCs w:val="18"/>
          <w:color w:val="auto"/>
        </w:rPr>
        <w:t>”: LDC Holdings LLC, a Delaware limited liability company.</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as defined in the preamble hereto.</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as defined in the preamble hereto. Unless the context otherwise requires, the term “Lenders” includes the Swing Line Lender.</w:t>
      </w:r>
    </w:p>
    <w:p>
      <w:pPr>
        <w:spacing w:after="0" w:line="118"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finance lease having substantially the same economic effect as any of the foregoing).</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any loan by any Lender pursuant to this Agreement, including Revolving Loans and Swing Line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16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Agreement, the Security Documents, the Notes and any amendment, waiver, supplement or other modification to any of the foregoing.</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each Group Member that is a party to a Loan Document.</w:t>
      </w:r>
    </w:p>
    <w:p>
      <w:pPr>
        <w:spacing w:after="0" w:line="186" w:lineRule="exact"/>
        <w:rPr>
          <w:sz w:val="20"/>
          <w:szCs w:val="20"/>
          <w:color w:val="auto"/>
        </w:rPr>
      </w:pPr>
    </w:p>
    <w:p>
      <w:pPr>
        <w:jc w:val="both"/>
        <w:ind w:firstLine="1109"/>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any event, development or circumstance that has had or could reasonably be expected to have a material adverse effect on (a) the business, property, operations or financial condition of the Group Members, taken as a whole, or any of the Loan Parties, (b) the ability of the Group Members, taken as a whole, or any of the Loan Parties, to perform any of their respective obligations under the Loan Documents or (c) the validity or enforceability of any of the Loan Documents or the rights and remedies of the Administrative Agent or the Lenders thereunder.</w:t>
      </w:r>
    </w:p>
    <w:p>
      <w:pPr>
        <w:spacing w:after="0" w:line="359" w:lineRule="exact"/>
        <w:rPr>
          <w:sz w:val="20"/>
          <w:szCs w:val="20"/>
          <w:color w:val="auto"/>
        </w:rPr>
      </w:pPr>
    </w:p>
    <w:p>
      <w:pPr>
        <w:jc w:val="both"/>
        <w:ind w:firstLine="110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any gasoline or petroleum (including crude oil or any fraction thereof) or petroleum products or any hazardous or toxic substances, materials or wastes, defined or regulated as such in or under any applicable Environmental Law, including asbestos, polychlorinated biphenyls and urea-formaldehyde insulation.</w:t>
      </w: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80" w:name="page181"/>
    <w:bookmarkEnd w:id="180"/>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MNPI</w:t>
      </w:r>
      <w:r>
        <w:rPr>
          <w:rFonts w:ascii="Times New Roman" w:cs="Times New Roman" w:eastAsia="Times New Roman" w:hAnsi="Times New Roman"/>
          <w:sz w:val="18"/>
          <w:szCs w:val="18"/>
          <w:color w:val="auto"/>
        </w:rPr>
        <w:t>”: material information concerning the Borrower, any Subsidiary or any Affiliate of any of the foregoing, or any of their securities, that has not been disseminated in a manner making it available to investors generally, within the meaning of Regulation FD under the Exchange Act. For purposes of this definition, “material information” means information concerning the Borrower, any Subsidiary or other Affiliate of the Borrower, or any of their securities, that could reasonably be expected to be material for purposes of the United States federal and state securities laws.</w:t>
      </w:r>
    </w:p>
    <w:p>
      <w:pPr>
        <w:spacing w:after="0" w:line="1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 Services, Inc., or any successor thereto.</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 multiemployer plan as defined in Section 4001(a)(3) of ERISA.</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that certain Note Purchase Agreement, originally dated as of February 26, 2010, as amended by Amendment No. 1, dated as of August 10, 2011, as further amended by Amendment No. 2, dated as of August 22, 2013, and as further amended by Amendment No. 3, dated as of November 9, 2017, between the Borrower and the purchasers of the Senior Notes party thereto.</w:t>
      </w:r>
    </w:p>
    <w:p>
      <w:pPr>
        <w:spacing w:after="0" w:line="140"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the collective reference to any promissory note evidencing the Loans, each of which shall be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the Federal Reserve Bank of New York.</w:t>
      </w:r>
    </w:p>
    <w:p>
      <w:pPr>
        <w:spacing w:after="0" w:line="186"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3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4.21(b)(v)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81" w:name="page182"/>
    <w:bookmarkEnd w:id="181"/>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percent (0.00%), such rate shall be deemed to be zero percent (0.00%) for purposes of this Agreement. Such rate of interest charged shall be adjusted as of each Business Day based on changes in the Overnight Bank Funding Rate without notice to the Borrower.</w:t>
      </w:r>
    </w:p>
    <w:p>
      <w:pPr>
        <w:spacing w:after="0" w:line="3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with respect to any Lender, any Person as to which such Lender is, directly or indirectly,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10.6(c)(i)</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10.6(c)(ii)</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Pension Benefit Guaranty Corporation established under Section 4002 of ERISA or any successor entity performing similar functions.</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Peoples</w:t>
      </w:r>
      <w:r>
        <w:rPr>
          <w:rFonts w:ascii="Times New Roman" w:cs="Times New Roman" w:eastAsia="Times New Roman" w:hAnsi="Times New Roman"/>
          <w:sz w:val="18"/>
          <w:szCs w:val="18"/>
          <w:color w:val="auto"/>
        </w:rPr>
        <w:t>”: Peoples Natural Gas Company LLC, a Pennsylvania limited liability company.</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Peoples Gas</w:t>
      </w:r>
      <w:r>
        <w:rPr>
          <w:rFonts w:ascii="Times New Roman" w:cs="Times New Roman" w:eastAsia="Times New Roman" w:hAnsi="Times New Roman"/>
          <w:sz w:val="18"/>
          <w:szCs w:val="18"/>
          <w:color w:val="auto"/>
        </w:rPr>
        <w:t>”:  Peoples Gas Company LLC (f/k/a Peoples TWP LLC), a Pennsylvania limited liability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Peoples KY</w:t>
      </w:r>
      <w:r>
        <w:rPr>
          <w:rFonts w:ascii="Times New Roman" w:cs="Times New Roman" w:eastAsia="Times New Roman" w:hAnsi="Times New Roman"/>
          <w:sz w:val="18"/>
          <w:szCs w:val="18"/>
          <w:color w:val="auto"/>
        </w:rPr>
        <w:t>”: Peoples Gas KY LLC, a Kentucky limited liability company.</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Peoples WV</w:t>
      </w:r>
      <w:r>
        <w:rPr>
          <w:rFonts w:ascii="Times New Roman" w:cs="Times New Roman" w:eastAsia="Times New Roman" w:hAnsi="Times New Roman"/>
          <w:sz w:val="18"/>
          <w:szCs w:val="18"/>
          <w:color w:val="auto"/>
        </w:rPr>
        <w:t>”: Peoples Gas WV LLC, a West Virginia limited liability company.</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82" w:name="page183"/>
    <w:bookmarkEnd w:id="182"/>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other than any Multiemployer Plan, any employee pension benefit plan as defined in Section 3(2) of ERISA, that is subject to the provisions of Title IV of ERISA or Section 412 of the Code or Section 302 of ERISA, and in respect of which any Group Member or any ERISA Affiliate is (or, if such Plan were terminated, would under Section 4069 of ERISA be deemed to be) an “employer” as defined in Section 3(5) of ERISA.</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Stock</w:t>
      </w:r>
      <w:r>
        <w:rPr>
          <w:rFonts w:ascii="Times New Roman" w:cs="Times New Roman" w:eastAsia="Times New Roman" w:hAnsi="Times New Roman"/>
          <w:sz w:val="18"/>
          <w:szCs w:val="18"/>
          <w:color w:val="auto"/>
        </w:rPr>
        <w:t>”: all of the Capital Stock of each of the Borrower’s existing and future direct or indirect subsidiaries (including without limitation, all of the Capital Stock of each Significant Subsidiary and all other Subsidiaries directly or indirectly owned by the Borrower, in each case, except to the extent no longer owned, directly or indirectly, by the Borrower as a result of a transaction expressly permitted by this Agreement).</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PNC Bank, National Association.</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the interest rate per annum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main banking office of the Administrative Agent in Pittsburgh, Pennsylvania.</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Side Lender Representatives</w:t>
      </w:r>
      <w:r>
        <w:rPr>
          <w:rFonts w:ascii="Times New Roman" w:cs="Times New Roman" w:eastAsia="Times New Roman" w:hAnsi="Times New Roman"/>
          <w:sz w:val="18"/>
          <w:szCs w:val="18"/>
          <w:color w:val="auto"/>
        </w:rPr>
        <w:t>”: with respect to any Lender, representatives of such Lender that are not Public Side Lender Representatives.</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Transaction</w:t>
      </w:r>
      <w:r>
        <w:rPr>
          <w:rFonts w:ascii="Times New Roman" w:cs="Times New Roman" w:eastAsia="Times New Roman" w:hAnsi="Times New Roman"/>
          <w:sz w:val="18"/>
          <w:szCs w:val="18"/>
          <w:color w:val="auto"/>
        </w:rPr>
        <w:t>”: as defined in Section 406 of ERISA and Section 4975(c) of the Code.</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4.16(a)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a prohibited transaction class exemption issued by the U.S. Department of Labor, as any such exemption may be amended from time to time.</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Side Lender Representatives</w:t>
      </w:r>
      <w:r>
        <w:rPr>
          <w:rFonts w:ascii="Times New Roman" w:cs="Times New Roman" w:eastAsia="Times New Roman" w:hAnsi="Times New Roman"/>
          <w:sz w:val="18"/>
          <w:szCs w:val="18"/>
          <w:color w:val="auto"/>
        </w:rPr>
        <w:t>”: with respect to any Lender, representatives of such Lender that do not wish to receive MNPI.</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Fitch Ratings, Ltd., Moody’s and S&amp;P and, in each case, any successors thereto.</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 the Administrative Agent or (b) any Lender, as applicable.</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10.6(b)(iv)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Regulation U of the Board as in effect from time to time.</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83" w:name="page184"/>
    <w:bookmarkEnd w:id="183"/>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Regulation X of the Board as in effect from time to time.</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Compliance Event</w:t>
      </w:r>
      <w:r>
        <w:rPr>
          <w:rFonts w:ascii="Times New Roman" w:cs="Times New Roman" w:eastAsia="Times New Roman" w:hAnsi="Times New Roman"/>
          <w:sz w:val="18"/>
          <w:szCs w:val="18"/>
          <w:color w:val="auto"/>
        </w:rPr>
        <w:t>”: shall mean that any Loan Party or Subsidiary of any Loan Party becomes a Sanctioned Person, or is charged by indictment, criminal complaint or similar charging instrument, arraigned, or custodially detained in connection with any Anti-Terrorism Law or any predicate crime to any Anti-Terrorism Law or Anti-Corruption Law or any Collateral becomes Blocked Property.</w:t>
      </w:r>
    </w:p>
    <w:p>
      <w:pPr>
        <w:spacing w:after="0" w:line="140"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any of the events set forth in Section 4043(c) of ERISA or the regulations issued thereunder, with respect to a Plan, other than those events as to which notice is waived pursuant to DOL Reg. Section 4043 as in effect on the date hereof (no matter how such notice requirement may be changed in the future).</w:t>
      </w:r>
    </w:p>
    <w:p>
      <w:pPr>
        <w:spacing w:after="0" w:line="136" w:lineRule="exact"/>
        <w:rPr>
          <w:sz w:val="20"/>
          <w:szCs w:val="20"/>
          <w:color w:val="auto"/>
        </w:rPr>
      </w:pPr>
    </w:p>
    <w:p>
      <w:pPr>
        <w:jc w:val="both"/>
        <w:ind w:firstLine="110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(a) if there exists two (2) or fewer unaffiliated Lenders, all Lenders, and (b) if there exists three (3) or more unaffiliated Lenders, the holders of more than 50% of the Total Revolving Commitments then in effect or, if the Revolving Commitments have been terminated, the Total Revolving Extensions of Credit then outstanding.</w:t>
      </w:r>
    </w:p>
    <w:p>
      <w:pPr>
        <w:spacing w:after="0" w:line="357"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xml:space="preserve">”: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notwithstanding anything herein to the contrary, (a) the Dodd-Frank Wall Street Reform and Consumer Protection Act and all requests, rules, guidelines, requirements and directives thereunder, issued in connection therewith or in implementation thereof, and (b)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a “Requirement of Law” regardless of the date enacted, adopted, issued or implemented.</w:t>
      </w:r>
    </w:p>
    <w:p>
      <w:pPr>
        <w:spacing w:after="0" w:line="151"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an EEA Resolution Authority or, with respect to any UK Financial Institution, a UK Resolution Authority.</w:t>
      </w:r>
    </w:p>
    <w:p>
      <w:pPr>
        <w:spacing w:after="0" w:line="118"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a Financial Officer or the chief executive officer, president, chief administrative officer, general counsel, secretary, any executive vice president, any senior vice president, any vice president or another executive officer of the Borrower, but in any event, with respect to (a) any certificates delivered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and (b) clause (ii) of the definition of Specified Indebtedness, “Responsible Officer” shall mean a Financial Officer.</w:t>
      </w:r>
    </w:p>
    <w:p>
      <w:pPr>
        <w:spacing w:after="0" w:line="1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(a) as to any Lender, the obligation of such Lender, if any, to make Revolving Loans and participate in Swing Line Loans in an aggregate principal amount not to exceed the amount set forth under the heading “Revolving Commitment”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84" w:name="page185"/>
    <w:bookmarkEnd w:id="184"/>
    <w:p>
      <w:pPr>
        <w:jc w:val="both"/>
        <w:spacing w:after="0" w:line="280" w:lineRule="auto"/>
        <w:rPr>
          <w:sz w:val="20"/>
          <w:szCs w:val="20"/>
          <w:color w:val="auto"/>
        </w:rPr>
      </w:pPr>
      <w:r>
        <w:rPr>
          <w:rFonts w:ascii="Times New Roman" w:cs="Times New Roman" w:eastAsia="Times New Roman" w:hAnsi="Times New Roman"/>
          <w:sz w:val="18"/>
          <w:szCs w:val="18"/>
          <w:color w:val="auto"/>
        </w:rPr>
        <w:t>terms hereof and (b) in the case of PNC (in its capacity as the Swing Line Lender), its Swingline Commitment (but not the aggregate of its Revolving Commitment and its Swingline Commitment).</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Period</w:t>
      </w:r>
      <w:r>
        <w:rPr>
          <w:rFonts w:ascii="Times New Roman" w:cs="Times New Roman" w:eastAsia="Times New Roman" w:hAnsi="Times New Roman"/>
          <w:sz w:val="18"/>
          <w:szCs w:val="18"/>
          <w:color w:val="auto"/>
        </w:rPr>
        <w:t>”: the period from and including the Closing Date until the Revolving Commitment Termination Date.</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Termination Date</w:t>
      </w:r>
      <w:r>
        <w:rPr>
          <w:rFonts w:ascii="Times New Roman" w:cs="Times New Roman" w:eastAsia="Times New Roman" w:hAnsi="Times New Roman"/>
          <w:sz w:val="18"/>
          <w:szCs w:val="18"/>
          <w:color w:val="auto"/>
        </w:rPr>
        <w:t>”: June 1, 2026.</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Extensions of Credit</w:t>
      </w:r>
      <w:r>
        <w:rPr>
          <w:rFonts w:ascii="Times New Roman" w:cs="Times New Roman" w:eastAsia="Times New Roman" w:hAnsi="Times New Roman"/>
          <w:sz w:val="18"/>
          <w:szCs w:val="18"/>
          <w:color w:val="auto"/>
        </w:rPr>
        <w:t>”: as to any Lender at any time, an amount equal to the sum of (a) the aggregate principal amount of all Revolving Loans held by such Lender then outstanding and (b) such Lender’s Swingline Exposure.</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Percentage</w:t>
      </w:r>
      <w:r>
        <w:rPr>
          <w:rFonts w:ascii="Times New Roman" w:cs="Times New Roman" w:eastAsia="Times New Roman" w:hAnsi="Times New Roman"/>
          <w:sz w:val="18"/>
          <w:szCs w:val="18"/>
          <w:color w:val="auto"/>
        </w:rPr>
        <w:t>”: as to any Lender at any time, the percentage which such Lender’s Revolving Commitment then constitutes of the Total Revolving Commitments or, at any time after the Revolving Commitments shall have expired or terminated, the percentage which the aggregate principal amount of such Lender’s Revolving Extensions of Credit then outstanding constitutes of the aggregate principal amount of the Revolving Extensions of Credit then outstanding.</w:t>
      </w:r>
    </w:p>
    <w:p>
      <w:pPr>
        <w:spacing w:after="0" w:line="1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S&amp;P Global Ratings, a business unit of S&amp;P Global, Inc., or any successor thereto.</w:t>
      </w:r>
    </w:p>
    <w:p>
      <w:pPr>
        <w:spacing w:after="0" w:line="18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at any time, any country, territory, area, jurisdiction or region that is the subject or target of sanctions administered by the Office of Foreign Assets Control of the U.S. Department of the Treasury or otherwise the subject or target of comprehensive U.S. Sanctions, which countries, territories, areas, jurisdictions and regions include, as of the Closing Date, the so-called Donetsk People’s Republic, the so-called Luhansk People’s Republic, the Crimea, Zaporizhzhia, and Kherson Regions of Ukraine, Cuba, Iran, North Korea and Syria.</w:t>
      </w:r>
    </w:p>
    <w:p>
      <w:pPr>
        <w:spacing w:after="0" w:line="146" w:lineRule="exact"/>
        <w:rPr>
          <w:sz w:val="20"/>
          <w:szCs w:val="20"/>
          <w:color w:val="auto"/>
        </w:rPr>
      </w:pPr>
    </w:p>
    <w:p>
      <w:pPr>
        <w:jc w:val="both"/>
        <w:ind w:firstLine="11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at any time, (a) any Person listed in any Sanctions-related list of designated Persons maintained by any Compliance Authority, (b) any Person located, operating, organized or ordinarily resident in a Sanctioned Jurisdiction or (c) any Person owned 50% or more, in the aggregate, directly or indirectly controlled by, or acting for, on behalf of, or at the direction of, one or more Persons described in the foregoing clauses (a) and (b).</w:t>
      </w:r>
    </w:p>
    <w:p>
      <w:pPr>
        <w:spacing w:after="0" w:line="140"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 or other relevant sanctions authority with jurisdiction over any Lender, the Borrower or any of its or their Subsidiaries.</w:t>
      </w:r>
    </w:p>
    <w:p>
      <w:pPr>
        <w:spacing w:after="0" w:line="1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Securities and Exchange Commission, any successor thereto and any analogous Governmental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85" w:name="page186"/>
    <w:bookmarkEnd w:id="185"/>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Act of 1933, as amended.</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the Security and Pledge Agreement, originally dated as of February 26, 2010, as amended by Amendment No. 1, dated as of August 10, 2011, between the Borrower and the Collateral Agent.</w:t>
      </w:r>
    </w:p>
    <w:p>
      <w:pPr>
        <w:spacing w:after="0" w:line="118"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collective reference to the Security Agreement, the Intercreditor Agreement and all other security documents hereafter delivered to the Administrative Agent or the Collateral Agent granting a Lien on any property of any Person to secure the obligations and liabilities of any Loan Party under any Loan Document.</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the Borrower’s (a) 4.10% Series 2013-A Senior Secured Notes due December 19, 2023,</w:t>
      </w:r>
    </w:p>
    <w:p>
      <w:pPr>
        <w:spacing w:after="0" w:line="21" w:lineRule="exact"/>
        <w:rPr>
          <w:sz w:val="20"/>
          <w:szCs w:val="20"/>
          <w:color w:val="auto"/>
        </w:rPr>
      </w:pPr>
    </w:p>
    <w:p>
      <w:pPr>
        <w:jc w:val="both"/>
        <w:ind w:firstLine="1"/>
        <w:spacing w:after="0" w:line="241" w:lineRule="auto"/>
        <w:tabs>
          <w:tab w:leader="none" w:pos="26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 Series 2013-A Senior Secured Notes due December 19, 2025, (c) 3.58% Series 2017-A Senior Secured Notes due July 14, 2024, (d) 4.26% Series 2017-B Senior Secured Notes due December 20, 2031, (e) 2.90% Series 2017-C Senior Secured Notes due December 18, 2022, (f) 3.38% Series 2017-C Senior Secured Notes due December 18, 2027,</w:t>
      </w:r>
    </w:p>
    <w:p>
      <w:pPr>
        <w:jc w:val="both"/>
        <w:ind w:firstLine="1"/>
        <w:spacing w:after="0" w:line="245" w:lineRule="auto"/>
        <w:tabs>
          <w:tab w:leader="none" w:pos="26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 Series 2017-C Senior Secured Notes due December 18, 2032, (h) 4.50% Series 2017-D Senior Secured Notes due November 17, 2021, (i) 6.42% Series 2017-D Senior Secured Notes due December 28, 2022, (j) 5.99% Series 2017-D Senior Secured Notes due October 31, 2023 and (k) 3.53% Series 2017-D Senior Secured Notes due August 23, 2023, each as issued pursuant to the Note Purchase Agreement and any additional senior secured notes of the Borrower issued after the date hereof pursuant to the Note Purchase Agreement.</w:t>
      </w:r>
    </w:p>
    <w:p>
      <w:pPr>
        <w:spacing w:after="0" w:line="14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Documentation</w:t>
      </w:r>
      <w:r>
        <w:rPr>
          <w:rFonts w:ascii="Times New Roman" w:cs="Times New Roman" w:eastAsia="Times New Roman" w:hAnsi="Times New Roman"/>
          <w:sz w:val="18"/>
          <w:szCs w:val="18"/>
          <w:color w:val="auto"/>
        </w:rPr>
        <w:t>”: the Note Purchase Agreement, together with all instruments and other agreements entered into by the Borrower in connection therewith.</w:t>
      </w:r>
    </w:p>
    <w:p>
      <w:pPr>
        <w:spacing w:after="0" w:line="118"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xml:space="preserve">”: (a) Peoples, (b) Peoples Gas and (c) any other Subsidiary of the Borrower whose revenues or assets are equal to 10% or more of the consolidated revenues or assets, as applicable, of the Borrower and its Subsidiaries as at the last day of any period of four consecutive fiscal quarters of the Borrower ending with the most recent fiscal quarter for which the Borrower is obligated to provide financial statements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(giving effect to any time periods for delivery of such financial statements as set forth therein).</w:t>
      </w:r>
    </w:p>
    <w:p>
      <w:pPr>
        <w:spacing w:after="0" w:line="14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for any day, a rate equal to the secured overnight financing rate as administered by the Federal Reserve Bank of New York (or a successor administrator of the secured overnight financing rate).</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ten basis points (0.10%).</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Floor</w:t>
      </w:r>
      <w:r>
        <w:rPr>
          <w:rFonts w:ascii="Times New Roman" w:cs="Times New Roman" w:eastAsia="Times New Roman" w:hAnsi="Times New Roman"/>
          <w:sz w:val="18"/>
          <w:szCs w:val="18"/>
          <w:color w:val="auto"/>
        </w:rPr>
        <w:t>”: a rate of interest per annum equal to zero basis points (0.00%).</w:t>
      </w:r>
    </w:p>
    <w:p>
      <w:pPr>
        <w:spacing w:after="0" w:line="186"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w:t>
      </w: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Person will not have, as of such date, an unreasonably small amount of capital with which to conduct its business, and</w:t>
      </w:r>
    </w:p>
    <w:p>
      <w:pPr>
        <w:spacing w:after="0" w:line="21" w:lineRule="exact"/>
        <w:rPr>
          <w:sz w:val="20"/>
          <w:szCs w:val="20"/>
          <w:color w:val="auto"/>
        </w:rPr>
      </w:pPr>
    </w:p>
    <w:p>
      <w:pPr>
        <w:jc w:val="both"/>
        <w:ind w:firstLine="1"/>
        <w:spacing w:after="0" w:line="241" w:lineRule="auto"/>
        <w:tabs>
          <w:tab w:leader="none" w:pos="26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w:t>
      </w:r>
    </w:p>
    <w:p>
      <w:pPr>
        <w:jc w:val="both"/>
        <w:ind w:firstLine="1"/>
        <w:spacing w:after="0" w:line="245" w:lineRule="auto"/>
        <w:tabs>
          <w:tab w:leader="none" w:pos="26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an equitable remedy for breach of performance if such breach gives rise to a right to payment, whether or not such right to an equitable remedy is reduced to judgment, fixed, contingent, matured or unmatured, disputed, undisputed, secured or unsecured. The amount of contingent liabilities (such as litigation, guaranties and pension plan liabilities) at any time shall be computed as the amount that, in light of all the facts and circumstances existing at the time, represents the amount that can be reasonably be expected to become an actual or matured liability.</w:t>
      </w:r>
    </w:p>
    <w:p>
      <w:pPr>
        <w:spacing w:after="0" w:line="1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Indebtedness</w:t>
      </w:r>
      <w:r>
        <w:rPr>
          <w:rFonts w:ascii="Times New Roman" w:cs="Times New Roman" w:eastAsia="Times New Roman" w:hAnsi="Times New Roman"/>
          <w:sz w:val="18"/>
          <w:szCs w:val="18"/>
          <w:color w:val="auto"/>
        </w:rPr>
        <w:t>”: any of the following types of Indebtedness:</w:t>
      </w:r>
    </w:p>
    <w:p>
      <w:pPr>
        <w:spacing w:after="0" w:line="186" w:lineRule="exact"/>
        <w:rPr>
          <w:sz w:val="20"/>
          <w:szCs w:val="20"/>
          <w:color w:val="auto"/>
        </w:rPr>
      </w:pPr>
    </w:p>
    <w:p>
      <w:pPr>
        <w:jc w:val="both"/>
        <w:ind w:firstLine="1110"/>
        <w:spacing w:after="0" w:line="260" w:lineRule="auto"/>
        <w:tabs>
          <w:tab w:leader="none" w:pos="18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in respect of the Senior Notes (together with any replacement, refinancing or amendment and restatement thereof), so long as after giving effect thereto the holders of such Indebtedness or their agent shall be a party to the Intercreditor Agreement;</w:t>
      </w:r>
    </w:p>
    <w:p>
      <w:pPr>
        <w:spacing w:after="0" w:line="135" w:lineRule="exact"/>
        <w:rPr>
          <w:rFonts w:ascii="Times New Roman" w:cs="Times New Roman" w:eastAsia="Times New Roman" w:hAnsi="Times New Roman"/>
          <w:sz w:val="18"/>
          <w:szCs w:val="18"/>
          <w:color w:val="auto"/>
        </w:rPr>
      </w:pPr>
    </w:p>
    <w:p>
      <w:pPr>
        <w:jc w:val="both"/>
        <w:ind w:firstLine="1110"/>
        <w:spacing w:after="0" w:line="245" w:lineRule="auto"/>
        <w:tabs>
          <w:tab w:leader="none" w:pos="188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Indebtedness of the Borrower (other than revolving loans) together with any replacement, refinancing or amendment and restatement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immediately after giving effect to any such Indebtedness, the ratio of Consolidated Debt to Consolidated Capitalization shall not exceed 0.60 to 1.00, (b) at the time of such incurrence, no Default or Event of Default then exists or would arise therefrom, (c) the holders of such Indebtedness or their agent shall have become a party to the Intercreditor Agreement, (d) the Administrative Agent shall have received any documents or information, including resolutions and opinions of counsel, it reasonably requests in connection with the Borrower entering into such Indebtedness, and (e) the Administrative Agent shall have received a certificate of a Responsible Officer of the Borrower at least five Business Days (or such shorter period as the Administrative Agent may agree) prior to the incurrence of such Indebtedness stating that the Borrower has determined in good faith that such terms and conditions satisfy the foregoing requirements set forth in clauses (a) through (d) above;</w:t>
      </w:r>
    </w:p>
    <w:p>
      <w:pPr>
        <w:spacing w:after="0" w:line="151" w:lineRule="exact"/>
        <w:rPr>
          <w:rFonts w:ascii="Times New Roman" w:cs="Times New Roman" w:eastAsia="Times New Roman" w:hAnsi="Times New Roman"/>
          <w:sz w:val="18"/>
          <w:szCs w:val="18"/>
          <w:color w:val="auto"/>
        </w:rPr>
      </w:pPr>
    </w:p>
    <w:p>
      <w:pPr>
        <w:ind w:left="1940" w:hanging="830"/>
        <w:spacing w:after="0"/>
        <w:tabs>
          <w:tab w:leader="none" w:pos="19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5" w:lineRule="exact"/>
        <w:rPr>
          <w:rFonts w:ascii="Times New Roman" w:cs="Times New Roman" w:eastAsia="Times New Roman" w:hAnsi="Times New Roman"/>
          <w:sz w:val="18"/>
          <w:szCs w:val="18"/>
          <w:color w:val="auto"/>
        </w:rPr>
      </w:pPr>
    </w:p>
    <w:p>
      <w:pPr>
        <w:ind w:left="1940" w:hanging="830"/>
        <w:spacing w:after="0"/>
        <w:tabs>
          <w:tab w:leader="none" w:pos="19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5" w:lineRule="exact"/>
        <w:rPr>
          <w:rFonts w:ascii="Times New Roman" w:cs="Times New Roman" w:eastAsia="Times New Roman" w:hAnsi="Times New Roman"/>
          <w:sz w:val="18"/>
          <w:szCs w:val="18"/>
          <w:color w:val="auto"/>
        </w:rPr>
      </w:pPr>
    </w:p>
    <w:p>
      <w:pPr>
        <w:ind w:left="1880" w:hanging="770"/>
        <w:spacing w:after="0"/>
        <w:tabs>
          <w:tab w:leader="none" w:pos="18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85" w:lineRule="exact"/>
        <w:rPr>
          <w:rFonts w:ascii="Times New Roman" w:cs="Times New Roman" w:eastAsia="Times New Roman" w:hAnsi="Times New Roman"/>
          <w:sz w:val="18"/>
          <w:szCs w:val="18"/>
          <w:color w:val="auto"/>
        </w:rPr>
      </w:pPr>
    </w:p>
    <w:p>
      <w:pPr>
        <w:ind w:firstLine="1110"/>
        <w:spacing w:after="0" w:line="280" w:lineRule="auto"/>
        <w:tabs>
          <w:tab w:leader="none" w:pos="193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Indebtedness of the Borrower, Peoples, Peoples Gas or any other Significant Subsidiary in an aggregate principal amount not to exceed $25,000,000 at any one time outstanding.</w:t>
      </w:r>
    </w:p>
    <w:p>
      <w:pPr>
        <w:spacing w:after="0" w:line="118" w:lineRule="exact"/>
        <w:rPr>
          <w:sz w:val="20"/>
          <w:szCs w:val="20"/>
          <w:color w:val="auto"/>
        </w:rPr>
      </w:pPr>
    </w:p>
    <w:p>
      <w:pPr>
        <w:jc w:val="both"/>
        <w:ind w:firstLine="110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87" w:name="page188"/>
    <w:bookmarkEnd w:id="187"/>
    <w:p>
      <w:pPr>
        <w:jc w:val="both"/>
        <w:spacing w:after="0" w:line="260" w:lineRule="auto"/>
        <w:rPr>
          <w:sz w:val="20"/>
          <w:szCs w:val="20"/>
          <w:color w:val="auto"/>
        </w:rPr>
      </w:pPr>
      <w:r>
        <w:rPr>
          <w:rFonts w:ascii="Times New Roman" w:cs="Times New Roman" w:eastAsia="Times New Roman" w:hAnsi="Times New Roman"/>
          <w:sz w:val="18"/>
          <w:szCs w:val="18"/>
          <w:color w:val="auto"/>
        </w:rPr>
        <w:t>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36" w:lineRule="exact"/>
        <w:rPr>
          <w:sz w:val="20"/>
          <w:szCs w:val="20"/>
          <w:color w:val="auto"/>
        </w:rPr>
      </w:pPr>
    </w:p>
    <w:p>
      <w:pPr>
        <w:jc w:val="both"/>
        <w:ind w:firstLine="110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Debt</w:t>
      </w:r>
      <w:r>
        <w:rPr>
          <w:rFonts w:ascii="Times New Roman" w:cs="Times New Roman" w:eastAsia="Times New Roman" w:hAnsi="Times New Roman"/>
          <w:sz w:val="18"/>
          <w:szCs w:val="18"/>
          <w:color w:val="auto"/>
        </w:rPr>
        <w:t>”: without duplication, as of the date of any determination thereof, the sum of all Indebtedness of Subsidiaries (including all Guarantee Obligations of Indebtedness of the Borrower) but excluding</w:t>
      </w:r>
    </w:p>
    <w:p>
      <w:pPr>
        <w:spacing w:after="0" w:line="1" w:lineRule="exact"/>
        <w:rPr>
          <w:sz w:val="20"/>
          <w:szCs w:val="20"/>
          <w:color w:val="auto"/>
        </w:rPr>
      </w:pPr>
    </w:p>
    <w:p>
      <w:pPr>
        <w:jc w:val="both"/>
        <w:ind w:firstLine="1"/>
        <w:spacing w:after="0" w:line="246" w:lineRule="auto"/>
        <w:tabs>
          <w:tab w:leader="none" w:pos="26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owing to the Borrower or any wholly-owned Subsidiary, (ii) Guarantee Obligations (other than Guarantee Obligations of Indebtedness of the Borrower) incurred in the ordinary course of business by Peoples, Peoples Gas or any other Significant Subsidiary, and (iii) surety bonds (and similar arrangements) incurred in the ordinary course of business by Peoples, Peoples Gas or any other Significant Subsidiary.</w:t>
      </w:r>
    </w:p>
    <w:p>
      <w:pPr>
        <w:spacing w:after="0" w:line="148"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any of its Subsidiaries shall be a “Swap Agreement”.</w:t>
      </w:r>
    </w:p>
    <w:p>
      <w:pPr>
        <w:spacing w:after="0" w:line="149"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Borrowing Request</w:t>
      </w:r>
      <w:r>
        <w:rPr>
          <w:rFonts w:ascii="Times New Roman" w:cs="Times New Roman" w:eastAsia="Times New Roman" w:hAnsi="Times New Roman"/>
          <w:sz w:val="18"/>
          <w:szCs w:val="18"/>
          <w:color w:val="auto"/>
        </w:rPr>
        <w:t xml:space="preserve">”: a request by the Borrower for a Swing Line Loan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which shall be in any form approved by the Swing Line Lender and the Administrative Agent.</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the commitment of the Swing Line Lender to make Swing Line Loans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16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at any time, the aggregate principal amount of all Swing Line Loans outstanding at such time. The Swingline Exposure of any Lender at any time shall be its Revolving Percentage of the total Swingline Exposure at such time.</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PNC, in its capacity as a lender of Swing Line Loans hereunder.</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a Loan made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Sublimit</w:t>
      </w:r>
      <w:r>
        <w:rPr>
          <w:rFonts w:ascii="Times New Roman" w:cs="Times New Roman" w:eastAsia="Times New Roman" w:hAnsi="Times New Roman"/>
          <w:sz w:val="18"/>
          <w:szCs w:val="18"/>
          <w:color w:val="auto"/>
        </w:rPr>
        <w:t>”: $30,000,000.</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CME Group Benchmark Administration Limited (CBA) (or a successor administrator of the Term SOFR Reference Rate selected by the Administrative Agent in its reasonable discretion).</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88" w:name="page189"/>
    <w:bookmarkEnd w:id="188"/>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with respect to any amount to which the Term SOFR Rate Option applies, for any Interest Period, the interest rate per annum 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xml:space="preserve">”)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the first day of each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as soon as practicable notify the Borrower and the relevant Lenders of each determination of a Term SOFR Rate.</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 Loan</w:t>
      </w:r>
      <w:r>
        <w:rPr>
          <w:rFonts w:ascii="Times New Roman" w:cs="Times New Roman" w:eastAsia="Times New Roman" w:hAnsi="Times New Roman"/>
          <w:sz w:val="18"/>
          <w:szCs w:val="18"/>
          <w:color w:val="auto"/>
        </w:rPr>
        <w:t>” means a Loan that bears interest based on the Term SOFR Rate.</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 Option</w:t>
      </w:r>
      <w:r>
        <w:rPr>
          <w:rFonts w:ascii="Times New Roman" w:cs="Times New Roman" w:eastAsia="Times New Roman" w:hAnsi="Times New Roman"/>
          <w:sz w:val="18"/>
          <w:szCs w:val="18"/>
          <w:color w:val="auto"/>
        </w:rPr>
        <w:t xml:space="preserve">” means the option of the Borrower to have Loans bear interest at the rate and under the terms specified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the forward-looking term rate based on SOFR.</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Commitments</w:t>
      </w:r>
      <w:r>
        <w:rPr>
          <w:rFonts w:ascii="Times New Roman" w:cs="Times New Roman" w:eastAsia="Times New Roman" w:hAnsi="Times New Roman"/>
          <w:sz w:val="18"/>
          <w:szCs w:val="18"/>
          <w:color w:val="auto"/>
        </w:rPr>
        <w:t>”: at any time, the aggregate amount of the Revolving Commitments then in effect. The amount of the Total Revolving Commitments as of the Closing Date is $300,000,000.</w:t>
      </w:r>
    </w:p>
    <w:p>
      <w:pPr>
        <w:spacing w:after="0" w:line="118"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Extensions of Credit</w:t>
      </w:r>
      <w:r>
        <w:rPr>
          <w:rFonts w:ascii="Times New Roman" w:cs="Times New Roman" w:eastAsia="Times New Roman" w:hAnsi="Times New Roman"/>
          <w:sz w:val="18"/>
          <w:szCs w:val="18"/>
          <w:color w:val="auto"/>
        </w:rPr>
        <w:t>”: at any time, the aggregate amount of the Revolving Extensions of Credit of the Lenders outstanding at such time.</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any Assignee or Participant.</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as to any Loan, its nature as an ABR Loan or a Term SOFR Rate Loan.</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36"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89" w:name="page190"/>
    <w:bookmarkEnd w:id="189"/>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the Bank of England or any other public administrative authority having responsibility for the resolution of any UK Financial Institution.</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the United States of America.</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any liability to a Multiemployer Plan as a result of a complete or partial withdrawal from such Multiemployer Plan, as such terms are used in Sections 4203 and 4205, respectively, of ERISA.</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the Borrower and the Administrative Agent.</w:t>
      </w:r>
    </w:p>
    <w:p>
      <w:pPr>
        <w:spacing w:after="0" w:line="186"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5"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60" w:lineRule="auto"/>
        <w:tabs>
          <w:tab w:leader="none" w:pos="166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35" w:lineRule="exact"/>
        <w:rPr>
          <w:rFonts w:ascii="Times New Roman" w:cs="Times New Roman" w:eastAsia="Times New Roman" w:hAnsi="Times New Roman"/>
          <w:sz w:val="18"/>
          <w:szCs w:val="18"/>
          <w:color w:val="auto"/>
        </w:rPr>
      </w:pPr>
    </w:p>
    <w:p>
      <w:pPr>
        <w:jc w:val="both"/>
        <w:ind w:firstLine="1110"/>
        <w:spacing w:after="0" w:line="243" w:lineRule="auto"/>
        <w:tabs>
          <w:tab w:leader="none" w:pos="167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definitions of terms herein shall apply equally to the singular and plural forms of the terms defined. Whenever the context may require, any pronoun shall include the corresponding masculine, feminine and neuter forms. As used herein and in the other Loan Documents, and any certificate or other document made or delivered pursuant hereto or thereto, (i) accounting terms not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accounting terms partly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 “will” shall be construed to have the same meaning and effect as the word “shall”, (v)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w:t>
      </w:r>
    </w:p>
    <w:p>
      <w:pPr>
        <w:spacing w:after="0" w:line="2" w:lineRule="exact"/>
        <w:rPr>
          <w:rFonts w:ascii="Times New Roman" w:cs="Times New Roman" w:eastAsia="Times New Roman" w:hAnsi="Times New Roman"/>
          <w:sz w:val="18"/>
          <w:szCs w:val="18"/>
          <w:color w:val="auto"/>
        </w:rPr>
      </w:pPr>
    </w:p>
    <w:p>
      <w:pPr>
        <w:jc w:val="both"/>
        <w:ind w:firstLine="1"/>
        <w:spacing w:after="0" w:line="246" w:lineRule="auto"/>
        <w:tabs>
          <w:tab w:leader="none" w:pos="31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“asset” and “property” shall be construed to have the same meaning and effect and to refer to any and all tangible and intangible assets and properties, including cash, Capital Stock, securities, revenues, accounts, leasehold interests and contract rights, (vii) references to agreements or other Contractual Obligations shall, unless otherwise expressly specified, be deemed to refer to such agreements or Contractual</w:t>
      </w: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90" w:name="page191"/>
    <w:bookmarkEnd w:id="190"/>
    <w:p>
      <w:pPr>
        <w:jc w:val="both"/>
        <w:spacing w:after="0" w:line="244" w:lineRule="auto"/>
        <w:rPr>
          <w:sz w:val="20"/>
          <w:szCs w:val="20"/>
          <w:color w:val="auto"/>
        </w:rPr>
      </w:pPr>
      <w:r>
        <w:rPr>
          <w:rFonts w:ascii="Times New Roman" w:cs="Times New Roman" w:eastAsia="Times New Roman" w:hAnsi="Times New Roman"/>
          <w:sz w:val="18"/>
          <w:szCs w:val="18"/>
          <w:color w:val="auto"/>
        </w:rPr>
        <w:t>Obligations as amended, supplemented, restated, replaced or otherwise modified from time to time (subject to any restrictions on such amendments, restatements, replacements, supplements or modifications set forth herein), (viii) any definition of or reference to any statute, rule or regulation shall be construed as referring thereto as from time to time amended, supplemented or otherwise modified (including by succession of comparable successor laws), (ix)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(x) the words “herein”, “hereof and “hereunder”, and words of similar import, shall be construed to refer to this Agreement in its entirety and not to any particular provision hereof, (xi) all references herein to Articles, Sections, Exhibits and Schedules shall be construed to refer to Articles and Sections of, and Exhibits and Schedules to, this Agreement and (xii) the words ‘rate’, ‘rated’ or ‘rating’ shall be deemed to refer to a Rating Agency providing a rating (and not a credit assessment, indicative rating or other preliminary rating from a Rating Agency unless specifically indicated).</w:t>
      </w:r>
    </w:p>
    <w:p>
      <w:pPr>
        <w:spacing w:after="0" w:line="155"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Benchmark Replacement Notification;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this Agreement provides a mechanism for determining an alternative rate of interest in the event that any Benchmark is no longer available or in certain other circumstances. The Administrative Agent does not warrant or accept any responsibility for and shall not have any liability with respect to, (a) the continuation of, administration of, submission of or calculation of, or any other matter related to, any Benchmark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Borrower or any other person or entity.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5" w:lineRule="exact"/>
        <w:rPr>
          <w:sz w:val="20"/>
          <w:szCs w:val="20"/>
          <w:color w:val="auto"/>
        </w:rPr>
      </w:pPr>
    </w:p>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191" w:name="page192"/>
    <w:bookmarkEnd w:id="191"/>
    <w:p>
      <w:pPr>
        <w:jc w:val="both"/>
        <w:spacing w:after="0" w:line="280" w:lineRule="auto"/>
        <w:rPr>
          <w:sz w:val="20"/>
          <w:szCs w:val="20"/>
          <w:color w:val="auto"/>
        </w:rPr>
      </w:pPr>
      <w:r>
        <w:rPr>
          <w:rFonts w:ascii="Times New Roman" w:cs="Times New Roman" w:eastAsia="Times New Roman" w:hAnsi="Times New Roman"/>
          <w:sz w:val="18"/>
          <w:szCs w:val="18"/>
          <w:color w:val="auto"/>
        </w:rPr>
        <w:t>such new Person shall be deemed to have been organized on the first date of its existence by the holders of its Capital Stock at such time.</w:t>
      </w:r>
    </w:p>
    <w:p>
      <w:pPr>
        <w:spacing w:after="0" w:line="118"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Negative Covenant Compliance</w:t>
      </w:r>
      <w:r>
        <w:rPr>
          <w:rFonts w:ascii="Times New Roman" w:cs="Times New Roman" w:eastAsia="Times New Roman" w:hAnsi="Times New Roman"/>
          <w:sz w:val="18"/>
          <w:szCs w:val="18"/>
          <w:color w:val="auto"/>
        </w:rPr>
        <w:t xml:space="preserve">. For purposes of determining whether the Borrower complies with any exception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(other than the financial covenants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the incurrence of any Specified Indebtedness under clause (ii) of the definition thereof, it is understood that (a) compliance shall be measured at the time when the relevant event is undertaken, and, for the avoidance of doubt, any financial ratios and metrics therein are intended to be “incurrence” tests and not “maintenance” tests and (b) correspondingly, no change in any financial ratio or metric occurring after the date such compliance is measured shall result in any previously permitted transaction ceasing to be permitted hereunder. For the avoidance of doubt, with respect to determining whether the Borrower and its Subsidiaries comply with any covenant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(other than the financial covenants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or the incurrence of any Specified Indebtedness under clause (ii) of the definition thereof, to the extent that any obligation, transaction or action could be attributable to more than one exception to any such covenant, the Borrower may categorize or re-categorize all or any portion of such obligation, transaction or action to any one or more exceptions to such covenant that permit such obligation, transaction or action.</w:t>
      </w:r>
    </w:p>
    <w:p>
      <w:pPr>
        <w:spacing w:after="0" w:line="365"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Timing of Payment or Performance</w:t>
      </w:r>
      <w:r>
        <w:rPr>
          <w:rFonts w:ascii="Times New Roman" w:cs="Times New Roman" w:eastAsia="Times New Roman" w:hAnsi="Times New Roman"/>
          <w:sz w:val="18"/>
          <w:szCs w:val="18"/>
          <w:color w:val="auto"/>
        </w:rPr>
        <w:t>. When the payment of any obligation or the performance of any covenant, duty or obligation is stated to be due or performance required on a day which is not a Business Day, the date of such payment (other than as specifically provided herein, including in the definition of the term “Interest Period”) or performance shall extend to the immediately succeeding Business Day (it being understood that the foregoing shall cause any grace period associated with any such payment obligation or performance of any covenant, duty or obligation to extend to the immediately succeeding Business Day as well) and, in the case of any payment accruing interest, interest thereon shall be payable for the period of such extension.</w:t>
      </w:r>
    </w:p>
    <w:p>
      <w:pPr>
        <w:spacing w:after="0" w:line="149"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40"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All certifications to be made hereunder by a Responsible Officer shall be made by such Person in his or her capacity solely as an officer or a representative of the Borrower, on the Borrower’s behalf and not in such Person’s individual capacity.</w:t>
      </w:r>
    </w:p>
    <w:p>
      <w:pPr>
        <w:spacing w:after="0" w:line="13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SECTION 2. AMOUNT AND TERMS OF COMMITMENTS</w:t>
      </w:r>
    </w:p>
    <w:p>
      <w:pPr>
        <w:spacing w:after="0" w:line="186"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Revolving Commitments; Payments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54" w:lineRule="auto"/>
        <w:tabs>
          <w:tab w:leader="none" w:pos="166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and relying upon the representations and warranties herein specified, each Lender severally agrees to make revolving loans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under the Revolving Commitments to the Borrower from time to time during the Revolving Commitment Period in an aggregate principal amount at any one time outstanding which, when added to such Lender’s Swingline Exposure then outstanding, does not</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92" w:name="page193"/>
    <w:bookmarkEnd w:id="192"/>
    <w:p>
      <w:pPr>
        <w:jc w:val="both"/>
        <w:spacing w:after="0" w:line="260" w:lineRule="auto"/>
        <w:rPr>
          <w:sz w:val="20"/>
          <w:szCs w:val="20"/>
          <w:color w:val="auto"/>
        </w:rPr>
      </w:pPr>
      <w:r>
        <w:rPr>
          <w:rFonts w:ascii="Times New Roman" w:cs="Times New Roman" w:eastAsia="Times New Roman" w:hAnsi="Times New Roman"/>
          <w:sz w:val="18"/>
          <w:szCs w:val="18"/>
          <w:color w:val="auto"/>
        </w:rPr>
        <w:t>exceed the amount of such Lender’s Revolving Commitment. During the Revolving Commitment Period the Borrower may use the Revolving Commitments by borrowing, prepaying the Revolving Loans in whole or in part, and reborrowing, all in accordance with the terms and conditions hereof.</w:t>
      </w:r>
    </w:p>
    <w:p>
      <w:pPr>
        <w:spacing w:after="0" w:line="136" w:lineRule="exact"/>
        <w:rPr>
          <w:sz w:val="20"/>
          <w:szCs w:val="20"/>
          <w:color w:val="auto"/>
        </w:rPr>
      </w:pPr>
    </w:p>
    <w:p>
      <w:pPr>
        <w:ind w:firstLine="1110"/>
        <w:spacing w:after="0" w:line="280" w:lineRule="auto"/>
        <w:tabs>
          <w:tab w:leader="none" w:pos="167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Loans may from time to time be Term SOFR Rate Loans or ABR Loans, as determined by the Borrower and notified to the Administrative Agent in accordance with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110"/>
        <w:spacing w:after="0" w:line="280" w:lineRule="auto"/>
        <w:tabs>
          <w:tab w:leader="none" w:pos="166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to the applicable Lenders the aggregate principal amount of all Revolving Loans outstanding on the Revolving Commitment Termination Date.</w:t>
      </w:r>
    </w:p>
    <w:p>
      <w:pPr>
        <w:spacing w:after="0" w:line="118"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for Revolving Loan Borrowing. The Borrower may borrow Revolving Loans under the Revolving Commitments during the Revolving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deliver to the Administrative Agent an irrevocable Borrowing Request (which notice must be received by the Administrative Agent prior to 11:00 A.M., New York City time, (a) three Business Days prior to the requested Borrowing Date, in the case of Term SOFR Rate Loans, or (b) on the day of the requested Borrowing Date, in the case of ABR Loans), specifying (i) the amount and Type of Revolving Loans to be borrowed, (ii) the requested Borrowing Date and</w:t>
      </w:r>
    </w:p>
    <w:p>
      <w:pPr>
        <w:spacing w:after="0" w:line="5" w:lineRule="exact"/>
        <w:rPr>
          <w:sz w:val="20"/>
          <w:szCs w:val="20"/>
          <w:color w:val="auto"/>
        </w:rPr>
      </w:pPr>
    </w:p>
    <w:p>
      <w:pPr>
        <w:jc w:val="both"/>
        <w:ind w:firstLine="1"/>
        <w:spacing w:after="0" w:line="242" w:lineRule="auto"/>
        <w:tabs>
          <w:tab w:leader="none" w:pos="32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Term SOFR Rate Loans, the respective amounts of each such Type of Loan and the respective lengths of the initial Interest Period therefor. Each borrowing of Revolving Loans under the Revolving Commitments shall be in an amount equal to (x) in the case of ABR Loans, $250,000 or a whole number multiple of $50,000 in excess thereof (or, if the then aggregate Available Revolving Commitments are less than $250,000, such lesser amount) and (y) in the case of Term SOFR Rate Loans, $1,000,000 or a whole number multiple of $100,000 in excess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Term SOFR Rate Loan that results from a continuation of an outstanding Term SOFR Rate Loan may be in an aggregate amount that is equal to such outstanding Term SOFR Rate Loan. Upon receipt of any such notice from the Borrower, the Administrative Agent shall promptly notify each Lender thereof. Each Lender will make the amount of its Revolving Percentage of each borrowing available to the Administrative Agent for the account of the Borrower at the Funding Office prior to 1:00 P.M.,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such Lenders and in like funds as received by the Administrative Agent.</w:t>
      </w:r>
    </w:p>
    <w:p>
      <w:pPr>
        <w:spacing w:after="0" w:line="155"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Additional Fees</w:t>
      </w:r>
      <w:r>
        <w:rPr>
          <w:rFonts w:ascii="Times New Roman" w:cs="Times New Roman" w:eastAsia="Times New Roman" w:hAnsi="Times New Roman"/>
          <w:sz w:val="18"/>
          <w:szCs w:val="18"/>
          <w:color w:val="auto"/>
        </w:rPr>
        <w:t>. The Borrower agrees to pay to the Administrative Agent and Lead Arranger the fees in the amounts and on the dates as set forth in any fee agreements with the Administrative Agent and Lead Arranger, as applicable, and to perform any other obligations contained therein.</w:t>
      </w:r>
    </w:p>
    <w:p>
      <w:pPr>
        <w:spacing w:after="0" w:line="136"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Termination or Reduction of Total Revolving Commitments</w:t>
      </w:r>
      <w:r>
        <w:rPr>
          <w:rFonts w:ascii="Times New Roman" w:cs="Times New Roman" w:eastAsia="Times New Roman" w:hAnsi="Times New Roman"/>
          <w:sz w:val="18"/>
          <w:szCs w:val="18"/>
          <w:color w:val="auto"/>
        </w:rPr>
        <w:t xml:space="preserve">. The Borrower shall have the right, upon not less than three Business Days’ irrevocable (subject to the second proviso below) notice to the Administrative Agent, to terminate the Revolving Commitments or, from time to time, to reduce the amount of the Revolving Commitments, in each case,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of the Revolving Commitments shall be permitted if, after giving effect thereto and to any prepayments of the Loans made on the effective</w:t>
      </w: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93" w:name="page194"/>
    <w:bookmarkEnd w:id="193"/>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date thereof, the Total Revolving Extensions of Credit would exceed the Total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notice of termination or reduction of the Revolving Commitments may state that such notice is conditioned upon the occurrence of one or more events specified therein, in which case such notice may be revoked by the Borrower (by notice to the Administrative Agent on or prior to the specified effective date) if such condition is not, or is not expected to be, satisfied. Any such reduction shall be in minimum amounts of $2,000,000 and in integral multiples of $1,000,000, and shall reduce permanently and ratably among the Lenders the Revolving Commitments then in effect.</w:t>
      </w:r>
    </w:p>
    <w:p>
      <w:pPr>
        <w:spacing w:after="0" w:line="149"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43" w:lineRule="auto"/>
        <w:tabs>
          <w:tab w:leader="none" w:pos="166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and from time to time prepay the Revolving Loans, in whole or in part, without premium or penalty (subject to breakage fees with respect to Term SOFR Rate Loans, if applicable), upon irrevocable (subject to the second proviso below) notice delivered to the Administrative Agent no later than 11:00 A.M., New York City time, one Business Day prior thereto (or such shorter period as may be agreed to by the Administrative Agent in writing), in the case of Term SOFR Rate Loans, and no later than 11:00 A.M., New York City time on the date of such prepayment, in the case of ABR Loans, which notice shall specify the date and amount of prepayment and whether the prepayment is of Term SOFR Rate Loans or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Term SOFR Rate Loan is prepaid on any day other than the last day of the Interest Period applicable thereto, the Borrower shall also pay any amounts owing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may be conditioned upon the occurrence of one or more events specified therein, in which case such notice may be revoked by the Borrower (by notice to the Administrative Agent on or prior to the specified effective date) if such condition is not, or is not expected to be, satisfied.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Revolving Loans shall be in minimum principal amounts of (i) in the case of Term SOFR Rate Loans, $1,000,000 and in integral multiples of $100,000 and (ii) in the case of ABR Loans, $250,000 and in integral multiples of $50,000 (or, if less, the outstanding principal amount of the Revolving Loans).</w:t>
      </w:r>
    </w:p>
    <w:p>
      <w:pPr>
        <w:spacing w:after="0" w:line="366" w:lineRule="exact"/>
        <w:rPr>
          <w:rFonts w:ascii="Times New Roman" w:cs="Times New Roman" w:eastAsia="Times New Roman" w:hAnsi="Times New Roman"/>
          <w:sz w:val="18"/>
          <w:szCs w:val="18"/>
          <w:color w:val="auto"/>
        </w:rPr>
      </w:pPr>
    </w:p>
    <w:p>
      <w:pPr>
        <w:jc w:val="both"/>
        <w:ind w:firstLine="1110"/>
        <w:spacing w:after="0" w:line="280" w:lineRule="auto"/>
        <w:tabs>
          <w:tab w:leader="none" w:pos="167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optional repayment of the Revolving Loans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deemed to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repay ABR Loans in full,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balance, if any, shall be used to repay Term SOFR Rate Loans.</w:t>
      </w:r>
    </w:p>
    <w:p>
      <w:pPr>
        <w:spacing w:after="0" w:line="118"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67" w:lineRule="auto"/>
        <w:tabs>
          <w:tab w:leader="none" w:pos="166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Revolving Extensions of Credit exceed the Revolving Commitments, the Borrower shall prepay the Revolving Extensions of Credit in accordance with this Agreement in an amount equal to such excess.</w:t>
      </w:r>
    </w:p>
    <w:p>
      <w:pPr>
        <w:spacing w:after="0" w:line="348"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application of any prepayment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made,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repay ABR Loans in full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the balance, if any, to repay Term SOFR Rate Loans. Each prepayment of the Loans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accompanied by accrued interest to the date of such prepayment on the amount prepaid.</w:t>
      </w: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94" w:name="page195"/>
    <w:bookmarkEnd w:id="194"/>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44" w:lineRule="auto"/>
        <w:tabs>
          <w:tab w:leader="none" w:pos="166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elect from time to time to convert Term SOFR Rate Loans to ABR Loans by giving the Administrative Agent prior irrevocable notice,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of such election no later than the time that a Borrowing Request would be required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SOFR Rate Loans other than on the last day of an Interest Period with respect thereto shall be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 Borrower may elect from time to time to convert ABR Loans to Term SOFR Rate Loans by giving the Administrative Agent prior irrevocable notice,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of such election no later than the time that a Borrowing Request would be required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ABR Loan may be converted into a Term SOFR Rate Loan when any Event of Default has occurred and is continuing and the Administrative Agent or the Required Lenders have determined in its or their sole discretion (by prior written notice to the Borrower) not to permit such conversions. Upon receipt of any such notice the Administrative Agent shall promptly notify each relevant Lender thereof.</w:t>
      </w:r>
    </w:p>
    <w:p>
      <w:pPr>
        <w:spacing w:after="0" w:line="152" w:lineRule="exact"/>
        <w:rPr>
          <w:rFonts w:ascii="Times New Roman" w:cs="Times New Roman" w:eastAsia="Times New Roman" w:hAnsi="Times New Roman"/>
          <w:sz w:val="18"/>
          <w:szCs w:val="18"/>
          <w:color w:val="auto"/>
        </w:rPr>
      </w:pPr>
    </w:p>
    <w:p>
      <w:pPr>
        <w:jc w:val="both"/>
        <w:ind w:firstLine="1110"/>
        <w:spacing w:after="0" w:line="245" w:lineRule="auto"/>
        <w:tabs>
          <w:tab w:leader="none" w:pos="167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any Term SOFR Rate Loan may be continued as such upon the expiration of the then current Interest Period with respect thereto by the Borrower giving irrevocable notice,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to the Administrative Agent, in accordance with the applicable provisions of the term “Interest Period”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length of the next Interest Period to be applicable to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Term SOFR Rate Loan may be continued as such when any Event of Default has occurred and is continuing and the Administrative Agent has or the Required Lenders have determined in its or their sole discretion (by prior written notice to the Borrower) not to permit such continuations,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51"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6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provides any loan request related to a Loan at the Term SOFR Rate Option but fails to identify an Interest Period therefor, such loan request shall be deemed to request an Interest Period of one (1) month. Any loan request that fails to specify between the Term SOFR Rate Option and the ABR Option shall be deemed to be a request for the ABR Option.</w:t>
      </w:r>
    </w:p>
    <w:p>
      <w:pPr>
        <w:spacing w:after="0" w:line="140" w:lineRule="exact"/>
        <w:rPr>
          <w:sz w:val="20"/>
          <w:szCs w:val="20"/>
          <w:color w:val="auto"/>
        </w:rPr>
      </w:pPr>
    </w:p>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Limitations on Tranches of Term SOFR Rate Loans</w:t>
      </w:r>
      <w:r>
        <w:rPr>
          <w:rFonts w:ascii="Times New Roman" w:cs="Times New Roman" w:eastAsia="Times New Roman" w:hAnsi="Times New Roman"/>
          <w:sz w:val="18"/>
          <w:szCs w:val="18"/>
          <w:color w:val="auto"/>
        </w:rPr>
        <w:t>. Notwithstanding anything to the contrary in this Agreement, all borrowings, conversions and continuations of Term SOFR Rate Loans and all selections of Interest Periods shall be in such amounts and be made pursuant to such elections so that, (a) after giving effect thereto, the aggregate principal amount of the Term SOFR Rate Loans comprising each Borrowing Tranche of Term SOFR Rate Loans shall be equal to</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95" w:name="page196"/>
    <w:bookmarkEnd w:id="195"/>
    <w:p>
      <w:pPr>
        <w:spacing w:after="0" w:line="280" w:lineRule="auto"/>
        <w:rPr>
          <w:sz w:val="20"/>
          <w:szCs w:val="20"/>
          <w:color w:val="auto"/>
        </w:rPr>
      </w:pPr>
      <w:r>
        <w:rPr>
          <w:rFonts w:ascii="Times New Roman" w:cs="Times New Roman" w:eastAsia="Times New Roman" w:hAnsi="Times New Roman"/>
          <w:sz w:val="18"/>
          <w:szCs w:val="18"/>
          <w:color w:val="auto"/>
        </w:rPr>
        <w:t>$1,000,000 or a whole multiple of $100,000 in excess thereof and (b) no more than eight (8) Borrowing Tranches of Term SOFR Rate Loans shall be outstanding at any one time.</w:t>
      </w:r>
    </w:p>
    <w:p>
      <w:pPr>
        <w:spacing w:after="0" w:line="118"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60" w:lineRule="auto"/>
        <w:tabs>
          <w:tab w:leader="none" w:pos="166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SOFR Rate Loan shall bear interest for each day during each Interest Period with respect thereto at a rate per annum equal to the Term SOFR Rate determined for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with respect to Term SOFR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SOFR Adjustment.</w:t>
      </w:r>
    </w:p>
    <w:p>
      <w:pPr>
        <w:spacing w:after="0" w:line="135"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with respect to ABR Loans.</w:t>
      </w:r>
    </w:p>
    <w:p>
      <w:pPr>
        <w:spacing w:after="0" w:line="117" w:lineRule="exact"/>
        <w:rPr>
          <w:rFonts w:ascii="Times New Roman" w:cs="Times New Roman" w:eastAsia="Times New Roman" w:hAnsi="Times New Roman"/>
          <w:sz w:val="18"/>
          <w:szCs w:val="18"/>
          <w:color w:val="auto"/>
        </w:rPr>
      </w:pPr>
    </w:p>
    <w:p>
      <w:pPr>
        <w:jc w:val="both"/>
        <w:ind w:firstLine="1110"/>
        <w:spacing w:after="0" w:line="250" w:lineRule="auto"/>
        <w:tabs>
          <w:tab w:leader="none" w:pos="166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Loans, the rate that would otherwise be applicable thereto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or (ii) in the case of any other amount owed hereunder (including interest of any Loan), the rate then applicable to ABR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w:t>
      </w:r>
    </w:p>
    <w:p>
      <w:pPr>
        <w:spacing w:after="0" w:line="146"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accruing pursuant to paragraph (c) of this Section shall be payable from time to time on demand.</w:t>
      </w:r>
    </w:p>
    <w:p>
      <w:pPr>
        <w:spacing w:after="0" w:line="118"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45" w:lineRule="auto"/>
        <w:tabs>
          <w:tab w:leader="none" w:pos="166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and fees payable pursuant hereto shall be calculated on the basis of a 360-day year for the actual days elapsed, except that, with respect to ABR Loans, the interest thereon shall be calculated on the basis of a 365-(or 366-, as the case may be) day year for the actual days elapsed; provided that, unless the Swing Line Lender shall have provided any notice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interest on Swing Line Loans shall be computed in accordance with the foregoing or as otherwise provided in the applicable Cash Management Agreement, and in each case shall be payable for the actual number of days elapsed (including the first day but excluding the last day). The Administrative Agent shall as soon as practicable notify the Borrower and the relevant Lenders of each determination of a Term SOFR Rate.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51"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7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96" w:name="page197"/>
    <w:bookmarkEnd w:id="196"/>
    <w:p>
      <w:pPr>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Inability to Determine Interest Rate</w:t>
      </w:r>
      <w:r>
        <w:rPr>
          <w:rFonts w:ascii="Times New Roman" w:cs="Times New Roman" w:eastAsia="Times New Roman" w:hAnsi="Times New Roman"/>
          <w:sz w:val="18"/>
          <w:szCs w:val="18"/>
          <w:color w:val="auto"/>
        </w:rPr>
        <w:t xml:space="preserve">. Except in connection with a Benchmark Transition Event, which is addressed by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if at any time:</w:t>
      </w:r>
    </w:p>
    <w:p>
      <w:pPr>
        <w:spacing w:after="0" w:line="118" w:lineRule="exact"/>
        <w:rPr>
          <w:sz w:val="20"/>
          <w:szCs w:val="20"/>
          <w:color w:val="auto"/>
        </w:rPr>
      </w:pPr>
    </w:p>
    <w:p>
      <w:pPr>
        <w:ind w:firstLine="1110"/>
        <w:spacing w:after="0" w:line="280" w:lineRule="auto"/>
        <w:tabs>
          <w:tab w:leader="none" w:pos="166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determined (which determination shall be conclusive and binding upon the Borrower) that the Term SOFR Rate cannot be determined pursuant to the definition thereof, or</w:t>
      </w:r>
    </w:p>
    <w:p>
      <w:pPr>
        <w:spacing w:after="0" w:line="117" w:lineRule="exact"/>
        <w:rPr>
          <w:rFonts w:ascii="Times New Roman" w:cs="Times New Roman" w:eastAsia="Times New Roman" w:hAnsi="Times New Roman"/>
          <w:sz w:val="18"/>
          <w:szCs w:val="18"/>
          <w:color w:val="auto"/>
        </w:rPr>
      </w:pPr>
    </w:p>
    <w:p>
      <w:pPr>
        <w:jc w:val="both"/>
        <w:ind w:firstLine="1110"/>
        <w:spacing w:after="0" w:line="245" w:lineRule="auto"/>
        <w:tabs>
          <w:tab w:leader="none" w:pos="167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notice from the Required Lenders that the Term SOFR Rate determined or to be determined for such Interest Period will not adequately and fairly reflect the cost to such Lenders (as conclusively certified by such Lenders) of funding, establishing or maintaining their affected Loans during such Interest Period, the Administrative Agent shall give email or telephonic notice thereof to the Borrower and the relevant Lenders as soon as practicable thereafter. If such notice is given (x) any Term SOFR Rate Loans requested to be made on the first day of such Interest Period shall be made as ABR Loans, (y) any Loans that were to have been converted on the first day of such Interest Period to Term SOFR Rate Loans shall be continued as ABR Loans and (z) any outstanding Term SOFR Rate Loans shall be converted, on the last day of the then-current Interest Period, to ABR Loans. Until such notice has been withdrawn by the Administrative Agent, no further Term SOFR Rate Loans shall be made or continued as such, nor shall the Borrower have the right to convert Loans to Term SOFR Rate Loans.</w:t>
      </w:r>
    </w:p>
    <w:p>
      <w:pPr>
        <w:spacing w:after="0" w:line="151"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u w:val="single" w:color="auto"/>
          <w:color w:val="auto"/>
        </w:rPr>
        <w:t>Pro Rata Treatment and Payments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60" w:lineRule="auto"/>
        <w:tabs>
          <w:tab w:leader="none" w:pos="166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of Revolving Loans by the Borrower from the Lenders hereunder and any reduction of the Revolving Commitments of the Lenders shall be made pro rata according to the respective Revolving Percentage of the relevant Lenders.</w:t>
      </w:r>
    </w:p>
    <w:p>
      <w:pPr>
        <w:spacing w:after="0" w:line="135"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Borrower on account of principal of and interest on the Revolving Loans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outstanding principal amounts of the Revolving Loans then held by the Lenders.</w:t>
      </w:r>
    </w:p>
    <w:p>
      <w:pPr>
        <w:spacing w:after="0" w:line="135" w:lineRule="exact"/>
        <w:rPr>
          <w:rFonts w:ascii="Times New Roman" w:cs="Times New Roman" w:eastAsia="Times New Roman" w:hAnsi="Times New Roman"/>
          <w:sz w:val="18"/>
          <w:szCs w:val="18"/>
          <w:color w:val="auto"/>
        </w:rPr>
      </w:pPr>
    </w:p>
    <w:p>
      <w:pPr>
        <w:jc w:val="both"/>
        <w:ind w:firstLine="1110"/>
        <w:spacing w:after="0" w:line="244" w:lineRule="auto"/>
        <w:tabs>
          <w:tab w:leader="none" w:pos="166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(including prepayments) to be made by the Borrower hereunder, whether on account of principal, interest, fees or otherwise, shall be made without setoff or counterclaim and shall be made prior to the time required hereunder for such payment (or, if no such time is expressly required, prior to 1:00 P.M., New York City time), on the due date thereof to the Administrative Agent, for the account of the Lenders, at the Funding Office, in Dollars and in immediately available funds. The Administrative Agent shall distribute such payments to each relevant Lender promptly upon receipt in like funds as received, net of any amounts owing by such Lender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If any payment hereunder (other than payments on the Term SOFR Rate Loans) becomes due and payable on a day other than a Business Day, such payment shall be extended to the next succeeding Business Day. If any payment on a Term SOFR Rate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97" w:name="page198"/>
    <w:bookmarkEnd w:id="197"/>
    <w:p>
      <w:pPr>
        <w:jc w:val="both"/>
        <w:ind w:left="-20" w:firstLine="1110"/>
        <w:spacing w:after="0" w:line="243" w:lineRule="auto"/>
        <w:tabs>
          <w:tab w:leader="none" w:pos="16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Overnight Bank Funding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on demand, from the Borrower (which payment shall not constitute a prepayment for purposes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nor shall it constitute a waiver of, or otherwise adversely affect, the Borrower’s rights against such Lender).</w:t>
      </w:r>
    </w:p>
    <w:p>
      <w:pPr>
        <w:spacing w:after="0" w:line="160" w:lineRule="exact"/>
        <w:rPr>
          <w:rFonts w:ascii="Times New Roman" w:cs="Times New Roman" w:eastAsia="Times New Roman" w:hAnsi="Times New Roman"/>
          <w:sz w:val="18"/>
          <w:szCs w:val="18"/>
          <w:color w:val="auto"/>
        </w:rPr>
      </w:pPr>
    </w:p>
    <w:p>
      <w:pPr>
        <w:jc w:val="both"/>
        <w:ind w:left="-20" w:firstLine="1110"/>
        <w:spacing w:after="0" w:line="245" w:lineRule="auto"/>
        <w:tabs>
          <w:tab w:leader="none" w:pos="164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Overnight Bank Funding Rate. Nothing herein shall be deemed to limit the rights of the Administrative Agent or any Lender against the Borrower.</w:t>
      </w:r>
    </w:p>
    <w:p>
      <w:pPr>
        <w:spacing w:after="0" w:line="155"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20" w:firstLine="1110"/>
        <w:spacing w:after="0" w:line="260" w:lineRule="auto"/>
        <w:tabs>
          <w:tab w:leader="none" w:pos="164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35" w:lineRule="exact"/>
        <w:rPr>
          <w:rFonts w:ascii="Times New Roman" w:cs="Times New Roman" w:eastAsia="Times New Roman" w:hAnsi="Times New Roman"/>
          <w:sz w:val="18"/>
          <w:szCs w:val="18"/>
          <w:color w:val="auto"/>
        </w:rPr>
      </w:pPr>
    </w:p>
    <w:p>
      <w:pPr>
        <w:jc w:val="both"/>
        <w:ind w:left="540" w:firstLine="1105"/>
        <w:spacing w:after="0" w:line="254" w:lineRule="auto"/>
        <w:tabs>
          <w:tab w:leader="none" w:pos="221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40" w:lineRule="exact"/>
        <w:rPr>
          <w:rFonts w:ascii="Times New Roman" w:cs="Times New Roman" w:eastAsia="Times New Roman" w:hAnsi="Times New Roman"/>
          <w:sz w:val="18"/>
          <w:szCs w:val="18"/>
          <w:color w:val="auto"/>
        </w:rPr>
      </w:pPr>
    </w:p>
    <w:p>
      <w:pPr>
        <w:ind w:left="540" w:firstLine="1105"/>
        <w:spacing w:after="0" w:line="280" w:lineRule="auto"/>
        <w:tabs>
          <w:tab w:leader="none" w:pos="224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modify or deem applicable any reserve, special deposit, compulsory loan, insurance charge or similar requirement against assets held by,</w:t>
      </w:r>
    </w:p>
    <w:p>
      <w:pPr>
        <w:spacing w:after="0" w:line="3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198" w:name="page199"/>
    <w:bookmarkEnd w:id="198"/>
    <w:p>
      <w:pPr>
        <w:ind w:left="560"/>
        <w:spacing w:after="0" w:line="280" w:lineRule="auto"/>
        <w:rPr>
          <w:sz w:val="20"/>
          <w:szCs w:val="20"/>
          <w:color w:val="auto"/>
        </w:rPr>
      </w:pPr>
      <w:r>
        <w:rPr>
          <w:rFonts w:ascii="Times New Roman" w:cs="Times New Roman" w:eastAsia="Times New Roman" w:hAnsi="Times New Roman"/>
          <w:sz w:val="18"/>
          <w:szCs w:val="18"/>
          <w:color w:val="auto"/>
        </w:rPr>
        <w:t>deposits or other liabilities in or for the account of, advances, loans or other extensions of credit (or participations therein) by, or any other acquisition of funds by, any Lender; or</w:t>
      </w:r>
    </w:p>
    <w:p>
      <w:pPr>
        <w:spacing w:after="0" w:line="118" w:lineRule="exact"/>
        <w:rPr>
          <w:sz w:val="20"/>
          <w:szCs w:val="20"/>
          <w:color w:val="auto"/>
        </w:rPr>
      </w:pPr>
    </w:p>
    <w:p>
      <w:pPr>
        <w:ind w:left="560" w:firstLine="1105"/>
        <w:spacing w:after="0" w:line="280" w:lineRule="auto"/>
        <w:tabs>
          <w:tab w:leader="none" w:pos="228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on such Person or the relevant market any other condition, cost or expense (other than any Taxes) affecting this Agreement or Loans made by such Lender or participation therein;</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such Person, by an amount that such Person deems to be material, of making, converting into, continuing or maintaining Loans or participating in Swing Line Loans, or to reduce any amount receivable hereunder in respect thereof, then, in any such case, the Borrower shall pay such Person, within thirty (30) days of its request, any additional amounts necessary to compensate such Person for such increased cost or reduced amount receivable;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any change any Requirement of Law imposing a reserve percentage on any interest rate based on SOFR, the Administrative Agent, in its reasonable discretion, may modify the calculation of each such SOFR-based interest rate to add (or otherwise account for) such reserve percentage. If such Person becomes entitled to claim any additional amounts pursuant to this paragraph, such Person shall promptly notify the Borrower (with a copy to the Administrative Agent) of the event by reason of which such Person has become so entitled.</w:t>
      </w:r>
    </w:p>
    <w:p>
      <w:pPr>
        <w:spacing w:after="0" w:line="363" w:lineRule="exact"/>
        <w:rPr>
          <w:sz w:val="20"/>
          <w:szCs w:val="20"/>
          <w:color w:val="auto"/>
        </w:rPr>
      </w:pPr>
    </w:p>
    <w:p>
      <w:pPr>
        <w:jc w:val="both"/>
        <w:ind w:firstLine="1110"/>
        <w:spacing w:after="0" w:line="245" w:lineRule="auto"/>
        <w:tabs>
          <w:tab w:leader="none" w:pos="167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have determined that the adoption of or any change in any Requirement of Law regarding capital or liquidity requirements or in the interpretation or application thereof or compliance by such Lender or any corporation controlling such Lender with any request or directive regarding capital or liquidity requirements (whether or not having the force of law) from any Governmental Authority made subsequent to the date hereof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or liquidity requirements) by an amount deemed by such Lender to be material, then from time to time, after submission by such Lender to the Borrower (with a copy to the Administrative Agent) of a written request therefor, the Borrower shall pay to such Lender, within thirty (30) days of such request, such additional amount or amounts as will compensate such Lender or such corporation for such reduction.</w:t>
      </w:r>
    </w:p>
    <w:p>
      <w:pPr>
        <w:spacing w:after="0" w:line="147" w:lineRule="exact"/>
        <w:rPr>
          <w:rFonts w:ascii="Times New Roman" w:cs="Times New Roman" w:eastAsia="Times New Roman" w:hAnsi="Times New Roman"/>
          <w:sz w:val="18"/>
          <w:szCs w:val="18"/>
          <w:color w:val="auto"/>
        </w:rPr>
      </w:pPr>
    </w:p>
    <w:p>
      <w:pPr>
        <w:jc w:val="both"/>
        <w:ind w:firstLine="1110"/>
        <w:spacing w:after="0" w:line="245" w:lineRule="auto"/>
        <w:tabs>
          <w:tab w:leader="none" w:pos="166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request by a Person shall be accompanied with a certificate as to any additional amounts payable pursuant to this Section submitted by any Lender to the Borrower (with a copy to the Administrative Agent) setting forth in reasonable detail the basis and calculation of such amount which certificate shall be conclusive in the absence of manifest error. Notwithstanding anything to the contrary in this Section, the Borrower shall not be required to compensate any Person pursuant to this Section for any amounts incurred more than 180 days prior to the date that such Person notifies the Borrower of such Person’s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claim have a retroactive effect, then such 180 day period shall be extended to include the period of such retroactive effect. The obligations of the Borrower pursuant to this Section shall survive the termination of this Agreement and the payment of the Loans and all other amounts payable hereunder.</w:t>
      </w: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199" w:name="page200"/>
    <w:bookmarkEnd w:id="199"/>
    <w:p>
      <w:pPr>
        <w:jc w:val="both"/>
        <w:ind w:left="-20" w:firstLine="1110"/>
        <w:spacing w:after="0" w:line="244" w:lineRule="auto"/>
        <w:tabs>
          <w:tab w:leader="none" w:pos="165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if any Lender shall notify the Agent that the introduction of or any change in or in the interpretation of any law or regulation makes it unlawful or impracticable, or any central bank or other governmental authority asserts or any Lender shall have determined that it is unlawful or impracticable, for any Lender or its lending office to perform its obligations hereunder to make Term SOFR Rate Loans or to fund or maintain Term SOFR Rate Loans hereunder, (i) each Term SOFR Rate Loan will automatically, upon such demand, convert into a ABR Loan and (ii) the obligation of the Lenders to make Term SOFR Rate Loans or to convert Loans into Term SOFR Rate Loans shall be suspended until the Administrative Agent shall notify the Borrower and the Lenders that the circumstances causing such suspension no longer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before making any such demand, each Lender agrees to use reasonable efforts (consistent with its internal policy and legal and regulatory restrictions) to designate a different lending office if the making of such a designation would allow such Lender or its lending office to continue to perform its obligations to continue to fund or maintain Term SOFR Rate Loans and would not, in the judgment of such Lender, subject such Lender to any unreimbursed cost or expense or otherwise be disadvantageous to such Lender.</w:t>
      </w:r>
    </w:p>
    <w:p>
      <w:pPr>
        <w:spacing w:after="0" w:line="363"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20" w:firstLine="1110"/>
        <w:spacing w:after="0" w:line="245" w:lineRule="auto"/>
        <w:tabs>
          <w:tab w:leader="none" w:pos="164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made by or on account of any obligation of any Loan Party with respect to any obligation under this Agreement or any other Loan Document shall, unless required by applicable law, be made free and clear of, and without deduction or withholding for or on account of, any Taxes.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amounts so payable by the Borrower to the applicable Recipient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151" w:lineRule="exact"/>
        <w:rPr>
          <w:rFonts w:ascii="Times New Roman" w:cs="Times New Roman" w:eastAsia="Times New Roman" w:hAnsi="Times New Roman"/>
          <w:sz w:val="18"/>
          <w:szCs w:val="18"/>
          <w:color w:val="auto"/>
        </w:rPr>
      </w:pPr>
    </w:p>
    <w:p>
      <w:pPr>
        <w:jc w:val="both"/>
        <w:ind w:left="-20" w:firstLine="1110"/>
        <w:spacing w:after="0" w:line="280" w:lineRule="auto"/>
        <w:tabs>
          <w:tab w:leader="none" w:pos="165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Borrower shall timely pay any Other Taxes to the relevant Governmental Authority in accordance with applicable law, or, at the option of the Administrative Agent, timely reimburse it for any Other Taxes.</w:t>
      </w:r>
    </w:p>
    <w:p>
      <w:pPr>
        <w:spacing w:after="0" w:line="117" w:lineRule="exact"/>
        <w:rPr>
          <w:rFonts w:ascii="Times New Roman" w:cs="Times New Roman" w:eastAsia="Times New Roman" w:hAnsi="Times New Roman"/>
          <w:sz w:val="18"/>
          <w:szCs w:val="18"/>
          <w:color w:val="auto"/>
        </w:rPr>
      </w:pPr>
    </w:p>
    <w:p>
      <w:pPr>
        <w:jc w:val="both"/>
        <w:ind w:left="-20" w:firstLine="1110"/>
        <w:spacing w:after="0" w:line="251" w:lineRule="auto"/>
        <w:tabs>
          <w:tab w:leader="none" w:pos="164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Taxes are payable by the Borrower to a Governmental Authority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as promptly as practicable thereafter the Borrower shall send to the Administrative Agent for its own account or for the account of the relevant Lender, as the case may be, a certified copy of an original official receipt received by the Borrower showing payment thereof or other evidence of such payment reasonably satisfactory to the Administrative Agent.</w:t>
      </w:r>
    </w:p>
    <w:p>
      <w:pPr>
        <w:spacing w:after="0" w:line="358" w:lineRule="exact"/>
        <w:rPr>
          <w:rFonts w:ascii="Times New Roman" w:cs="Times New Roman" w:eastAsia="Times New Roman" w:hAnsi="Times New Roman"/>
          <w:sz w:val="18"/>
          <w:szCs w:val="18"/>
          <w:color w:val="auto"/>
        </w:rPr>
      </w:pPr>
    </w:p>
    <w:p>
      <w:pPr>
        <w:jc w:val="both"/>
        <w:ind w:left="-20" w:firstLine="1110"/>
        <w:spacing w:after="0" w:line="254" w:lineRule="auto"/>
        <w:tabs>
          <w:tab w:leader="none" w:pos="165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(e) of this Section, each Lender (or Transferee) that is not a “United States person” as defined in Section 7701(a)(30) of the Code (a “</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shall deliver to the Borrower and the Administrative Agent (or, in the case of a Participant, to the Lender from which the related participation shall have been purchased), on</w:t>
      </w:r>
    </w:p>
    <w:p>
      <w:pPr>
        <w:spacing w:after="0" w:line="3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5" w:right="1439" w:bottom="1440" w:gutter="0" w:footer="0" w:header="0"/>
        </w:sectPr>
      </w:pPr>
    </w:p>
    <w:bookmarkStart w:id="200" w:name="page201"/>
    <w:bookmarkEnd w:id="200"/>
    <w:p>
      <w:pPr>
        <w:jc w:val="both"/>
        <w:spacing w:after="0" w:line="210" w:lineRule="exact"/>
        <w:rPr>
          <w:sz w:val="20"/>
          <w:szCs w:val="20"/>
          <w:color w:val="auto"/>
        </w:rPr>
      </w:pPr>
      <w:r>
        <w:rPr>
          <w:rFonts w:ascii="Times New Roman" w:cs="Times New Roman" w:eastAsia="Times New Roman" w:hAnsi="Times New Roman"/>
          <w:sz w:val="18"/>
          <w:szCs w:val="18"/>
          <w:color w:val="auto"/>
        </w:rPr>
        <w:t>or before it becomes a party hereto or a Transferee hereunder, and from time to time thereafter as required by applicable law or as reasonably requested by the Borrower or the Administrative Agent, (i) two properly completed and duly executed copies of whichever of the following forms are relevant, IRS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8BEN,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8BEN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8IMY or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8ECI (or any successor form), (ii) in the case of a Non-U.S. Lender claiming exemption from U.S. federal withholding Tax under Section 871(h) or 881(c) of the Code with respect to payments of “portfolio interest”, a statement substantially in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E-3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E-4</w:t>
      </w:r>
      <w:r>
        <w:rPr>
          <w:rFonts w:ascii="Times New Roman" w:cs="Times New Roman" w:eastAsia="Times New Roman" w:hAnsi="Times New Roman"/>
          <w:sz w:val="18"/>
          <w:szCs w:val="18"/>
          <w:color w:val="auto"/>
        </w:rPr>
        <w:t>, as applicable, and the applicable IRS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or any subsequent versions thereof or successors thereto, properly completed and duly executed by such Non-U.S. Lender claiming complete exemption from, or a reduced rate of, U.S. federal withholding Tax on all payments under this Agreement and the other Loan Documents, or (iii)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 Such forms shall be delivered by each Non-U.S. Lender on or before the date it becomes a party to this Agreement (or, in the case of any Participant, on or before the date such Participant purchases the related participation). Notwithstanding anything to the contrary in the preceding sentence, the completion, execution and submission of such documentation described in clause (iii) above shall not be required if in the Non-U.S. Lender’s reasonable judgment such completion, execution or submission would subject such Non-U.S. Lender to any material unreimbursed cost or expense or would materially prejudice the legal or commercial position of such Non-U.S. Lender.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Non-U.S. Lender shall not be required to deliver any form pursuant to this paragraph that such Non-U.S. Lender is not legally able to deliver. Each Lender that is a “United States person,” as defined in Section 7701(a)(30) of the Code, shall deliver to the Borrower and the Administrative Agent on or before it becomes a party hereto or a Transferee hereunder, and from time to time thereafter as prescribed by applicable law or reasonably requested by the Borrower or the Administrative Agent, two accurate, complete, and signed originals of IRS Form W-9 certifying that such Lender is exempt from U.S. federal backup withholding Tax, and such Lender shall promptly notify the Borrower and the Administrative Agent at any time such Lender determines that it is no longer in a position to provide such form and certification.</w:t>
      </w:r>
    </w:p>
    <w:p>
      <w:pPr>
        <w:spacing w:after="0" w:line="380" w:lineRule="exact"/>
        <w:rPr>
          <w:sz w:val="20"/>
          <w:szCs w:val="20"/>
          <w:color w:val="auto"/>
        </w:rPr>
      </w:pPr>
    </w:p>
    <w:p>
      <w:pPr>
        <w:jc w:val="both"/>
        <w:ind w:firstLine="1110"/>
        <w:spacing w:after="0" w:line="246" w:lineRule="auto"/>
        <w:tabs>
          <w:tab w:leader="none" w:pos="166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under the law of any applicable jurisdiction with respect to payments under any Loan Document shall deliver to the Borrower (with a copy to the Administrative Agent), at the time or times prescribed by applicable law or reasonably requested by the Borrower or the Administrative Agent, such properly completed and executed documentation prescribed by applicable law or reasonably requested by the Borrower or Administrative Agent as will permit such payments to be made without withholding or at a reduced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is legally entitled to complete, execute and deliver such documentation and in such Lender’s reasonable judgment such completion, execution or submission would not materially prejudice the legal or commercial position of such Lender. Each Lender agrees that if any form or certification</w:t>
      </w:r>
    </w:p>
    <w:p>
      <w:pPr>
        <w:spacing w:after="0" w:line="3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01" w:name="page202"/>
    <w:bookmarkEnd w:id="201"/>
    <w:p>
      <w:pPr>
        <w:spacing w:after="0" w:line="280" w:lineRule="auto"/>
        <w:rPr>
          <w:sz w:val="20"/>
          <w:szCs w:val="20"/>
          <w:color w:val="auto"/>
        </w:rPr>
      </w:pPr>
      <w:r>
        <w:rPr>
          <w:rFonts w:ascii="Times New Roman" w:cs="Times New Roman" w:eastAsia="Times New Roman" w:hAnsi="Times New Roman"/>
          <w:sz w:val="18"/>
          <w:szCs w:val="18"/>
          <w:color w:val="auto"/>
        </w:rPr>
        <w:t>it previously delivered expires or becomes obsolete or inaccurate in any respect, it shall update such form or certification or promptly notify the Borrower and the Administrative Agent in writing of its legal inability to do so.</w:t>
      </w:r>
    </w:p>
    <w:p>
      <w:pPr>
        <w:spacing w:after="0" w:line="118" w:lineRule="exact"/>
        <w:rPr>
          <w:sz w:val="20"/>
          <w:szCs w:val="20"/>
          <w:color w:val="auto"/>
        </w:rPr>
      </w:pPr>
    </w:p>
    <w:p>
      <w:pPr>
        <w:jc w:val="both"/>
        <w:ind w:firstLine="1110"/>
        <w:spacing w:after="0" w:line="244" w:lineRule="auto"/>
        <w:tabs>
          <w:tab w:leader="none" w:pos="167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by payment of additional amounts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it shall pay over such refund to the indemnifying party within thirty (30) days of receipt of such refund (but only to the extent of indemnity payments made, or additional amounts paid, under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respect to such Taxes giving rise to such refund), net of all out-of-pocket expenses (including Taxes) 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indemnifying party, upon the request of such indemnified party, agrees to repay to such indemnified party within thirty (30) days of such request, the amount paid over pursuant to this paragraph</w:t>
      </w:r>
    </w:p>
    <w:p>
      <w:pPr>
        <w:jc w:val="both"/>
        <w:ind w:firstLine="1"/>
        <w:spacing w:after="0" w:line="243" w:lineRule="auto"/>
        <w:tabs>
          <w:tab w:leader="none" w:pos="25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any penalties, interest or other charges imposed by the relevant Governmental Authority) in the event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which it deems confidential) to the indemnifying party or any other Person.</w:t>
      </w:r>
    </w:p>
    <w:p>
      <w:pPr>
        <w:spacing w:after="0" w:line="150" w:lineRule="exact"/>
        <w:rPr>
          <w:rFonts w:ascii="Times New Roman" w:cs="Times New Roman" w:eastAsia="Times New Roman" w:hAnsi="Times New Roman"/>
          <w:sz w:val="18"/>
          <w:szCs w:val="18"/>
          <w:color w:val="auto"/>
        </w:rPr>
      </w:pPr>
    </w:p>
    <w:p>
      <w:pPr>
        <w:jc w:val="both"/>
        <w:ind w:firstLine="1110"/>
        <w:spacing w:after="0" w:line="243" w:lineRule="auto"/>
        <w:tabs>
          <w:tab w:leader="none" w:pos="167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indemnify each Recipient, within thirty (30)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 shall not be obligated to make an indemnity payment under this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in respect of penalties, interest, and other additions to tax attributable to any Indemnified Taxes if such penalties, interest, or additions to tax are attributable to the gross negligence or willful misconduct of the Administrative Agent or such Lender, as the case may be. In the case of any Lender making a claim under this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on behalf of any Participant who is the beneficial owner of such claim, an indemnity payment under this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shall be due only to the extent that such Lender is able to establish that, with respect to the applicable Indemnified Taxes, such beneficial owner supplied to the applicable Persons such properly completed and executed documentation as necessary to claim any applicable exemption from, or reduction of, such Indemnified Taxes.</w:t>
      </w:r>
    </w:p>
    <w:p>
      <w:pPr>
        <w:spacing w:after="0" w:line="160"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Administrative Agent, within ten (10) days after demand therefor, for (i) any Taxes attributable to such Lender (but only to the extent</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02" w:name="page203"/>
    <w:bookmarkEnd w:id="202"/>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that the Borrower has not already indemnified the Administrative Agent for such Taxes and without limiting the obligation of the Borrower to do so) and (ii) any Taxes attributable to such Lender’s failure to comply with the provisions of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xml:space="preserve">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(h).</w:t>
      </w:r>
    </w:p>
    <w:p>
      <w:pPr>
        <w:spacing w:after="0" w:line="363" w:lineRule="exact"/>
        <w:rPr>
          <w:sz w:val="20"/>
          <w:szCs w:val="20"/>
          <w:color w:val="auto"/>
        </w:rPr>
      </w:pPr>
    </w:p>
    <w:p>
      <w:pPr>
        <w:jc w:val="both"/>
        <w:ind w:firstLine="1110"/>
        <w:spacing w:after="0" w:line="245" w:lineRule="auto"/>
        <w:tabs>
          <w:tab w:leader="none" w:pos="16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that such Lender has or has not complied with such Lender’s obligations under FATCA and, as necessary, to determine the amount to deduct and withhold from such payment. Solely for purposes of this paragraph, “FATCA” shall include any amendments made to FATCA after the date of this Agreement.</w:t>
      </w:r>
    </w:p>
    <w:p>
      <w:pPr>
        <w:spacing w:after="0" w:line="359" w:lineRule="exact"/>
        <w:rPr>
          <w:rFonts w:ascii="Times New Roman" w:cs="Times New Roman" w:eastAsia="Times New Roman" w:hAnsi="Times New Roman"/>
          <w:sz w:val="18"/>
          <w:szCs w:val="18"/>
          <w:color w:val="auto"/>
        </w:rPr>
      </w:pPr>
    </w:p>
    <w:p>
      <w:pPr>
        <w:ind w:left="1660" w:hanging="550"/>
        <w:spacing w:after="0"/>
        <w:tabs>
          <w:tab w:leader="none" w:pos="1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5"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shall survive the termination of this Agreement and the payment of the Loans and all other amounts payable hereunder.</w:t>
      </w:r>
    </w:p>
    <w:p>
      <w:pPr>
        <w:spacing w:after="0" w:line="117"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the term “applicable law” includes FATCA.</w:t>
      </w:r>
    </w:p>
    <w:p>
      <w:pPr>
        <w:spacing w:after="0" w:line="186" w:lineRule="exact"/>
        <w:rPr>
          <w:sz w:val="20"/>
          <w:szCs w:val="20"/>
          <w:color w:val="auto"/>
        </w:rPr>
      </w:pPr>
    </w:p>
    <w:p>
      <w:pPr>
        <w:ind w:firstLine="554"/>
        <w:spacing w:after="0" w:line="252"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Borrower agrees to indemnify each Lender for, and to hold each Lender harmless from, any loss (other than loss of Applicable Margin) or expense that such Lender may sustain or incur as a consequence of</w:t>
      </w:r>
    </w:p>
    <w:p>
      <w:pPr>
        <w:spacing w:after="0" w:line="1" w:lineRule="exact"/>
        <w:rPr>
          <w:sz w:val="20"/>
          <w:szCs w:val="20"/>
          <w:color w:val="auto"/>
        </w:rPr>
      </w:pPr>
    </w:p>
    <w:p>
      <w:pPr>
        <w:jc w:val="both"/>
        <w:ind w:firstLine="1"/>
        <w:spacing w:after="0" w:line="243" w:lineRule="auto"/>
        <w:tabs>
          <w:tab w:leader="none" w:pos="26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Borrower in making a borrowing of, conversion into or continuation of Term SOFR Rate Loans after the Borrower has given a notice requesting the same in accordance with the provisions of this Agreement, (b) default by the Borrower in making any prepayment of or conversion from Term SOFR Rate Loans after the Borrower has given a notice thereof in accordance with the provisions of this Agreement or (c) the making of a prepayment of Term SOFR Rate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w:t>
      </w: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03" w:name="page204"/>
    <w:bookmarkEnd w:id="203"/>
    <w:p>
      <w:pPr>
        <w:jc w:val="both"/>
        <w:spacing w:after="0" w:line="247" w:lineRule="auto"/>
        <w:rPr>
          <w:sz w:val="20"/>
          <w:szCs w:val="20"/>
          <w:color w:val="auto"/>
        </w:rPr>
      </w:pPr>
      <w:r>
        <w:rPr>
          <w:rFonts w:ascii="Times New Roman" w:cs="Times New Roman" w:eastAsia="Times New Roman" w:hAnsi="Times New Roman"/>
          <w:sz w:val="18"/>
          <w:szCs w:val="18"/>
          <w:color w:val="auto"/>
        </w:rPr>
        <w:t>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applicable interbank market. A certificate as to any amounts payable pursuant to this Section submitted to the Borrower by any Lender shall be conclusive in the absence of manifest error. This covenant shall survive the termination of this Agreement and the payment of the Loans and all other amounts payable hereunder.</w:t>
      </w:r>
    </w:p>
    <w:p>
      <w:pPr>
        <w:spacing w:after="0" w:line="149"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Change of Lending Office</w:t>
      </w:r>
      <w:r>
        <w:rPr>
          <w:rFonts w:ascii="Times New Roman" w:cs="Times New Roman" w:eastAsia="Times New Roman" w:hAnsi="Times New Roman"/>
          <w:sz w:val="18"/>
          <w:szCs w:val="18"/>
          <w:color w:val="auto"/>
        </w:rPr>
        <w:t xml:space="preserve">. Each Lender agrees that, upon the occurrence of any event giving rise to the operation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(a) would eliminate or reduce the consequences of any event giving rise to the operation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and (b) is made on terms that, in the sole judgment of such Lender, would not cause such Lender or its lending office(s) to suffer any unreimbursed cost or expense and would not otherwise be disadvantageous to such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Section shall affect or postpone any of the obligations of the Borrower or the rights of any Lender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The Borrower hereby agrees to pay all reasonable costs and expenses incurred by any Lender in connection with any such designation within ten (10) days following the written request of such Lender (accompanied by reasonable (to the extent practicable) back-up documentation relating thereto).</w:t>
      </w:r>
    </w:p>
    <w:p>
      <w:pPr>
        <w:spacing w:after="0" w:line="148"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The Borrower shall be permitted to replace any Lender that (a) requests, or any Person by or through such Lender requests, reimbursement for amounts owing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(b) is a Defaulting Lender or (c) fails to give consent to any amendment, waiver or modification requiring the consent of all Lenders or all affected Lenders and as to which Lenders constituting the Required Lenders have so consented; provided that (i) such replacement does not conflict with any Requirement of Law, (ii) no Event of Default shall have occurred and be continuing at the time of such replacement, (iii) prior to any such replacement, such Lender shall have taken no action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so as to eliminate the continued need for payment of amounts owing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(iv) the replacement financial institution shall purchase, at par, all Loans and, if applicable, participations in Swing Line Loans and other amounts owing to such replaced Lender on or prior to the date of replacement, (v) the Borrower shall be liable to such replaced Lender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if any Term SOFR Rate Loan owing to such replaced Lender shall be purchased other than on the last day of the Interest Period relating thereto, (vi) the replacement financial institution shall be reasonably satisfactory to the Administrative Agent and the Swing Line Lender, (vii) the replaced Lender shall be obligated to make such replacement in accordance with the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(provided that the Borrower shall be obligated to pay the registration and processing fee referred to therein), (viii) until such time as such replacement shall be consummated, the Borrower shall pay all additional amounts (if any) required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as</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04" w:name="page205"/>
    <w:bookmarkEnd w:id="204"/>
    <w:p>
      <w:pPr>
        <w:spacing w:after="0" w:line="280" w:lineRule="auto"/>
        <w:rPr>
          <w:sz w:val="20"/>
          <w:szCs w:val="20"/>
          <w:color w:val="auto"/>
        </w:rPr>
      </w:pPr>
      <w:r>
        <w:rPr>
          <w:rFonts w:ascii="Times New Roman" w:cs="Times New Roman" w:eastAsia="Times New Roman" w:hAnsi="Times New Roman"/>
          <w:sz w:val="18"/>
          <w:szCs w:val="18"/>
          <w:color w:val="auto"/>
        </w:rPr>
        <w:t>the case may be, and (ix) any such replacement shall not be deemed to be a waiver of any rights that the Borrower, the Administrative Agent or any Lender shall have against the replaced Lender.</w:t>
      </w:r>
    </w:p>
    <w:p>
      <w:pPr>
        <w:spacing w:after="0" w:line="118"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560" w:firstLine="1105"/>
        <w:spacing w:after="0" w:line="243" w:lineRule="auto"/>
        <w:tabs>
          <w:tab w:leader="none" w:pos="223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(and any agreement executed in connection with an interest rate hedge agreement or contract shall be deemed not to be a “Loan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366" w:lineRule="exact"/>
        <w:rPr>
          <w:rFonts w:ascii="Times New Roman" w:cs="Times New Roman" w:eastAsia="Times New Roman" w:hAnsi="Times New Roman"/>
          <w:sz w:val="18"/>
          <w:szCs w:val="18"/>
          <w:color w:val="auto"/>
        </w:rPr>
      </w:pPr>
    </w:p>
    <w:p>
      <w:pPr>
        <w:jc w:val="both"/>
        <w:ind w:left="560" w:firstLine="1105"/>
        <w:spacing w:after="0" w:line="250" w:lineRule="auto"/>
        <w:tabs>
          <w:tab w:leader="none" w:pos="226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46" w:lineRule="exact"/>
        <w:rPr>
          <w:rFonts w:ascii="Times New Roman" w:cs="Times New Roman" w:eastAsia="Times New Roman" w:hAnsi="Times New Roman"/>
          <w:sz w:val="18"/>
          <w:szCs w:val="18"/>
          <w:color w:val="auto"/>
        </w:rPr>
      </w:pPr>
    </w:p>
    <w:p>
      <w:pPr>
        <w:jc w:val="both"/>
        <w:ind w:left="560" w:firstLine="1105"/>
        <w:spacing w:after="0" w:line="252" w:lineRule="auto"/>
        <w:tabs>
          <w:tab w:leader="none" w:pos="228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 (A) the implementation of any Benchmark Replacement, and</w:t>
      </w:r>
    </w:p>
    <w:p>
      <w:pPr>
        <w:spacing w:after="0" w:line="1" w:lineRule="exact"/>
        <w:rPr>
          <w:rFonts w:ascii="Times New Roman" w:cs="Times New Roman" w:eastAsia="Times New Roman" w:hAnsi="Times New Roman"/>
          <w:sz w:val="18"/>
          <w:szCs w:val="18"/>
          <w:color w:val="auto"/>
        </w:rPr>
      </w:pPr>
    </w:p>
    <w:p>
      <w:pPr>
        <w:jc w:val="both"/>
        <w:ind w:left="560" w:hanging="4"/>
        <w:spacing w:after="0" w:line="243" w:lineRule="auto"/>
        <w:tabs>
          <w:tab w:leader="none" w:pos="89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any Conforming Changes in connection with the use, administration, adoption or implementation of a Benchmark Replacement. The Administrative Agent will notify the Borrower of (x) the removal or reinstatement of any tenor of a Benchmark pursuant to paragraph (iv)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w:t>
      </w: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05" w:name="page206"/>
    <w:bookmarkEnd w:id="205"/>
    <w:p>
      <w:pPr>
        <w:jc w:val="center"/>
        <w:ind w:right="-59"/>
        <w:spacing w:after="0"/>
        <w:rPr>
          <w:sz w:val="20"/>
          <w:szCs w:val="20"/>
          <w:color w:val="auto"/>
        </w:rPr>
      </w:pPr>
      <w:r>
        <w:rPr>
          <w:rFonts w:ascii="Times New Roman" w:cs="Times New Roman" w:eastAsia="Times New Roman" w:hAnsi="Times New Roman"/>
          <w:sz w:val="18"/>
          <w:szCs w:val="18"/>
          <w:color w:val="auto"/>
        </w:rPr>
        <w:t>Agreement or any other Loan Document except, in each case, as expressly required pursuant to this Section.</w:t>
      </w:r>
    </w:p>
    <w:p>
      <w:pPr>
        <w:spacing w:after="0" w:line="186" w:lineRule="exact"/>
        <w:rPr>
          <w:sz w:val="20"/>
          <w:szCs w:val="20"/>
          <w:color w:val="auto"/>
        </w:rPr>
      </w:pPr>
    </w:p>
    <w:p>
      <w:pPr>
        <w:jc w:val="both"/>
        <w:ind w:left="540" w:firstLine="1105"/>
        <w:spacing w:after="0" w:line="244" w:lineRule="auto"/>
        <w:tabs>
          <w:tab w:leader="none" w:pos="225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49" w:lineRule="exact"/>
        <w:rPr>
          <w:rFonts w:ascii="Times New Roman" w:cs="Times New Roman" w:eastAsia="Times New Roman" w:hAnsi="Times New Roman"/>
          <w:sz w:val="18"/>
          <w:szCs w:val="18"/>
          <w:color w:val="auto"/>
        </w:rPr>
      </w:pPr>
    </w:p>
    <w:p>
      <w:pPr>
        <w:jc w:val="both"/>
        <w:ind w:left="540" w:firstLine="1105"/>
        <w:spacing w:after="0" w:line="245" w:lineRule="auto"/>
        <w:tabs>
          <w:tab w:leader="none" w:pos="221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with respect to a given Benchmark, the Borrower may revoke any pending request for a Loan bearing interest based on or with reference to such Benchmark or conversion to or continuation of Loans bearing interest based on or with reference to such Benchmark to be made, converted or continued during any Benchmark Unavailability Period and, failing that, the Borrower will be deemed to have converted any such request into a request for an ABR Loan or conversion to an ABR Loan. During a Benchmark Unavailability Period or at any time that a tenor for the then-current Benchmark is not an Available Tenor, the component of the ABR based upon the then-current Benchmark or such tenor for such Benchmark, as applicable, will not be used in any determination of the ABR.</w:t>
      </w:r>
    </w:p>
    <w:p>
      <w:pPr>
        <w:spacing w:after="0" w:line="154" w:lineRule="exact"/>
        <w:rPr>
          <w:rFonts w:ascii="Times New Roman" w:cs="Times New Roman" w:eastAsia="Times New Roman" w:hAnsi="Times New Roman"/>
          <w:sz w:val="18"/>
          <w:szCs w:val="18"/>
          <w:color w:val="auto"/>
        </w:rPr>
      </w:pPr>
    </w:p>
    <w:p>
      <w:pPr>
        <w:ind w:left="2240" w:hanging="595"/>
        <w:spacing w:after="0"/>
        <w:tabs>
          <w:tab w:leader="none" w:pos="2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Section:</w:t>
      </w:r>
    </w:p>
    <w:p>
      <w:pPr>
        <w:spacing w:after="0" w:line="186" w:lineRule="exact"/>
        <w:rPr>
          <w:sz w:val="20"/>
          <w:szCs w:val="20"/>
          <w:color w:val="auto"/>
        </w:rPr>
      </w:pPr>
    </w:p>
    <w:p>
      <w:pPr>
        <w:jc w:val="both"/>
        <w:ind w:left="1100" w:firstLine="11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spacing w:after="0" w:line="146" w:lineRule="exact"/>
        <w:rPr>
          <w:sz w:val="20"/>
          <w:szCs w:val="20"/>
          <w:color w:val="auto"/>
        </w:rPr>
      </w:pPr>
    </w:p>
    <w:p>
      <w:pPr>
        <w:jc w:val="both"/>
        <w:ind w:left="1100"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SOFR and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then-current Benchmark, then “Benchmark” means the applicable</w:t>
      </w:r>
    </w:p>
    <w:p>
      <w:pPr>
        <w:spacing w:after="0" w:line="3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206" w:name="page207"/>
    <w:bookmarkEnd w:id="206"/>
    <w:p>
      <w:pPr>
        <w:jc w:val="both"/>
        <w:ind w:left="1100"/>
        <w:spacing w:after="0" w:line="280" w:lineRule="auto"/>
        <w:rPr>
          <w:sz w:val="20"/>
          <w:szCs w:val="20"/>
          <w:color w:val="auto"/>
        </w:rPr>
      </w:pPr>
      <w:r>
        <w:rPr>
          <w:rFonts w:ascii="Times New Roman" w:cs="Times New Roman" w:eastAsia="Times New Roman" w:hAnsi="Times New Roman"/>
          <w:sz w:val="18"/>
          <w:szCs w:val="18"/>
          <w:color w:val="auto"/>
        </w:rPr>
        <w:t>Benchmark Replacement to the extent that such Benchmark Replacement has replaced such prior benchmark rate pursuant to this Section.</w:t>
      </w:r>
    </w:p>
    <w:p>
      <w:pPr>
        <w:spacing w:after="0" w:line="118" w:lineRule="exact"/>
        <w:rPr>
          <w:sz w:val="20"/>
          <w:szCs w:val="20"/>
          <w:color w:val="auto"/>
        </w:rPr>
      </w:pPr>
    </w:p>
    <w:p>
      <w:pPr>
        <w:jc w:val="both"/>
        <w:ind w:left="1100"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Administrative Agent for the applicable Benchmark Replacement Date:</w:t>
      </w:r>
    </w:p>
    <w:p>
      <w:pPr>
        <w:spacing w:after="0" w:line="136" w:lineRule="exact"/>
        <w:rPr>
          <w:sz w:val="20"/>
          <w:szCs w:val="20"/>
          <w:color w:val="auto"/>
        </w:rPr>
      </w:pPr>
    </w:p>
    <w:p>
      <w:pPr>
        <w:ind w:left="2760" w:hanging="561"/>
        <w:spacing w:after="0"/>
        <w:tabs>
          <w:tab w:leader="none" w:pos="27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the SOFR Adjustment; or</w:t>
      </w:r>
    </w:p>
    <w:p>
      <w:pPr>
        <w:spacing w:after="0" w:line="185" w:lineRule="exact"/>
        <w:rPr>
          <w:rFonts w:ascii="Times New Roman" w:cs="Times New Roman" w:eastAsia="Times New Roman" w:hAnsi="Times New Roman"/>
          <w:sz w:val="18"/>
          <w:szCs w:val="18"/>
          <w:color w:val="auto"/>
        </w:rPr>
      </w:pPr>
    </w:p>
    <w:p>
      <w:pPr>
        <w:jc w:val="both"/>
        <w:ind w:left="1640" w:firstLine="559"/>
        <w:spacing w:after="0" w:line="247" w:lineRule="auto"/>
        <w:tabs>
          <w:tab w:leader="none" w:pos="275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spacing w:after="0" w:line="149" w:lineRule="exact"/>
        <w:rPr>
          <w:sz w:val="20"/>
          <w:szCs w:val="20"/>
          <w:color w:val="auto"/>
        </w:rPr>
      </w:pPr>
    </w:p>
    <w:p>
      <w:pPr>
        <w:jc w:val="both"/>
        <w:ind w:left="164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the foregoing would be less than the Floor, the Benchmark Replacement will be deemed to be the Floor for the purposes of this Agreement and the other Loan Documents;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Benchmark Replacement shall be administratively feasible as determined by the Administrative Agent in its sole discretion.</w:t>
      </w:r>
    </w:p>
    <w:p>
      <w:pPr>
        <w:spacing w:after="0" w:line="140" w:lineRule="exact"/>
        <w:rPr>
          <w:sz w:val="20"/>
          <w:szCs w:val="20"/>
          <w:color w:val="auto"/>
        </w:rPr>
      </w:pPr>
    </w:p>
    <w:p>
      <w:pPr>
        <w:jc w:val="both"/>
        <w:ind w:left="1100" w:firstLine="110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51" w:lineRule="exact"/>
        <w:rPr>
          <w:sz w:val="20"/>
          <w:szCs w:val="20"/>
          <w:color w:val="auto"/>
        </w:rPr>
      </w:pPr>
    </w:p>
    <w:p>
      <w:pPr>
        <w:jc w:val="both"/>
        <w:ind w:left="1100" w:firstLine="11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Administrative Agent, which date shall be no later than the earliest to occur of the following events with respect to the then-current Benchmark:</w:t>
      </w:r>
    </w:p>
    <w:p>
      <w:pPr>
        <w:spacing w:after="0" w:line="136" w:lineRule="exact"/>
        <w:rPr>
          <w:sz w:val="20"/>
          <w:szCs w:val="20"/>
          <w:color w:val="auto"/>
        </w:rPr>
      </w:pPr>
    </w:p>
    <w:p>
      <w:pPr>
        <w:ind w:left="1640" w:firstLine="559"/>
        <w:spacing w:after="0" w:line="280" w:lineRule="auto"/>
        <w:tabs>
          <w:tab w:leader="none" w:pos="275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207" w:name="page208"/>
    <w:bookmarkEnd w:id="207"/>
    <w:p>
      <w:pPr>
        <w:jc w:val="both"/>
        <w:ind w:left="1640"/>
        <w:spacing w:after="0" w:line="250" w:lineRule="auto"/>
        <w:rPr>
          <w:sz w:val="20"/>
          <w:szCs w:val="20"/>
          <w:color w:val="auto"/>
        </w:rPr>
      </w:pPr>
      <w:r>
        <w:rPr>
          <w:rFonts w:ascii="Times New Roman" w:cs="Times New Roman" w:eastAsia="Times New Roman" w:hAnsi="Times New Roman"/>
          <w:sz w:val="18"/>
          <w:szCs w:val="18"/>
          <w:color w:val="auto"/>
        </w:rPr>
        <w:t>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46" w:lineRule="exact"/>
        <w:rPr>
          <w:sz w:val="20"/>
          <w:szCs w:val="20"/>
          <w:color w:val="auto"/>
        </w:rPr>
      </w:pPr>
    </w:p>
    <w:p>
      <w:pPr>
        <w:jc w:val="both"/>
        <w:ind w:left="1640" w:firstLine="559"/>
        <w:spacing w:after="0" w:line="260" w:lineRule="auto"/>
        <w:tabs>
          <w:tab w:leader="none" w:pos="275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determined by the Administrative Agent, which date shall promptly follow the date of the public statement or publication of information referenced therein;</w:t>
      </w:r>
    </w:p>
    <w:p>
      <w:pPr>
        <w:spacing w:after="0" w:line="136" w:lineRule="exact"/>
        <w:rPr>
          <w:sz w:val="20"/>
          <w:szCs w:val="20"/>
          <w:color w:val="auto"/>
        </w:rPr>
      </w:pPr>
    </w:p>
    <w:p>
      <w:pPr>
        <w:jc w:val="both"/>
        <w:ind w:left="1100"/>
        <w:spacing w:after="0" w:line="254"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40" w:lineRule="exact"/>
        <w:rPr>
          <w:sz w:val="20"/>
          <w:szCs w:val="20"/>
          <w:color w:val="auto"/>
        </w:rPr>
      </w:pPr>
    </w:p>
    <w:p>
      <w:pPr>
        <w:jc w:val="both"/>
        <w:ind w:left="1100" w:firstLine="110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18" w:lineRule="exact"/>
        <w:rPr>
          <w:sz w:val="20"/>
          <w:szCs w:val="20"/>
          <w:color w:val="auto"/>
        </w:rPr>
      </w:pPr>
    </w:p>
    <w:p>
      <w:pPr>
        <w:jc w:val="both"/>
        <w:ind w:left="1640" w:firstLine="559"/>
        <w:spacing w:after="0" w:line="247" w:lineRule="auto"/>
        <w:tabs>
          <w:tab w:leader="none" w:pos="275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49" w:lineRule="exact"/>
        <w:rPr>
          <w:rFonts w:ascii="Times New Roman" w:cs="Times New Roman" w:eastAsia="Times New Roman" w:hAnsi="Times New Roman"/>
          <w:sz w:val="18"/>
          <w:szCs w:val="18"/>
          <w:color w:val="auto"/>
        </w:rPr>
      </w:pPr>
    </w:p>
    <w:p>
      <w:pPr>
        <w:jc w:val="both"/>
        <w:ind w:left="1640" w:firstLine="559"/>
        <w:spacing w:after="0" w:line="244" w:lineRule="auto"/>
        <w:tabs>
          <w:tab w:leader="none" w:pos="275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w:t>
      </w: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208" w:name="page209"/>
    <w:bookmarkEnd w:id="208"/>
    <w:p>
      <w:pPr>
        <w:jc w:val="both"/>
        <w:ind w:left="1660"/>
        <w:spacing w:after="0" w:line="260" w:lineRule="auto"/>
        <w:rPr>
          <w:sz w:val="20"/>
          <w:szCs w:val="20"/>
          <w:color w:val="auto"/>
        </w:rPr>
      </w:pPr>
      <w:r>
        <w:rPr>
          <w:rFonts w:ascii="Times New Roman" w:cs="Times New Roman" w:eastAsia="Times New Roman" w:hAnsi="Times New Roman"/>
          <w:sz w:val="18"/>
          <w:szCs w:val="18"/>
          <w:color w:val="auto"/>
        </w:rPr>
        <w:t>that will continue to provide such Benchmark (or such component thereof) or, if such Benchmark is a term rate or is based on a term rate, any Available Tenor of such Benchmark (or such component thereof); or</w:t>
      </w:r>
    </w:p>
    <w:p>
      <w:pPr>
        <w:spacing w:after="0" w:line="136" w:lineRule="exact"/>
        <w:rPr>
          <w:sz w:val="20"/>
          <w:szCs w:val="20"/>
          <w:color w:val="auto"/>
        </w:rPr>
      </w:pPr>
    </w:p>
    <w:p>
      <w:pPr>
        <w:jc w:val="both"/>
        <w:ind w:left="1660" w:firstLine="559"/>
        <w:spacing w:after="0" w:line="248" w:lineRule="auto"/>
        <w:tabs>
          <w:tab w:leader="none" w:pos="277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or a Governmental Authority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spacing w:after="0" w:line="149" w:lineRule="exact"/>
        <w:rPr>
          <w:sz w:val="20"/>
          <w:szCs w:val="20"/>
          <w:color w:val="auto"/>
        </w:rPr>
      </w:pPr>
    </w:p>
    <w:p>
      <w:pPr>
        <w:jc w:val="both"/>
        <w:ind w:left="1040" w:firstLine="1178"/>
        <w:spacing w:after="0" w:line="254"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0" w:lineRule="exact"/>
        <w:rPr>
          <w:sz w:val="20"/>
          <w:szCs w:val="20"/>
          <w:color w:val="auto"/>
        </w:rPr>
      </w:pPr>
    </w:p>
    <w:p>
      <w:pPr>
        <w:jc w:val="both"/>
        <w:ind w:left="1040" w:firstLine="1178"/>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(x) beginning at the time that a Benchmark Replacement Date has occurred if, at such time, no Benchmark Replacement has replaced the then-current Benchmark for all purposes hereunder and under any Loan Document in accordance with this Section 2.18 titled “Benchmark Replacement Setting” and (y) ending at the time that a Benchmark Replacement has replaced the then-current Benchmark for all purposes hereunder and under any Loan Document in accordance with this Section 2.18 titled “Benchmark Replacement Setting.”</w:t>
      </w:r>
    </w:p>
    <w:p>
      <w:pPr>
        <w:spacing w:after="0" w:line="149" w:lineRule="exact"/>
        <w:rPr>
          <w:sz w:val="20"/>
          <w:szCs w:val="20"/>
          <w:color w:val="auto"/>
        </w:rPr>
      </w:pPr>
    </w:p>
    <w:p>
      <w:pPr>
        <w:jc w:val="both"/>
        <w:ind w:left="1040" w:firstLine="117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Term SOFR Rate or, if no floor is specified, zero.</w:t>
      </w:r>
    </w:p>
    <w:p>
      <w:pPr>
        <w:spacing w:after="0" w:line="136" w:lineRule="exact"/>
        <w:rPr>
          <w:sz w:val="20"/>
          <w:szCs w:val="20"/>
          <w:color w:val="auto"/>
        </w:rPr>
      </w:pPr>
    </w:p>
    <w:p>
      <w:pPr>
        <w:jc w:val="both"/>
        <w:ind w:left="1040" w:firstLine="117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40" w:lineRule="exact"/>
        <w:rPr>
          <w:sz w:val="20"/>
          <w:szCs w:val="20"/>
          <w:color w:val="auto"/>
        </w:rPr>
      </w:pPr>
    </w:p>
    <w:p>
      <w:pPr>
        <w:jc w:val="both"/>
        <w:ind w:left="1040" w:firstLine="1178"/>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18" w:lineRule="exact"/>
        <w:rPr>
          <w:sz w:val="20"/>
          <w:szCs w:val="20"/>
          <w:color w:val="auto"/>
        </w:rPr>
      </w:pPr>
    </w:p>
    <w:p>
      <w:pPr>
        <w:jc w:val="both"/>
        <w:ind w:firstLine="554"/>
        <w:spacing w:after="0" w:line="267"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09" w:name="page210"/>
    <w:bookmarkEnd w:id="209"/>
    <w:p>
      <w:pPr>
        <w:ind w:left="-20" w:firstLine="1110"/>
        <w:spacing w:after="0" w:line="280" w:lineRule="auto"/>
        <w:tabs>
          <w:tab w:leader="none" w:pos="164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shall cease to accrue on the unfunded portion of the Revolving Commitment of such Defaulting Lender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20" w:firstLine="1110"/>
        <w:spacing w:after="0" w:line="250" w:lineRule="auto"/>
        <w:tabs>
          <w:tab w:leader="none" w:pos="165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Commitment and Revolving Extensions of Credit of such Defaulting Lender shall not be included in determining whether all Lenders or the Required Lenders have taken or may take any action hereunder (including any consent to any amendment, modification, waiver or supplement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(b) shall not apply to the vote of a Defaulting Lender in the case of an amendment, modification, waiver or supplement requiring the consent of such Lender or each Lender affected thereby;</w:t>
      </w:r>
    </w:p>
    <w:p>
      <w:pPr>
        <w:spacing w:after="0" w:line="146" w:lineRule="exact"/>
        <w:rPr>
          <w:rFonts w:ascii="Times New Roman" w:cs="Times New Roman" w:eastAsia="Times New Roman" w:hAnsi="Times New Roman"/>
          <w:sz w:val="18"/>
          <w:szCs w:val="18"/>
          <w:color w:val="auto"/>
        </w:rPr>
      </w:pPr>
    </w:p>
    <w:p>
      <w:pPr>
        <w:ind w:left="1640" w:hanging="550"/>
        <w:spacing w:after="0"/>
        <w:tabs>
          <w:tab w:leader="none" w:pos="1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Exposure exists at the time such Lender becomes a Defaulting Lender, then:</w:t>
      </w:r>
    </w:p>
    <w:p>
      <w:pPr>
        <w:spacing w:after="0" w:line="185" w:lineRule="exact"/>
        <w:rPr>
          <w:rFonts w:ascii="Times New Roman" w:cs="Times New Roman" w:eastAsia="Times New Roman" w:hAnsi="Times New Roman"/>
          <w:sz w:val="18"/>
          <w:szCs w:val="18"/>
          <w:color w:val="auto"/>
        </w:rPr>
      </w:pPr>
    </w:p>
    <w:p>
      <w:pPr>
        <w:jc w:val="both"/>
        <w:ind w:left="540" w:firstLine="1105"/>
        <w:spacing w:after="0" w:line="246" w:lineRule="auto"/>
        <w:tabs>
          <w:tab w:leader="none" w:pos="221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Swingline Exposure (other than any portion thereof with respect to which such Defaulting Lender shall have funded its participation as contemplated by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of such Defaulting Lender shall be reallocated among the non-Defaulting Lenders in accordance with their respective Revolving Percentages but only to the extent the sum of all non-Defaulting Lenders’ Revolving Extensions of Credit do not exceed the total of all non-Defaulting Lenders’ Revolving Commitments. Subject to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and</w:t>
      </w:r>
    </w:p>
    <w:p>
      <w:pPr>
        <w:spacing w:after="0" w:line="151" w:lineRule="exact"/>
        <w:rPr>
          <w:rFonts w:ascii="Times New Roman" w:cs="Times New Roman" w:eastAsia="Times New Roman" w:hAnsi="Times New Roman"/>
          <w:sz w:val="18"/>
          <w:szCs w:val="18"/>
          <w:color w:val="auto"/>
        </w:rPr>
      </w:pPr>
    </w:p>
    <w:p>
      <w:pPr>
        <w:jc w:val="both"/>
        <w:ind w:left="540" w:firstLine="1105"/>
        <w:spacing w:after="0" w:line="254" w:lineRule="auto"/>
        <w:tabs>
          <w:tab w:leader="none" w:pos="224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 described in clause (i) above cannot, or can only partially, be effected, the Borrower shall within one (1) Business Day following written notice by the Administrative Agent prepay the portion of such Defaulting Lender’s Swingline Exposure (other than any portion thereof referred to in the parenthetical in such clause (i)) that has not been reallocated as set forth in such clause;</w:t>
      </w:r>
    </w:p>
    <w:p>
      <w:pPr>
        <w:spacing w:after="0" w:line="140" w:lineRule="exact"/>
        <w:rPr>
          <w:rFonts w:ascii="Times New Roman" w:cs="Times New Roman" w:eastAsia="Times New Roman" w:hAnsi="Times New Roman"/>
          <w:sz w:val="18"/>
          <w:szCs w:val="18"/>
          <w:color w:val="auto"/>
        </w:rPr>
      </w:pPr>
    </w:p>
    <w:p>
      <w:pPr>
        <w:jc w:val="both"/>
        <w:ind w:left="-20" w:firstLine="1110"/>
        <w:spacing w:after="0" w:line="250" w:lineRule="auto"/>
        <w:tabs>
          <w:tab w:leader="none" w:pos="165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the Swing Line Lender shall not be required to fund any Swing Line Loan unless it is satisfied that the related exposure and such Defaulting Lender’s then outstanding Swingline Exposure will be fully covered by the Revolving Commitments of the non-Defaulting Lenders, and participating interests in any such funded Swing Line Loan will be allocated among the non-Defaulting Lenders in a manner consistent with clause (c)(i) above (and such Defaulting Lender shall not participate therein); and</w:t>
      </w:r>
    </w:p>
    <w:p>
      <w:pPr>
        <w:spacing w:after="0" w:line="146" w:lineRule="exact"/>
        <w:rPr>
          <w:rFonts w:ascii="Times New Roman" w:cs="Times New Roman" w:eastAsia="Times New Roman" w:hAnsi="Times New Roman"/>
          <w:sz w:val="18"/>
          <w:szCs w:val="18"/>
          <w:color w:val="auto"/>
        </w:rPr>
      </w:pPr>
    </w:p>
    <w:p>
      <w:pPr>
        <w:jc w:val="both"/>
        <w:ind w:left="-20" w:firstLine="1110"/>
        <w:spacing w:after="0" w:line="247" w:lineRule="auto"/>
        <w:tabs>
          <w:tab w:leader="none" w:pos="164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Administrative Agent, the Borrower and the Swing Line Lender agree in writing that a Defaulting Lender has adequately remedied all matters that caused such Lender to be a Defaulting Lender, then the Swingline Exposure of the Lenders shall be readjusted to reflect the inclusion of such Lender’s Revolving Commitment and on such date such Lender shall purchase at par such of the Revolving Loans and participations in Swing Line Loans of the other Lenders as the Administrative Agent shall determine may be necessary in order for such Lender to hold such Revolving Loans and participations in Swing Line Loans in accordance with its Revolving Percentage, whereupon such Lender shall cease to be a Defaulting Lender.</w:t>
      </w:r>
    </w:p>
    <w:p>
      <w:pPr>
        <w:spacing w:after="0" w:line="3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5" w:right="1439" w:bottom="1440" w:gutter="0" w:footer="0" w:header="0"/>
        </w:sectPr>
      </w:pPr>
    </w:p>
    <w:bookmarkStart w:id="210" w:name="page211"/>
    <w:bookmarkEnd w:id="210"/>
    <w:p>
      <w:pPr>
        <w:ind w:left="559"/>
        <w:spacing w:after="0"/>
        <w:tabs>
          <w:tab w:leader="none" w:pos="1178"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1" w:firstLine="1110"/>
        <w:spacing w:after="0" w:line="246" w:lineRule="auto"/>
        <w:tabs>
          <w:tab w:leader="none" w:pos="165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the Swing Line Lender may, in its sole discretion, make Swing Line Loans to the Borrower from time to time during the Revolving Commitment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thereto, (i) the aggregate principal amount of the Swing Line Loans of the Swing Line Lender will not exceed its Swingline Commitment, (ii) the Swingline Exposure will not exceed the Swingline Sublimit,</w:t>
      </w:r>
    </w:p>
    <w:p>
      <w:pPr>
        <w:spacing w:after="0" w:line="3" w:lineRule="exact"/>
        <w:rPr>
          <w:rFonts w:ascii="Times New Roman" w:cs="Times New Roman" w:eastAsia="Times New Roman" w:hAnsi="Times New Roman"/>
          <w:sz w:val="18"/>
          <w:szCs w:val="18"/>
          <w:color w:val="auto"/>
        </w:rPr>
      </w:pPr>
    </w:p>
    <w:p>
      <w:pPr>
        <w:jc w:val="both"/>
        <w:ind w:left="-1" w:firstLine="1"/>
        <w:spacing w:after="0" w:line="243" w:lineRule="auto"/>
        <w:tabs>
          <w:tab w:leader="none" w:pos="33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Lender’s Revolving Extensions of Credit will exceed its Revolving Commitment and (iv) the Total Revolving Extensions of Credit will not exceed the Total Revolving Commitments. Within the foregoing limits and subject to the terms and conditions set forth herein, the Borrower may borrow, prepay and reborrow Swing Line Loans. For the avoidance of doubt, any reference in this Agreement to the Swing Line Lender’s “Swingline Commitment”, the obligation of the Swing Line Lender to make a Swing Line Loan being subject to the satisfaction of certain conditions or to the Swing Line Lender not being required to fund any Swing Line Loan absent the occurrence of certain events (or words of similar import) shall not be deemed to create any obligation of the Swing Line Lender to make or fund any Swing Line Loan other than in its sole discretion.</w:t>
      </w:r>
    </w:p>
    <w:p>
      <w:pPr>
        <w:spacing w:after="0" w:line="151" w:lineRule="exact"/>
        <w:rPr>
          <w:rFonts w:ascii="Times New Roman" w:cs="Times New Roman" w:eastAsia="Times New Roman" w:hAnsi="Times New Roman"/>
          <w:sz w:val="18"/>
          <w:szCs w:val="18"/>
          <w:color w:val="auto"/>
        </w:rPr>
      </w:pPr>
    </w:p>
    <w:p>
      <w:pPr>
        <w:jc w:val="both"/>
        <w:ind w:left="-1" w:firstLine="1110"/>
        <w:spacing w:after="0" w:line="243" w:lineRule="auto"/>
        <w:tabs>
          <w:tab w:leader="none" w:pos="167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request a Swing Line Loan from the Swing Line Lender, the Borrower shall notify the Administrative Agent and the Swing Line Lender of such request by telephone or in writing not later than 1:00 P.M., New York City time, on the day of the proposed Swing Line Loan. Each such telephonic and written Swingline Borrowing Request shall be irrevocable and shall be made (or, if telephonic, confirmed promptly) by hand delivery or fax to the Administrative Agent and the Swing Line Lender of an executed written Swingline Borrowing Request. Each such telephonic and written Swingline Borrowing Request shall specify the requested date (which shall be a Business Day) and the amount of the requested Swing Line Loan and the location and number of the account of the Borrower to which funds are to be disbursed. Promptly following the receipt of a Swingline Borrowing Request in accordance with this Section, the Administrative Agent shall advise the Swing Line Lender of the details thereof. If the Swing Line Lender shall have determined, in its sole discretion, to make the Swing Line Loan so requested of it, then the Swing Line Lender shall make such Swing Line Loan available to the Borrower by means of a wire transfer to the account specified in such Swingline Borrowing Request by 4:00 P.M., New York City time, on the requested date of such Swing Line Loan. Each Swing Line Loan shall be in an aggregate amount that is an integral multiple of $50,000 and not less than $100,000. The Borrower shall repay to the Swing Line Lender the aggregate principal amount of all Swing Line Loans outstanding on the Revolving Commitment Termination Date or, if any Cash Management Agreement is in effect, on such other date (but in no event later than the Revolving Commitment Termination Date) as provided in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1" w:firstLine="1110"/>
        <w:spacing w:after="0" w:line="246" w:lineRule="auto"/>
        <w:tabs>
          <w:tab w:leader="none" w:pos="165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Swing Line Loan (whether before or after the occurrence of a Default or an Event of Default and regardless of whether a settlement has been requested with respect to such Swing Line Loan), each Lender shall be deemed, without further action by any party hereto, to have unconditionally and irrevocably purchased from the Swing Line Lender, without recourse or warranty, an undivided interest and participation in such Swing Line Loan in proportion to such Lender’s Revolving Percentage of such Swing Line Loan. The Swing Line Lender may by written notice given to the Administrative Agent not later than 11:00 A.M., New York City time, on any Business Day require the Lenders to fund their participations on such Business Day in all or a portion of the outstanding Swing Line Loans. Such notice shall</w:t>
      </w:r>
    </w:p>
    <w:p>
      <w:pPr>
        <w:spacing w:after="0" w:line="200" w:lineRule="exact"/>
        <w:rPr>
          <w:sz w:val="20"/>
          <w:szCs w:val="20"/>
          <w:color w:val="auto"/>
        </w:rPr>
      </w:pPr>
    </w:p>
    <w:p>
      <w:pPr>
        <w:spacing w:after="0" w:line="371"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193040</wp:posOffset>
            </wp:positionV>
            <wp:extent cx="5783580" cy="476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1" w:top="324" w:right="1439" w:bottom="1440" w:gutter="0" w:footer="0" w:header="0"/>
        </w:sectPr>
      </w:pPr>
    </w:p>
    <w:bookmarkStart w:id="211" w:name="page212"/>
    <w:bookmarkEnd w:id="211"/>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specify the aggregate amount of the Swing Line Loans in which the Lenders will be required to fund their participation. Promptly upon receipt of such notice, the Administrative Agent will give notice thereof to each Lender, specifying in such notice such Lender’s Revolving Percentage of such Swing Line Loan or Loans. Each Lender hereby absolutely and unconditionally agrees to pay, promptly upon receipt of notice as provided above, to the Administrative Agent, for the account of the Swing Line Lender, such Lender’s Revolving Percentage of such Swing Line Loan or Loans. Each Lender acknowledges and agrees that, in making any Swing Line Loan, the Swing Line Lender shall be entitled to rely, and shall not incur any liability for relying, upon the representation and warranty of the Borrower deemed made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unless, at least two (2) Business Days prior to the time such Swing Line Loan is made, the Required Lenders shall have notified the Swing Line Lender (with a copy to the Administrative Agent) in writing that, as a result of one or more events or circumstances described in such notice, one or more of the conditions precedent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would not be satisfied if such Swing Line Loan were then made (it being understood and agreed that, in the event the Swing Line Lender shall have received any such notice, the Swing Line Lender shall not have any obligation to make any Swing Line Loan until and unless it shall be satisfied that the events and circumstances described in such notice shall have been cured or otherwise shall have ceased to exist). Each Lender further acknowledges and agrees that its obligation to acquire participations in Swing 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apply, mutatis mutandis, to the payment obligations of the Lenders pursuant to this paragraph), and the Administrative Agent shall promptly remit to the Swing Line Lender the amounts so received by it from the Lenders. The Administrative Agent shall notify the Borrower of the funding of any participations in any Swing Line Loan acquired pursuant to this paragraph, and thereafter payments in respect of such Swing Line Loan shall be made to the Administrative Agent and not to the Swing Line Lender. Any amounts received by the Swing Line Lender from the Borrower (or other Persons on behalf of the Borrower) in respect of a Swing Line Loan after receipt by the Swing 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 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 Line Lender or to the Administrative Agent, as applicable, if and to the extent such payment is required to be refunded to the Borrower for any reason. The purchase of participations in a Swing Line Loan pursuant to this paragraph shall not constitute a Loan and shall not relieve the Borrower of its obligations to repay such Swing Line Loan.</w:t>
      </w:r>
    </w:p>
    <w:p>
      <w:pPr>
        <w:spacing w:after="0" w:line="369" w:lineRule="exact"/>
        <w:rPr>
          <w:sz w:val="20"/>
          <w:szCs w:val="20"/>
          <w:color w:val="auto"/>
        </w:rPr>
      </w:pPr>
    </w:p>
    <w:p>
      <w:pPr>
        <w:jc w:val="both"/>
        <w:ind w:firstLine="1110"/>
        <w:spacing w:after="0" w:line="250" w:lineRule="auto"/>
        <w:tabs>
          <w:tab w:leader="none" w:pos="167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making Swing Line Loans pursuant to the foregoing provisions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without the requirement for a specific request from the Borrower pursuant to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the Swing Line Lender may make Swing Line Loans to the Borrower in accordance with the provisions of any agreements between the Borrower and the Swing Line Lender relating to the Borrower’s deposit, sweep and other accounts at the Swing Line Lender and related arrangements and agreements regarding the management and investment of the Borrower’s</w:t>
      </w: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12" w:name="page213"/>
    <w:bookmarkEnd w:id="212"/>
    <w:p>
      <w:pPr>
        <w:jc w:val="both"/>
        <w:spacing w:after="0" w:line="246" w:lineRule="auto"/>
        <w:rPr>
          <w:sz w:val="20"/>
          <w:szCs w:val="20"/>
          <w:color w:val="auto"/>
        </w:rPr>
      </w:pPr>
      <w:r>
        <w:rPr>
          <w:rFonts w:ascii="Times New Roman" w:cs="Times New Roman" w:eastAsia="Times New Roman" w:hAnsi="Times New Roman"/>
          <w:sz w:val="18"/>
          <w:szCs w:val="18"/>
          <w:color w:val="auto"/>
        </w:rPr>
        <w:t>cash assets as in effect from time to time (the “</w:t>
      </w:r>
      <w:r>
        <w:rPr>
          <w:rFonts w:ascii="Times New Roman" w:cs="Times New Roman" w:eastAsia="Times New Roman" w:hAnsi="Times New Roman"/>
          <w:sz w:val="18"/>
          <w:szCs w:val="18"/>
          <w:u w:val="single" w:color="auto"/>
          <w:color w:val="auto"/>
        </w:rPr>
        <w:t>Cash Management Agreements</w:t>
      </w:r>
      <w:r>
        <w:rPr>
          <w:rFonts w:ascii="Times New Roman" w:cs="Times New Roman" w:eastAsia="Times New Roman" w:hAnsi="Times New Roman"/>
          <w:sz w:val="18"/>
          <w:szCs w:val="18"/>
          <w:color w:val="auto"/>
        </w:rPr>
        <w:t xml:space="preserve">”) to the extent of the daily aggregate net negative balance in the Borrower’s accounts which are subject to the provisions of the applicable Cash Management Agreements. Swing Line Loans made pursuant to this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in accordance with the provisions of the applicable Cash Management Agreements shall (i) be subject to the limitations as to maximum amount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59"/>
        <w:spacing w:after="0" w:line="241" w:lineRule="auto"/>
        <w:tabs>
          <w:tab w:leader="none" w:pos="34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be subject to the limitations as to minimum amount and integral multiples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(iii) be payable by the Borrower, both as to principal and interest, at the times set forth in the applicable Cash Management Agreements (but in no event later than the Revolving Commitment Termination Date), (iv) not be made at any time if the Required Lenders shall have notified the Swing Line Lender (with a copy to the Administrative Agent) in writing that, as a result of one or more events or circumstances described in such notice, one or more of the conditions precedent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would not be satisfied if such Swing Line Loan were then made (it being understood and agreed that, in the event the Swing Line Lender shall have received any such notice, the Swing Line Lender shall not have any obligation to make any Swing Line Loan until and unless it shall be satisfied that the events and circumstances described in such notice shall have been cured or otherwise shall have ceased to exist), (v) if not repaid by the Borrower in accordance with the provisions of the applicable Cash Management Agreements, be subject to each Lender’s obligation to purchase and/or fund participating interests therein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and (vi) except as provided in the foregoing clauses</w:t>
      </w:r>
    </w:p>
    <w:p>
      <w:pPr>
        <w:jc w:val="both"/>
        <w:ind w:firstLine="1"/>
        <w:spacing w:after="0" w:line="244" w:lineRule="auto"/>
        <w:tabs>
          <w:tab w:leader="none" w:pos="23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 be subject to all of the terms and conditions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The Swing Line Lender shall report in writing to the Administrative Agent on the Business Day following the date any Swing Line Loan is made pursuant to this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the date and principal amount of such Swing Line Loan, the interest rate applicable thereto and such other information as the Administrative Agent shall reasonably request as to such Swing Line Loan. For the avoidance of doubt, no amount shall be due to any Lender in respect to any Swing Line Loan for any period prior to its funding of its participation in such Swing Line Loan.</w:t>
      </w:r>
    </w:p>
    <w:p>
      <w:pPr>
        <w:spacing w:after="0" w:line="149" w:lineRule="exact"/>
        <w:rPr>
          <w:rFonts w:ascii="Times New Roman" w:cs="Times New Roman" w:eastAsia="Times New Roman" w:hAnsi="Times New Roman"/>
          <w:sz w:val="18"/>
          <w:szCs w:val="18"/>
          <w:color w:val="auto"/>
        </w:rPr>
      </w:pPr>
    </w:p>
    <w:p>
      <w:pPr>
        <w:jc w:val="both"/>
        <w:ind w:firstLine="1110"/>
        <w:spacing w:after="0" w:line="245" w:lineRule="auto"/>
        <w:tabs>
          <w:tab w:leader="none" w:pos="1661"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Swing Line Loan shall bear interest, for any day, (i) at the rate per annum that is mutually agreed to by the Borrower and the Swing Line Lender at the time such Swing Line Loan is made or (ii) if there are Cash Management Agreements in place, at the rate or rates specified in such Cash Management Agreements (or as otherwise agreed by the Borrower and such Swing Line Lender in writing) plus the applicable margin (determined in accordance with such Cash Management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Swing Line Lender shall have provided any notice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then from and after the date of such notice (and until the Lenders shall hold no participations in the applicable Swing Line Loans) each Swing Line Loan subject to such notice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with respect to ABR Loans. 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Cash Management Agreement is in effect, accrued interest on each applicable Swing Line Loan shall be payable as provided in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w:t>
      </w:r>
    </w:p>
    <w:p>
      <w:pPr>
        <w:spacing w:after="0" w:line="151" w:lineRule="exact"/>
        <w:rPr>
          <w:rFonts w:ascii="Times New Roman" w:cs="Times New Roman" w:eastAsia="Times New Roman" w:hAnsi="Times New Roman"/>
          <w:sz w:val="18"/>
          <w:szCs w:val="18"/>
          <w:color w:val="auto"/>
        </w:rPr>
      </w:pPr>
    </w:p>
    <w:p>
      <w:pPr>
        <w:jc w:val="both"/>
        <w:ind w:firstLine="1110"/>
        <w:spacing w:after="0" w:line="248" w:lineRule="auto"/>
        <w:tabs>
          <w:tab w:leader="none" w:pos="1675"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and the Swing Line Lender by telephone (confirmed by hand delivery or fax) or in writing of any prepayment of Swing Line Loans hereunder not later than 12:00 P.M., New York City time, on the date of prepayment (or such later time as may be agreed to by the Swing Line Lender and the Administrative Agent in writing). Each such notice shall be irrevocable and shall specify the prepayment date, the Swing Line Loans to be prepaid, and the principal amount of each such Swing Line Loan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 may be conditioned upon the occurrence of one</w:t>
      </w: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13" w:name="page214"/>
    <w:bookmarkEnd w:id="213"/>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or more events specified therein, in which case such notice may be revoked by the Borrower (by notice to the Administrative Agent and the Swing Line Lender on or prior to the specified effective date) if such condition is not, or is not expected to be, satisfied. Each partial prepayment of any Swing Line Loan shall be in an amount that would be permitted in the case of an advance of a Swing Line Loan as provided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(or, if less, the outstanding principal amount of the Swing Line Loans). Prepayments shall be accompanied by accrued interest. For the avoidance of doubt, Swing Line Loans may not be continued or converted.</w:t>
      </w:r>
    </w:p>
    <w:p>
      <w:pPr>
        <w:spacing w:after="0" w:line="149" w:lineRule="exact"/>
        <w:rPr>
          <w:sz w:val="20"/>
          <w:szCs w:val="20"/>
          <w:color w:val="auto"/>
        </w:rPr>
      </w:pPr>
    </w:p>
    <w:p>
      <w:pPr>
        <w:ind w:left="560"/>
        <w:spacing w:after="0"/>
        <w:tabs>
          <w:tab w:leader="none" w:pos="1180" w:val="left"/>
          <w:tab w:leader="none" w:pos="60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u w:val="single" w:color="auto"/>
          <w:color w:val="auto"/>
        </w:rPr>
        <w:t>Conforming Changes Relating to the Term SOFR Rate</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 With respect to the Term SOFR Rate,</w:t>
      </w:r>
    </w:p>
    <w:p>
      <w:pPr>
        <w:spacing w:after="0" w:line="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Administrative Agent shall provide written notice to the Borrower and the Lenders of each such amendment implementing such Conforming Changes promptly after such amendment becomes effective.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[Reserved]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18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To induce the Administrative Agent and the Lenders to enter into this Agreement and to make the Loans, the Borrower hereby represents and warrants to the Administrative Agent and each Lender on each Borrowing Date that:</w:t>
      </w:r>
    </w:p>
    <w:p>
      <w:pPr>
        <w:spacing w:after="0" w:line="118"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audited balance sheet and statements of income and cash flows, on a consolidated basis, of the Borrower as at the end of the 2023 and 2024 fiscal years (the “</w:t>
      </w:r>
      <w:r>
        <w:rPr>
          <w:rFonts w:ascii="Times New Roman" w:cs="Times New Roman" w:eastAsia="Times New Roman" w:hAnsi="Times New Roman"/>
          <w:sz w:val="18"/>
          <w:szCs w:val="18"/>
          <w:u w:val="single" w:color="auto"/>
          <w:color w:val="auto"/>
        </w:rPr>
        <w:t>Financials</w:t>
      </w:r>
      <w:r>
        <w:rPr>
          <w:rFonts w:ascii="Times New Roman" w:cs="Times New Roman" w:eastAsia="Times New Roman" w:hAnsi="Times New Roman"/>
          <w:sz w:val="18"/>
          <w:szCs w:val="18"/>
          <w:color w:val="auto"/>
        </w:rPr>
        <w:t>”), reported on by, and accompanied by, an unqualified report from Deloitte &amp; Touche LLP or other independent certified public accountants reasonably acceptable to the Administrative Agent, present fairly in all material respects the financial condition of the Borrower and the results of its operations and cash flows for each fiscal year then ended. All such Financials, including the related schedules and notes thereto, have been prepared in accordance with GAAP applied consistently throughout the periods involved (except as approved by the aforementioned firm of accountants and disclosed therein).</w:t>
      </w:r>
    </w:p>
    <w:p>
      <w:pPr>
        <w:spacing w:after="0" w:line="149"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Since December 31, 2024, there has been no development or event that has had or could reasonably be expected to have a Material Adverse Effect.</w:t>
      </w:r>
    </w:p>
    <w:p>
      <w:pPr>
        <w:spacing w:after="0" w:line="118"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 Compliance with Law</w:t>
      </w:r>
      <w:r>
        <w:rPr>
          <w:rFonts w:ascii="Times New Roman" w:cs="Times New Roman" w:eastAsia="Times New Roman" w:hAnsi="Times New Roman"/>
          <w:sz w:val="18"/>
          <w:szCs w:val="18"/>
          <w:color w:val="auto"/>
        </w:rPr>
        <w:t>. Each Group Member (a) is duly organized, validly existing and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under the laws of each jurisdiction where its ownership, lease or operation of property or the conduct of its business requires such qualification and (d) is in compliance with all Requirements of Law, except in the case of clauses (b), (c) and (d) to the extent failure to comply therewith could not, in the aggregate, reasonably be expected to have a Material Adverse Effect.</w:t>
      </w: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14" w:name="page215"/>
    <w:bookmarkEnd w:id="214"/>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xml:space="preserve">.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to be obtained by any Loan Party in connection with the extensions of credit hereunder or with the execution, delivery or performance by such Loan Party or the validity or enforceability against such Loan Party of this Agreement or any of the Loan Documents, except consents, authorizations, filings and notices (i) described in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which consents, authorizations, filings and notices have been obtained or made and are in full force and effect, (ii) referred to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and (iii) as may be necessary in connection with the exercise of foreclosure remedies including the sale of Collateral. Each Loan Document has been duly executed and delivered on behalf of each Loan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367"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by the Loan Parties of this Agreement and the other Loan Documents, the borrowings hereunder and the use of the proceeds thereof by the Loan Parties will not violate any Requirement of Law applicable to any Loan Party or any Contractual Obligation of any Loan Party and will not result in, or require, the creation or imposition of any Lien on any of their respective properties or revenues pursuant to any Requirement of Law or any such Contractual Obligation (other than the Liens created by the Security Documents). No Requirement of Law or Contractual Obligation applicable to any Loan Party could reasonably be expected to have a Material Adverse Effect.</w:t>
      </w:r>
    </w:p>
    <w:p>
      <w:pPr>
        <w:spacing w:after="0" w:line="362"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No litigation, investigation or proceeding of or before any arbitrator or Governmental Authority is pending or, to the knowledge of the Borrower, threatened by or against any Group Member or against any of their respective properties or revenues that could reasonably be expected to have a Material Adverse Effect.</w:t>
      </w:r>
    </w:p>
    <w:p>
      <w:pPr>
        <w:spacing w:after="0" w:line="136"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w:t>
      </w:r>
    </w:p>
    <w:p>
      <w:pPr>
        <w:spacing w:after="0" w:line="186" w:lineRule="exact"/>
        <w:rPr>
          <w:sz w:val="20"/>
          <w:szCs w:val="20"/>
          <w:color w:val="auto"/>
        </w:rPr>
      </w:pPr>
    </w:p>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 Liens</w:t>
      </w:r>
      <w:r>
        <w:rPr>
          <w:rFonts w:ascii="Times New Roman" w:cs="Times New Roman" w:eastAsia="Times New Roman" w:hAnsi="Times New Roman"/>
          <w:sz w:val="18"/>
          <w:szCs w:val="18"/>
          <w:color w:val="auto"/>
        </w:rPr>
        <w:t xml:space="preserve">. Each Group Member has title in fee simple to, or a valid leasehold interest in, or a valid easement or right of way with respect to, all its material real property, and good title to, or a valid leasehold interest in, all its other material property except as could not, individually or in the aggregate, reasonably be expected to have a Material Adverse Effect, and none of such property of the Borrower is subject to any Lien except as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359"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15" w:name="page216"/>
    <w:bookmarkEnd w:id="215"/>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Group Member has filed or caused to be filed all federal,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 any such Taxes, fees or other charges the amount or validity of which are currently being contested in good faith by appropriate proceedings and with respect to which reserves in conformity with GAAP have been provided on the books of the relevant Group Member or (b) to the extent that the failure to do so could not, individually or in the aggregate, reasonably be expected to have a Material Adverse Effect); no Tax Lien has been filed, and, to the knowledge of the Borrower, no claim is being asserted, with respect to any such Tax, fee or other charge which could, individually or in the aggregate, reasonably be expected to have a Material Adverse Effect.</w:t>
      </w:r>
    </w:p>
    <w:p>
      <w:pPr>
        <w:spacing w:after="0" w:line="155"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Neither the Borrower nor any Subsidiary is engaged or will engage, principally or as one of its important activities, in the business of purchasing or carrying margin stock (within the meaning of Regulation U of the Board), or extending credit for the purpose of purchasing or carrying margin stock. No part of the proceeds of the Loans will be used, directly or indirectly, to purchase or carry margin stock, to extend credit for others to purchase or carry margin stock or for any purpose that entails, and no other action will be taken by the Borrower and the Subsidiaries that would result in, a violation of Regulations T, U and X of the Board.</w:t>
      </w:r>
    </w:p>
    <w:p>
      <w:pPr>
        <w:spacing w:after="0" w:line="149"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Except as could not reasonably be expected, individually or in the aggregate, to have a Material Adverse Effect: (i) each Group Member and each of their respective ERISA Affiliates is in compliance with the applicable provisions and requirements of ERISA and the Code with respect to each Plan; (ii) no ERISA Event has occurred and neither the Borrower nor any ERISA Affiliate is aware of any fact, event or circumstance that could reasonably be expected to constitute or result in an ERISA Event; and (iii) the present value of all accumulated benefit obligations under all Plans and the benefit obligations of retiree welfare benefit arrangements (in each case based on the assumptions used for purposes of Accounting Standards Codification Topic 715) did not, as of the date of the most recent financial statements reflecting such amounts, exceed by more than an immaterial amount the fair market value of the assets of such Plan or arrangement. The Borrower is not holding and will not hold “plan assets” as such term is defined in Section 3(42) of ERISA.</w:t>
      </w:r>
    </w:p>
    <w:p>
      <w:pPr>
        <w:spacing w:after="0" w:line="363"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xml:space="preserve"> Act. No Loan Party is an “investment company”, or a company “controlled” by an “investment company”, within the meaning of the Investment Company Act of 1940, as amended.</w:t>
      </w:r>
    </w:p>
    <w:p>
      <w:pPr>
        <w:spacing w:after="0" w:line="118"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Closing Date,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sets forth (a) each Subsidiary’s legal name and jurisdiction of organization and (b) for each Subsidiary, whether such Subsidiary is a Significant Subsidiary. There are no outstanding subscriptions, options, warrants, calls, rights or other agreements or commitments of any nature relating to any Capital Stock of the Borrower.</w:t>
      </w:r>
    </w:p>
    <w:p>
      <w:pPr>
        <w:spacing w:after="0" w:line="140"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in the aggregate, could not reasonably be expected to have a Material Adverse Effect:</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16" w:name="page217"/>
    <w:bookmarkEnd w:id="216"/>
    <w:p>
      <w:pPr>
        <w:jc w:val="both"/>
        <w:ind w:firstLine="1110"/>
        <w:spacing w:after="0" w:line="260" w:lineRule="auto"/>
        <w:tabs>
          <w:tab w:leader="none" w:pos="166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and properties owned, leased or operated by any Group Member (the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do not contain, and have not previously contained, any Materials of Environmental Concern in amounts or concentrations or under circumstances that constitute or constituted a violation of any Environmental Law;</w:t>
      </w:r>
    </w:p>
    <w:p>
      <w:pPr>
        <w:spacing w:after="0" w:line="135"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Member has received any written notice of violation, alleged violation, non-compliance, liability or potential liability with respect to Environmental Laws with regard to any of the Properties or the business operated by any Group Member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and to the knowledge of the Borrower no notice is threatened;</w:t>
      </w:r>
    </w:p>
    <w:p>
      <w:pPr>
        <w:spacing w:after="0" w:line="135"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6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of Environmental Concern have not been transported or disposed of from the Properties in violation of any Environmental Law, nor have any Materials of Environmental Concern been generated, treated, stored or disposed of at, on or under any of the Properties in violation of any applicable Environmental Law;</w:t>
      </w:r>
    </w:p>
    <w:p>
      <w:pPr>
        <w:spacing w:after="0" w:line="135" w:lineRule="exact"/>
        <w:rPr>
          <w:rFonts w:ascii="Times New Roman" w:cs="Times New Roman" w:eastAsia="Times New Roman" w:hAnsi="Times New Roman"/>
          <w:sz w:val="18"/>
          <w:szCs w:val="18"/>
          <w:color w:val="auto"/>
        </w:rPr>
      </w:pPr>
    </w:p>
    <w:p>
      <w:pPr>
        <w:jc w:val="both"/>
        <w:ind w:firstLine="1110"/>
        <w:spacing w:after="0" w:line="250" w:lineRule="auto"/>
        <w:tabs>
          <w:tab w:leader="none" w:pos="167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judicial proceeding or governmental or administrative action is pending or, to the knowledge of the Borrower, threatened, under any Environmental Law to which any Group Member is, or to the knowledge of the Borrower, will be named as a party with respect to the Properties or the Business, nor are there any consent decrees or other decrees, consent orders or other judgments or agreements in any administrative or judicial forum outstanding under any Environmental Law with respect to the Properties or the Business;</w:t>
      </w:r>
    </w:p>
    <w:p>
      <w:pPr>
        <w:spacing w:after="0" w:line="146"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6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or threat of release or arranging of disposal of Materials of Environmental Concern at or from the Properties, or arising from or related to the operations of any Group Member in connection with the Properties or otherwise in connection with the Business, in violation of or in amounts or in a manner that could give rise to liability under Environmental Laws;</w:t>
      </w:r>
    </w:p>
    <w:p>
      <w:pPr>
        <w:spacing w:after="0" w:line="140" w:lineRule="exact"/>
        <w:rPr>
          <w:rFonts w:ascii="Times New Roman" w:cs="Times New Roman" w:eastAsia="Times New Roman" w:hAnsi="Times New Roman"/>
          <w:sz w:val="18"/>
          <w:szCs w:val="18"/>
          <w:color w:val="auto"/>
        </w:rPr>
      </w:pPr>
    </w:p>
    <w:p>
      <w:pPr>
        <w:ind w:firstLine="1110"/>
        <w:spacing w:after="0" w:line="280" w:lineRule="auto"/>
        <w:tabs>
          <w:tab w:leader="none" w:pos="167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Properties and all operations at the Properties are in compliance, and have in the last five (5) years been in compliance, with all applicable Environmental Laws; and</w:t>
      </w:r>
    </w:p>
    <w:p>
      <w:pPr>
        <w:spacing w:after="0" w:line="117"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Member has assumed any liability of any other Person under Environmental Laws.</w:t>
      </w:r>
    </w:p>
    <w:p>
      <w:pPr>
        <w:spacing w:after="0" w:line="186"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Accuracy of Information, etc</w:t>
      </w:r>
      <w:r>
        <w:rPr>
          <w:rFonts w:ascii="Times New Roman" w:cs="Times New Roman" w:eastAsia="Times New Roman" w:hAnsi="Times New Roman"/>
          <w:sz w:val="18"/>
          <w:szCs w:val="18"/>
          <w:color w:val="auto"/>
        </w:rPr>
        <w:t>. The written reports, financial statements, certificates and other written information (other than financial projections and other forward-looking information and information of a general economic or industry-specific nature) furnished by or on behalf of the Borrower or any Subsidiary to the Administrative Agent or any Lender in connection with this Agreement or any other Loan Document is and will be, when furnished and taken as a whole, complete and correct in all material respects and does not and will not, when furnished and taken as a whole, contain any untrue statement of a material fact or omit to state a material fact necessary to make the statements contained therein not materially misleading in light of the circumstances under which such statements are made (in each case after giving effect to all supplements and updates provided thereto). The financial projections and other forward-looking information that have been furnished by or on behalf of the Borrower or any Subsidiary to the Administrative Agent or any Lender in connection with this Agreement or any other Loan</w:t>
      </w:r>
    </w:p>
    <w:p>
      <w:pPr>
        <w:spacing w:after="0" w:line="3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17" w:name="page218"/>
    <w:bookmarkEnd w:id="217"/>
    <w:p>
      <w:pPr>
        <w:jc w:val="both"/>
        <w:spacing w:after="0" w:line="246" w:lineRule="auto"/>
        <w:rPr>
          <w:sz w:val="20"/>
          <w:szCs w:val="20"/>
          <w:color w:val="auto"/>
        </w:rPr>
      </w:pPr>
      <w:r>
        <w:rPr>
          <w:rFonts w:ascii="Times New Roman" w:cs="Times New Roman" w:eastAsia="Times New Roman" w:hAnsi="Times New Roman"/>
          <w:sz w:val="18"/>
          <w:szCs w:val="18"/>
          <w:color w:val="auto"/>
        </w:rPr>
        <w:t>Document have been prepared in good faith based upon assumptions that are believed by the Borrower to be reasonable at the time such financial projections or other forward-looking information are furnished to the Administrative Agent or any Lender, it being understood and agreed that financial projections and other forward-looking information are as to future events and are not to be viewed as facts, are subject to significant uncertainties and contingencies, many of which are out of the Borrower’s or the Subsidiaries’ control, that no assurance can be given that any particular projections will be realized, that the financial projections or other forward-looking information is not a guarantee of financial performance and that actual results during the period or periods covered by such projections may differ significantly from the projected results and such differences may be material.</w:t>
      </w:r>
    </w:p>
    <w:p>
      <w:pPr>
        <w:spacing w:after="0" w:line="151"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The Security Agreement is effective to create in favor of the Collateral Agent, for the benefit of the Lenders, a legal, valid and enforceable security interest in the Collateral described therein and proceeds thereof as security for the Obligations (as defined in the Security Agreement and including in any event the “Obligations” as defined herein). In the case of the Pledged Stock described in the Security Agreement, in addition to filing the financing statements specified on </w:t>
      </w:r>
      <w:r>
        <w:rPr>
          <w:rFonts w:ascii="Times New Roman" w:cs="Times New Roman" w:eastAsia="Times New Roman" w:hAnsi="Times New Roman"/>
          <w:sz w:val="18"/>
          <w:szCs w:val="18"/>
          <w:u w:val="single" w:color="auto"/>
          <w:color w:val="auto"/>
        </w:rPr>
        <w:t>Schedule 4.18</w:t>
      </w:r>
      <w:r>
        <w:rPr>
          <w:rFonts w:ascii="Times New Roman" w:cs="Times New Roman" w:eastAsia="Times New Roman" w:hAnsi="Times New Roman"/>
          <w:sz w:val="18"/>
          <w:szCs w:val="18"/>
          <w:color w:val="auto"/>
        </w:rPr>
        <w:t xml:space="preserve"> in the appropriate form in the offices specified on </w:t>
      </w:r>
      <w:r>
        <w:rPr>
          <w:rFonts w:ascii="Times New Roman" w:cs="Times New Roman" w:eastAsia="Times New Roman" w:hAnsi="Times New Roman"/>
          <w:sz w:val="18"/>
          <w:szCs w:val="18"/>
          <w:u w:val="single" w:color="auto"/>
          <w:color w:val="auto"/>
        </w:rPr>
        <w:t>Schedule 4.18</w:t>
      </w:r>
      <w:r>
        <w:rPr>
          <w:rFonts w:ascii="Times New Roman" w:cs="Times New Roman" w:eastAsia="Times New Roman" w:hAnsi="Times New Roman"/>
          <w:sz w:val="18"/>
          <w:szCs w:val="18"/>
          <w:color w:val="auto"/>
        </w:rPr>
        <w:t xml:space="preserve">, when the stock certificates representing such Pledged Stock are delivered to the Collateral Agent, in each case duly endorsed or accompanied by duly executed instruments of assignment or transfer in blank, the Security Agreement shall constitute a fully perfected Lien on, and security interest in, all right, title and interest of the Borrower in such Collateral and the proceeds thereof, as security for the Obligations (as defined in the Security Agreement and including in any event the “Obligations” as defined herein), in each case prior and superior in right to any other Person (except non-consensual Liens arising by operation of any Requirement of Law) to the extent the creation, perfection and priority thereof is governed by the Uniform Commercial Code as from time to time in effect in the State of New York. In the case of the other Collateral described in the Security Agreement, when financing statements and other filings specified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4.18</w:t>
      </w:r>
      <w:r>
        <w:rPr>
          <w:rFonts w:ascii="Times New Roman" w:cs="Times New Roman" w:eastAsia="Times New Roman" w:hAnsi="Times New Roman"/>
          <w:sz w:val="18"/>
          <w:szCs w:val="18"/>
          <w:color w:val="auto"/>
        </w:rPr>
        <w:t xml:space="preserve"> in appropriate form are filed in the offices specified on </w:t>
      </w:r>
      <w:r>
        <w:rPr>
          <w:rFonts w:ascii="Times New Roman" w:cs="Times New Roman" w:eastAsia="Times New Roman" w:hAnsi="Times New Roman"/>
          <w:sz w:val="18"/>
          <w:szCs w:val="18"/>
          <w:u w:val="single" w:color="auto"/>
          <w:color w:val="auto"/>
        </w:rPr>
        <w:t>Schedule 4.18</w:t>
      </w:r>
      <w:r>
        <w:rPr>
          <w:rFonts w:ascii="Times New Roman" w:cs="Times New Roman" w:eastAsia="Times New Roman" w:hAnsi="Times New Roman"/>
          <w:sz w:val="18"/>
          <w:szCs w:val="18"/>
          <w:color w:val="auto"/>
        </w:rPr>
        <w:t xml:space="preserve">, the Security Agreement shall constitute a fully perfected Lien on, and security interest in, all right, title and interest of the Borrower in such Collateral and the proceeds thereof, as security for the Obligations (as defined in the Security Agreement and including in any event the “Obligations” as defined herein), in each case prior and superior in right to any other Person (except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to the extent any such security interest may be perfected by the filing of a financing statement.</w:t>
      </w:r>
    </w:p>
    <w:p>
      <w:pPr>
        <w:spacing w:after="0" w:line="155"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Each Loan Party is, and after giving effect to the Loans and the incurrence of all Indebtedness and obligations being incurred in connection herewith will be and will continue to be, Solvent.</w:t>
      </w:r>
    </w:p>
    <w:p>
      <w:pPr>
        <w:spacing w:after="0" w:line="118"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u w:val="single" w:color="auto"/>
          <w:color w:val="auto"/>
        </w:rPr>
        <w:t>Patriot Act; Anti-Corruption Laws; Sanctions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54" w:lineRule="auto"/>
        <w:tabs>
          <w:tab w:leader="none" w:pos="166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and none of its Affiliates (other than Excluded Affiliates) and, to the knowledge of the Loan Parties, none of its Excluded Affiliates is in violation in any material respect of any Requirements of Law relating to terrorism or money laundering, trade sanctions programs and embargoes, import/export licensing, bribery, and any regulation, order, or directive promulgated, issued or enforced pursuant to such Requirements of Law, all as amended,</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18" w:name="page219"/>
    <w:bookmarkEnd w:id="218"/>
    <w:p>
      <w:pPr>
        <w:jc w:val="both"/>
        <w:spacing w:after="0" w:line="245" w:lineRule="auto"/>
        <w:rPr>
          <w:sz w:val="20"/>
          <w:szCs w:val="20"/>
          <w:color w:val="auto"/>
        </w:rPr>
      </w:pPr>
      <w:r>
        <w:rPr>
          <w:rFonts w:ascii="Times New Roman" w:cs="Times New Roman" w:eastAsia="Times New Roman" w:hAnsi="Times New Roman"/>
          <w:sz w:val="18"/>
          <w:szCs w:val="18"/>
          <w:color w:val="auto"/>
        </w:rPr>
        <w:t>supplemented or replaced from time to time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Anti-Corruption Laws, International Trade Laws, Executive Order No. 13224 on Terrorist Financing, effective September 24, 2001 (the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xml:space="preserve">”), the Bank Secrecy Act, 31 U.S.C. §5311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Uniting and Strengthening America by Providing Appropriate Tools Required to Intercept and Obstruct Terrorism Act of 2001, Public Law 107-56, the International Emergency Economic Powers Act, 50 U.S.C. 1701,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Trading with the Enemy Act, 50 U.S.C. App.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18 U.S.C. § 2332d, and 18 U.S.C. § 2339B and the laws administered by the United States Treasury Department’s Office of Foreign Asset Control, the U.K. Proceeds of Crime Act 2002, the Money Laundering Regulations 2017, as amended and the Terrorist Asset-Freezing etc. Act 2010 and any regulation, order or directive promulgated, issued or enforced pursuant to any such law (as any of the foregoing may from time to time be amended, renewed, extended, or replaced).</w:t>
      </w:r>
    </w:p>
    <w:p>
      <w:pPr>
        <w:spacing w:after="0" w:line="155" w:lineRule="exact"/>
        <w:rPr>
          <w:sz w:val="20"/>
          <w:szCs w:val="20"/>
          <w:color w:val="auto"/>
        </w:rPr>
      </w:pPr>
    </w:p>
    <w:p>
      <w:pPr>
        <w:jc w:val="both"/>
        <w:ind w:firstLine="1110"/>
        <w:spacing w:after="0" w:line="260" w:lineRule="auto"/>
        <w:tabs>
          <w:tab w:leader="none" w:pos="167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and no Affiliate (other than an Excluded Affiliate) or broker or other agent of any Loan Party acting or benefiting in any capacity in connection with the Revolving Extensions of Credit and, to the knowledge of the Loan Parties, no Excluded Affiliate is any of the following:</w:t>
      </w:r>
    </w:p>
    <w:p>
      <w:pPr>
        <w:spacing w:after="0" w:line="135" w:lineRule="exact"/>
        <w:rPr>
          <w:rFonts w:ascii="Times New Roman" w:cs="Times New Roman" w:eastAsia="Times New Roman" w:hAnsi="Times New Roman"/>
          <w:sz w:val="18"/>
          <w:szCs w:val="18"/>
          <w:color w:val="auto"/>
        </w:rPr>
      </w:pPr>
    </w:p>
    <w:p>
      <w:pPr>
        <w:ind w:left="560" w:firstLine="1105"/>
        <w:spacing w:after="0" w:line="280" w:lineRule="auto"/>
        <w:tabs>
          <w:tab w:leader="none" w:pos="223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Sanctioned Person or a person that is listed in the annex to, or is otherwise subject to the provisions of, the Executive Order;</w:t>
      </w:r>
    </w:p>
    <w:p>
      <w:pPr>
        <w:spacing w:after="0" w:line="117" w:lineRule="exact"/>
        <w:rPr>
          <w:rFonts w:ascii="Times New Roman" w:cs="Times New Roman" w:eastAsia="Times New Roman" w:hAnsi="Times New Roman"/>
          <w:sz w:val="18"/>
          <w:szCs w:val="18"/>
          <w:color w:val="auto"/>
        </w:rPr>
      </w:pPr>
    </w:p>
    <w:p>
      <w:pPr>
        <w:ind w:left="560" w:firstLine="1105"/>
        <w:spacing w:after="0" w:line="280" w:lineRule="auto"/>
        <w:tabs>
          <w:tab w:leader="none" w:pos="226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owned or controlled by, or acting for or on behalf of, any person that is listed in the annex to, or is otherwise subject to the provisions of, the Executive Order;</w:t>
      </w:r>
    </w:p>
    <w:p>
      <w:pPr>
        <w:spacing w:after="0" w:line="117" w:lineRule="exact"/>
        <w:rPr>
          <w:rFonts w:ascii="Times New Roman" w:cs="Times New Roman" w:eastAsia="Times New Roman" w:hAnsi="Times New Roman"/>
          <w:sz w:val="18"/>
          <w:szCs w:val="18"/>
          <w:color w:val="auto"/>
        </w:rPr>
      </w:pPr>
    </w:p>
    <w:p>
      <w:pPr>
        <w:ind w:left="560" w:firstLine="1105"/>
        <w:spacing w:after="0" w:line="280" w:lineRule="auto"/>
        <w:tabs>
          <w:tab w:leader="none" w:pos="228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which any Lender is prohibited from dealing or otherwise engaging in any transaction by any Anti-Terrorism Law;</w:t>
      </w:r>
    </w:p>
    <w:p>
      <w:pPr>
        <w:spacing w:after="0" w:line="117" w:lineRule="exact"/>
        <w:rPr>
          <w:rFonts w:ascii="Times New Roman" w:cs="Times New Roman" w:eastAsia="Times New Roman" w:hAnsi="Times New Roman"/>
          <w:sz w:val="18"/>
          <w:szCs w:val="18"/>
          <w:color w:val="auto"/>
        </w:rPr>
      </w:pPr>
    </w:p>
    <w:p>
      <w:pPr>
        <w:ind w:left="560" w:firstLine="1105"/>
        <w:spacing w:after="0" w:line="280" w:lineRule="auto"/>
        <w:tabs>
          <w:tab w:leader="none" w:pos="227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Loan Parties, a person that commits, threatens or conspires to commit or supports “terrorism” as defined in the Executive Order; or</w:t>
      </w:r>
    </w:p>
    <w:p>
      <w:pPr>
        <w:spacing w:after="0" w:line="117" w:lineRule="exact"/>
        <w:rPr>
          <w:rFonts w:ascii="Times New Roman" w:cs="Times New Roman" w:eastAsia="Times New Roman" w:hAnsi="Times New Roman"/>
          <w:sz w:val="18"/>
          <w:szCs w:val="18"/>
          <w:color w:val="auto"/>
        </w:rPr>
      </w:pPr>
    </w:p>
    <w:p>
      <w:pPr>
        <w:jc w:val="both"/>
        <w:ind w:left="560" w:firstLine="1105"/>
        <w:spacing w:after="0" w:line="260" w:lineRule="auto"/>
        <w:tabs>
          <w:tab w:leader="none" w:pos="223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w:t>
      </w:r>
    </w:p>
    <w:p>
      <w:pPr>
        <w:spacing w:after="0" w:line="135" w:lineRule="exact"/>
        <w:rPr>
          <w:rFonts w:ascii="Times New Roman" w:cs="Times New Roman" w:eastAsia="Times New Roman" w:hAnsi="Times New Roman"/>
          <w:sz w:val="18"/>
          <w:szCs w:val="18"/>
          <w:color w:val="auto"/>
        </w:rPr>
      </w:pPr>
    </w:p>
    <w:p>
      <w:pPr>
        <w:jc w:val="both"/>
        <w:ind w:firstLine="1110"/>
        <w:spacing w:after="0" w:line="248" w:lineRule="auto"/>
        <w:tabs>
          <w:tab w:leader="none" w:pos="16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and, to the knowledge of the Loan Parties, no broker or other agent of any Loan Party acting in any capacity in connection with the Loans (i) conducts any business or engages in making or receiving any contribution of funds, goods or services to or for the benefit of any person described in paragraph (b) above,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w:t>
      </w:r>
    </w:p>
    <w:p>
      <w:pPr>
        <w:spacing w:after="0" w:line="149"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implemented and maintains in effect policies and procedures reasonably designed to ensure compliance by the Borrower, its Subsidiaries and their respective directors, officers, employees and agents with Anti-Corruption Laws and applicable</w:t>
      </w: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19" w:name="page220"/>
    <w:bookmarkEnd w:id="219"/>
    <w:p>
      <w:pPr>
        <w:jc w:val="both"/>
        <w:spacing w:after="0" w:line="246" w:lineRule="auto"/>
        <w:rPr>
          <w:sz w:val="20"/>
          <w:szCs w:val="20"/>
          <w:color w:val="auto"/>
        </w:rPr>
      </w:pPr>
      <w:r>
        <w:rPr>
          <w:rFonts w:ascii="Times New Roman" w:cs="Times New Roman" w:eastAsia="Times New Roman" w:hAnsi="Times New Roman"/>
          <w:sz w:val="18"/>
          <w:szCs w:val="18"/>
          <w:color w:val="auto"/>
        </w:rPr>
        <w:t>Sanctions, and the Borrower and its Subsidiaries, and to the knowledge of the Borrower, their respective officers, employees, directors and agents, are in compliance with Anti-Corruption Laws and applicable Sanctions in all material respects and are not knowingly engaged in any activity that would reasonably be expected to result in the Borrower being designated as a Sanctioned Person.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51" w:lineRule="exact"/>
        <w:rPr>
          <w:sz w:val="20"/>
          <w:szCs w:val="20"/>
          <w:color w:val="auto"/>
        </w:rPr>
      </w:pPr>
    </w:p>
    <w:p>
      <w:pPr>
        <w:ind w:left="1660" w:hanging="550"/>
        <w:spacing w:after="0"/>
        <w:tabs>
          <w:tab w:leader="none" w:pos="1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Collateral is Blocked Property.</w:t>
      </w:r>
    </w:p>
    <w:p>
      <w:pPr>
        <w:spacing w:after="0" w:line="186" w:lineRule="exact"/>
        <w:rPr>
          <w:sz w:val="20"/>
          <w:szCs w:val="20"/>
          <w:color w:val="auto"/>
        </w:rPr>
      </w:pPr>
    </w:p>
    <w:p>
      <w:pPr>
        <w:jc w:val="both"/>
        <w:ind w:firstLine="554"/>
        <w:spacing w:after="0" w:line="267"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Pari Passu Obligations</w:t>
      </w:r>
      <w:r>
        <w:rPr>
          <w:rFonts w:ascii="Times New Roman" w:cs="Times New Roman" w:eastAsia="Times New Roman" w:hAnsi="Times New Roman"/>
          <w:sz w:val="18"/>
          <w:szCs w:val="18"/>
          <w:color w:val="auto"/>
        </w:rPr>
        <w:t xml:space="preserve">. The Loans rank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in right of payment with all other senior Indebtedness of the Borrower and at least pari passu as against the assets of the Borrower with all other secured Indebtedness of the Borrower.</w:t>
      </w:r>
    </w:p>
    <w:p>
      <w:pPr>
        <w:spacing w:after="0" w:line="348"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No Group Member is subject to regulation under federal or state law as a public utility except that (a) each of Peoples and Peoples Gas is subject to regulation under Pennsylvania law and by the Pennsylvania Public Utility Commission, (b) Peoples KY and Delta are subject to regulation by the Kentucky Public Service Commission,</w:t>
      </w:r>
    </w:p>
    <w:p>
      <w:pPr>
        <w:spacing w:after="0" w:line="2" w:lineRule="exact"/>
        <w:rPr>
          <w:sz w:val="20"/>
          <w:szCs w:val="20"/>
          <w:color w:val="auto"/>
        </w:rPr>
      </w:pPr>
    </w:p>
    <w:p>
      <w:pPr>
        <w:jc w:val="both"/>
        <w:ind w:firstLine="1"/>
        <w:spacing w:after="0" w:line="243" w:lineRule="auto"/>
        <w:tabs>
          <w:tab w:leader="none" w:pos="26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Peoples WV is subject to regulation by the Public Service Commission of West Virginia and (d) other Subsidiaries may be subject to regulation as public utilities under other federal or state laws disclosed by the Borrower to the Administrative Agent in writing from time to time pursuant to </w:t>
      </w:r>
      <w:r>
        <w:rPr>
          <w:rFonts w:ascii="Times New Roman" w:cs="Times New Roman" w:eastAsia="Times New Roman" w:hAnsi="Times New Roman"/>
          <w:sz w:val="18"/>
          <w:szCs w:val="18"/>
          <w:u w:val="single" w:color="auto"/>
          <w:color w:val="auto"/>
        </w:rPr>
        <w:t>Section 6.7(d)</w:t>
      </w:r>
      <w:r>
        <w:rPr>
          <w:rFonts w:ascii="Times New Roman" w:cs="Times New Roman" w:eastAsia="Times New Roman" w:hAnsi="Times New Roman"/>
          <w:sz w:val="18"/>
          <w:szCs w:val="18"/>
          <w:color w:val="auto"/>
        </w:rPr>
        <w:t>. The Borrower and its Subsidiaries have complied and are in compliance with (i) all applicable state utility laws, regulations and orders, and (ii) any other federal or state laws, regulations and orders applicable to them as public utilities or gas utilities, except in each case for instances of noncompliance that, individually and in the aggregate, have not had, and are not reasonably likely to have, a Material Adverse Effect.</w:t>
      </w:r>
    </w:p>
    <w:p>
      <w:pPr>
        <w:spacing w:after="0" w:line="153"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No Loan Party is an Affected Financial Institution.</w:t>
      </w:r>
    </w:p>
    <w:p>
      <w:pPr>
        <w:spacing w:after="0" w:line="186" w:lineRule="exact"/>
        <w:rPr>
          <w:sz w:val="20"/>
          <w:szCs w:val="20"/>
          <w:color w:val="auto"/>
        </w:rPr>
      </w:pPr>
    </w:p>
    <w:p>
      <w:pPr>
        <w:jc w:val="both"/>
        <w:ind w:firstLine="554"/>
        <w:spacing w:after="0" w:line="249"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xml:space="preserve">. If a Beneficial Ownership Certification is required to be delivered pursuant to </w:t>
      </w:r>
      <w:r>
        <w:rPr>
          <w:rFonts w:ascii="Times New Roman" w:cs="Times New Roman" w:eastAsia="Times New Roman" w:hAnsi="Times New Roman"/>
          <w:sz w:val="18"/>
          <w:szCs w:val="18"/>
          <w:u w:val="single" w:color="auto"/>
          <w:color w:val="auto"/>
        </w:rPr>
        <w:t>Section 5.1(g)</w:t>
      </w:r>
      <w:r>
        <w:rPr>
          <w:rFonts w:ascii="Times New Roman" w:cs="Times New Roman" w:eastAsia="Times New Roman" w:hAnsi="Times New Roman"/>
          <w:sz w:val="18"/>
          <w:szCs w:val="18"/>
          <w:color w:val="auto"/>
        </w:rPr>
        <w:t xml:space="preserve">, then, as of the Closing Date, to the best of the Borrower’s knowledge, the information set forth in such Beneficial Ownership Certification is true and correct in all respects. If a Beneficial Ownership Certification is required to be delivered pursuant to </w:t>
      </w:r>
      <w:r>
        <w:rPr>
          <w:rFonts w:ascii="Times New Roman" w:cs="Times New Roman" w:eastAsia="Times New Roman" w:hAnsi="Times New Roman"/>
          <w:sz w:val="18"/>
          <w:szCs w:val="18"/>
          <w:u w:val="single" w:color="auto"/>
          <w:color w:val="auto"/>
        </w:rPr>
        <w:t>Section 6.2(h)</w:t>
      </w:r>
      <w:r>
        <w:rPr>
          <w:rFonts w:ascii="Times New Roman" w:cs="Times New Roman" w:eastAsia="Times New Roman" w:hAnsi="Times New Roman"/>
          <w:sz w:val="18"/>
          <w:szCs w:val="18"/>
          <w:color w:val="auto"/>
        </w:rPr>
        <w:t>, then, as of the date of the delivery thereof, to the best of the Borrower’s knowledge, the information set forth in such Beneficial Ownership Certification is true and correct in all respects.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186"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Initial Extension of Credit</w:t>
      </w:r>
      <w:r>
        <w:rPr>
          <w:rFonts w:ascii="Times New Roman" w:cs="Times New Roman" w:eastAsia="Times New Roman" w:hAnsi="Times New Roman"/>
          <w:sz w:val="18"/>
          <w:szCs w:val="18"/>
          <w:color w:val="auto"/>
        </w:rPr>
        <w:t>. The effectiveness of this Agreement and the agreement of each Lender to make extensions of credit on the Closing Date is subject to the satisfaction or waiver, prior to or on the Closing Date, of the following conditions precedent:</w:t>
      </w:r>
    </w:p>
    <w:p>
      <w:pPr>
        <w:spacing w:after="0" w:line="136" w:lineRule="exact"/>
        <w:rPr>
          <w:sz w:val="20"/>
          <w:szCs w:val="20"/>
          <w:color w:val="auto"/>
        </w:rPr>
      </w:pPr>
    </w:p>
    <w:p>
      <w:pPr>
        <w:ind w:firstLine="1110"/>
        <w:spacing w:after="0" w:line="280" w:lineRule="auto"/>
        <w:tabs>
          <w:tab w:leader="none" w:pos="166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Agreements</w:t>
      </w:r>
      <w:r>
        <w:rPr>
          <w:rFonts w:ascii="Times New Roman" w:cs="Times New Roman" w:eastAsia="Times New Roman" w:hAnsi="Times New Roman"/>
          <w:sz w:val="18"/>
          <w:szCs w:val="18"/>
          <w:color w:val="auto"/>
        </w:rPr>
        <w:t>. The Administrative Agent shall have received executed copies of (i) the Security Agreement, (ii) the Intercreditor Agreement, (iii) the Joinder to</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20" w:name="page221"/>
    <w:bookmarkEnd w:id="220"/>
    <w:p>
      <w:pPr>
        <w:spacing w:after="0" w:line="280" w:lineRule="auto"/>
        <w:rPr>
          <w:sz w:val="20"/>
          <w:szCs w:val="20"/>
          <w:color w:val="auto"/>
        </w:rPr>
      </w:pPr>
      <w:r>
        <w:rPr>
          <w:rFonts w:ascii="Times New Roman" w:cs="Times New Roman" w:eastAsia="Times New Roman" w:hAnsi="Times New Roman"/>
          <w:sz w:val="18"/>
          <w:szCs w:val="18"/>
          <w:color w:val="auto"/>
        </w:rPr>
        <w:t>Intercreditor Agreement (including the Joinder and Reaffirmation of Joinder to Intercreditor Agreement dated as of the date hereof (Administrative Agent)) and (iv) Notes, if any, requested by the Lenders two days prior to the Closing Date.</w:t>
      </w:r>
    </w:p>
    <w:p>
      <w:pPr>
        <w:spacing w:after="0" w:line="118" w:lineRule="exact"/>
        <w:rPr>
          <w:sz w:val="20"/>
          <w:szCs w:val="20"/>
          <w:color w:val="auto"/>
        </w:rPr>
      </w:pPr>
    </w:p>
    <w:p>
      <w:pPr>
        <w:jc w:val="both"/>
        <w:ind w:firstLine="1110"/>
        <w:spacing w:after="0" w:line="254" w:lineRule="auto"/>
        <w:tabs>
          <w:tab w:leader="none" w:pos="167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Administrative Agent and Lead Arranger shall have received from the Borrower all fees required to be paid, and all expenses for which invoices have been received at least two Business Days prior to the Closing Date (including the reasonable fees and expenses of legal counsel), on or before the Closing Date. All such amounts will be paid on or prior to the Closing Date.</w:t>
      </w:r>
    </w:p>
    <w:p>
      <w:pPr>
        <w:spacing w:after="0" w:line="140"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6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and Third Party Approvals</w:t>
      </w:r>
      <w:r>
        <w:rPr>
          <w:rFonts w:ascii="Times New Roman" w:cs="Times New Roman" w:eastAsia="Times New Roman" w:hAnsi="Times New Roman"/>
          <w:sz w:val="18"/>
          <w:szCs w:val="18"/>
          <w:color w:val="auto"/>
        </w:rPr>
        <w:t>. All governmental and third party approvals necessary in connection with the financing contemplated hereby and the continuing operations of the Borrower and its Subsidiaries shall have been obtained and be in full force and effect.</w:t>
      </w:r>
    </w:p>
    <w:p>
      <w:pPr>
        <w:spacing w:after="0" w:line="135"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Lenders and the Administrative Agent shall have received the Financials referenced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1110"/>
        <w:spacing w:after="0" w:line="250" w:lineRule="auto"/>
        <w:tabs>
          <w:tab w:leader="none" w:pos="166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 Certified Certificate of Incorporation; Good Standing Certificates</w:t>
      </w:r>
      <w:r>
        <w:rPr>
          <w:rFonts w:ascii="Times New Roman" w:cs="Times New Roman" w:eastAsia="Times New Roman" w:hAnsi="Times New Roman"/>
          <w:sz w:val="18"/>
          <w:szCs w:val="18"/>
          <w:color w:val="auto"/>
        </w:rPr>
        <w:t xml:space="preserve">. The Administrative Agent shall have received (i) a certificate of the Borrower, dated the Closing Date,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appropriate insertions and attachments, including the certificate of formation of the Borrower certified by the relevant authority of the jurisdiction of organization of the Borrower and (ii) a long form good standing certificate for each of the Borrower and each Significant Subsidiary from its jurisdiction of organization.</w:t>
      </w:r>
    </w:p>
    <w:p>
      <w:pPr>
        <w:spacing w:after="0" w:line="146"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xml:space="preserve">. The Administrative Agent shall have received the executed legal opinion of O’Melveny &amp; Myers LLP in form and substance reasonably satisfactory to the Administrative Agent,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jc w:val="both"/>
        <w:ind w:firstLine="1110"/>
        <w:spacing w:after="0" w:line="251" w:lineRule="auto"/>
        <w:tabs>
          <w:tab w:leader="none" w:pos="167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Documentation</w:t>
      </w:r>
      <w:r>
        <w:rPr>
          <w:rFonts w:ascii="Times New Roman" w:cs="Times New Roman" w:eastAsia="Times New Roman" w:hAnsi="Times New Roman"/>
          <w:sz w:val="18"/>
          <w:szCs w:val="18"/>
          <w:color w:val="auto"/>
        </w:rPr>
        <w:t>. The Administrative Agent and each Lender shall have received, to the extent the Borrower qualifies as a “legal entity customer” under the Beneficial Ownership Regulation, an executed Beneficial Ownership Certification, and such other documentation and other information reasonably requested to comply with Anti-Terrorism and Anti-Corruption Laws (including any “know your customer” and anti-money laundering documentation).</w:t>
      </w:r>
    </w:p>
    <w:p>
      <w:pPr>
        <w:spacing w:after="0" w:line="358"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firstLine="1110"/>
        <w:spacing w:after="0" w:line="280" w:lineRule="auto"/>
        <w:tabs>
          <w:tab w:leader="none" w:pos="167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state-level lien searches with respect to the Borrower in its jurisdiction of organization and with results reasonably acceptable to the Administrative Agent.</w:t>
      </w:r>
    </w:p>
    <w:p>
      <w:pPr>
        <w:spacing w:after="0" w:line="117"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6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Priority Security Interest</w:t>
      </w:r>
      <w:r>
        <w:rPr>
          <w:rFonts w:ascii="Times New Roman" w:cs="Times New Roman" w:eastAsia="Times New Roman" w:hAnsi="Times New Roman"/>
          <w:sz w:val="18"/>
          <w:szCs w:val="18"/>
          <w:color w:val="auto"/>
        </w:rPr>
        <w:t>. All documents and instruments, including Uniform Commercial Code financing statements, required by law or reasonably requested by the Collateral Agent to be filed, registered or recorded to create the Liens intended to be created by the Security Documents and to perfect such Liens to the extent required by, and with the priority</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21" w:name="page222"/>
    <w:bookmarkEnd w:id="221"/>
    <w:p>
      <w:pPr>
        <w:spacing w:after="0" w:line="260" w:lineRule="auto"/>
        <w:rPr>
          <w:sz w:val="20"/>
          <w:szCs w:val="20"/>
          <w:color w:val="auto"/>
        </w:rPr>
      </w:pPr>
      <w:r>
        <w:rPr>
          <w:rFonts w:ascii="Times New Roman" w:cs="Times New Roman" w:eastAsia="Times New Roman" w:hAnsi="Times New Roman"/>
          <w:sz w:val="18"/>
          <w:szCs w:val="18"/>
          <w:color w:val="auto"/>
        </w:rPr>
        <w:t>required by, the Security Documents, shall have been executed or authorized, as applicable, and be in proper form for filing.</w:t>
      </w:r>
    </w:p>
    <w:p>
      <w:pPr>
        <w:spacing w:after="0" w:line="376" w:lineRule="exact"/>
        <w:rPr>
          <w:sz w:val="20"/>
          <w:szCs w:val="20"/>
          <w:color w:val="auto"/>
        </w:rPr>
      </w:pPr>
    </w:p>
    <w:p>
      <w:pPr>
        <w:ind w:left="1680" w:hanging="570"/>
        <w:spacing w:after="0"/>
        <w:tabs>
          <w:tab w:leader="none" w:pos="16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Items</w:t>
      </w:r>
      <w:r>
        <w:rPr>
          <w:rFonts w:ascii="Times New Roman" w:cs="Times New Roman" w:eastAsia="Times New Roman" w:hAnsi="Times New Roman"/>
          <w:sz w:val="18"/>
          <w:szCs w:val="18"/>
          <w:color w:val="auto"/>
        </w:rPr>
        <w:t>. To the extent not previously delivered, the Collateral Agent shall have received</w:t>
      </w:r>
    </w:p>
    <w:p>
      <w:pPr>
        <w:spacing w:after="0" w:line="20" w:lineRule="exact"/>
        <w:rPr>
          <w:rFonts w:ascii="Times New Roman" w:cs="Times New Roman" w:eastAsia="Times New Roman" w:hAnsi="Times New Roman"/>
          <w:sz w:val="18"/>
          <w:szCs w:val="18"/>
          <w:color w:val="auto"/>
        </w:rPr>
      </w:pPr>
    </w:p>
    <w:p>
      <w:pPr>
        <w:jc w:val="both"/>
        <w:ind w:firstLine="1"/>
        <w:spacing w:after="0" w:line="244" w:lineRule="auto"/>
        <w:tabs>
          <w:tab w:leader="none" w:pos="22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or other instruments representing the issued and outstanding Capital Stock of each Subsidiary directly owned by the Borrower or any other Loan Party pledged pursuant to the Security Agreement, together with stock powers or other instruments of transfer with respect thereto endorsed in blank and (ii) each promissory note pledged and required to be delivered to the Collateral Agent pursuant to the Security Agreement, together with note powers or other instruments of transfer with respect thereto endorsed in blank, in each case, subject to the terms of the Intercreditor Agreement.</w:t>
      </w:r>
    </w:p>
    <w:p>
      <w:pPr>
        <w:spacing w:after="0" w:line="360"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7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Administrative Agent shall have received insurance certificates satisfying the requirements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Security Agreement and evidencing that all necessary insurance is in place or will be in effect by the Closing Date, so long as such insurance is reasonably available in the commercial insurance market and typically maintained by similarly situated companies in the same industry.</w:t>
      </w:r>
    </w:p>
    <w:p>
      <w:pPr>
        <w:spacing w:after="0" w:line="140" w:lineRule="exact"/>
        <w:rPr>
          <w:rFonts w:ascii="Times New Roman" w:cs="Times New Roman" w:eastAsia="Times New Roman" w:hAnsi="Times New Roman"/>
          <w:sz w:val="18"/>
          <w:szCs w:val="18"/>
          <w:color w:val="auto"/>
        </w:rPr>
      </w:pPr>
    </w:p>
    <w:p>
      <w:pPr>
        <w:jc w:val="both"/>
        <w:ind w:firstLine="1110"/>
        <w:spacing w:after="0" w:line="248" w:lineRule="auto"/>
        <w:tabs>
          <w:tab w:leader="none" w:pos="169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any Loan Party in or pursuant to the Loan Documents shall be true and correct in all material respects (it being understood that the materiality qualifier shall not be applicable with respect to any clause of any representation or warranty which itself contains a materiality qualification) on and as of such date as if made on and as of such date (except representations and warranties which relate solely to an earlier date or time, which representations and warranties shall be true and correct in all material respects (or all respects, as applicable) on and as of the specific dates or times referred to therein).</w:t>
      </w:r>
    </w:p>
    <w:p>
      <w:pPr>
        <w:spacing w:after="0" w:line="149"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the purpose of determining compliance with the conditions specified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each Lender that has signed this Agreement shall be deemed to have accepted, and to be satisfied with, each document or other matter required under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unless the Administrative Agent shall have received written notice from such Lender prior to the proposed Closing Date specifying its objection thereto.</w:t>
      </w:r>
    </w:p>
    <w:p>
      <w:pPr>
        <w:spacing w:after="0" w:line="140"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extension of credit in respect of Loans, other than conversions and continuations of Loans, requested to be made by it on any date (including its initial extension of credit) is subject to the satisfaction of the following conditions precedent:</w:t>
      </w:r>
    </w:p>
    <w:p>
      <w:pPr>
        <w:spacing w:after="0" w:line="136" w:lineRule="exact"/>
        <w:rPr>
          <w:sz w:val="20"/>
          <w:szCs w:val="20"/>
          <w:color w:val="auto"/>
        </w:rPr>
      </w:pPr>
    </w:p>
    <w:p>
      <w:pPr>
        <w:jc w:val="both"/>
        <w:ind w:firstLine="1110"/>
        <w:spacing w:after="0" w:line="250" w:lineRule="auto"/>
        <w:tabs>
          <w:tab w:leader="none" w:pos="166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any Loan Party in or pursuant to the Loan Documents shall be true and correct in all material respects (it being understood that the materiality qualifier shall not be applicable with respect to any clause of any representation or warranty which itself contains a materiality qualification) on and as of such date as if made on and as of such date (except representations and warranties which relate solely to an earlier date or time, which representations and warranties shall</w:t>
      </w: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22" w:name="page223"/>
    <w:bookmarkEnd w:id="222"/>
    <w:p>
      <w:pPr>
        <w:spacing w:after="0" w:line="280" w:lineRule="auto"/>
        <w:rPr>
          <w:sz w:val="20"/>
          <w:szCs w:val="20"/>
          <w:color w:val="auto"/>
        </w:rPr>
      </w:pPr>
      <w:r>
        <w:rPr>
          <w:rFonts w:ascii="Times New Roman" w:cs="Times New Roman" w:eastAsia="Times New Roman" w:hAnsi="Times New Roman"/>
          <w:sz w:val="18"/>
          <w:szCs w:val="18"/>
          <w:color w:val="auto"/>
        </w:rPr>
        <w:t>be true and correct in all material respects (or all respects, as applicable) on and as of the specific dates or times referred to therein).</w:t>
      </w:r>
    </w:p>
    <w:p>
      <w:pPr>
        <w:spacing w:after="0" w:line="118" w:lineRule="exact"/>
        <w:rPr>
          <w:sz w:val="20"/>
          <w:szCs w:val="20"/>
          <w:color w:val="auto"/>
        </w:rPr>
      </w:pPr>
    </w:p>
    <w:p>
      <w:pPr>
        <w:ind w:firstLine="1110"/>
        <w:spacing w:after="0" w:line="280" w:lineRule="auto"/>
        <w:tabs>
          <w:tab w:leader="none" w:pos="167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 on such date or immediately after giving effect to the extensions of credit requested to be made on such date.</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Each borrowing by the Borrower hereunder shall constitute a representation and warranty by the Borrower as of the date of such extension of credit that the conditions contained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have been satisfied.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AFFIRMATIVE COVENANTS</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The Borrower hereby agrees that, until all Obligations have been paid in full (other than contingent indemnification obligations that are not yet due and payable) and the Revolving Commitments have been terminated, the Borrower shall and shall cause each of its Subsidiaries to:</w:t>
      </w:r>
    </w:p>
    <w:p>
      <w:pPr>
        <w:spacing w:after="0" w:line="136"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the Administrative Agent and each Lender:</w:t>
      </w:r>
    </w:p>
    <w:p>
      <w:pPr>
        <w:spacing w:after="0" w:line="186" w:lineRule="exact"/>
        <w:rPr>
          <w:sz w:val="20"/>
          <w:szCs w:val="20"/>
          <w:color w:val="auto"/>
        </w:rPr>
      </w:pPr>
    </w:p>
    <w:p>
      <w:pPr>
        <w:jc w:val="both"/>
        <w:ind w:firstLine="1110"/>
        <w:spacing w:after="0" w:line="245" w:lineRule="auto"/>
        <w:tabs>
          <w:tab w:leader="none" w:pos="166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120 days after the end of each fiscal year of the Borrower, its audited consolidated balance sheet and related consolidated statements of net income, comprehensive income, equity and cash flows as of the end of and for such fiscal year, setting forth in each case in comparative form the figures for the prior fiscal year, all audited by and accompanied by the opinion of PricewaterhouseCoopers LLP or another independent registered public accounting firm of recognized national standing (without a “going concern” or like qualification, exception or emphasis (other than any qualification, exception or emphasis with respect to or resulting from an upcoming scheduled final maturity of any Indebtedness or associated with a financial covenant) and without any qualification, exception or emphasis as to the scope of such audit) to the effect that such financial statements present fairly, in all material respects, the financial position, results of operations and cash flows of the Borrower and its consolidated Subsidiaries on a consolidated basis as of the end of and for such year in accordance with GAAP; and</w:t>
      </w:r>
    </w:p>
    <w:p>
      <w:pPr>
        <w:spacing w:after="0" w:line="151" w:lineRule="exact"/>
        <w:rPr>
          <w:rFonts w:ascii="Times New Roman" w:cs="Times New Roman" w:eastAsia="Times New Roman" w:hAnsi="Times New Roman"/>
          <w:sz w:val="18"/>
          <w:szCs w:val="18"/>
          <w:color w:val="auto"/>
        </w:rPr>
      </w:pPr>
    </w:p>
    <w:p>
      <w:pPr>
        <w:jc w:val="both"/>
        <w:ind w:firstLine="1110"/>
        <w:spacing w:after="0" w:line="245" w:lineRule="auto"/>
        <w:tabs>
          <w:tab w:leader="none" w:pos="167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not later than 60 days after the end of each of the first three quarterly periods of each fiscal year of the Borrower (commencing with the fiscal quarter ending June 30, 2025), its unaudited consolidated balance sheet as of the end of such fiscal quarter, the related unaudited consolidated statements of net income, comprehensive income and equity for such fiscal quarter and the then elapsed portion of the fiscal year and the related statements of cash flows for the then elapsed portion of the fiscal year, in each case setting forth in comparative form the figures for (or, in the case of the balance sheet, as of the end of) the corresponding period or periods of the prior fiscal year, all certified by a Responsible Officer of the Borrower as presenting fairly, in all material respects, the financial position, results of operations and cash flows of the Borrower and its consolidated Subsidiaries on a consolidated basis as of the end of and for such fiscal quarter and such portion of the fiscal year in accordance with GAAP, subject to normal year-end audit adjustments and the absence of certain footnotes.</w:t>
      </w:r>
    </w:p>
    <w:p>
      <w:pPr>
        <w:spacing w:after="0" w:line="3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23" w:name="page224"/>
    <w:bookmarkEnd w:id="223"/>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All such financial statements shall be complete and correct in all material respects and shall be prepared in reasonable detail and in accordance with GAAP (in the case of quarterly financial statements, subject to normal year-end audit adjustments and the absence of footnotes) applied (except as approved by such accountants or officer, as the case may be, and disclosed in reasonable detail therein) consistently throughout the periods reflected therein and with prior periods.</w:t>
      </w:r>
    </w:p>
    <w:p>
      <w:pPr>
        <w:spacing w:after="0" w:line="359"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Each Lender acknowledges that all information, including requests for waivers and amendments, furnished by the Borrower or the Administrative Agent pursuant to or in connection with, or in the course of administering, this Agreement will be syndicate-level information, which may contain MNPI. Each Lender represents to the Borrower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United States (federal or state) and foreign securities laws.</w:t>
      </w:r>
    </w:p>
    <w:p>
      <w:pPr>
        <w:spacing w:after="0" w:line="151"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The Borrower and each Lender acknowledge that, if information furnished by or on behalf of the Borrower pursuant to or in connection with this Agreement is being distributed by the Administrative Agent through Debt Domain, IntraLinks, SyndTrak or a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(i) the Administrative Agent may post any information that the Borrower has indicated as containing MNPI solely on that portion of the Platform designated for Private Side Lender Representatives and (ii) if the Borrower has not indicated whether any information furnished by it pursuant to or in connection with this Agreement contains MNPI, the Administrative Agent reserves the right to post such information solely on that portion of the Platform designated for Private Side Lender Representatives. The Administrative Agent shall be entitled to rely on any designation by the Borrower that information is suitable to be made available to Public Side Lender Representatives without liability or responsibility for the independent verification thereof.</w:t>
      </w:r>
    </w:p>
    <w:p>
      <w:pPr>
        <w:spacing w:after="0" w:line="155"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The Borrower hereby authorizes the Administrative Agent to distribute this Agreement and the Loan Documents to all Lenders, including their Public Side Lender Representatives, and represents and warrants that none of the information contained in the Loan Documents constitutes or contains MNPI. The Borrower acknowledges its understanding that Lenders, including their Public Side Lender Representatives, may be trading in securities of the Borrower or its Affiliates while in possession of the Loan Documents.</w:t>
      </w:r>
    </w:p>
    <w:p>
      <w:pPr>
        <w:spacing w:after="0" w:line="146"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Furnish to the Administrative Agent and each Lender (or, in the case of clause (i) below, to the relevant Lender):</w:t>
      </w:r>
    </w:p>
    <w:p>
      <w:pPr>
        <w:spacing w:after="0" w:line="118" w:lineRule="exact"/>
        <w:rPr>
          <w:sz w:val="20"/>
          <w:szCs w:val="20"/>
          <w:color w:val="auto"/>
        </w:rPr>
      </w:pPr>
    </w:p>
    <w:p>
      <w:pPr>
        <w:jc w:val="both"/>
        <w:ind w:firstLine="1110"/>
        <w:spacing w:after="0" w:line="247" w:lineRule="auto"/>
        <w:tabs>
          <w:tab w:leader="none" w:pos="166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annual financial statements, a Compliance Certificate containing reasonably detailed information and calculations</w:t>
      </w: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24" w:name="page225"/>
    <w:bookmarkEnd w:id="224"/>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necessary for determining compliance with each of the financial covenants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as of the last day of the fiscal year of the Borrower;</w:t>
      </w:r>
    </w:p>
    <w:p>
      <w:pPr>
        <w:spacing w:after="0" w:line="118"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18"/>
          <w:szCs w:val="18"/>
          <w:color w:val="auto"/>
        </w:rPr>
        <w:t xml:space="preserve">(b) concurrently with the delivery of the financial statements referred to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(commencing with the fiscal quarter ending June 30, 2025),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quarterly financial statements, a Compliance Certificate containing reasonably detailed information and calculations necessary for determining compliance with each of the financial covenants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as of the last day of such fiscal period of the Borrower;</w:t>
      </w:r>
    </w:p>
    <w:p>
      <w:pPr>
        <w:spacing w:after="0" w:line="359" w:lineRule="exact"/>
        <w:rPr>
          <w:sz w:val="20"/>
          <w:szCs w:val="20"/>
          <w:color w:val="auto"/>
        </w:rPr>
      </w:pPr>
    </w:p>
    <w:p>
      <w:pPr>
        <w:ind w:firstLine="1110"/>
        <w:spacing w:after="0" w:line="280" w:lineRule="auto"/>
        <w:tabs>
          <w:tab w:leader="none" w:pos="166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February 15 of each fiscal year, a budgeted balance sheet, income statement and statement of cash flow of the Borrower and its Subsidiaries for the current fiscal year;</w:t>
      </w:r>
    </w:p>
    <w:p>
      <w:pPr>
        <w:spacing w:after="0" w:line="117"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7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after the same are sent, copies of all financial statements and reports that any Group Member sends to the holders of any class of its debt securities or, to the extent applicable, its public equity securities and, to the extent applicable, within five (5) days after the same are filed, copies of all financial statements and reports that any Group Member may make to, or file with, the SEC;</w:t>
      </w:r>
    </w:p>
    <w:p>
      <w:pPr>
        <w:spacing w:after="0" w:line="140" w:lineRule="exact"/>
        <w:rPr>
          <w:rFonts w:ascii="Times New Roman" w:cs="Times New Roman" w:eastAsia="Times New Roman" w:hAnsi="Times New Roman"/>
          <w:sz w:val="18"/>
          <w:szCs w:val="18"/>
          <w:color w:val="auto"/>
        </w:rPr>
      </w:pPr>
    </w:p>
    <w:p>
      <w:pPr>
        <w:ind w:left="1660" w:hanging="550"/>
        <w:spacing w:after="0"/>
        <w:tabs>
          <w:tab w:leader="none" w:pos="1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5"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thereof, any writing from a Rating Agency that such Rating Agency (i) will take public action with respect to the rating of the Senior Notes or (ii) will no longer, or intends to no longer, rate the Senior Notes;</w:t>
      </w:r>
    </w:p>
    <w:p>
      <w:pPr>
        <w:spacing w:after="0" w:line="135"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five (5) Business Days after the effectiveness thereof, copies of any amendment, supplement, waiver or other modification to the Senior Notes Documentation;</w:t>
      </w:r>
    </w:p>
    <w:p>
      <w:pPr>
        <w:spacing w:after="0" w:line="117"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request therefor, such information and documentation reasonably requested by the Administrative Agent or any Lender for purposes of compliance with applicable “know your customer” requirements under the Patriot Act, the Beneficial Ownership Regulation or other applicable Anti-Money Laundering Laws; and</w:t>
      </w:r>
    </w:p>
    <w:p>
      <w:pPr>
        <w:spacing w:after="0" w:line="135" w:lineRule="exact"/>
        <w:rPr>
          <w:rFonts w:ascii="Times New Roman" w:cs="Times New Roman" w:eastAsia="Times New Roman" w:hAnsi="Times New Roman"/>
          <w:sz w:val="18"/>
          <w:szCs w:val="18"/>
          <w:color w:val="auto"/>
        </w:rPr>
      </w:pPr>
    </w:p>
    <w:p>
      <w:pPr>
        <w:ind w:firstLine="1110"/>
        <w:spacing w:after="0" w:line="280" w:lineRule="auto"/>
        <w:tabs>
          <w:tab w:leader="none" w:pos="167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request, such additional financial and other information which is reasonably available to the Borrower or its Subsidiaries as any Lender may from time to time reasonably request.</w:t>
      </w:r>
    </w:p>
    <w:p>
      <w:pPr>
        <w:spacing w:after="0" w:line="118"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discharge or otherwise satisfy before they become delinquent or in default, as the case may be, all Taxes, except where (a) the amount or validity thereof is currently being contested in good faith by appropriate proceedings and reserves in conformity with GAAP with respect thereto have been provided on the books of the relevant Group</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25" w:name="page226"/>
    <w:bookmarkEnd w:id="225"/>
    <w:p>
      <w:pPr>
        <w:jc w:val="both"/>
        <w:spacing w:after="0" w:line="280" w:lineRule="auto"/>
        <w:rPr>
          <w:sz w:val="20"/>
          <w:szCs w:val="20"/>
          <w:color w:val="auto"/>
        </w:rPr>
      </w:pPr>
      <w:r>
        <w:rPr>
          <w:rFonts w:ascii="Times New Roman" w:cs="Times New Roman" w:eastAsia="Times New Roman" w:hAnsi="Times New Roman"/>
          <w:sz w:val="18"/>
          <w:szCs w:val="18"/>
          <w:color w:val="auto"/>
        </w:rPr>
        <w:t>Member or (b) the failure to make payment could not, individually or in the aggregate, reasonably be expected to result in a Material Adverse Effect.</w:t>
      </w:r>
    </w:p>
    <w:p>
      <w:pPr>
        <w:spacing w:after="0" w:line="118"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Existence; Compliance</w:t>
      </w:r>
      <w:r>
        <w:rPr>
          <w:rFonts w:ascii="Times New Roman" w:cs="Times New Roman" w:eastAsia="Times New Roman" w:hAnsi="Times New Roman"/>
          <w:sz w:val="18"/>
          <w:szCs w:val="18"/>
          <w:color w:val="auto"/>
        </w:rPr>
        <w:t xml:space="preserve">. (a)(i) Preserve, renew and keep in full force and effect its organizational existence and (ii) take all reasonable action to maintain all rights, privileges and franchises necessary or desirable in the normal conduct of its business, except, in each case, as otherwise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and except, other than in the case of clause (i) above with respect to the Borrower or any Significant Subsidiary, to the extent that failure to do so could not, individually or in the aggregate, reasonably be expected to have a Material Adverse Effect and</w:t>
      </w:r>
    </w:p>
    <w:p>
      <w:pPr>
        <w:spacing w:after="0" w:line="3" w:lineRule="exact"/>
        <w:rPr>
          <w:sz w:val="20"/>
          <w:szCs w:val="20"/>
          <w:color w:val="auto"/>
        </w:rPr>
      </w:pPr>
    </w:p>
    <w:p>
      <w:pPr>
        <w:ind w:firstLine="1"/>
        <w:spacing w:after="0" w:line="256" w:lineRule="auto"/>
        <w:tabs>
          <w:tab w:leader="none" w:pos="26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Requirements of Law except to the extent that failure to comply therewith could not, individually or in the aggregate, reasonably be expected to have a Material Adverse Effect.</w:t>
      </w:r>
    </w:p>
    <w:p>
      <w:pPr>
        <w:spacing w:after="0" w:line="13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(a) Keep all property useful and necessary in its business in good working order and condition, ordinary wear and tear and casualty and condemnation excepted, except in each case where the failure to take any such actions, individually or in the aggregate, could not reasonably be expected to result in a Material Adverse Effect and (b) maintain with financially sound and reputable insurance companies insurance on all its property in at least such amounts, with such deductibles and against at least such risks as are usually insured against in the same general area by companies engaged in the same or a similar business.</w:t>
      </w:r>
    </w:p>
    <w:p>
      <w:pPr>
        <w:spacing w:after="0" w:line="149"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xml:space="preserve">. (a) Keep proper books of records and account in which full, true and correct entries in conformity with GAAP and all Requirements of Law shall be made of all material dealings and transactions in relation to its business and activities and (b) permit representatives of the Administrative Agent, and any agent designated by the Administrative Agent,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and employees of the Group Members and with their independent certified public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not exercise such rights more often than once during any calendar year (it being understood that any expenses incurred by the Administrative Agent in connection therewith shall be subject to reimbursement by the Borrower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when an Event of Default exists, the Administrative Agent (or any of its agents) may do any of the foregoing (at the expense of the Borrower) at any time during normal business hours and upon reasonable advance notice. Notwithstanding anything to the contrary in this Section, neither the Borrower nor any Subsidiary shall be required to disclose, permit the inspection, examination of, or discussion of, any document, information or other matter that (i) constitutes non-financial trade secrets or non-financial proprietary information, (ii) in respect of which disclosure to the Administrative Agent (or its agents) is prohibited by applicable law or any binding confidentiality agreement between the Borrower or any Subsidiary and a Person that is not the Borrower or any Subsidiary not entered into in contemplation of preventing such disclosure, inspection, examination or discussion or (iii) is subject to attorney-client or similar privilege or constitutes attorney work-product.</w:t>
      </w: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26" w:name="page227"/>
    <w:bookmarkEnd w:id="226"/>
    <w:p>
      <w:pPr>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obtaining actual knowledge thereof give notice to the Administrative Agent and each Lender of:</w:t>
      </w:r>
    </w:p>
    <w:p>
      <w:pPr>
        <w:spacing w:after="0" w:line="118" w:lineRule="exact"/>
        <w:rPr>
          <w:sz w:val="20"/>
          <w:szCs w:val="20"/>
          <w:color w:val="auto"/>
        </w:rPr>
      </w:pPr>
    </w:p>
    <w:p>
      <w:pPr>
        <w:ind w:left="1660" w:hanging="550"/>
        <w:spacing w:after="0"/>
        <w:tabs>
          <w:tab w:leader="none" w:pos="1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continuing Default;</w:t>
      </w:r>
    </w:p>
    <w:p>
      <w:pPr>
        <w:spacing w:after="0" w:line="185"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investigations or proceedings that may, if adversely decided, reasonably be expected to have a Material Adverse Effect;</w:t>
      </w:r>
    </w:p>
    <w:p>
      <w:pPr>
        <w:spacing w:after="0" w:line="117" w:lineRule="exact"/>
        <w:rPr>
          <w:rFonts w:ascii="Times New Roman" w:cs="Times New Roman" w:eastAsia="Times New Roman" w:hAnsi="Times New Roman"/>
          <w:sz w:val="18"/>
          <w:szCs w:val="18"/>
          <w:color w:val="auto"/>
        </w:rPr>
      </w:pPr>
    </w:p>
    <w:p>
      <w:pPr>
        <w:ind w:firstLine="1110"/>
        <w:spacing w:after="0" w:line="280" w:lineRule="auto"/>
        <w:tabs>
          <w:tab w:leader="none" w:pos="166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a Material Adverse Effect;</w:t>
      </w:r>
    </w:p>
    <w:p>
      <w:pPr>
        <w:spacing w:after="0" w:line="117"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Group Member becoming subject to regulation under federal or state law as a public utility;</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65" w:lineRule="exact"/>
        <w:rPr>
          <w:rFonts w:ascii="Times New Roman" w:cs="Times New Roman" w:eastAsia="Times New Roman" w:hAnsi="Times New Roman"/>
          <w:sz w:val="18"/>
          <w:szCs w:val="18"/>
          <w:color w:val="auto"/>
        </w:rPr>
      </w:pPr>
    </w:p>
    <w:p>
      <w:pPr>
        <w:ind w:left="1660" w:hanging="550"/>
        <w:spacing w:after="0"/>
        <w:tabs>
          <w:tab w:leader="none" w:pos="1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or event that has had or could reasonably be expected to have a Material Adverse</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6.7(d)</w:t>
      </w:r>
      <w:r>
        <w:rPr>
          <w:rFonts w:ascii="Times New Roman" w:cs="Times New Roman" w:eastAsia="Times New Roman" w:hAnsi="Times New Roman"/>
          <w:sz w:val="18"/>
          <w:szCs w:val="18"/>
          <w:color w:val="auto"/>
        </w:rPr>
        <w:t>) shall be accompanied by a statement of a Responsible Officer setting forth details of the occurrence referred to therein and stating what action the relevant Group Member proposes to take with respect thereto.</w:t>
      </w:r>
    </w:p>
    <w:p>
      <w:pPr>
        <w:spacing w:after="0" w:line="136"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could not, in the aggregate, reasonably be expected to have a Material Adverse Effect:</w:t>
      </w:r>
    </w:p>
    <w:p>
      <w:pPr>
        <w:spacing w:after="0" w:line="118" w:lineRule="exact"/>
        <w:rPr>
          <w:sz w:val="20"/>
          <w:szCs w:val="20"/>
          <w:color w:val="auto"/>
        </w:rPr>
      </w:pPr>
    </w:p>
    <w:p>
      <w:pPr>
        <w:jc w:val="both"/>
        <w:ind w:firstLine="1110"/>
        <w:spacing w:after="0" w:line="254" w:lineRule="auto"/>
        <w:tabs>
          <w:tab w:leader="none" w:pos="166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applicable Environmental Laws.</w:t>
      </w:r>
    </w:p>
    <w:p>
      <w:pPr>
        <w:spacing w:after="0" w:line="140"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7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and complete all investigations, studies, sampling and testing, and all remedial, removal and other actions required under Environmental Laws and, except to the extent being reasonably contested in good faith by appropriate proceedings, reasonably promptly comply in all material respects with all lawful orders and directives of all Governmental Authorities regarding Environmental Laws.</w:t>
      </w:r>
    </w:p>
    <w:p>
      <w:pPr>
        <w:spacing w:after="0" w:line="140"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Ensure that proceeds of Loans shall be used for (i) the purchase of natural gas inventory and/or (ii) other working capital needs and other general corporate purposes of the Borrower and its Subsidiaries.</w:t>
      </w:r>
    </w:p>
    <w:p>
      <w:pPr>
        <w:spacing w:after="0" w:line="118"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Make, execute and deliver all such additional and further acts, things, deeds and instruments as the Administrative Agent or the Lenders (through the Administrative Agent) may reasonably require to document and consummate the transactions contemplated hereby and to vest completely in and insure the Administrative Agent and the Lenders their respective rights under this Agreement and the other Loan Documents.</w:t>
      </w:r>
    </w:p>
    <w:p>
      <w:pPr>
        <w:spacing w:after="0" w:line="140"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27" w:name="page228"/>
    <w:bookmarkEnd w:id="227"/>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Intercompany Loans</w:t>
      </w:r>
      <w:r>
        <w:rPr>
          <w:rFonts w:ascii="Times New Roman" w:cs="Times New Roman" w:eastAsia="Times New Roman" w:hAnsi="Times New Roman"/>
          <w:sz w:val="18"/>
          <w:szCs w:val="18"/>
          <w:color w:val="auto"/>
        </w:rPr>
        <w:t>. Make funds available to Peoples, Peoples Gas or any Subsidiary that is a regulated local gas distribution company in the form of intercompany loans from the Borrower and not capital contributions from the Borrower to the extent (a) not in violation of any Requirement of Law (including any Pennsylvania Public Utility Commission order or condition applicable to Peoples and Peoples Gas or other public utilities commission order or condition applicable to such other Subsidiary) and (b) deemed in good faith by the Borrower as constituting an appropriate capital structure given regulatory requirements and conditions.</w:t>
      </w:r>
    </w:p>
    <w:p>
      <w:pPr>
        <w:spacing w:after="0" w:line="149"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First Priority Security Interest</w:t>
      </w:r>
      <w:r>
        <w:rPr>
          <w:rFonts w:ascii="Times New Roman" w:cs="Times New Roman" w:eastAsia="Times New Roman" w:hAnsi="Times New Roman"/>
          <w:sz w:val="18"/>
          <w:szCs w:val="18"/>
          <w:color w:val="auto"/>
        </w:rPr>
        <w:t xml:space="preserve">. Take all reasonable steps necessary or reasonably requested of it by the Administrative Agent to maintain a first priority (except with respect to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security interest in the Collateral evidenced by the Lien in favor of the Collateral Agent on behalf of the Lenders and the other Senior Lenders (as such term is defined in the Security Agreement).</w:t>
      </w:r>
    </w:p>
    <w:p>
      <w:pPr>
        <w:spacing w:after="0" w:line="140"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Direct Ownership</w:t>
      </w:r>
      <w:r>
        <w:rPr>
          <w:rFonts w:ascii="Times New Roman" w:cs="Times New Roman" w:eastAsia="Times New Roman" w:hAnsi="Times New Roman"/>
          <w:sz w:val="18"/>
          <w:szCs w:val="18"/>
          <w:color w:val="auto"/>
        </w:rPr>
        <w:t>. Maintain sole direct ownership by the Borrower of Peoples, Peoples Gas and any other Significant Subsidiary, and promptly deliver or cause to be delivered any certificates representing the Capital Stock of each Significant Subsidiary to the Collateral Agent, duly endorsed or accompanied by duly executed instruments of assignment or transfer in blank, and take such other action as may be necessary or desirable to cause all of the Capital Stock of each Significant Subsidiary to constitute Pledged Stock subject to a first priority security interest in favor of the Collateral Agent on behalf of the Lenders and the other Senior Lenders (as such term is defined in the Security Agreement).</w:t>
      </w:r>
    </w:p>
    <w:p>
      <w:pPr>
        <w:spacing w:after="0" w:line="362"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Sanctions; Anti-Terrorism Laws; Anti-Corruption Laws</w:t>
      </w:r>
      <w:r>
        <w:rPr>
          <w:rFonts w:ascii="Times New Roman" w:cs="Times New Roman" w:eastAsia="Times New Roman" w:hAnsi="Times New Roman"/>
          <w:sz w:val="18"/>
          <w:szCs w:val="18"/>
          <w:color w:val="auto"/>
        </w:rPr>
        <w:t>. Ensure that (i) none of the Borrower, any Subsidiary nor any Affiliate (other than an Excluded Affiliate) of the Borrower or any Subsidiary or any of its or their respective directors, officers, employees, agents or affiliates acting on its or their behalf in connection with this Agreement will become a Sanctioned Person, (ii) none of the Borrower, any Subsidiary nor any Affiliate (other than an Excluded Affiliate) of the Borrower or any Subsidiary, either in its own right or through any third party, or any of its or their respective directors, officers, employees, agents or affiliates acting on its or their behalf in connection with this Agreement will (A) have any of its assets in a country subject to a sanctions program maintained under any Anti-Terrorism Law or in the possession, custody or control of a Sanctioned Person in violation of any Anti-Terrorism Law;</w:t>
      </w:r>
    </w:p>
    <w:p>
      <w:pPr>
        <w:jc w:val="both"/>
        <w:ind w:firstLine="1"/>
        <w:spacing w:after="0" w:line="242" w:lineRule="auto"/>
        <w:tabs>
          <w:tab w:leader="none" w:pos="29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business in or with, or derive any of its income from investments in or transactions with, any country subject to a sanctions program maintained under any Anti-Terrorism Law or Sanctioned Person in violation of any Anti-Terrorism Law; (C) engage in any dealings or transactions prohibited by any Anti-Terrorism Law or (D) directly or indirectly use, provide or make available the Revolving Extensions of Credit (I) to fund any operations in, finance any investments or activities in, or, make any payments to, a country subject to a sanctions program maintained under any Anti-Terrorism Law or to or for the benefit of a Sanctioned Person in violation of any Anti-Terrorism Law, Anti-Money Laundering Law or International Trade Law, (II) to fund or facilitate any activities or business of, or in any Sanctioned Jurisdiction, (III) in any manner that could result in a violation by any Person (including the Administrative Agent, any lead arranger, any Lender, underwriter, advisor, investor or otherwise) of any Anti-Terrorism Law, Anti-Money Laundering Law or International Trade Law or (IV) in violation of any applicable law, including any applicable Anti-Corruption Law, Anti-Money Laundering Law or International Trade Law, (iii) the funds used to repay the Obligations will not be Blocked Property or be derived from any unlawful activity, (iv) the</w:t>
      </w: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28" w:name="page229"/>
    <w:bookmarkEnd w:id="228"/>
    <w:p>
      <w:pPr>
        <w:jc w:val="both"/>
        <w:spacing w:after="0" w:line="248" w:lineRule="auto"/>
        <w:rPr>
          <w:sz w:val="20"/>
          <w:szCs w:val="20"/>
          <w:color w:val="auto"/>
        </w:rPr>
      </w:pPr>
      <w:r>
        <w:rPr>
          <w:rFonts w:ascii="Times New Roman" w:cs="Times New Roman" w:eastAsia="Times New Roman" w:hAnsi="Times New Roman"/>
          <w:sz w:val="18"/>
          <w:szCs w:val="18"/>
          <w:color w:val="auto"/>
        </w:rPr>
        <w:t>Borrower, each Subsidiary and each Affiliate (other than an Excluded Affiliate) of the Borrower or any Subsidiary shall comply in all material respects with all Anti-Terrorism Laws, (v) the Borrower shall promptly notify the Administrative Agent in writing upon the occurrence of a Reportable Compliance Event and (vi) the Borrower shall and shall cause each of its Subsidiaries to maintain in effect and enforce policies and procedures reasonably designed to ensure compliance by the Borrower, its Subsidiaries and their respective directors, officers, employees and agents with Anti-Corruption Laws and applicable Sanctions.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18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The Borrower hereby agrees that, until all Obligations have been paid in full (other than contingent indemnification obligations that are not yet due and payable) and the Revolving Commitments have been terminated, the Borrower shall not, and shall not permit its Subsidiaries to, directly or indirectly:</w:t>
      </w:r>
    </w:p>
    <w:p>
      <w:pPr>
        <w:spacing w:after="0" w:line="136"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120"/>
        <w:spacing w:after="0"/>
        <w:tabs>
          <w:tab w:leader="none" w:pos="16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Permit, at any time, the ratio of (i) Consolidated Debt to (ii) Consolidated Capitalization to exceed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0.60 to 1.00.</w:t>
      </w:r>
    </w:p>
    <w:p>
      <w:pPr>
        <w:spacing w:after="0" w:line="166" w:lineRule="exact"/>
        <w:rPr>
          <w:sz w:val="20"/>
          <w:szCs w:val="20"/>
          <w:color w:val="auto"/>
        </w:rPr>
      </w:pPr>
    </w:p>
    <w:p>
      <w:pPr>
        <w:jc w:val="both"/>
        <w:ind w:firstLine="1110"/>
        <w:spacing w:after="0" w:line="260" w:lineRule="auto"/>
        <w:tabs>
          <w:tab w:leader="none" w:pos="167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at any time, the ratio of (i) Consolidated EBITDA for the four consecutive fiscal quarters ending on, or most recently ended prior to, such time, to (ii) Consolidated Interest Expense for such period to be less than 2.00 to 1.00.</w:t>
      </w:r>
    </w:p>
    <w:p>
      <w:pPr>
        <w:spacing w:after="0" w:line="135" w:lineRule="exact"/>
        <w:rPr>
          <w:rFonts w:ascii="Times New Roman" w:cs="Times New Roman" w:eastAsia="Times New Roman" w:hAnsi="Times New Roman"/>
          <w:sz w:val="18"/>
          <w:szCs w:val="18"/>
          <w:color w:val="auto"/>
        </w:rPr>
      </w:pPr>
    </w:p>
    <w:p>
      <w:pPr>
        <w:ind w:firstLine="1110"/>
        <w:spacing w:after="0" w:line="280" w:lineRule="auto"/>
        <w:tabs>
          <w:tab w:leader="none" w:pos="166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at any time, the then outstanding aggregate principal amount of Subsidiary Debt to exceed an amount equal to $100,000,000.</w:t>
      </w:r>
    </w:p>
    <w:p>
      <w:pPr>
        <w:spacing w:after="0" w:line="118" w:lineRule="exact"/>
        <w:rPr>
          <w:sz w:val="20"/>
          <w:szCs w:val="20"/>
          <w:color w:val="auto"/>
        </w:rPr>
      </w:pPr>
    </w:p>
    <w:p>
      <w:pPr>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upon any property of the Borrower (other than property of Subsidiaries of the Borrower), whether now owned or hereafter acquired, except:</w:t>
      </w:r>
    </w:p>
    <w:p>
      <w:pPr>
        <w:spacing w:after="0" w:line="118" w:lineRule="exact"/>
        <w:rPr>
          <w:sz w:val="20"/>
          <w:szCs w:val="20"/>
          <w:color w:val="auto"/>
        </w:rPr>
      </w:pPr>
    </w:p>
    <w:p>
      <w:pPr>
        <w:jc w:val="both"/>
        <w:ind w:firstLine="1110"/>
        <w:spacing w:after="0" w:line="260" w:lineRule="auto"/>
        <w:tabs>
          <w:tab w:leader="none" w:pos="166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governmental charges not yet due or that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adequate reserves with respect thereto are maintained on the books of the Borrower or its Subsidiaries, as the case may be, in conformity with GAAP;</w:t>
      </w:r>
    </w:p>
    <w:p>
      <w:pPr>
        <w:spacing w:after="0" w:line="135"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carriers’, warehousemen’s, mechanics’, materialmen’s, repairmen’s or other like Liens arising in the ordinary course of business that are not overdue for a period of more than 30 days or that are being contested in good faith by appropriate proceedings;</w:t>
      </w:r>
    </w:p>
    <w:p>
      <w:pPr>
        <w:spacing w:after="0" w:line="135" w:lineRule="exact"/>
        <w:rPr>
          <w:rFonts w:ascii="Times New Roman" w:cs="Times New Roman" w:eastAsia="Times New Roman" w:hAnsi="Times New Roman"/>
          <w:sz w:val="18"/>
          <w:szCs w:val="18"/>
          <w:color w:val="auto"/>
        </w:rPr>
      </w:pPr>
    </w:p>
    <w:p>
      <w:pPr>
        <w:ind w:firstLine="1110"/>
        <w:spacing w:after="0" w:line="280" w:lineRule="auto"/>
        <w:tabs>
          <w:tab w:leader="none" w:pos="166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connection with workers’ compensation, unemployment insurance and other social security legislation;</w:t>
      </w:r>
    </w:p>
    <w:p>
      <w:pPr>
        <w:spacing w:after="0" w:line="117"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7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(other than for borrowed money), leases (other than Finance Lease Obligations), insurance, statutory obligations (other than any such obligation imposed pursuant to Section 430(k) of the Code or Sections 303(k) or 4068 of ERISA), surety and appeal bonds, performance bonds and other obligations of a like nature incurred in the ordinary course of business;</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29" w:name="page230"/>
    <w:bookmarkEnd w:id="229"/>
    <w:p>
      <w:pPr>
        <w:jc w:val="both"/>
        <w:ind w:firstLine="1110"/>
        <w:spacing w:after="0" w:line="254" w:lineRule="auto"/>
        <w:tabs>
          <w:tab w:leader="none" w:pos="166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zoning and building restrictions and other restrictions and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Borrower;</w:t>
      </w:r>
    </w:p>
    <w:p>
      <w:pPr>
        <w:spacing w:after="0" w:line="140" w:lineRule="exact"/>
        <w:rPr>
          <w:rFonts w:ascii="Times New Roman" w:cs="Times New Roman" w:eastAsia="Times New Roman" w:hAnsi="Times New Roman"/>
          <w:sz w:val="18"/>
          <w:szCs w:val="18"/>
          <w:color w:val="auto"/>
        </w:rPr>
      </w:pPr>
    </w:p>
    <w:p>
      <w:pPr>
        <w:ind w:firstLine="1110"/>
        <w:spacing w:after="0" w:line="280" w:lineRule="auto"/>
        <w:tabs>
          <w:tab w:leader="none" w:pos="167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the Borrower incurred pursuant to clauses (i) and (ii) of the definition of Specified Indebtedness;</w:t>
      </w:r>
    </w:p>
    <w:p>
      <w:pPr>
        <w:spacing w:after="0" w:line="117"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5"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Security Documents and securing the Obligations;</w:t>
      </w:r>
    </w:p>
    <w:p>
      <w:pPr>
        <w:spacing w:after="0" w:line="185" w:lineRule="exact"/>
        <w:rPr>
          <w:rFonts w:ascii="Times New Roman" w:cs="Times New Roman" w:eastAsia="Times New Roman" w:hAnsi="Times New Roman"/>
          <w:sz w:val="18"/>
          <w:szCs w:val="18"/>
          <w:color w:val="auto"/>
        </w:rPr>
      </w:pPr>
    </w:p>
    <w:p>
      <w:pPr>
        <w:ind w:firstLine="1110"/>
        <w:spacing w:after="0" w:line="280" w:lineRule="auto"/>
        <w:tabs>
          <w:tab w:leader="none" w:pos="167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under any operating lease entered into by the Borrower in the ordinary course of its business and covering only the assets so leased;</w:t>
      </w:r>
    </w:p>
    <w:p>
      <w:pPr>
        <w:spacing w:after="0" w:line="117" w:lineRule="exact"/>
        <w:rPr>
          <w:rFonts w:ascii="Times New Roman" w:cs="Times New Roman" w:eastAsia="Times New Roman" w:hAnsi="Times New Roman"/>
          <w:sz w:val="18"/>
          <w:szCs w:val="18"/>
          <w:color w:val="auto"/>
        </w:rPr>
      </w:pPr>
    </w:p>
    <w:p>
      <w:pPr>
        <w:ind w:firstLine="1110"/>
        <w:spacing w:after="0" w:line="280" w:lineRule="auto"/>
        <w:tabs>
          <w:tab w:leader="none" w:pos="166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overdraft protection arrangements and other related cash management programs (including any Cash Management Agreements);</w:t>
      </w:r>
    </w:p>
    <w:p>
      <w:pPr>
        <w:spacing w:after="0" w:line="117"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date of this Agreement and set forth on </w:t>
      </w:r>
      <w:r>
        <w:rPr>
          <w:rFonts w:ascii="Times New Roman" w:cs="Times New Roman" w:eastAsia="Times New Roman" w:hAnsi="Times New Roman"/>
          <w:sz w:val="18"/>
          <w:szCs w:val="18"/>
          <w:u w:val="single" w:color="auto"/>
          <w:color w:val="auto"/>
        </w:rPr>
        <w:t>Schedule 7.2</w:t>
      </w:r>
      <w:r>
        <w:rPr>
          <w:rFonts w:ascii="Times New Roman" w:cs="Times New Roman" w:eastAsia="Times New Roman" w:hAnsi="Times New Roman"/>
          <w:sz w:val="18"/>
          <w:szCs w:val="18"/>
          <w:color w:val="auto"/>
        </w:rPr>
        <w:t>; and</w:t>
      </w:r>
    </w:p>
    <w:p>
      <w:pPr>
        <w:spacing w:after="0" w:line="185" w:lineRule="exact"/>
        <w:rPr>
          <w:rFonts w:ascii="Times New Roman" w:cs="Times New Roman" w:eastAsia="Times New Roman" w:hAnsi="Times New Roman"/>
          <w:sz w:val="18"/>
          <w:szCs w:val="18"/>
          <w:color w:val="auto"/>
        </w:rPr>
      </w:pPr>
    </w:p>
    <w:p>
      <w:pPr>
        <w:ind w:firstLine="1110"/>
        <w:spacing w:after="0" w:line="280" w:lineRule="auto"/>
        <w:tabs>
          <w:tab w:leader="none" w:pos="167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the collection or disposition of delinquent accounts receivable in the ordinary course of business.</w:t>
      </w:r>
    </w:p>
    <w:p>
      <w:pPr>
        <w:spacing w:after="0" w:line="118"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Enter into any merger, consolidation or amalgamation, or liquidate, wind up or dissolve itself (or suffer any liquidation or dissolution), or Dispose of all or substantially all of its property or business; except that, if at the time thereof and immediately after giving effect thereto no Event of Default shall have occurred and be continuing:</w:t>
      </w:r>
    </w:p>
    <w:p>
      <w:pPr>
        <w:spacing w:after="0" w:line="357" w:lineRule="exact"/>
        <w:rPr>
          <w:sz w:val="20"/>
          <w:szCs w:val="20"/>
          <w:color w:val="auto"/>
        </w:rPr>
      </w:pPr>
    </w:p>
    <w:p>
      <w:pPr>
        <w:ind w:firstLine="1110"/>
        <w:spacing w:after="0" w:line="280" w:lineRule="auto"/>
        <w:tabs>
          <w:tab w:leader="none" w:pos="166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merge, consolidate or amalgamate into the Borrower in a transaction in which the Borrower is the surviving entity;</w:t>
      </w:r>
    </w:p>
    <w:p>
      <w:pPr>
        <w:spacing w:after="0" w:line="117"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merge, consolidate or amalgamate into any other Subsidiary in a transaction in which the surviving entity is a wholly-owned Subsidiary;</w:t>
      </w:r>
    </w:p>
    <w:p>
      <w:pPr>
        <w:spacing w:after="0" w:line="117"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6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merge, consolidate or amalgamate with any other Person so long as the surviving or continuing entity is the Subsidiary with respect to which the Borrower shall, immediately following such transaction or series of transactions, have at least the same degree of ownership and control with respect to such Subsidiary as it did prior to such transaction;</w:t>
      </w:r>
    </w:p>
    <w:p>
      <w:pPr>
        <w:spacing w:after="0" w:line="140"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Dispose of all or substantially all of its property or business to (i) the Borrower, (ii) any wholly-owned Subsidiary or (iii) any other person to the extent permitted by </w:t>
      </w:r>
      <w:r>
        <w:rPr>
          <w:rFonts w:ascii="Times New Roman" w:cs="Times New Roman" w:eastAsia="Times New Roman" w:hAnsi="Times New Roman"/>
          <w:sz w:val="18"/>
          <w:szCs w:val="18"/>
          <w:u w:val="single" w:color="auto"/>
          <w:color w:val="auto"/>
        </w:rPr>
        <w:t>Section 7.4(d)</w:t>
      </w:r>
      <w:r>
        <w:rPr>
          <w:rFonts w:ascii="Times New Roman" w:cs="Times New Roman" w:eastAsia="Times New Roman" w:hAnsi="Times New Roman"/>
          <w:sz w:val="18"/>
          <w:szCs w:val="18"/>
          <w:color w:val="auto"/>
        </w:rPr>
        <w:t>; and</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30" w:name="page231"/>
    <w:bookmarkEnd w:id="230"/>
    <w:p>
      <w:pPr>
        <w:jc w:val="both"/>
        <w:ind w:firstLine="1110"/>
        <w:spacing w:after="0" w:line="260" w:lineRule="auto"/>
        <w:tabs>
          <w:tab w:leader="none" w:pos="166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liquidate, wind up or dissolve, so long as all assets and other property, if any, of such Subsidiary are distributed to (i) the Borrower, (ii) any wholly-owned Subsidiary or (iii) any other person to the extent permitted by </w:t>
      </w:r>
      <w:r>
        <w:rPr>
          <w:rFonts w:ascii="Times New Roman" w:cs="Times New Roman" w:eastAsia="Times New Roman" w:hAnsi="Times New Roman"/>
          <w:sz w:val="18"/>
          <w:szCs w:val="18"/>
          <w:u w:val="single" w:color="auto"/>
          <w:color w:val="auto"/>
        </w:rPr>
        <w:t>Section 7.4(d)</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Disposition of Property</w:t>
      </w:r>
      <w:r>
        <w:rPr>
          <w:rFonts w:ascii="Times New Roman" w:cs="Times New Roman" w:eastAsia="Times New Roman" w:hAnsi="Times New Roman"/>
          <w:sz w:val="18"/>
          <w:szCs w:val="18"/>
          <w:color w:val="auto"/>
        </w:rPr>
        <w:t>. Dispose of any of its property, whether now owned or hereafter acquired, or, in the case of any Subsidiary, issue or sell any shares of such Subsidiary’s Capital Stock to any Person, except:</w:t>
      </w:r>
    </w:p>
    <w:p>
      <w:pPr>
        <w:spacing w:after="0" w:line="118" w:lineRule="exact"/>
        <w:rPr>
          <w:sz w:val="20"/>
          <w:szCs w:val="20"/>
          <w:color w:val="auto"/>
        </w:rPr>
      </w:pPr>
    </w:p>
    <w:p>
      <w:pPr>
        <w:ind w:left="1660" w:hanging="550"/>
        <w:spacing w:after="0"/>
        <w:tabs>
          <w:tab w:leader="none" w:pos="1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obsolete, surplus or worn out property in the ordinary course of business;</w:t>
      </w:r>
    </w:p>
    <w:p>
      <w:pPr>
        <w:spacing w:after="0" w:line="185"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inventory in the ordinary course of business;</w:t>
      </w:r>
    </w:p>
    <w:p>
      <w:pPr>
        <w:spacing w:after="0" w:line="185" w:lineRule="exact"/>
        <w:rPr>
          <w:rFonts w:ascii="Times New Roman" w:cs="Times New Roman" w:eastAsia="Times New Roman" w:hAnsi="Times New Roman"/>
          <w:sz w:val="18"/>
          <w:szCs w:val="18"/>
          <w:color w:val="auto"/>
        </w:rPr>
      </w:pPr>
    </w:p>
    <w:p>
      <w:pPr>
        <w:ind w:left="1660" w:hanging="550"/>
        <w:spacing w:after="0"/>
        <w:tabs>
          <w:tab w:leader="none" w:pos="1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Cash Equivalents;</w:t>
      </w:r>
    </w:p>
    <w:p>
      <w:pPr>
        <w:spacing w:after="0" w:line="185"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Disposition of other property having a fair market value not to exceed five percent (5%) of the Consolidated Total Assets in the aggregate for any fiscal year of the Borrower, calculated as of the commencement of such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thereto, no Default or Event of Default exists; and</w:t>
      </w:r>
    </w:p>
    <w:p>
      <w:pPr>
        <w:spacing w:after="0" w:line="135" w:lineRule="exact"/>
        <w:rPr>
          <w:rFonts w:ascii="Times New Roman" w:cs="Times New Roman" w:eastAsia="Times New Roman" w:hAnsi="Times New Roman"/>
          <w:sz w:val="18"/>
          <w:szCs w:val="18"/>
          <w:color w:val="auto"/>
        </w:rPr>
      </w:pPr>
    </w:p>
    <w:p>
      <w:pPr>
        <w:ind w:left="1660" w:hanging="550"/>
        <w:spacing w:after="0"/>
        <w:tabs>
          <w:tab w:leader="none" w:pos="1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property of any Subsidiary to the Borrower or any wholly-owned Subsidiary.</w:t>
      </w:r>
    </w:p>
    <w:p>
      <w:pPr>
        <w:spacing w:after="0" w:line="186" w:lineRule="exact"/>
        <w:rPr>
          <w:sz w:val="20"/>
          <w:szCs w:val="20"/>
          <w:color w:val="auto"/>
        </w:rPr>
      </w:pPr>
    </w:p>
    <w:p>
      <w:pPr>
        <w:jc w:val="both"/>
        <w:ind w:firstLine="554"/>
        <w:spacing w:after="0" w:line="249"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except that:</w:t>
      </w:r>
    </w:p>
    <w:p>
      <w:pPr>
        <w:spacing w:after="0" w:line="359" w:lineRule="exact"/>
        <w:rPr>
          <w:sz w:val="20"/>
          <w:szCs w:val="20"/>
          <w:color w:val="auto"/>
        </w:rPr>
      </w:pPr>
    </w:p>
    <w:p>
      <w:pPr>
        <w:ind w:left="1660" w:hanging="550"/>
        <w:spacing w:after="0"/>
        <w:tabs>
          <w:tab w:leader="none" w:pos="1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Borrower’s Subsidiaries may make Restricted Payments to the Borrower or any wholly-</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Subsidiary;</w:t>
      </w:r>
    </w:p>
    <w:p>
      <w:pPr>
        <w:spacing w:after="0" w:line="165" w:lineRule="exact"/>
        <w:rPr>
          <w:rFonts w:ascii="Times New Roman" w:cs="Times New Roman" w:eastAsia="Times New Roman" w:hAnsi="Times New Roman"/>
          <w:sz w:val="18"/>
          <w:szCs w:val="18"/>
          <w:color w:val="auto"/>
        </w:rPr>
      </w:pPr>
    </w:p>
    <w:p>
      <w:pPr>
        <w:jc w:val="both"/>
        <w:ind w:firstLine="1110"/>
        <w:spacing w:after="0" w:line="247" w:lineRule="auto"/>
        <w:tabs>
          <w:tab w:leader="none" w:pos="167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LDC Holdings or any direct or indirect owner of the Borrower for any taxable period (or portion thereof) in which the Borrower and/or any of its Subsidiaries is a member of a consolidated, combined, unitary or similar U.S. federal, state, local and/or foreign income or similar tax group whose common parent is a direct or indirect parent of the Borrower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or in which the Borrower is disregarded from an indirect parent entity that is a C corporation for U.S. federal income tax purposes, to pay such U.S. federal, state, local and/or foreign Taxes of such Tax Group that are attributable to the taxable income, revenue, receipts, gross receipts, gross profits, capital or margin of the Borrower and/or its applicable Subsidiaries; and</w:t>
      </w:r>
    </w:p>
    <w:p>
      <w:pPr>
        <w:spacing w:after="0" w:line="149"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6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the Essential Group so long as no Default or Event of Default shall have occurred and be continuing, and both immediately before and immediately after giving effect thereto, the Borrower shall be in compliance with the</w:t>
      </w: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31" w:name="page232"/>
    <w:bookmarkEnd w:id="231"/>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financial covenant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in pro forma compliance with the financial covenants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any transaction, including any purchase, sale, lease or exchange of property, the rendering of any service or the payment of any management, advisory or similar fees, with any Affiliate (other than transactions among the Borrower and its Subsidiaries not involving any other Affiliate of the Borrower), other than (a) any such transaction that is (i) not prohibited by this Agreement, (ii) in the ordinary course of business of the relevant Group Member, and (iii) upon fair and reasonable terms no less favorable to the relevant Group Member than it would obtain in a comparable arm’s length transaction with a Person that is not an Affiliate and (b) any other transaction (if part of a series of related transactions, together with such related transactions) involving consideration or value of less than $3,000,000. Notwithstanding the foregoing, any Group Member may reimburse any other Group Member on a cost of services basis for the cost of services provided.</w:t>
      </w:r>
    </w:p>
    <w:p>
      <w:pPr>
        <w:spacing w:after="0" w:line="155"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Permit the incurrence of any Indebtedness unless (a) immediately after giving effect to any such Indebtedness, the ratio of Consolidated Debt to Consolidated Capitalization shall not exceed 0.60 to 1.00, and (b) at the time of such incurrence, no Default or Event of Default then exists or would arise therefrom.</w:t>
      </w:r>
    </w:p>
    <w:p>
      <w:pPr>
        <w:spacing w:after="0" w:line="136" w:lineRule="exact"/>
        <w:rPr>
          <w:sz w:val="20"/>
          <w:szCs w:val="20"/>
          <w:color w:val="auto"/>
        </w:rPr>
      </w:pPr>
    </w:p>
    <w:p>
      <w:pPr>
        <w:jc w:val="both"/>
        <w:ind w:firstLine="554"/>
        <w:spacing w:after="0" w:line="249"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Enter into any Swap Agreement, except non-speculative (a) Swap Agreements entered into to hedge or mitigate risks to which the Borrower or any of its Subsidiaries has actual exposure (other than those in respect of Capital Stock) and (b) Swap Agreements entered into in order to effectively cap, collar or exchange interest rates (from fixed to floating rates, from one floating rate to another floating rate or otherwise) to which the Borrower or any of its Subsidiaries has actual exposure with respect to any interest-bearing liability or investment of the Borrower or any such Subsidiary.</w:t>
      </w:r>
    </w:p>
    <w:p>
      <w:pPr>
        <w:spacing w:after="0" w:line="359"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Changes in Fiscal Periods</w:t>
      </w:r>
      <w:r>
        <w:rPr>
          <w:rFonts w:ascii="Times New Roman" w:cs="Times New Roman" w:eastAsia="Times New Roman" w:hAnsi="Times New Roman"/>
          <w:sz w:val="18"/>
          <w:szCs w:val="18"/>
          <w:color w:val="auto"/>
        </w:rPr>
        <w:t>. Permit the fiscal year of any Group Member to end on a day other than December 31 or change any Group Member’s method of determining fiscal quarters.</w:t>
      </w:r>
    </w:p>
    <w:p>
      <w:pPr>
        <w:spacing w:after="0" w:line="118"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Clauses Restricting Distributions</w:t>
      </w:r>
      <w:r>
        <w:rPr>
          <w:rFonts w:ascii="Times New Roman" w:cs="Times New Roman" w:eastAsia="Times New Roman" w:hAnsi="Times New Roman"/>
          <w:sz w:val="18"/>
          <w:szCs w:val="18"/>
          <w:color w:val="auto"/>
        </w:rPr>
        <w:t>. Enter into or suffer to exist or become effective any consensual encumbrance or restriction on the ability of Peoples, Peoples Gas or any other Significant Subsidiary to make Restricted Payments in respect of any of its Capital Stock to the Borrower, except for such encumbrances or restrictions (a) as may be required by the Pennsylvania Public Utility Commission or other Governmental Authority, (b) existing under or by reason of any restrictions existing under the Loan Documents or the Note Purchase Agreement or (c) existing under or by reason of customary restrictions existing under loan documentation for Indebtedness permitted under clauses (i), (ii) or (vi) of the definition of Specified Indebtedness.</w:t>
      </w:r>
    </w:p>
    <w:p>
      <w:pPr>
        <w:spacing w:after="0" w:line="149"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Amendments to Indebtedness Documents</w:t>
      </w:r>
      <w:r>
        <w:rPr>
          <w:rFonts w:ascii="Times New Roman" w:cs="Times New Roman" w:eastAsia="Times New Roman" w:hAnsi="Times New Roman"/>
          <w:sz w:val="18"/>
          <w:szCs w:val="18"/>
          <w:color w:val="auto"/>
        </w:rPr>
        <w:t>. Amend, supplement or otherwise modify (pursuant to a waiver or otherwise) the terms and conditions of any Indebtedness permitted under clauses (i), (ii) or (vi) of the definition of Specified Indebtedness in any respect, when taken as a whole, materially adverse to the Lenders without the prior written consent of the Required Lenders.</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32" w:name="page233"/>
    <w:bookmarkEnd w:id="232"/>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New Subsidiaries</w:t>
      </w:r>
      <w:r>
        <w:rPr>
          <w:rFonts w:ascii="Times New Roman" w:cs="Times New Roman" w:eastAsia="Times New Roman" w:hAnsi="Times New Roman"/>
          <w:sz w:val="18"/>
          <w:szCs w:val="18"/>
          <w:color w:val="auto"/>
        </w:rPr>
        <w:t>. Form, acquire or otherwise own any Subsidiaries, other than Subsidiaries that engage in the regulated utility business or other activity or ancillary business related thereto.</w:t>
      </w:r>
    </w:p>
    <w:p>
      <w:pPr>
        <w:spacing w:after="0" w:line="118"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Lines of Business</w:t>
      </w:r>
      <w:r>
        <w:rPr>
          <w:rFonts w:ascii="Times New Roman" w:cs="Times New Roman" w:eastAsia="Times New Roman" w:hAnsi="Times New Roman"/>
          <w:sz w:val="18"/>
          <w:szCs w:val="18"/>
          <w:color w:val="auto"/>
        </w:rPr>
        <w:t xml:space="preserve">. Engage in any business if, as a result, the general nature of the business in which the Borrower and its Subsidiaries, taken as a whole, would then be engaged would be substantially changed from the regulated utility business and any other activity or ancillary business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ancillary business shall not include gas processing, exploration and development.</w:t>
      </w:r>
    </w:p>
    <w:p>
      <w:pPr>
        <w:spacing w:after="0" w:line="140"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554"/>
        <w:spacing w:after="0" w:line="252"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Request any Loan, and the Borrower shall not use, and shall not procure that its Subsidiaries and its or their respective directors, officers, employees and agents shall not use, the proceeds of any Loan</w:t>
      </w:r>
    </w:p>
    <w:p>
      <w:pPr>
        <w:spacing w:after="0" w:line="1" w:lineRule="exact"/>
        <w:rPr>
          <w:sz w:val="20"/>
          <w:szCs w:val="20"/>
          <w:color w:val="auto"/>
        </w:rPr>
      </w:pPr>
    </w:p>
    <w:p>
      <w:pPr>
        <w:jc w:val="both"/>
        <w:ind w:firstLine="1"/>
        <w:spacing w:after="0" w:line="244" w:lineRule="auto"/>
        <w:tabs>
          <w:tab w:leader="none" w:pos="25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Jurisdiction, to the extent such activities, business or transaction would be prohibited by Sanctions if conducted by a corporation incorporated in the United States, or (c) in any manner that would result in the violation of any Sanctions applicable to any party hereto.</w:t>
      </w:r>
    </w:p>
    <w:p>
      <w:pPr>
        <w:spacing w:after="0" w:line="360" w:lineRule="exact"/>
        <w:rPr>
          <w:sz w:val="20"/>
          <w:szCs w:val="20"/>
          <w:color w:val="auto"/>
        </w:rPr>
      </w:pPr>
    </w:p>
    <w:p>
      <w:pPr>
        <w:ind w:firstLine="554"/>
        <w:spacing w:after="0" w:line="280"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Sanctions and other Anti-Terrorism Laws</w:t>
      </w:r>
      <w:r>
        <w:rPr>
          <w:rFonts w:ascii="Times New Roman" w:cs="Times New Roman" w:eastAsia="Times New Roman" w:hAnsi="Times New Roman"/>
          <w:sz w:val="18"/>
          <w:szCs w:val="18"/>
          <w:color w:val="auto"/>
        </w:rPr>
        <w:t>. (a) Repay the Obligations with Blocked Property or funds derived from any unlawful activity; or (b) permit any Collateral to become Blocked Property.</w:t>
      </w:r>
    </w:p>
    <w:p>
      <w:pPr>
        <w:spacing w:after="0" w:line="118" w:lineRule="exact"/>
        <w:rPr>
          <w:sz w:val="20"/>
          <w:szCs w:val="20"/>
          <w:color w:val="auto"/>
        </w:rPr>
      </w:pPr>
    </w:p>
    <w:p>
      <w:pPr>
        <w:ind w:left="1120" w:right="3060" w:firstLine="1961"/>
        <w:spacing w:after="0" w:line="455" w:lineRule="auto"/>
        <w:rPr>
          <w:sz w:val="20"/>
          <w:szCs w:val="20"/>
          <w:color w:val="auto"/>
        </w:rPr>
      </w:pPr>
      <w:r>
        <w:rPr>
          <w:rFonts w:ascii="Times New Roman" w:cs="Times New Roman" w:eastAsia="Times New Roman" w:hAnsi="Times New Roman"/>
          <w:sz w:val="18"/>
          <w:szCs w:val="18"/>
          <w:color w:val="auto"/>
        </w:rPr>
        <w:t>SECTION 8. EVENTS OF DEFAULT If any of the following events shall occur and be continuing:</w:t>
      </w:r>
    </w:p>
    <w:p>
      <w:pPr>
        <w:spacing w:after="0" w:line="1" w:lineRule="exact"/>
        <w:rPr>
          <w:sz w:val="20"/>
          <w:szCs w:val="20"/>
          <w:color w:val="auto"/>
        </w:rPr>
      </w:pPr>
    </w:p>
    <w:p>
      <w:pPr>
        <w:jc w:val="both"/>
        <w:ind w:firstLine="1110"/>
        <w:spacing w:after="0" w:line="254" w:lineRule="auto"/>
        <w:tabs>
          <w:tab w:leader="none" w:pos="166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when due in accordance with the terms hereof; or the Borrower shall fail to pay any interest on any Loan, fees or any other amounts payable hereunder or under any other Loan Document, within five (5) days after any such interest, fees or other amounts become due in accordance with the terms hereof; or</w:t>
      </w:r>
    </w:p>
    <w:p>
      <w:pPr>
        <w:spacing w:after="0" w:line="140" w:lineRule="exact"/>
        <w:rPr>
          <w:rFonts w:ascii="Times New Roman" w:cs="Times New Roman" w:eastAsia="Times New Roman" w:hAnsi="Times New Roman"/>
          <w:sz w:val="18"/>
          <w:szCs w:val="18"/>
          <w:color w:val="auto"/>
        </w:rPr>
      </w:pPr>
    </w:p>
    <w:p>
      <w:pPr>
        <w:jc w:val="both"/>
        <w:ind w:firstLine="1110"/>
        <w:spacing w:after="0" w:line="250" w:lineRule="auto"/>
        <w:tabs>
          <w:tab w:leader="none" w:pos="167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(and in the case of the representations made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in any respect) on or as of the date made or deemed made; or</w:t>
      </w:r>
    </w:p>
    <w:p>
      <w:pPr>
        <w:spacing w:after="0" w:line="146"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6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default in the observance or performance of any agreement contained in clause (i) or (ii) of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or </w:t>
      </w:r>
      <w:r>
        <w:rPr>
          <w:rFonts w:ascii="Times New Roman" w:cs="Times New Roman" w:eastAsia="Times New Roman" w:hAnsi="Times New Roman"/>
          <w:sz w:val="18"/>
          <w:szCs w:val="18"/>
          <w:u w:val="single" w:color="auto"/>
          <w:color w:val="auto"/>
        </w:rPr>
        <w:t>Sections 4.4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4.6(b)</w:t>
      </w:r>
      <w:r>
        <w:rPr>
          <w:rFonts w:ascii="Times New Roman" w:cs="Times New Roman" w:eastAsia="Times New Roman" w:hAnsi="Times New Roman"/>
          <w:sz w:val="18"/>
          <w:szCs w:val="18"/>
          <w:color w:val="auto"/>
        </w:rPr>
        <w:t xml:space="preserve"> of the Security Agreement; or</w:t>
      </w:r>
    </w:p>
    <w:p>
      <w:pPr>
        <w:spacing w:after="0" w:line="135"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default in the observance or performance of any other agreement contained in this Agreement or any other Loan Document (other than as provided in</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33" w:name="page234"/>
    <w:bookmarkEnd w:id="233"/>
    <w:p>
      <w:pPr>
        <w:spacing w:after="0" w:line="280" w:lineRule="auto"/>
        <w:rPr>
          <w:sz w:val="20"/>
          <w:szCs w:val="20"/>
          <w:color w:val="auto"/>
        </w:rPr>
      </w:pPr>
      <w:r>
        <w:rPr>
          <w:rFonts w:ascii="Times New Roman" w:cs="Times New Roman" w:eastAsia="Times New Roman" w:hAnsi="Times New Roman"/>
          <w:sz w:val="18"/>
          <w:szCs w:val="18"/>
          <w:color w:val="auto"/>
        </w:rPr>
        <w:t>paragraphs (a) through (c) of this Section), and such default shall continue unremedied for a period of thirty (30) days after notice to the Borrower from the Administrative Agent or the Required Lenders; or</w:t>
      </w:r>
    </w:p>
    <w:p>
      <w:pPr>
        <w:spacing w:after="0" w:line="118" w:lineRule="exact"/>
        <w:rPr>
          <w:sz w:val="20"/>
          <w:szCs w:val="20"/>
          <w:color w:val="auto"/>
        </w:rPr>
      </w:pPr>
    </w:p>
    <w:p>
      <w:pPr>
        <w:jc w:val="both"/>
        <w:ind w:firstLine="1110"/>
        <w:spacing w:after="0" w:line="244" w:lineRule="auto"/>
        <w:tabs>
          <w:tab w:leader="none" w:pos="166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its Subsidiaries shall (i) default in making any payment (in respect of principal or interest) of any material Indebtedness (including the Senior Notes and any Guarantee Obligation, but excluding the Loans) when and as the same shall become due and payable after giving effect to any notice requirements and grace periods applicable thereto;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default, event or condition described in clause (i) or (ii) of this paragraph (e) shall not at any time constitute an Event of Default unless, at such time, one or more defaults, events or conditions of the type described in clauses (i) or (ii) of this paragraph (e) shall have occurred and be continuing with respect to Indebtedness the outstanding principal amount of which exceeds in the aggregate $50,000,000; or</w:t>
      </w:r>
    </w:p>
    <w:p>
      <w:pPr>
        <w:spacing w:after="0" w:line="362" w:lineRule="exact"/>
        <w:rPr>
          <w:rFonts w:ascii="Times New Roman" w:cs="Times New Roman" w:eastAsia="Times New Roman" w:hAnsi="Times New Roman"/>
          <w:sz w:val="18"/>
          <w:szCs w:val="18"/>
          <w:color w:val="auto"/>
        </w:rPr>
      </w:pPr>
    </w:p>
    <w:p>
      <w:pPr>
        <w:jc w:val="both"/>
        <w:ind w:firstLine="1110"/>
        <w:spacing w:after="0" w:line="244" w:lineRule="auto"/>
        <w:tabs>
          <w:tab w:leader="none" w:pos="167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Group Member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 up, liquidation, dissolution, composition or other relief with respect to it or its debts, or (B) seeking appointment of a receiver, trustee, custodian, conservator or other similar official for it or for all or any substantial part of its assets; or (ii) there shall be commenced against any Group Member any case, proceeding or other action of a nature referred to in clause (i) above that (A) results in the entry of an order for relief or any such adjudication or appointment or (B) remains undismissed or undischarged for a period of sixty (60) days; or</w:t>
      </w:r>
    </w:p>
    <w:p>
      <w:pPr>
        <w:jc w:val="both"/>
        <w:ind w:firstLine="1"/>
        <w:spacing w:after="0" w:line="243" w:lineRule="auto"/>
        <w:tabs>
          <w:tab w:leader="none" w:pos="33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or (iv) any Group Member shall take any action in furtherance of, or indicating its consent to, approval of, or acquiescence in, any of the acts set forth in clause (i), (ii), or (iii) above; or (v) or any Group Member shall generally not, or shall be unable to, or shall admit in writing its inability to, pay its debts as they become due; or (vi) any Group Member shall make a general assignment for the benefit of its creditors; or</w:t>
      </w:r>
    </w:p>
    <w:p>
      <w:pPr>
        <w:spacing w:after="0" w:line="153"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ERISA Events shall have occurred that, individually or in the aggregate, could reasonably be expected to result in a Material Adverse Effect; or</w:t>
      </w:r>
    </w:p>
    <w:p>
      <w:pPr>
        <w:spacing w:after="0" w:line="117"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(excluding regulatory orders payable through adjustments to rates or through periodic payments or refunds to customers) shall be entered against any Group Member involving in the aggregate a liability (not paid or fully covered</w:t>
      </w: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34" w:name="page235"/>
    <w:bookmarkEnd w:id="234"/>
    <w:p>
      <w:pPr>
        <w:jc w:val="both"/>
        <w:spacing w:after="0" w:line="260" w:lineRule="auto"/>
        <w:rPr>
          <w:sz w:val="20"/>
          <w:szCs w:val="20"/>
          <w:color w:val="auto"/>
        </w:rPr>
      </w:pPr>
      <w:r>
        <w:rPr>
          <w:rFonts w:ascii="Times New Roman" w:cs="Times New Roman" w:eastAsia="Times New Roman" w:hAnsi="Times New Roman"/>
          <w:sz w:val="18"/>
          <w:szCs w:val="18"/>
          <w:color w:val="auto"/>
        </w:rPr>
        <w:t>by insurance as to which the relevant insurance company has acknowledged coverage) of $50,000,000 or more, and all such judgments or decrees shall not have been vacated, discharged, stayed or bonded pending appeal within sixty (60) days from the entry thereof; or</w:t>
      </w:r>
    </w:p>
    <w:p>
      <w:pPr>
        <w:spacing w:after="0" w:line="136" w:lineRule="exact"/>
        <w:rPr>
          <w:sz w:val="20"/>
          <w:szCs w:val="20"/>
          <w:color w:val="auto"/>
        </w:rPr>
      </w:pPr>
    </w:p>
    <w:p>
      <w:pPr>
        <w:jc w:val="both"/>
        <w:ind w:firstLine="1110"/>
        <w:spacing w:after="0" w:line="260" w:lineRule="auto"/>
        <w:tabs>
          <w:tab w:leader="none" w:pos="167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Loan Documents shall cease, for any reason, to be in full force and effect, or any Loan Party or any Affiliate of any Loan Party shall so assert, or any Lien created by any of the Security Documents shall cease to be enforceable and of the same effect and priority purported to be created thereby; or</w:t>
      </w:r>
    </w:p>
    <w:p>
      <w:pPr>
        <w:spacing w:after="0" w:line="135"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65"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or series of events by which (i) Essential shall cease to directly or indirectly own and control at least 51% of the economic and voting interests in the Borrower, or (ii) the Borrower shall cease to directly own and control 100% of the economic and voting interests in Peoples, Peoples Gas, and any other Significant Subsidiary; or</w:t>
      </w:r>
    </w:p>
    <w:p>
      <w:pPr>
        <w:spacing w:after="0" w:line="135" w:lineRule="exact"/>
        <w:rPr>
          <w:rFonts w:ascii="Times New Roman" w:cs="Times New Roman" w:eastAsia="Times New Roman" w:hAnsi="Times New Roman"/>
          <w:sz w:val="18"/>
          <w:szCs w:val="18"/>
          <w:color w:val="auto"/>
        </w:rPr>
      </w:pPr>
    </w:p>
    <w:p>
      <w:pPr>
        <w:jc w:val="both"/>
        <w:ind w:firstLine="1110"/>
        <w:spacing w:after="0" w:line="248" w:lineRule="auto"/>
        <w:tabs>
          <w:tab w:leader="none" w:pos="167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LDC Holdings shall (i) conduct, transact or otherwise engage in, or commit to conduct, transact or otherwise engage in, any business or operations other than those incidental to its ownership of the Capital Stock of the Borrower, (ii) incur, create, assume or suffer to exist any Indebtedness or other liabilities or financial obligations, except</w:t>
      </w:r>
    </w:p>
    <w:p>
      <w:pPr>
        <w:spacing w:after="0" w:line="2" w:lineRule="exact"/>
        <w:rPr>
          <w:rFonts w:ascii="Times New Roman" w:cs="Times New Roman" w:eastAsia="Times New Roman" w:hAnsi="Times New Roman"/>
          <w:sz w:val="18"/>
          <w:szCs w:val="18"/>
          <w:color w:val="auto"/>
        </w:rPr>
      </w:pPr>
    </w:p>
    <w:p>
      <w:pPr>
        <w:ind w:left="280" w:hanging="279"/>
        <w:spacing w:after="0"/>
        <w:tabs>
          <w:tab w:leader="none" w:pos="2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nonconsensual obligations imposed by operation of law and (y) obligations with respect to its Capital Stock, or</w:t>
      </w:r>
    </w:p>
    <w:p>
      <w:pPr>
        <w:jc w:val="both"/>
        <w:ind w:firstLine="1"/>
        <w:spacing w:after="0" w:line="247" w:lineRule="auto"/>
        <w:tabs>
          <w:tab w:leader="none" w:pos="35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 lease, manage or otherwise operate any properties or assets (including cash (other than cash received in connection with dividends or distributions made by the Borrower in accordance with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pending application in the manner contemplated by said Section) and cash equivalents) other than the ownership of shares of Capital Stock of the Borrower;</w:t>
      </w:r>
    </w:p>
    <w:p>
      <w:pPr>
        <w:spacing w:after="0" w:line="3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clause (i) or (ii) of paragraph (f) above with respect to the Borrower, automatically the Revolving Commitments shall immediately terminate and the Loans (with accrued interest thereon) and all other amounts owing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Revolving Commitments to be terminated forthwith, whereupon the Revolving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Except as expressly provided above in this Section, presentment, demand, protest and all other notices of any kind are hereby expressly waived by the Borrower.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 THE AGENTS</w:t>
      </w:r>
    </w:p>
    <w:p>
      <w:pPr>
        <w:spacing w:after="0" w:line="186" w:lineRule="exact"/>
        <w:rPr>
          <w:sz w:val="20"/>
          <w:szCs w:val="20"/>
          <w:color w:val="auto"/>
        </w:rPr>
      </w:pPr>
    </w:p>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PNC Bank, National Association, as the administrative agent of such Lender under this Agreement and the other Loan Documents (including the Intercreditor Agreement), and each such Lender irrevocably authorizes the Administrative Agent, in such capacity, to take such action on its behalf under the provisions of this Agreement and the other Loan Documents and to exercise such powers and</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35" w:name="page236"/>
    <w:bookmarkEnd w:id="235"/>
    <w:p>
      <w:pPr>
        <w:jc w:val="both"/>
        <w:spacing w:after="0" w:line="245" w:lineRule="auto"/>
        <w:rPr>
          <w:sz w:val="20"/>
          <w:szCs w:val="20"/>
          <w:color w:val="auto"/>
        </w:rPr>
      </w:pPr>
      <w:r>
        <w:rPr>
          <w:rFonts w:ascii="Times New Roman" w:cs="Times New Roman" w:eastAsia="Times New Roman" w:hAnsi="Times New Roman"/>
          <w:sz w:val="18"/>
          <w:szCs w:val="18"/>
          <w:color w:val="auto"/>
        </w:rPr>
        <w:t>perform such duties as are expressly delegated to the Administrative Agent by the terms of this Agreement (which includes executing and delivering the Joinder to Intercreditor Agreement and carrying out its obligations under the Intercreditor Agreement on behalf of the Lenders)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8"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40"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60" w:lineRule="auto"/>
        <w:tabs>
          <w:tab w:leader="none" w:pos="166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have any duties or obligations except those expressly specified herein and in the other Loan Documents, and its duties hereunder shall be administrative in nature. Without limiting the generality of the foregoing, the Administrative Agent:</w:t>
      </w:r>
    </w:p>
    <w:p>
      <w:pPr>
        <w:spacing w:after="0" w:line="135" w:lineRule="exact"/>
        <w:rPr>
          <w:rFonts w:ascii="Times New Roman" w:cs="Times New Roman" w:eastAsia="Times New Roman" w:hAnsi="Times New Roman"/>
          <w:sz w:val="18"/>
          <w:szCs w:val="18"/>
          <w:color w:val="auto"/>
        </w:rPr>
      </w:pPr>
    </w:p>
    <w:p>
      <w:pPr>
        <w:ind w:left="560" w:firstLine="1105"/>
        <w:spacing w:after="0" w:line="280" w:lineRule="auto"/>
        <w:tabs>
          <w:tab w:leader="none" w:pos="223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or Event of Default has occurred and is continuing;</w:t>
      </w:r>
    </w:p>
    <w:p>
      <w:pPr>
        <w:spacing w:after="0" w:line="117" w:lineRule="exact"/>
        <w:rPr>
          <w:rFonts w:ascii="Times New Roman" w:cs="Times New Roman" w:eastAsia="Times New Roman" w:hAnsi="Times New Roman"/>
          <w:sz w:val="18"/>
          <w:szCs w:val="18"/>
          <w:color w:val="auto"/>
        </w:rPr>
      </w:pPr>
    </w:p>
    <w:p>
      <w:pPr>
        <w:jc w:val="both"/>
        <w:ind w:left="560" w:firstLine="1105"/>
        <w:spacing w:after="0" w:line="245" w:lineRule="auto"/>
        <w:tabs>
          <w:tab w:leader="none" w:pos="2265"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4" w:lineRule="exact"/>
        <w:rPr>
          <w:rFonts w:ascii="Times New Roman" w:cs="Times New Roman" w:eastAsia="Times New Roman" w:hAnsi="Times New Roman"/>
          <w:sz w:val="18"/>
          <w:szCs w:val="18"/>
          <w:color w:val="auto"/>
        </w:rPr>
      </w:pPr>
    </w:p>
    <w:p>
      <w:pPr>
        <w:jc w:val="both"/>
        <w:ind w:left="560" w:firstLine="1105"/>
        <w:spacing w:after="0" w:line="260" w:lineRule="auto"/>
        <w:tabs>
          <w:tab w:leader="none" w:pos="2281"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specified herein and in the other Loan Documents, have any duty to disclose, and shall not be liable for the failure to disclose, any information relating to the Borrower or any of its Affiliates that is communicated to or</w:t>
      </w: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36" w:name="page237"/>
    <w:bookmarkEnd w:id="236"/>
    <w:p>
      <w:pPr>
        <w:ind w:left="560"/>
        <w:spacing w:after="0"/>
        <w:rPr>
          <w:sz w:val="20"/>
          <w:szCs w:val="20"/>
          <w:color w:val="auto"/>
        </w:rPr>
      </w:pPr>
      <w:r>
        <w:rPr>
          <w:rFonts w:ascii="Times New Roman" w:cs="Times New Roman" w:eastAsia="Times New Roman" w:hAnsi="Times New Roman"/>
          <w:sz w:val="18"/>
          <w:szCs w:val="18"/>
          <w:color w:val="auto"/>
        </w:rPr>
        <w:t>obtained by the Person serving as the Administrative Agent or any of its Affiliates in any capacity.</w:t>
      </w:r>
    </w:p>
    <w:p>
      <w:pPr>
        <w:spacing w:after="0" w:line="186" w:lineRule="exact"/>
        <w:rPr>
          <w:sz w:val="20"/>
          <w:szCs w:val="20"/>
          <w:color w:val="auto"/>
        </w:rPr>
      </w:pPr>
    </w:p>
    <w:p>
      <w:pPr>
        <w:jc w:val="both"/>
        <w:ind w:firstLine="1110"/>
        <w:spacing w:after="0" w:line="247" w:lineRule="auto"/>
        <w:tabs>
          <w:tab w:leader="none" w:pos="1671"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or Event of Default unless and until notice describing such Default or Event of Default is given to the Administrative Agent in writing by the Borrower or a Lender.</w:t>
      </w:r>
    </w:p>
    <w:p>
      <w:pPr>
        <w:spacing w:after="0" w:line="149" w:lineRule="exact"/>
        <w:rPr>
          <w:rFonts w:ascii="Times New Roman" w:cs="Times New Roman" w:eastAsia="Times New Roman" w:hAnsi="Times New Roman"/>
          <w:sz w:val="18"/>
          <w:szCs w:val="18"/>
          <w:color w:val="auto"/>
        </w:rPr>
      </w:pPr>
    </w:p>
    <w:p>
      <w:pPr>
        <w:ind w:left="1660" w:hanging="550"/>
        <w:spacing w:after="0"/>
        <w:tabs>
          <w:tab w:leader="none" w:pos="16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for or have any duty to ascertain or inquire into</w:t>
      </w:r>
    </w:p>
    <w:p>
      <w:pPr>
        <w:spacing w:after="0" w:line="20" w:lineRule="exact"/>
        <w:rPr>
          <w:rFonts w:ascii="Times New Roman" w:cs="Times New Roman" w:eastAsia="Times New Roman" w:hAnsi="Times New Roman"/>
          <w:sz w:val="18"/>
          <w:szCs w:val="18"/>
          <w:color w:val="auto"/>
        </w:rPr>
      </w:pPr>
    </w:p>
    <w:p>
      <w:pPr>
        <w:ind w:left="220" w:hanging="219"/>
        <w:spacing w:after="0"/>
        <w:tabs>
          <w:tab w:leader="none" w:pos="2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warranty or representation made in or in connection with this Agreement or any other Loan Document,</w:t>
      </w:r>
    </w:p>
    <w:p>
      <w:pPr>
        <w:jc w:val="both"/>
        <w:ind w:firstLine="1"/>
        <w:spacing w:after="0" w:line="244" w:lineRule="auto"/>
        <w:tabs>
          <w:tab w:leader="none" w:pos="28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Default or Event of Default, (iv) the validity, enforceability, effectiveness or genuineness of this Agreement, any other Loan Document or any other agreement, instrument or document, or (v) the satisfaction of any condition specified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50"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Reliance by Administrative Agent; Delegation of Duties</w:t>
      </w:r>
      <w:r>
        <w:rPr>
          <w:rFonts w:ascii="Times New Roman" w:cs="Times New Roman" w:eastAsia="Times New Roman" w:hAnsi="Times New Roman"/>
          <w:sz w:val="18"/>
          <w:szCs w:val="18"/>
          <w:color w:val="auto"/>
        </w:rPr>
        <w:t>. (a) The Administrative Agent shall be entitled to rely, and shall be fully protected in relying, upon any instrument, writing, resolution, notice, consent, certificate, affidavit, letter,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Lender prior to the making of such Loan.</w:t>
      </w: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37" w:name="page238"/>
    <w:bookmarkEnd w:id="237"/>
    <w:p>
      <w:pPr>
        <w:jc w:val="both"/>
        <w:ind w:firstLine="1110"/>
        <w:spacing w:after="0" w:line="215" w:lineRule="exact"/>
        <w:tabs>
          <w:tab w:leader="none" w:pos="167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and all of its duties and exercise its rights and powers hereunder or under any other Loan Document by or through any one or more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agents appointed by the Administrative Agent. The Administrative Agent and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and to the related parties of the Administrative Agent and any such sub-agent, and shall apply to their respective activities in connection with the syndication of the facilities hereunder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58"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and the other Agents.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55"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Lender, and based on such documents and information as it has deemed appropriate, made its own appraisal of an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advisors, attorneys-in-fact or affiliates.</w:t>
      </w: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38" w:name="page239"/>
    <w:bookmarkEnd w:id="238"/>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Lenders agree to indemnify each Agent, the Swing Line Lender and their respective officers, directors, employees, affiliates, agents, advisors and controlling persons (each, an “</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(to the extent not reimbursed by the Borrower and without limiting the obligation of the Borrower to do so), ratably according to their respective Revolving Percentages in effect on the date on which indemnification is sought under this Section (or, if indemnification is sought after the date upon which the Revolving Commitments shall have terminated and the Loans shall have been paid in full, ratably in accordance with such Revolving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Revolving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payment of the Loans and all other amounts payable hereunder.</w:t>
      </w:r>
    </w:p>
    <w:p>
      <w:pPr>
        <w:spacing w:after="0" w:line="15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46"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xml:space="preserve">.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continue to inure to its benefit. Any such successor Administrative Agent</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39" w:name="page240"/>
    <w:bookmarkEnd w:id="239"/>
    <w:p>
      <w:pPr>
        <w:spacing w:after="0" w:line="280" w:lineRule="auto"/>
        <w:rPr>
          <w:sz w:val="20"/>
          <w:szCs w:val="20"/>
          <w:color w:val="auto"/>
        </w:rPr>
      </w:pPr>
      <w:r>
        <w:rPr>
          <w:rFonts w:ascii="Times New Roman" w:cs="Times New Roman" w:eastAsia="Times New Roman" w:hAnsi="Times New Roman"/>
          <w:sz w:val="18"/>
          <w:szCs w:val="18"/>
          <w:color w:val="auto"/>
        </w:rPr>
        <w:t>shall promptly execute and deliver to the Collateral Agent an Administrative Agent Joinder (as such term is defined in the Intercreditor Agreement).</w:t>
      </w:r>
    </w:p>
    <w:p>
      <w:pPr>
        <w:spacing w:after="0" w:line="118" w:lineRule="exact"/>
        <w:rPr>
          <w:sz w:val="20"/>
          <w:szCs w:val="20"/>
          <w:color w:val="auto"/>
        </w:rPr>
      </w:pPr>
    </w:p>
    <w:p>
      <w:pPr>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The Lead Arranger shall not have any duties or responsibilities hereunder in its capacity as such.</w:t>
      </w:r>
    </w:p>
    <w:p>
      <w:pPr>
        <w:spacing w:after="0" w:line="376"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50" w:lineRule="auto"/>
        <w:tabs>
          <w:tab w:leader="none" w:pos="166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Loan Party, that at least one of the following is and will be true:</w:t>
      </w:r>
    </w:p>
    <w:p>
      <w:pPr>
        <w:spacing w:after="0" w:line="146" w:lineRule="exact"/>
        <w:rPr>
          <w:rFonts w:ascii="Times New Roman" w:cs="Times New Roman" w:eastAsia="Times New Roman" w:hAnsi="Times New Roman"/>
          <w:sz w:val="18"/>
          <w:szCs w:val="18"/>
          <w:color w:val="auto"/>
        </w:rPr>
      </w:pPr>
    </w:p>
    <w:p>
      <w:pPr>
        <w:jc w:val="both"/>
        <w:ind w:left="560" w:firstLine="1105"/>
        <w:spacing w:after="0" w:line="260" w:lineRule="auto"/>
        <w:tabs>
          <w:tab w:leader="none" w:pos="223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Revolving Commitments or this Agreement,</w:t>
      </w:r>
    </w:p>
    <w:p>
      <w:pPr>
        <w:spacing w:after="0" w:line="135" w:lineRule="exact"/>
        <w:rPr>
          <w:rFonts w:ascii="Times New Roman" w:cs="Times New Roman" w:eastAsia="Times New Roman" w:hAnsi="Times New Roman"/>
          <w:sz w:val="18"/>
          <w:szCs w:val="18"/>
          <w:color w:val="auto"/>
        </w:rPr>
      </w:pPr>
    </w:p>
    <w:p>
      <w:pPr>
        <w:jc w:val="both"/>
        <w:ind w:left="560" w:firstLine="1105"/>
        <w:spacing w:after="0" w:line="246" w:lineRule="auto"/>
        <w:tabs>
          <w:tab w:leader="none" w:pos="226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Revolving Commitments and this Agreement,</w:t>
      </w:r>
    </w:p>
    <w:p>
      <w:pPr>
        <w:spacing w:after="0" w:line="151" w:lineRule="exact"/>
        <w:rPr>
          <w:rFonts w:ascii="Times New Roman" w:cs="Times New Roman" w:eastAsia="Times New Roman" w:hAnsi="Times New Roman"/>
          <w:sz w:val="18"/>
          <w:szCs w:val="18"/>
          <w:color w:val="auto"/>
        </w:rPr>
      </w:pPr>
    </w:p>
    <w:p>
      <w:pPr>
        <w:jc w:val="both"/>
        <w:ind w:left="560" w:firstLine="1105"/>
        <w:spacing w:after="0" w:line="246" w:lineRule="auto"/>
        <w:tabs>
          <w:tab w:leader="none" w:pos="228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Revolving Commitments and this Agreement, (C) the entrance into, participation in, administration of and performance of the Loans, the Revolving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Revolving Commitments and this Agreement, or</w:t>
      </w:r>
    </w:p>
    <w:p>
      <w:pPr>
        <w:spacing w:after="0" w:line="151" w:lineRule="exact"/>
        <w:rPr>
          <w:rFonts w:ascii="Times New Roman" w:cs="Times New Roman" w:eastAsia="Times New Roman" w:hAnsi="Times New Roman"/>
          <w:sz w:val="18"/>
          <w:szCs w:val="18"/>
          <w:color w:val="auto"/>
        </w:rPr>
      </w:pPr>
    </w:p>
    <w:p>
      <w:pPr>
        <w:ind w:left="560" w:firstLine="1105"/>
        <w:spacing w:after="0" w:line="280" w:lineRule="auto"/>
        <w:tabs>
          <w:tab w:leader="none" w:pos="227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17"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7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40" w:name="page241"/>
    <w:bookmarkEnd w:id="240"/>
    <w:p>
      <w:pPr>
        <w:jc w:val="both"/>
        <w:spacing w:after="0" w:line="247" w:lineRule="auto"/>
        <w:rPr>
          <w:sz w:val="20"/>
          <w:szCs w:val="20"/>
          <w:color w:val="auto"/>
        </w:rPr>
      </w:pPr>
      <w:r>
        <w:rPr>
          <w:rFonts w:ascii="Times New Roman" w:cs="Times New Roman" w:eastAsia="Times New Roman" w:hAnsi="Times New Roman"/>
          <w:sz w:val="18"/>
          <w:szCs w:val="18"/>
          <w:color w:val="auto"/>
        </w:rPr>
        <w:t>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Loan Party, that none of the Administrative Agent, the Lead Arranger nor any of their respective Affiliates is a fiduciary with respect to the assets of such Lender involved in such Lender’s entrance into, participation in, administration of and performance of the Loans, the Revolving Commitments and this Agreement (including in connection with the reservation or exercise of any rights by the Administrative Agent under this Agreement, any Loan Document or any documents related hereto or thereto).</w:t>
      </w:r>
    </w:p>
    <w:p>
      <w:pPr>
        <w:spacing w:after="0" w:line="149"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43" w:lineRule="auto"/>
        <w:tabs>
          <w:tab w:leader="none" w:pos="166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or any Person who has received funds on behalf of a Lender (any such Lender or other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55" w:lineRule="exact"/>
        <w:rPr>
          <w:rFonts w:ascii="Times New Roman" w:cs="Times New Roman" w:eastAsia="Times New Roman" w:hAnsi="Times New Roman"/>
          <w:sz w:val="18"/>
          <w:szCs w:val="18"/>
          <w:color w:val="auto"/>
        </w:rPr>
      </w:pPr>
    </w:p>
    <w:p>
      <w:pPr>
        <w:jc w:val="both"/>
        <w:ind w:firstLine="1110"/>
        <w:spacing w:after="0" w:line="246" w:lineRule="auto"/>
        <w:tabs>
          <w:tab w:leader="none" w:pos="167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in each case:</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41" w:name="page242"/>
    <w:bookmarkEnd w:id="241"/>
    <w:p>
      <w:pPr>
        <w:jc w:val="both"/>
        <w:ind w:left="560" w:firstLine="1105"/>
        <w:spacing w:after="0" w:line="254" w:lineRule="auto"/>
        <w:tabs>
          <w:tab w:leader="none" w:pos="223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40" w:lineRule="exact"/>
        <w:rPr>
          <w:rFonts w:ascii="Times New Roman" w:cs="Times New Roman" w:eastAsia="Times New Roman" w:hAnsi="Times New Roman"/>
          <w:sz w:val="18"/>
          <w:szCs w:val="18"/>
          <w:color w:val="auto"/>
        </w:rPr>
      </w:pPr>
    </w:p>
    <w:p>
      <w:pPr>
        <w:jc w:val="both"/>
        <w:ind w:left="560" w:firstLine="1105"/>
        <w:spacing w:after="0" w:line="254" w:lineRule="auto"/>
        <w:tabs>
          <w:tab w:leader="none" w:pos="226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6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under the indemnification provisions of this Agreement.</w:t>
      </w:r>
    </w:p>
    <w:p>
      <w:pPr>
        <w:spacing w:after="0" w:line="140" w:lineRule="exact"/>
        <w:rPr>
          <w:rFonts w:ascii="Times New Roman" w:cs="Times New Roman" w:eastAsia="Times New Roman" w:hAnsi="Times New Roman"/>
          <w:sz w:val="18"/>
          <w:szCs w:val="18"/>
          <w:color w:val="auto"/>
        </w:rPr>
      </w:pPr>
    </w:p>
    <w:p>
      <w:pPr>
        <w:jc w:val="both"/>
        <w:ind w:firstLine="1110"/>
        <w:spacing w:after="0" w:line="244" w:lineRule="auto"/>
        <w:tabs>
          <w:tab w:leader="none" w:pos="167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at any time, (i) such Lender shall be deemed to have assigned its Loans (but not its Revolving Commitments)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Return Deficiency (or such lesser amount as the Administrative Agent may specify) (such assignment of the Loans (but not Revolving Commitments) of the Erroneous Payment Impacted Class, the “</w:t>
      </w:r>
      <w:r>
        <w:rPr>
          <w:rFonts w:ascii="Times New Roman" w:cs="Times New Roman" w:eastAsia="Times New Roman" w:hAnsi="Times New Roman"/>
          <w:sz w:val="18"/>
          <w:szCs w:val="18"/>
          <w:u w:val="single" w:color="auto"/>
          <w:color w:val="auto"/>
        </w:rPr>
        <w:t>Erroneous Payment Deficiency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Revolving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w:t>
      </w: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42" w:name="page243"/>
    <w:bookmarkEnd w:id="242"/>
    <w:p>
      <w:pPr>
        <w:jc w:val="both"/>
        <w:spacing w:after="0" w:line="248" w:lineRule="auto"/>
        <w:rPr>
          <w:sz w:val="20"/>
          <w:szCs w:val="20"/>
          <w:color w:val="auto"/>
        </w:rPr>
      </w:pPr>
      <w:r>
        <w:rPr>
          <w:rFonts w:ascii="Times New Roman" w:cs="Times New Roman" w:eastAsia="Times New Roman" w:hAnsi="Times New Roman"/>
          <w:sz w:val="18"/>
          <w:szCs w:val="18"/>
          <w:color w:val="auto"/>
        </w:rPr>
        <w:t>Assignment will reduce the Revolving Commitments of any Lender and such Revolving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1110"/>
        <w:spacing w:after="0" w:line="251" w:lineRule="auto"/>
        <w:tabs>
          <w:tab w:leader="none" w:pos="166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358" w:lineRule="exact"/>
        <w:rPr>
          <w:rFonts w:ascii="Times New Roman" w:cs="Times New Roman" w:eastAsia="Times New Roman" w:hAnsi="Times New Roman"/>
          <w:sz w:val="18"/>
          <w:szCs w:val="18"/>
          <w:color w:val="auto"/>
        </w:rPr>
      </w:pPr>
    </w:p>
    <w:p>
      <w:pPr>
        <w:jc w:val="both"/>
        <w:ind w:firstLine="1110"/>
        <w:spacing w:after="0" w:line="251" w:lineRule="auto"/>
        <w:tabs>
          <w:tab w:leader="none" w:pos="16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358"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survive the resignation or replacement of the Administrative Agent, the termination of the Revolving Commitments and/or the repayment, satisfaction or discharge of all Obligations (or any portion thereof) under any Loan Document.</w:t>
      </w:r>
    </w:p>
    <w:p>
      <w:pPr>
        <w:spacing w:after="0" w:line="136"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Arranger, any Bookrunner, the Administrative Agent or any Lender is intended to be or has been created in respect of the transactions contemplated hereby or by the other Loan Documents, irrespective of whether any Arranger, any Bookrunner, the Administrative Agent, or any Lender has advised or is advising the Borrower or any Subsidiary on other matters, (ii) the arranging and other services regarding this Agreement provided by any Arranger, any Bookrunner, the Administrative Agent, and the Lenders are arm’s-length commercial transactions between the Borrower and its Affiliates, on the one hand, and the Arrangers, the Bookrunners, the Administrative Agent, and the Lenders,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by the other Loan Documents; and (b) (i) each of the Arrangers, the Bookrunners, the Agent, and the Lenders is and has been acting solely as a principal and, except as expressly agreed in writing by the relevant parties, has not been, is not, and will not be acting as an advisor, agent or fiduciary for the Borrower or any of its Affiliates, or any other Person; (ii) none of the Arrangers, the Bookrunners,</w:t>
      </w: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43" w:name="page244"/>
    <w:bookmarkEnd w:id="243"/>
    <w:p>
      <w:pPr>
        <w:jc w:val="both"/>
        <w:spacing w:after="0" w:line="245" w:lineRule="auto"/>
        <w:rPr>
          <w:sz w:val="20"/>
          <w:szCs w:val="20"/>
          <w:color w:val="auto"/>
        </w:rPr>
      </w:pPr>
      <w:r>
        <w:rPr>
          <w:rFonts w:ascii="Times New Roman" w:cs="Times New Roman" w:eastAsia="Times New Roman" w:hAnsi="Times New Roman"/>
          <w:sz w:val="18"/>
          <w:szCs w:val="18"/>
          <w:color w:val="auto"/>
        </w:rPr>
        <w:t>the Administrative Agent, and the Lenders has any obligation to the Borrower or any of the Borrower’s Affiliates with respect to the transactions contemplated hereby except those obligations expressly set forth herein and in the other Loan Documents; and (iii) the Arrangers, the Bookrunners, the Administrative Agent, and the Lenders and their respective Affiliates may be engaged, for their own accounts or the accounts of customers, in a broad range of transactions that involve interests that differ from those of the Borrower and its Affiliates, and none of the Arrangers, the Bookrunners, the Administrative Agent, and the Lenders has any obligation to disclose any of such interests to the Borrower or its Affiliates. To the fullest extent permitted by law, the Borrower hereby waives and releases any claims that it may have against any of the Arrangers, the Bookrunners, the Administrative Agent, and the Lenders with respect to any breach or alleged breach of agency or fiduciary duty in connection with any aspect of any transaction contemplated hereby.</w:t>
      </w:r>
    </w:p>
    <w:p>
      <w:pPr>
        <w:spacing w:after="0" w:line="155"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proceeding under any Debtor Relief Law,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46" w:lineRule="exact"/>
        <w:rPr>
          <w:sz w:val="20"/>
          <w:szCs w:val="20"/>
          <w:color w:val="auto"/>
        </w:rPr>
      </w:pPr>
    </w:p>
    <w:p>
      <w:pPr>
        <w:jc w:val="both"/>
        <w:ind w:firstLine="1110"/>
        <w:spacing w:after="0" w:line="248" w:lineRule="auto"/>
        <w:tabs>
          <w:tab w:leader="none" w:pos="166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allowed in such judicial proceeding; and</w:t>
      </w:r>
    </w:p>
    <w:p>
      <w:pPr>
        <w:spacing w:after="0" w:line="149"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distribute the same;</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359"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No Reliance on Administrative Agent’s Customer Identification Program</w:t>
      </w:r>
      <w:r>
        <w:rPr>
          <w:rFonts w:ascii="Times New Roman" w:cs="Times New Roman" w:eastAsia="Times New Roman" w:hAnsi="Times New Roman"/>
          <w:sz w:val="18"/>
          <w:szCs w:val="18"/>
          <w:color w:val="auto"/>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Patriot Act or the regulations thereunder, including the regulations contained in 31 CFR 103.121 (as hereafter amended or replaced, the “</w:t>
      </w: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or any other Anti-Money Laundering Law, any Anti-Corruption Law, or any International Trade Law, including any programs involving any of the following items relating to</w:t>
      </w: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44" w:name="page245"/>
    <w:bookmarkEnd w:id="244"/>
    <w:p>
      <w:pPr>
        <w:jc w:val="both"/>
        <w:spacing w:after="0" w:line="260" w:lineRule="auto"/>
        <w:rPr>
          <w:sz w:val="20"/>
          <w:szCs w:val="20"/>
          <w:color w:val="auto"/>
        </w:rPr>
      </w:pPr>
      <w:r>
        <w:rPr>
          <w:rFonts w:ascii="Times New Roman" w:cs="Times New Roman" w:eastAsia="Times New Roman" w:hAnsi="Times New Roman"/>
          <w:sz w:val="18"/>
          <w:szCs w:val="18"/>
          <w:color w:val="auto"/>
        </w:rPr>
        <w:t>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10. MISCELLANEOUS</w:t>
      </w:r>
    </w:p>
    <w:p>
      <w:pPr>
        <w:spacing w:after="0" w:line="186"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neither this Agreement, any other Loan Document, nor any terms hereof or thereof may be amended, waived, supplemented or modified except in accordance with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Required Lenders and each Loan Party to the relevant Loan Document may, or, with the written consent of the Required Lenders, the Administrative Agent and each Loan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4" w:lineRule="exact"/>
        <w:rPr>
          <w:sz w:val="20"/>
          <w:szCs w:val="20"/>
          <w:color w:val="auto"/>
        </w:rPr>
      </w:pPr>
    </w:p>
    <w:p>
      <w:pPr>
        <w:jc w:val="both"/>
        <w:ind w:firstLine="1"/>
        <w:spacing w:after="0" w:line="241" w:lineRule="auto"/>
        <w:tabs>
          <w:tab w:leader="none" w:pos="24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any Lender’s Revolving Commitment, forgive the principal amount or extend the final scheduled date of maturity of any Loan, reduce the stated rate of any interest or fee payable hereunder (except (x) in connection with the waiver of applicability of any post-default increase in interest rates (which waiver shall be effective with the consent of the Required Lenders) and (y) that any amendment or modification of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Revolving Commitment, in each case without the written consent of each Lender directly affected thereby; (ii) eliminate or reduce the voting rights of any Lender under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without the written consent of such Lender; (iii) reduce any percentage specified in, or otherwise change, the definition of Required Lenders, consent to the assignment or transfer by the Borrower of any of its rights and obligations under this Agreement and the other Loan Documents, release all or substantially all of the Collateral, release the Borrower from its obligations under the Security Agreement, subordinate, or have the effect of subordinating, the Obligations hereunder to any other Indebtedness for borrowed money or subordinate, or have the effect of subordinating, the Liens securing the Obligations to Liens securing any other Indebtedness for borrowed money (provided that this clause (iii) shall not prohibit the Administrative Agent, in its sole discretion, from subordinating its Lien on a specific piece of property to a purchase money security interest or finance lease in such property that is permitted hereunder), in each case without the written consent of all directly and adversely affected Lenders; (iv) amend, modify or waive any provision of (A) </w:t>
      </w:r>
      <w:r>
        <w:rPr>
          <w:rFonts w:ascii="Times New Roman" w:cs="Times New Roman" w:eastAsia="Times New Roman" w:hAnsi="Times New Roman"/>
          <w:sz w:val="18"/>
          <w:szCs w:val="18"/>
          <w:u w:val="single" w:color="auto"/>
          <w:color w:val="auto"/>
        </w:rPr>
        <w:t>Sections 2.12(a)-(c)</w:t>
      </w:r>
      <w:r>
        <w:rPr>
          <w:rFonts w:ascii="Times New Roman" w:cs="Times New Roman" w:eastAsia="Times New Roman" w:hAnsi="Times New Roman"/>
          <w:sz w:val="18"/>
          <w:szCs w:val="18"/>
          <w:color w:val="auto"/>
        </w:rPr>
        <w:t xml:space="preserve"> (or any other section relating to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treatment of Lenders) without the written consent of each directly and adversely affected Lender or (B) the other portions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without the written consent of the Required Lenders; (v) amend, modify or waive any provision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any other provision of any Loan Document that affects the Administrative Agent without the written consent of the Administrative Agent or (vi) amend, modify or waive any provision of any Loan Document that directly and adversely affects the Swing Line Lender without the written consent of the Swing Line Lender. Any such waiver and any such amendment, supplement or modification shall apply</w:t>
      </w: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45" w:name="page246"/>
    <w:bookmarkEnd w:id="245"/>
    <w:p>
      <w:pPr>
        <w:jc w:val="both"/>
        <w:spacing w:after="0" w:line="250" w:lineRule="auto"/>
        <w:rPr>
          <w:sz w:val="20"/>
          <w:szCs w:val="20"/>
          <w:color w:val="auto"/>
        </w:rPr>
      </w:pPr>
      <w:r>
        <w:rPr>
          <w:rFonts w:ascii="Times New Roman" w:cs="Times New Roman" w:eastAsia="Times New Roman" w:hAnsi="Times New Roman"/>
          <w:sz w:val="18"/>
          <w:szCs w:val="18"/>
          <w:color w:val="auto"/>
        </w:rPr>
        <w:t>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46" w:lineRule="exact"/>
        <w:rPr>
          <w:sz w:val="20"/>
          <w:szCs w:val="20"/>
          <w:color w:val="auto"/>
        </w:rPr>
      </w:pPr>
    </w:p>
    <w:p>
      <w:pPr>
        <w:jc w:val="both"/>
        <w:ind w:firstLine="1109"/>
        <w:spacing w:after="0" w:line="244" w:lineRule="auto"/>
        <w:rPr>
          <w:sz w:val="20"/>
          <w:szCs w:val="20"/>
          <w:color w:val="auto"/>
        </w:rPr>
      </w:pPr>
      <w:r>
        <w:rPr>
          <w:rFonts w:ascii="Times New Roman" w:cs="Times New Roman" w:eastAsia="Times New Roman" w:hAnsi="Times New Roman"/>
          <w:sz w:val="18"/>
          <w:szCs w:val="18"/>
          <w:color w:val="auto"/>
        </w:rPr>
        <w:t xml:space="preserve">Furthermore, notwithstanding the foregoing: (a) the Administrative Agent, with the consent of the Borrower, may amend, modify or supplement any Loan Document without the consent of any Lender or the Required Lenders in order to correct, amend or cure any ambiguity, inconsistency or defect or correct any typographical error or other manifest error in any Loan Document, (b) no consent with respect to any amendment, modification, waiver or supplement of this Agreement or any other Loan Document shall be required of any Defaulting Lender, except as provided in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(c) in the case of any amendment, modification, waiver or supplement referred to in the proviso of the first paragraph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no consent with respect to any amendment, modification, waiver or supplement of this Agreement or any other Loan Document shall be required of any Lender that receives payment in full of the principal of and interest accrued on each Loan made by such Lender, and all other amounts owing to or accrued for the account of such Lender under this Agreement and the other Loan Documents, at the time such amendment, modification, waiver or supplement becomes effective and whose Revolving Commitments terminate by the terms and upon the effectiveness of such amendment, modification, waiver or supplement.</w:t>
      </w:r>
    </w:p>
    <w:p>
      <w:pPr>
        <w:spacing w:after="0" w:line="155"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All notices, requests and demands to or upon the respective parties hereto to be effective shall be in writing (including by electronic transmission), and, unless otherwise expressly provided herein, shall be deemed to have been duly given or made when delivered, or three Business Days after being deposited in the mail, postage prepaid, or, in the case of electronic transmission notice, upon the receiver’s acknowledgment such notice has been received, addressed as follows in the case of the Borrower, the Administrative Agent and the Swing Line Lender, and as set forth in an administrative questionnaire delivered to the Administrative Agent in the case of the Lenders, or to such other address as may be hereafter notified by the respective parties hereto:</w:t>
      </w: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08"/>
        </w:trPr>
        <w:tc>
          <w:tcPr>
            <w:tcW w:w="2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Borrower:</w:t>
            </w: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PNG Companies LLC</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375 North Shore Drive, Suite 600</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Pittsburgh, PA 15212</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 Kim Edvardsson, Vice President, Finance</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Email: kim.edvardsson@peoples-gas.com</w:t>
            </w:r>
          </w:p>
        </w:tc>
      </w:tr>
      <w:tr>
        <w:trPr>
          <w:trHeight w:val="241"/>
        </w:trPr>
        <w:tc>
          <w:tcPr>
            <w:tcW w:w="2840" w:type="dxa"/>
            <w:vAlign w:val="bottom"/>
          </w:tcPr>
          <w:p>
            <w:pPr>
              <w:spacing w:after="0"/>
              <w:rPr>
                <w:sz w:val="20"/>
                <w:szCs w:val="20"/>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360"/>
        </w:trPr>
        <w:tc>
          <w:tcPr>
            <w:tcW w:w="2840" w:type="dxa"/>
            <w:vAlign w:val="bottom"/>
          </w:tcPr>
          <w:p>
            <w:pPr>
              <w:spacing w:after="0"/>
              <w:rPr>
                <w:sz w:val="24"/>
                <w:szCs w:val="24"/>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Essential Utilities, Inc.</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762 W. Lancaster Avenue</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Bryn Mawr, PA 19010-3489</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 Christopher P. Luning, Executive Vice</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President and General Counsel</w:t>
            </w:r>
          </w:p>
        </w:tc>
      </w:tr>
      <w:tr>
        <w:trPr>
          <w:trHeight w:val="241"/>
        </w:trPr>
        <w:tc>
          <w:tcPr>
            <w:tcW w:w="2840" w:type="dxa"/>
            <w:vAlign w:val="bottom"/>
          </w:tcPr>
          <w:p>
            <w:pPr>
              <w:spacing w:after="0"/>
              <w:rPr>
                <w:sz w:val="20"/>
                <w:szCs w:val="20"/>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Email: cpluning@essential.com</w:t>
            </w:r>
          </w:p>
        </w:tc>
      </w:tr>
      <w:tr>
        <w:trPr>
          <w:trHeight w:val="416"/>
        </w:trPr>
        <w:tc>
          <w:tcPr>
            <w:tcW w:w="2840" w:type="dxa"/>
            <w:vAlign w:val="bottom"/>
          </w:tcPr>
          <w:p>
            <w:pPr>
              <w:spacing w:after="0"/>
              <w:rPr>
                <w:sz w:val="24"/>
                <w:szCs w:val="24"/>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r>
      <w:tr>
        <w:trPr>
          <w:trHeight w:val="360"/>
        </w:trPr>
        <w:tc>
          <w:tcPr>
            <w:tcW w:w="2840" w:type="dxa"/>
            <w:vAlign w:val="bottom"/>
          </w:tcPr>
          <w:p>
            <w:pPr>
              <w:spacing w:after="0"/>
              <w:rPr>
                <w:sz w:val="24"/>
                <w:szCs w:val="24"/>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O’Melveny &amp; Myers LLP</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Times Square Tower</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New York, NY 10036</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 Maria von Schack</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Telephone: (212) 236-2183</w:t>
            </w:r>
          </w:p>
        </w:tc>
      </w:tr>
      <w:tr>
        <w:trPr>
          <w:trHeight w:val="241"/>
        </w:trPr>
        <w:tc>
          <w:tcPr>
            <w:tcW w:w="2840" w:type="dxa"/>
            <w:vAlign w:val="bottom"/>
          </w:tcPr>
          <w:p>
            <w:pPr>
              <w:spacing w:after="0"/>
              <w:rPr>
                <w:sz w:val="20"/>
                <w:szCs w:val="20"/>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Email: mvonschack@omm.com</w:t>
            </w:r>
          </w:p>
        </w:tc>
      </w:tr>
      <w:tr>
        <w:trPr>
          <w:trHeight w:val="383"/>
        </w:trPr>
        <w:tc>
          <w:tcPr>
            <w:tcW w:w="2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Administrative Agent</w:t>
            </w: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PNC Bank, National Association</w:t>
            </w:r>
          </w:p>
        </w:tc>
      </w:tr>
      <w:tr>
        <w:trPr>
          <w:trHeight w:val="208"/>
        </w:trPr>
        <w:tc>
          <w:tcPr>
            <w:tcW w:w="2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 Swing Line Lender:</w:t>
            </w: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Mail Stop: F4-F074-03-1</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1000 Westlakes Drive</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Berwyn, PA 19312</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 Meredith Jermann</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Telephone: (215) 585-5622</w:t>
            </w:r>
          </w:p>
        </w:tc>
      </w:tr>
      <w:tr>
        <w:trPr>
          <w:trHeight w:val="241"/>
        </w:trPr>
        <w:tc>
          <w:tcPr>
            <w:tcW w:w="2840" w:type="dxa"/>
            <w:vAlign w:val="bottom"/>
          </w:tcPr>
          <w:p>
            <w:pPr>
              <w:spacing w:after="0"/>
              <w:rPr>
                <w:sz w:val="20"/>
                <w:szCs w:val="20"/>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Email: meredith.jermann@pnc.com</w:t>
            </w:r>
          </w:p>
        </w:tc>
      </w:tr>
      <w:tr>
        <w:trPr>
          <w:trHeight w:val="416"/>
        </w:trPr>
        <w:tc>
          <w:tcPr>
            <w:tcW w:w="2840" w:type="dxa"/>
            <w:vAlign w:val="bottom"/>
          </w:tcPr>
          <w:p>
            <w:pPr>
              <w:spacing w:after="0"/>
              <w:rPr>
                <w:sz w:val="24"/>
                <w:szCs w:val="24"/>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360"/>
        </w:trPr>
        <w:tc>
          <w:tcPr>
            <w:tcW w:w="2840" w:type="dxa"/>
            <w:vAlign w:val="bottom"/>
          </w:tcPr>
          <w:p>
            <w:pPr>
              <w:spacing w:after="0"/>
              <w:rPr>
                <w:sz w:val="24"/>
                <w:szCs w:val="24"/>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Agency Services</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PNC Bank, National Association</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Mail Stop: P7-PFSC-05-W</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500 First Avenue</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Pittsburgh, PA 15219</w:t>
            </w:r>
          </w:p>
        </w:tc>
      </w:tr>
      <w:tr>
        <w:trPr>
          <w:trHeight w:val="208"/>
        </w:trPr>
        <w:tc>
          <w:tcPr>
            <w:tcW w:w="2840" w:type="dxa"/>
            <w:vAlign w:val="bottom"/>
          </w:tcPr>
          <w:p>
            <w:pPr>
              <w:spacing w:after="0"/>
              <w:rPr>
                <w:sz w:val="18"/>
                <w:szCs w:val="18"/>
                <w:color w:val="auto"/>
              </w:rPr>
            </w:pPr>
          </w:p>
        </w:tc>
        <w:tc>
          <w:tcPr>
            <w:tcW w:w="6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 Agency Services</w:t>
            </w:r>
          </w:p>
        </w:tc>
      </w:tr>
      <w:tr>
        <w:trPr>
          <w:trHeight w:val="208"/>
        </w:trPr>
        <w:tc>
          <w:tcPr>
            <w:tcW w:w="2840" w:type="dxa"/>
            <w:vAlign w:val="bottom"/>
          </w:tcPr>
          <w:p>
            <w:pPr>
              <w:spacing w:after="0"/>
              <w:rPr>
                <w:sz w:val="18"/>
                <w:szCs w:val="18"/>
                <w:color w:val="auto"/>
              </w:rPr>
            </w:pP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Telecopy:</w:t>
            </w:r>
          </w:p>
        </w:tc>
        <w:tc>
          <w:tcPr>
            <w:tcW w:w="5020" w:type="dxa"/>
            <w:vAlign w:val="bottom"/>
          </w:tcPr>
          <w:p>
            <w:pPr>
              <w:jc w:val="right"/>
              <w:ind w:right="3768"/>
              <w:spacing w:after="0"/>
              <w:rPr>
                <w:sz w:val="20"/>
                <w:szCs w:val="20"/>
                <w:color w:val="auto"/>
              </w:rPr>
            </w:pPr>
            <w:r>
              <w:rPr>
                <w:rFonts w:ascii="Times New Roman" w:cs="Times New Roman" w:eastAsia="Times New Roman" w:hAnsi="Times New Roman"/>
                <w:sz w:val="18"/>
                <w:szCs w:val="18"/>
                <w:color w:val="auto"/>
              </w:rPr>
              <w:t>(412) 768-0423</w:t>
            </w:r>
          </w:p>
        </w:tc>
      </w:tr>
      <w:tr>
        <w:trPr>
          <w:trHeight w:val="241"/>
        </w:trPr>
        <w:tc>
          <w:tcPr>
            <w:tcW w:w="2840" w:type="dxa"/>
            <w:vAlign w:val="bottom"/>
          </w:tcPr>
          <w:p>
            <w:pPr>
              <w:spacing w:after="0"/>
              <w:rPr>
                <w:sz w:val="20"/>
                <w:szCs w:val="20"/>
                <w:color w:val="auto"/>
              </w:rPr>
            </w:pP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Telephone:</w:t>
            </w:r>
          </w:p>
        </w:tc>
        <w:tc>
          <w:tcPr>
            <w:tcW w:w="5020" w:type="dxa"/>
            <w:vAlign w:val="bottom"/>
          </w:tcPr>
          <w:p>
            <w:pPr>
              <w:jc w:val="right"/>
              <w:ind w:right="3688"/>
              <w:spacing w:after="0"/>
              <w:rPr>
                <w:sz w:val="20"/>
                <w:szCs w:val="20"/>
                <w:color w:val="auto"/>
              </w:rPr>
            </w:pPr>
            <w:r>
              <w:rPr>
                <w:rFonts w:ascii="Times New Roman" w:cs="Times New Roman" w:eastAsia="Times New Roman" w:hAnsi="Times New Roman"/>
                <w:sz w:val="18"/>
                <w:szCs w:val="18"/>
                <w:color w:val="auto"/>
              </w:rPr>
              <w:t>(412) 715-2006</w:t>
            </w:r>
          </w:p>
        </w:tc>
      </w:tr>
      <w:tr>
        <w:trPr>
          <w:trHeight w:val="809"/>
        </w:trPr>
        <w:tc>
          <w:tcPr>
            <w:tcW w:w="2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20" w:type="dxa"/>
            <w:vAlign w:val="bottom"/>
          </w:tcPr>
          <w:p>
            <w:pPr>
              <w:jc w:val="right"/>
              <w:ind w:right="4268"/>
              <w:spacing w:after="0"/>
              <w:rPr>
                <w:sz w:val="20"/>
                <w:szCs w:val="20"/>
                <w:color w:val="auto"/>
              </w:rPr>
            </w:pPr>
            <w:r>
              <w:rPr>
                <w:rFonts w:ascii="Times New Roman" w:cs="Times New Roman" w:eastAsia="Times New Roman" w:hAnsi="Times New Roman"/>
                <w:sz w:val="18"/>
                <w:szCs w:val="18"/>
                <w:color w:val="auto"/>
              </w:rPr>
              <w:t>82</w:t>
            </w:r>
          </w:p>
        </w:tc>
      </w:tr>
      <w:tr>
        <w:trPr>
          <w:trHeight w:val="291"/>
        </w:trPr>
        <w:tc>
          <w:tcPr>
            <w:tcW w:w="2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r>
        <w:trPr>
          <w:trHeight w:val="20"/>
        </w:trPr>
        <w:tc>
          <w:tcPr>
            <w:tcW w:w="28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50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24" w:right="1419" w:bottom="1440" w:gutter="0" w:footer="0" w:header="0"/>
        </w:sectPr>
      </w:pPr>
    </w:p>
    <w:bookmarkStart w:id="247" w:name="page248"/>
    <w:bookmarkEnd w:id="247"/>
    <w:p>
      <w:pPr>
        <w:ind w:left="660"/>
        <w:spacing w:after="0"/>
        <w:tabs>
          <w:tab w:leader="none" w:pos="320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With a copy to (which shall not constitute notice):</w:t>
      </w:r>
    </w:p>
    <w:p>
      <w:pPr>
        <w:spacing w:after="0" w:line="18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Ballard Spahr LLP</w:t>
      </w:r>
    </w:p>
    <w:p>
      <w:pPr>
        <w:spacing w:after="0" w:line="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1735 Market Street, 51</w:t>
      </w:r>
      <w:r>
        <w:rPr>
          <w:rFonts w:ascii="Times New Roman" w:cs="Times New Roman" w:eastAsia="Times New Roman" w:hAnsi="Times New Roman"/>
          <w:sz w:val="9"/>
          <w:szCs w:val="9"/>
          <w:color w:val="auto"/>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Attention: Richard S. Perelman</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Telecopy: (215) 864-8999</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Telephone: (215) 864-8118</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Email: perelman@ballardspahr.com</w:t>
      </w:r>
    </w:p>
    <w:p>
      <w:pPr>
        <w:spacing w:after="0" w:line="3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request or demand to or upon the Administrative Agent, Swing Line Lender or the other Lenders shall not be effective until received.</w:t>
      </w:r>
    </w:p>
    <w:p>
      <w:pPr>
        <w:spacing w:after="0" w:line="118" w:lineRule="exact"/>
        <w:rPr>
          <w:sz w:val="20"/>
          <w:szCs w:val="20"/>
          <w:color w:val="auto"/>
        </w:rPr>
      </w:pPr>
    </w:p>
    <w:p>
      <w:pPr>
        <w:jc w:val="both"/>
        <w:ind w:firstLine="1110"/>
        <w:spacing w:after="0" w:line="247" w:lineRule="auto"/>
        <w:tabs>
          <w:tab w:leader="none" w:pos="167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such Lender has notified the Administrative Agent that it is incapable of receiving notices under such Section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49"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w:t>
      </w:r>
    </w:p>
    <w:p>
      <w:pPr>
        <w:spacing w:after="0" w:line="2" w:lineRule="exact"/>
        <w:rPr>
          <w:sz w:val="20"/>
          <w:szCs w:val="20"/>
          <w:color w:val="auto"/>
        </w:rPr>
      </w:pPr>
    </w:p>
    <w:p>
      <w:pPr>
        <w:jc w:val="both"/>
        <w:ind w:firstLine="1"/>
        <w:spacing w:after="0" w:line="245" w:lineRule="auto"/>
        <w:tabs>
          <w:tab w:leader="none" w:pos="27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48" w:lineRule="exact"/>
        <w:rPr>
          <w:rFonts w:ascii="Times New Roman" w:cs="Times New Roman" w:eastAsia="Times New Roman" w:hAnsi="Times New Roman"/>
          <w:sz w:val="18"/>
          <w:szCs w:val="18"/>
          <w:color w:val="auto"/>
        </w:rPr>
      </w:pPr>
    </w:p>
    <w:p>
      <w:pPr>
        <w:ind w:firstLine="1110"/>
        <w:spacing w:after="0" w:line="280" w:lineRule="auto"/>
        <w:tabs>
          <w:tab w:leader="none" w:pos="166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Any party hereto may change its address or facsimile number for notices and other communications hereunder by notice to the other parties hereto.</w:t>
      </w:r>
    </w:p>
    <w:p>
      <w:pPr>
        <w:spacing w:after="0" w:line="117"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560" w:firstLine="1105"/>
        <w:spacing w:after="0" w:line="260" w:lineRule="auto"/>
        <w:tabs>
          <w:tab w:leader="none" w:pos="2236"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Administrative Agent may, but shall not be obligated to, make the Communications (as defined below) available to the other Lenders by posting the Communications on the Platform.</w:t>
      </w: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48" w:name="page249"/>
    <w:bookmarkEnd w:id="248"/>
    <w:p>
      <w:pPr>
        <w:jc w:val="both"/>
        <w:ind w:left="560" w:firstLine="1105"/>
        <w:spacing w:after="0" w:line="244" w:lineRule="auto"/>
        <w:tabs>
          <w:tab w:leader="none" w:pos="226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Platform.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to the Administrative Agent or any Lender by means of electronic communications pursuant to this Section, including through the Platform.</w:t>
      </w:r>
    </w:p>
    <w:p>
      <w:pPr>
        <w:spacing w:after="0" w:line="152"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9"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357"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44" w:lineRule="auto"/>
        <w:tabs>
          <w:tab w:leader="none" w:pos="166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(i) to pay or reimburse the Administrative Agent, the Collateral Agent, the Lead Arranger and their Affiliates for all their reasonable and documented out-of-pocket costs and expenses incurred in connection with, the syndication of the facilities evidenced pursuant to the Loan Documents, the negotiation, preparation, delivery, execution, administration and closing of, and any amendment, waiver,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disbursements and other charges of counsel for any of the foregoing (but limited to a single primary counsel and, if necessary, a single local counsel in each relevant material jurisdiction (which may be a single local counsel acting in multiple jurisdictions), in each case, for the Administrative Agent, the Lead Arranger and their respective Affiliates, taken as a whole), and filing and recording fees and expenses, with statements with respect to the foregoing to be submitted to the Borrower prior to the Closing Date (in the case of amounts to be paid on the Closing Date) and from time to time</w:t>
      </w: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49" w:name="page250"/>
    <w:bookmarkEnd w:id="249"/>
    <w:p>
      <w:pPr>
        <w:jc w:val="both"/>
        <w:spacing w:after="0" w:line="242" w:lineRule="auto"/>
        <w:rPr>
          <w:sz w:val="20"/>
          <w:szCs w:val="20"/>
          <w:color w:val="auto"/>
        </w:rPr>
      </w:pPr>
      <w:r>
        <w:rPr>
          <w:rFonts w:ascii="Times New Roman" w:cs="Times New Roman" w:eastAsia="Times New Roman" w:hAnsi="Times New Roman"/>
          <w:sz w:val="18"/>
          <w:szCs w:val="18"/>
          <w:color w:val="auto"/>
        </w:rPr>
        <w:t>thereafter on a quarterly basis or such other periodic basis as the Administrative Agent shall deem appropriate, (ii) to pay or reimburse each of the Lead Arranger, the Lenders and Agents for all its costs and expenses incurred in connection with the enforcement (including pursuant to the administration of any bankruptcy proceeding relating to the Borrower) or preservation of any rights under this Agreement, the other Loan Documents and any such other documents, including the reasonable fees, disbursements and other charges of counsel, (iii) to pay, indemnify, and hold the Lead Arranger, each Lender and Agent and their respective affiliates and the officers, directors, employees, agents and controlling persons of each of the foregoing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and hold the Lead Arranger, each Lender and Agent and their respective affiliates and the officers, directors, employees, agents, and controlling persons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harmless from and against any and all other liabilities, costs or expenses of any kind or nature whatsoever (regardless of whether such Indemnitee is a party thereto and regardless of the party initiating such matter) that relates to the execution, delivery, enforcement, performance and administration of this Agreement and any of the other Loan Documents, including those relating to the use of proceeds of the Loans or the violation of, noncompliance with or liability under, any Environmental Law applicable to the operations of any Group Member or any of the Properties and the reasonable fees disbursements and other charges of legal counsel in connection with claims, actions or proceedings by any Indemnitee against any Loan Party under any Loan Document (all the foregoing in this clause (iv),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indemnity will not, as to any Indemnitee, apply to Indemnified Liabilities to the extent (A) they are found by a final and nonappealable decision of a court of competent jurisdiction to have resulted primarily from (1) the gross negligence or willful misconduct of such Indemnitee or (2) a material breach by such Indemnitee or its Affiliates of their obligations under this Agreement or (B) arising out of or in connection with any proceeding that does not involve an act or omission of the Borrower or any of its Affiliates and that is brought by an Indemnitee against any other Indemnitee (other than against any Agent, the Lead Arranger or another named agent, in each case, acting in its capacity or fulfilling its role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(x) such legal expenses shall be limited to the fees, disbursements and other charges of a single primary counsel to the Indemnitees, taken as a whole, and, if necessary, a single local counsel to the Indemnitees, taken as a whole, in each relevant material jurisdiction (which may be a single local counsel acting in multiple jurisdictions) (and, in the case of an actual or perceived conflict of interest where the Indemnitee affected by such conflict informs the Borrower of such conflict and thereafter retains its own single counsel (or, if necessary, its own single local counsel in each relevant material jurisdiction (which may be a single local counsel acting in multiple jurisdictions)), of such conflict counsel for such affected Indemnitee and all similarly situated Indemnitees, taken as a whole) and (y) each Indemnitee shall promptly repay to the Borrower all amounts previously paid by the Borrower pursuant to the foregoing provisions to the extent that such Indemnitee is found by a final and nonappealable decision of a court of competent jurisdiction not to be entitled to indemnification hereunder as contemplated by the immediately preceding proviso. For the avoidance of doubt,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not apply to Taxes, except any Taxes that represent Indemnified Liabilities arising from any non-Tax claims.</w:t>
      </w: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50" w:name="page251"/>
    <w:bookmarkEnd w:id="250"/>
    <w:p>
      <w:pPr>
        <w:jc w:val="both"/>
        <w:ind w:left="-20" w:firstLine="1110"/>
        <w:spacing w:after="0" w:line="246" w:lineRule="auto"/>
        <w:tabs>
          <w:tab w:leader="none" w:pos="165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none of the parties hereto shall assert, or permit any of its controlled Affiliates to assert, and each party hereto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paragraph (b) shall limit the Borrower’s indemnity and reimbursement obligations set forth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including such indemnity and reimbursement obligations with respect to any special, indirect, consequential or punitive damages arising out of, in connection with or as a result of any claim, litigation, investigation or proceeding brought against any Indemnitee by any third party.</w:t>
      </w:r>
    </w:p>
    <w:p>
      <w:pPr>
        <w:spacing w:after="0" w:line="151" w:lineRule="exact"/>
        <w:rPr>
          <w:rFonts w:ascii="Times New Roman" w:cs="Times New Roman" w:eastAsia="Times New Roman" w:hAnsi="Times New Roman"/>
          <w:sz w:val="18"/>
          <w:szCs w:val="18"/>
          <w:color w:val="auto"/>
        </w:rPr>
      </w:pPr>
    </w:p>
    <w:p>
      <w:pPr>
        <w:jc w:val="both"/>
        <w:ind w:left="-20" w:firstLine="1110"/>
        <w:spacing w:after="0" w:line="267" w:lineRule="auto"/>
        <w:tabs>
          <w:tab w:leader="none" w:pos="164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payable promptly after written demand therefor. The agreements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survive repayment of the Loans and all other amounts payable hereunder.</w:t>
      </w:r>
    </w:p>
    <w:p>
      <w:pPr>
        <w:spacing w:after="0" w:line="348"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20" w:firstLine="1110"/>
        <w:spacing w:after="0" w:line="250" w:lineRule="auto"/>
        <w:tabs>
          <w:tab w:leader="none" w:pos="164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146" w:lineRule="exact"/>
        <w:rPr>
          <w:rFonts w:ascii="Times New Roman" w:cs="Times New Roman" w:eastAsia="Times New Roman" w:hAnsi="Times New Roman"/>
          <w:sz w:val="18"/>
          <w:szCs w:val="18"/>
          <w:color w:val="auto"/>
        </w:rPr>
      </w:pPr>
    </w:p>
    <w:p>
      <w:pPr>
        <w:jc w:val="both"/>
        <w:ind w:left="-20" w:firstLine="1110"/>
        <w:spacing w:after="0" w:line="254" w:lineRule="auto"/>
        <w:tabs>
          <w:tab w:leader="none" w:pos="165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any Lender may assign to one or more assignees (provided that any assignee shall not be the Borrower or its Affiliates, a natural person or a Defaulting Lender)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Revolving Commitment and the Loans at the time owing to it) with the prior written consent of:</w:t>
      </w:r>
    </w:p>
    <w:p>
      <w:pPr>
        <w:spacing w:after="0" w:line="140" w:lineRule="exact"/>
        <w:rPr>
          <w:rFonts w:ascii="Times New Roman" w:cs="Times New Roman" w:eastAsia="Times New Roman" w:hAnsi="Times New Roman"/>
          <w:sz w:val="18"/>
          <w:szCs w:val="18"/>
          <w:color w:val="auto"/>
        </w:rPr>
      </w:pPr>
    </w:p>
    <w:p>
      <w:pPr>
        <w:jc w:val="both"/>
        <w:ind w:left="1640" w:firstLine="559"/>
        <w:spacing w:after="0" w:line="254" w:lineRule="auto"/>
        <w:tabs>
          <w:tab w:leader="none" w:pos="277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for an assignment to a Lender, an affiliate of a Lender, an Approved Fund (as defined below) or, if an Event of Default under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has occurred and is continuing, any other Person;</w:t>
      </w:r>
    </w:p>
    <w:p>
      <w:pPr>
        <w:spacing w:after="0" w:line="140" w:lineRule="exact"/>
        <w:rPr>
          <w:rFonts w:ascii="Times New Roman" w:cs="Times New Roman" w:eastAsia="Times New Roman" w:hAnsi="Times New Roman"/>
          <w:sz w:val="18"/>
          <w:szCs w:val="18"/>
          <w:color w:val="auto"/>
        </w:rPr>
      </w:pPr>
    </w:p>
    <w:p>
      <w:pPr>
        <w:jc w:val="both"/>
        <w:ind w:left="1640" w:firstLine="559"/>
        <w:spacing w:after="0" w:line="260" w:lineRule="auto"/>
        <w:tabs>
          <w:tab w:leader="none" w:pos="277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an affiliate of a Lender or an Approved Fund; and</w:t>
      </w:r>
    </w:p>
    <w:p>
      <w:pPr>
        <w:spacing w:after="0" w:line="135" w:lineRule="exact"/>
        <w:rPr>
          <w:rFonts w:ascii="Times New Roman" w:cs="Times New Roman" w:eastAsia="Times New Roman" w:hAnsi="Times New Roman"/>
          <w:sz w:val="18"/>
          <w:szCs w:val="18"/>
          <w:color w:val="auto"/>
        </w:rPr>
      </w:pPr>
    </w:p>
    <w:p>
      <w:pPr>
        <w:jc w:val="both"/>
        <w:ind w:left="1640" w:firstLine="559"/>
        <w:spacing w:after="0" w:line="260" w:lineRule="auto"/>
        <w:tabs>
          <w:tab w:leader="none" w:pos="276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 Line Lender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Swing Line Lender shall be required for an assignment to a Lender, an affiliate of a Lender or an Approved Fund.</w:t>
      </w:r>
    </w:p>
    <w:p>
      <w:pPr>
        <w:spacing w:after="0" w:line="3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251" w:name="page252"/>
    <w:bookmarkEnd w:id="251"/>
    <w:p>
      <w:pPr>
        <w:ind w:left="2240" w:hanging="595"/>
        <w:spacing w:after="0"/>
        <w:tabs>
          <w:tab w:leader="none" w:pos="22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85" w:lineRule="exact"/>
        <w:rPr>
          <w:rFonts w:ascii="Times New Roman" w:cs="Times New Roman" w:eastAsia="Times New Roman" w:hAnsi="Times New Roman"/>
          <w:sz w:val="18"/>
          <w:szCs w:val="18"/>
          <w:color w:val="auto"/>
        </w:rPr>
      </w:pPr>
    </w:p>
    <w:p>
      <w:pPr>
        <w:jc w:val="both"/>
        <w:ind w:left="1640" w:firstLine="559"/>
        <w:spacing w:after="0" w:line="245" w:lineRule="auto"/>
        <w:tabs>
          <w:tab w:leader="none" w:pos="277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Revolving Commitment or Loans, the amount of the Revolving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no such consent of the Borrower shall be required if an Event of Default under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has occurred and is continuing and (2) such amounts shall be aggregated in respect of each Lender and its affiliates or Approved Funds, if any;</w:t>
      </w:r>
    </w:p>
    <w:p>
      <w:pPr>
        <w:spacing w:after="0" w:line="154" w:lineRule="exact"/>
        <w:rPr>
          <w:rFonts w:ascii="Times New Roman" w:cs="Times New Roman" w:eastAsia="Times New Roman" w:hAnsi="Times New Roman"/>
          <w:sz w:val="18"/>
          <w:szCs w:val="18"/>
          <w:color w:val="auto"/>
        </w:rPr>
      </w:pPr>
    </w:p>
    <w:p>
      <w:pPr>
        <w:jc w:val="both"/>
        <w:ind w:left="1640" w:firstLine="559"/>
        <w:spacing w:after="0" w:line="254" w:lineRule="auto"/>
        <w:tabs>
          <w:tab w:leader="none" w:pos="277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parties to each assignment shall execute and deliver to the Administrative Agent an Assignment and Assumption, together with a processing and recordation fee of $3,500 and (2) the assigning Lender shall have paid in full any amounts owing by it to the Administrative Agent; and</w:t>
      </w:r>
    </w:p>
    <w:p>
      <w:pPr>
        <w:spacing w:after="0" w:line="140" w:lineRule="exact"/>
        <w:rPr>
          <w:rFonts w:ascii="Times New Roman" w:cs="Times New Roman" w:eastAsia="Times New Roman" w:hAnsi="Times New Roman"/>
          <w:sz w:val="18"/>
          <w:szCs w:val="18"/>
          <w:color w:val="auto"/>
        </w:rPr>
      </w:pPr>
    </w:p>
    <w:p>
      <w:pPr>
        <w:jc w:val="both"/>
        <w:ind w:left="1640" w:firstLine="559"/>
        <w:spacing w:after="0" w:line="250" w:lineRule="auto"/>
        <w:tabs>
          <w:tab w:leader="none" w:pos="276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laws, including federal and state securities laws.</w:t>
      </w:r>
    </w:p>
    <w:p>
      <w:pPr>
        <w:spacing w:after="0" w:line="146" w:lineRule="exact"/>
        <w:rPr>
          <w:sz w:val="20"/>
          <w:szCs w:val="20"/>
          <w:color w:val="auto"/>
        </w:rPr>
      </w:pPr>
    </w:p>
    <w:p>
      <w:pPr>
        <w:jc w:val="both"/>
        <w:ind w:left="540" w:firstLine="1109"/>
        <w:spacing w:after="0" w:line="254" w:lineRule="auto"/>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40" w:lineRule="exact"/>
        <w:rPr>
          <w:sz w:val="20"/>
          <w:szCs w:val="20"/>
          <w:color w:val="auto"/>
        </w:rPr>
      </w:pPr>
    </w:p>
    <w:p>
      <w:pPr>
        <w:jc w:val="both"/>
        <w:ind w:left="540" w:firstLine="1105"/>
        <w:spacing w:after="0" w:line="245" w:lineRule="auto"/>
        <w:tabs>
          <w:tab w:leader="none" w:pos="226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shall be treated for purposes of</w:t>
      </w: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252" w:name="page253"/>
    <w:bookmarkEnd w:id="252"/>
    <w:p>
      <w:pPr>
        <w:ind w:left="540"/>
        <w:spacing w:after="0" w:line="280" w:lineRule="auto"/>
        <w:rPr>
          <w:sz w:val="20"/>
          <w:szCs w:val="20"/>
          <w:color w:val="auto"/>
        </w:rPr>
      </w:pPr>
      <w:r>
        <w:rPr>
          <w:rFonts w:ascii="Times New Roman" w:cs="Times New Roman" w:eastAsia="Times New Roman" w:hAnsi="Times New Roman"/>
          <w:sz w:val="18"/>
          <w:szCs w:val="18"/>
          <w:color w:val="auto"/>
        </w:rPr>
        <w:t>this Agreement as a sale by such Lender of a participation in such rights and obligations in accordance with paragraph (c) of this Section.</w:t>
      </w:r>
    </w:p>
    <w:p>
      <w:pPr>
        <w:spacing w:after="0" w:line="118" w:lineRule="exact"/>
        <w:rPr>
          <w:sz w:val="20"/>
          <w:szCs w:val="20"/>
          <w:color w:val="auto"/>
        </w:rPr>
      </w:pPr>
    </w:p>
    <w:p>
      <w:pPr>
        <w:jc w:val="both"/>
        <w:ind w:left="540" w:firstLine="1105"/>
        <w:spacing w:after="0" w:line="245" w:lineRule="auto"/>
        <w:tabs>
          <w:tab w:leader="none" w:pos="2251"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Borrower, shall maintain at one of its offices a copy of each Assignment and Assumption delivered to it and a register (reflecting each Assignment and Assumption) for the recordation of the names and addresses of the Lenders, and the Revolving Commitment of, and principal amount (and stated interest)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at the Funding Office (or such other office designated by the Administrative Agent) by the Borrower or any Lender at any reasonable time and from time to time upon reasonable prior notice.</w:t>
      </w:r>
    </w:p>
    <w:p>
      <w:pPr>
        <w:spacing w:after="0" w:line="151" w:lineRule="exact"/>
        <w:rPr>
          <w:rFonts w:ascii="Times New Roman" w:cs="Times New Roman" w:eastAsia="Times New Roman" w:hAnsi="Times New Roman"/>
          <w:sz w:val="18"/>
          <w:szCs w:val="18"/>
          <w:color w:val="auto"/>
        </w:rPr>
      </w:pPr>
    </w:p>
    <w:p>
      <w:pPr>
        <w:jc w:val="both"/>
        <w:ind w:left="540" w:firstLine="1105"/>
        <w:spacing w:after="0" w:line="247" w:lineRule="auto"/>
        <w:tabs>
          <w:tab w:leader="none" w:pos="2211"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362" w:lineRule="exact"/>
        <w:rPr>
          <w:rFonts w:ascii="Times New Roman" w:cs="Times New Roman" w:eastAsia="Times New Roman" w:hAnsi="Times New Roman"/>
          <w:sz w:val="18"/>
          <w:szCs w:val="18"/>
          <w:color w:val="auto"/>
        </w:rPr>
      </w:pPr>
    </w:p>
    <w:p>
      <w:pPr>
        <w:jc w:val="both"/>
        <w:ind w:left="540" w:firstLine="550"/>
        <w:spacing w:after="0" w:line="246" w:lineRule="auto"/>
        <w:tabs>
          <w:tab w:leader="none" w:pos="164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Borrower, the Administrative Agent or the Swing 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Revolving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w:t>
      </w:r>
    </w:p>
    <w:p>
      <w:pPr>
        <w:spacing w:after="0" w:line="3" w:lineRule="exact"/>
        <w:rPr>
          <w:rFonts w:ascii="Times New Roman" w:cs="Times New Roman" w:eastAsia="Times New Roman" w:hAnsi="Times New Roman"/>
          <w:sz w:val="18"/>
          <w:szCs w:val="18"/>
          <w:color w:val="auto"/>
        </w:rPr>
      </w:pPr>
    </w:p>
    <w:p>
      <w:pPr>
        <w:jc w:val="both"/>
        <w:ind w:left="540" w:hanging="4"/>
        <w:spacing w:after="0" w:line="242" w:lineRule="auto"/>
        <w:tabs>
          <w:tab w:leader="none" w:pos="83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may provide that such Lender will not, without the consent of the Participant, agree to any amendment, modification or waiver that (I) requires the consent of each Lender directly affected thereby pursuant to clauses (i), (ii) and (iii) of the proviso to the second sentence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(II) directly affects such Participant. Subject to paragraph (c)(ii) of this Section, the Borrower agrees that each Participant shall be entitled to the benefits of </w:t>
      </w:r>
      <w:r>
        <w:rPr>
          <w:rFonts w:ascii="Times New Roman" w:cs="Times New Roman" w:eastAsia="Times New Roman" w:hAnsi="Times New Roman"/>
          <w:sz w:val="18"/>
          <w:szCs w:val="18"/>
          <w:u w:val="single" w:color="auto"/>
          <w:color w:val="auto"/>
        </w:rPr>
        <w:t>Sections 2.13,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Sections 2.14(d)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Sections 2.14(d)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paragraph (b) of this Section. To the extent permitted by law,</w:t>
      </w: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253" w:name="page254"/>
    <w:bookmarkEnd w:id="253"/>
    <w:p>
      <w:pPr>
        <w:ind w:left="540"/>
        <w:spacing w:after="0" w:line="280" w:lineRule="auto"/>
        <w:rPr>
          <w:sz w:val="20"/>
          <w:szCs w:val="20"/>
          <w:color w:val="auto"/>
        </w:rPr>
      </w:pPr>
      <w:r>
        <w:rPr>
          <w:rFonts w:ascii="Times New Roman" w:cs="Times New Roman" w:eastAsia="Times New Roman" w:hAnsi="Times New Roman"/>
          <w:sz w:val="18"/>
          <w:szCs w:val="18"/>
          <w:color w:val="auto"/>
        </w:rPr>
        <w:t xml:space="preserve">each Participant also shall be entitled to the benefits of </w:t>
      </w:r>
      <w:r>
        <w:rPr>
          <w:rFonts w:ascii="Times New Roman" w:cs="Times New Roman" w:eastAsia="Times New Roman" w:hAnsi="Times New Roman"/>
          <w:sz w:val="18"/>
          <w:szCs w:val="18"/>
          <w:u w:val="single" w:color="auto"/>
          <w:color w:val="auto"/>
        </w:rPr>
        <w:t>Section 10.7(b)</w:t>
      </w:r>
      <w:r>
        <w:rPr>
          <w:rFonts w:ascii="Times New Roman" w:cs="Times New Roman" w:eastAsia="Times New Roman" w:hAnsi="Times New Roman"/>
          <w:sz w:val="18"/>
          <w:szCs w:val="18"/>
          <w:color w:val="auto"/>
        </w:rPr>
        <w:t xml:space="preserve"> as though it were a Lender, provided such Participant shall be subject to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 xml:space="preserve"> as though it were a Lender.</w:t>
      </w:r>
    </w:p>
    <w:p>
      <w:pPr>
        <w:spacing w:after="0" w:line="118" w:lineRule="exact"/>
        <w:rPr>
          <w:sz w:val="20"/>
          <w:szCs w:val="20"/>
          <w:color w:val="auto"/>
        </w:rPr>
      </w:pPr>
    </w:p>
    <w:p>
      <w:pPr>
        <w:jc w:val="both"/>
        <w:ind w:left="540" w:firstLine="1105"/>
        <w:spacing w:after="0" w:line="243" w:lineRule="auto"/>
        <w:tabs>
          <w:tab w:leader="none" w:pos="224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shall not be entitled to receive any greater payment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except to the extent such entitlement to receive a greater payment results from an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 that occurs after the Participant acquired the applicable participation. Any Participant that is a Non-U.S. Lender shall not be entitled to the benefits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unless such Participant complies with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Lender that sells a participation shall, acting solely for this purpose as an agent of the Borrower, maintain a register on which it enters the name and address of each Participant and the principal amounts (and stated interest) of each Participant’s interest in the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the obligations under this Agreement) except to the extent that such disclosure is necessary to establish that such interest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364" w:lineRule="exact"/>
        <w:rPr>
          <w:rFonts w:ascii="Times New Roman" w:cs="Times New Roman" w:eastAsia="Times New Roman" w:hAnsi="Times New Roman"/>
          <w:sz w:val="18"/>
          <w:szCs w:val="18"/>
          <w:color w:val="auto"/>
        </w:rPr>
      </w:pPr>
    </w:p>
    <w:p>
      <w:pPr>
        <w:jc w:val="both"/>
        <w:ind w:left="-20" w:firstLine="1110"/>
        <w:spacing w:after="0" w:line="250" w:lineRule="auto"/>
        <w:tabs>
          <w:tab w:leader="none" w:pos="165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46" w:lineRule="exact"/>
        <w:rPr>
          <w:rFonts w:ascii="Times New Roman" w:cs="Times New Roman" w:eastAsia="Times New Roman" w:hAnsi="Times New Roman"/>
          <w:sz w:val="18"/>
          <w:szCs w:val="18"/>
          <w:color w:val="auto"/>
        </w:rPr>
      </w:pPr>
    </w:p>
    <w:p>
      <w:pPr>
        <w:ind w:left="-20" w:firstLine="1110"/>
        <w:spacing w:after="0" w:line="280" w:lineRule="auto"/>
        <w:tabs>
          <w:tab w:leader="none" w:pos="164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upon receipt of written notice from the relevant Lender, agrees to issue Notes to any Lender requiring Notes to facilitate transactions of the type described in paragraph (d) above.</w:t>
      </w:r>
    </w:p>
    <w:p>
      <w:pPr>
        <w:spacing w:after="0" w:line="118"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auto"/>
        </w:rPr>
        <w:t>Adjustments; Set-off</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20" w:firstLine="1110"/>
        <w:spacing w:after="0" w:line="248" w:lineRule="auto"/>
        <w:tabs>
          <w:tab w:leader="none" w:pos="164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Agreement, any other Loan Document or a court order expressly provides for payments to be allocated to a particular Lender or to the Lenders, if any Lender (a “</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shall receive any payment of all or part of the Obligations owing to it (other than in connection with an assignment made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or receive any collateral in respect thereof (whether voluntarily or involuntarily, by set-off, pursuant to events or proceedings of the nature referred to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or otherwise), in a greater proportion than any such payment to or collateral received by any other Lender, if any, in respect of the Obligations</w:t>
      </w:r>
    </w:p>
    <w:p>
      <w:pPr>
        <w:spacing w:after="0" w:line="3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sectPr>
      </w:pPr>
    </w:p>
    <w:bookmarkStart w:id="254" w:name="page255"/>
    <w:bookmarkEnd w:id="254"/>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49" w:lineRule="exact"/>
        <w:rPr>
          <w:sz w:val="20"/>
          <w:szCs w:val="20"/>
          <w:color w:val="auto"/>
        </w:rPr>
      </w:pPr>
    </w:p>
    <w:p>
      <w:pPr>
        <w:jc w:val="both"/>
        <w:ind w:firstLine="1110"/>
        <w:spacing w:after="0" w:line="243" w:lineRule="auto"/>
        <w:tabs>
          <w:tab w:leader="none" w:pos="167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Intercreditor Agreement, in addition to any rights and remedies of the Lenders provided by law, each Lender shall have the right,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shall exercise any such right of setoff, (i) all amounts so set off shall be paid over immediately to the Administrative Agent for further application in accordance with the provisions of this Agreement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application.</w:t>
      </w:r>
    </w:p>
    <w:p>
      <w:pPr>
        <w:spacing w:after="0" w:line="160"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email or facsimile transmission shall be effective as delivery of a manually executed counterpart hereof. A set of the copies of this Agreement signed by all the parties shall be lodged with the Borrower and the Administrative Agent.</w:t>
      </w:r>
    </w:p>
    <w:p>
      <w:pPr>
        <w:spacing w:after="0" w:line="146"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0"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55" w:name="page256"/>
    <w:bookmarkEnd w:id="255"/>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36" w:lineRule="exact"/>
        <w:rPr>
          <w:sz w:val="20"/>
          <w:szCs w:val="20"/>
          <w:color w:val="auto"/>
        </w:rPr>
      </w:pPr>
    </w:p>
    <w:p>
      <w:pPr>
        <w:ind w:left="560"/>
        <w:spacing w:after="0"/>
        <w:tabs>
          <w:tab w:leader="none" w:pos="12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Waivers. Each party hereto hereby irrevocably and unconditionally:</w:t>
      </w:r>
    </w:p>
    <w:p>
      <w:pPr>
        <w:spacing w:after="0" w:line="186" w:lineRule="exact"/>
        <w:rPr>
          <w:sz w:val="20"/>
          <w:szCs w:val="20"/>
          <w:color w:val="auto"/>
        </w:rPr>
      </w:pPr>
    </w:p>
    <w:p>
      <w:pPr>
        <w:jc w:val="both"/>
        <w:ind w:firstLine="1110"/>
        <w:spacing w:after="0" w:line="247" w:lineRule="auto"/>
        <w:tabs>
          <w:tab w:leader="none" w:pos="166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submits for itself and its property in any legal action or proceeding relating to this Agreement and the other Loan Documents to which it is a party, or for recognition and enforcement of any judgment in respect thereof, to the exclusive jurisdiction of the courts of the State of New York, the courts of the United States for the Southern District of New York, and appellate courts from any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herein or in any other Loan Document will prevent any Lender or the Administrative Agent from bringing any action to enforce any award or judgment or exercise any right under the Security Documents or against any Collateral or any other property of any Loan Party in any other forum in which jurisdiction can be established;</w:t>
      </w:r>
    </w:p>
    <w:p>
      <w:pPr>
        <w:spacing w:after="0" w:line="149"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35"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6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at such other address of which the Administrative Agent shall have been notified pursuant thereto; and</w:t>
      </w:r>
    </w:p>
    <w:p>
      <w:pPr>
        <w:spacing w:after="0" w:line="140"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w:t>
      </w:r>
    </w:p>
    <w:p>
      <w:pPr>
        <w:spacing w:after="0" w:line="118" w:lineRule="exact"/>
        <w:rPr>
          <w:sz w:val="20"/>
          <w:szCs w:val="20"/>
          <w:color w:val="auto"/>
        </w:rPr>
      </w:pPr>
    </w:p>
    <w:p>
      <w:pPr>
        <w:ind w:left="560"/>
        <w:spacing w:after="0"/>
        <w:tabs>
          <w:tab w:leader="none" w:pos="122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The Borrower hereby acknowledges that:</w:t>
      </w:r>
    </w:p>
    <w:p>
      <w:pPr>
        <w:spacing w:after="0" w:line="186" w:lineRule="exact"/>
        <w:rPr>
          <w:sz w:val="20"/>
          <w:szCs w:val="20"/>
          <w:color w:val="auto"/>
        </w:rPr>
      </w:pPr>
    </w:p>
    <w:p>
      <w:pPr>
        <w:ind w:firstLine="1110"/>
        <w:spacing w:after="0" w:line="280" w:lineRule="auto"/>
        <w:tabs>
          <w:tab w:leader="none" w:pos="166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legal, accounting, regulatory and tax advisors in the negotiation, execution and delivery of this Agreement and the other Loan Documents;</w:t>
      </w:r>
    </w:p>
    <w:p>
      <w:pPr>
        <w:spacing w:after="0" w:line="117"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7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Lender has any fiduciary relationship with or duty to the Borrower and its Subsidiaries arising out of or in connection with this Agreement or any of the other Loan Documents, and the relationship between Administrative Agent and Lenders, on one hand, and the Borrower and its Subsidiaries, on the other hand, in connection herewith or therewith is solely that of debtor and creditor;</w:t>
      </w:r>
    </w:p>
    <w:p>
      <w:pPr>
        <w:spacing w:after="0" w:line="140" w:lineRule="exact"/>
        <w:rPr>
          <w:rFonts w:ascii="Times New Roman" w:cs="Times New Roman" w:eastAsia="Times New Roman" w:hAnsi="Times New Roman"/>
          <w:sz w:val="18"/>
          <w:szCs w:val="18"/>
          <w:color w:val="auto"/>
        </w:rPr>
      </w:pPr>
    </w:p>
    <w:p>
      <w:pPr>
        <w:ind w:firstLine="1110"/>
        <w:spacing w:after="0" w:line="280" w:lineRule="auto"/>
        <w:tabs>
          <w:tab w:leader="none" w:pos="166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Borrower and its Subsidiaries and the Lenders;</w:t>
      </w:r>
    </w:p>
    <w:p>
      <w:pPr>
        <w:spacing w:after="0" w:line="117" w:lineRule="exact"/>
        <w:rPr>
          <w:rFonts w:ascii="Times New Roman" w:cs="Times New Roman" w:eastAsia="Times New Roman" w:hAnsi="Times New Roman"/>
          <w:sz w:val="18"/>
          <w:szCs w:val="18"/>
          <w:color w:val="auto"/>
        </w:rPr>
      </w:pPr>
    </w:p>
    <w:p>
      <w:pPr>
        <w:ind w:firstLine="1110"/>
        <w:spacing w:after="0" w:line="280" w:lineRule="auto"/>
        <w:tabs>
          <w:tab w:leader="none" w:pos="167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on the one hand, and the Loan Parties, on the other hand, have an arm’s length business relationship that does not directly or indirectly give rise to, nor do</w:t>
      </w: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color w:val="auto"/>
        </w:rPr>
        <w:t>the Loan Parties rely on, any fiduciary duty to the Loan Parties or their affiliates on the part of the Credit Parties;</w:t>
      </w:r>
    </w:p>
    <w:p>
      <w:pPr>
        <w:spacing w:after="0" w:line="186" w:lineRule="exact"/>
        <w:rPr>
          <w:sz w:val="20"/>
          <w:szCs w:val="20"/>
          <w:color w:val="auto"/>
        </w:rPr>
      </w:pPr>
    </w:p>
    <w:p>
      <w:pPr>
        <w:jc w:val="both"/>
        <w:ind w:firstLine="1110"/>
        <w:spacing w:after="0" w:line="267" w:lineRule="auto"/>
        <w:tabs>
          <w:tab w:leader="none" w:pos="166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are capable of evaluating and understanding, and the Loan Parties understand and accept, the terms, risks and conditions of the transactions contemplated by this Agreement and the other Loan Documents;</w:t>
      </w:r>
    </w:p>
    <w:p>
      <w:pPr>
        <w:spacing w:after="0" w:line="348"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w:t>
      </w:r>
    </w:p>
    <w:p>
      <w:pPr>
        <w:spacing w:after="0" w:line="135"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7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has been, is, and will be acting solely as a principal and, except as otherwise expressly agreed in writing by it and the relevant parties, has not been, is not, and will not be acting as an advisor, agent or fiduciary for the Loan Parties, any of their affiliates or any other Person; and</w:t>
      </w:r>
    </w:p>
    <w:p>
      <w:pPr>
        <w:spacing w:after="0" w:line="135" w:lineRule="exact"/>
        <w:rPr>
          <w:rFonts w:ascii="Times New Roman" w:cs="Times New Roman" w:eastAsia="Times New Roman" w:hAnsi="Times New Roman"/>
          <w:sz w:val="18"/>
          <w:szCs w:val="18"/>
          <w:color w:val="auto"/>
        </w:rPr>
      </w:pPr>
    </w:p>
    <w:p>
      <w:pPr>
        <w:jc w:val="both"/>
        <w:ind w:firstLine="1110"/>
        <w:spacing w:after="0" w:line="254" w:lineRule="auto"/>
        <w:tabs>
          <w:tab w:leader="none" w:pos="167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Credit Parties has any obligation to the Loan Parties or their affiliates with respect to the transactions contemplated by this Agreement or the other Loan Documents except those obligations expressly set forth herein or therein or in any other express writing executed and delivered by such Credit Party and the Loan Parties or any such affiliate.</w:t>
      </w:r>
    </w:p>
    <w:p>
      <w:pPr>
        <w:spacing w:after="0" w:line="140" w:lineRule="exact"/>
        <w:rPr>
          <w:sz w:val="20"/>
          <w:szCs w:val="20"/>
          <w:color w:val="auto"/>
        </w:rPr>
      </w:pPr>
    </w:p>
    <w:p>
      <w:pPr>
        <w:ind w:left="560"/>
        <w:spacing w:after="0"/>
        <w:tabs>
          <w:tab w:leader="none" w:pos="122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u w:val="single" w:color="auto"/>
          <w:color w:val="auto"/>
        </w:rPr>
        <w:t>Releases of Liens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10"/>
        <w:spacing w:after="0" w:line="248" w:lineRule="auto"/>
        <w:tabs>
          <w:tab w:leader="none" w:pos="166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to take any action requested by the Borrower having the effect of releasing any Collateral (i) to the extent necessary to permit consummation of any transaction not prohibited by any Loan Document or that has been consented to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(ii) under the circumstances described in paragraphs (b) and (c) below.</w:t>
      </w:r>
    </w:p>
    <w:p>
      <w:pPr>
        <w:spacing w:after="0" w:line="149" w:lineRule="exact"/>
        <w:rPr>
          <w:rFonts w:ascii="Times New Roman" w:cs="Times New Roman" w:eastAsia="Times New Roman" w:hAnsi="Times New Roman"/>
          <w:sz w:val="18"/>
          <w:szCs w:val="18"/>
          <w:color w:val="auto"/>
        </w:rPr>
      </w:pPr>
    </w:p>
    <w:p>
      <w:pPr>
        <w:jc w:val="both"/>
        <w:ind w:firstLine="1110"/>
        <w:spacing w:after="0" w:line="245" w:lineRule="auto"/>
        <w:tabs>
          <w:tab w:leader="none" w:pos="167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all Obligations have been paid in full (other than contingent indemnification obligations that are not yet due and payable) and the Revolving Commitments have been terminated, the Collateral shall automatically be released from the Liens created by the Security Documents to the extent securing the Obligations, and the Security Documents and all obligations (other than those expressly stated to survive such termination) of the Administrative Agent and each Loan Party under the Security Documents shall terminate as to the Obligations, all without delivery of any instrument or performance of any act by any Person. At the request and sole expense of the Borrower following any such termination, the Administrative Agent shall deliver to the Borrower any Collateral held by the Administrative Agent under the Security Documents, and execute and deliver to the Borrower such documents as the Borrower shall reasonably request to evidence such termination.</w:t>
      </w:r>
    </w:p>
    <w:p>
      <w:pPr>
        <w:spacing w:after="0" w:line="154" w:lineRule="exact"/>
        <w:rPr>
          <w:rFonts w:ascii="Times New Roman" w:cs="Times New Roman" w:eastAsia="Times New Roman" w:hAnsi="Times New Roman"/>
          <w:sz w:val="18"/>
          <w:szCs w:val="18"/>
          <w:color w:val="auto"/>
        </w:rPr>
      </w:pPr>
    </w:p>
    <w:p>
      <w:pPr>
        <w:jc w:val="both"/>
        <w:ind w:firstLine="1110"/>
        <w:spacing w:after="0" w:line="260" w:lineRule="auto"/>
        <w:tabs>
          <w:tab w:leader="none" w:pos="166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Collateral shall be sold, transferred or otherwise disposed of by the Borrower in a transaction permitted by the Loan Documents, then the Administrative Agent, at the request and sole expense of the Borrower, shall execute and deliver to the Borrower all</w:t>
      </w: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57" w:name="page258"/>
    <w:bookmarkEnd w:id="257"/>
    <w:p>
      <w:pPr>
        <w:jc w:val="both"/>
        <w:spacing w:after="0" w:line="280" w:lineRule="auto"/>
        <w:rPr>
          <w:sz w:val="20"/>
          <w:szCs w:val="20"/>
          <w:color w:val="auto"/>
        </w:rPr>
      </w:pPr>
      <w:r>
        <w:rPr>
          <w:rFonts w:ascii="Times New Roman" w:cs="Times New Roman" w:eastAsia="Times New Roman" w:hAnsi="Times New Roman"/>
          <w:sz w:val="18"/>
          <w:szCs w:val="18"/>
          <w:color w:val="auto"/>
        </w:rPr>
        <w:t>releases or other documents reasonably necessary for the release of the Liens created by the Security Documents on such Collateral to the extent securing the Obligations.</w:t>
      </w:r>
    </w:p>
    <w:p>
      <w:pPr>
        <w:spacing w:after="0" w:line="118"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and each Lender agrees to keep confidential all Information (as defined below); provided that nothing herein shall prevent the Administrative Agent or any Lender from disclosing any such information (a) to the Administrative Agent, any Lender or any affiliate thereof, (b) subject to an agreement to comply with the provisions of this Section, to any actual or prospective Transferee or any direct or indirect counterparty to any Swap Agreement (or any professional advisor to such counterparty), (c) to its employees, directors, agents, attorneys, accountants and other professional advisors or those of any of its affiliates,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 or (j) if agreed by the Borrower in its sole discretion, to any other Person.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Loan Parties or their businesses,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its own confidential information.</w:t>
      </w:r>
    </w:p>
    <w:p>
      <w:pPr>
        <w:spacing w:after="0" w:line="360" w:lineRule="exact"/>
        <w:rPr>
          <w:sz w:val="20"/>
          <w:szCs w:val="20"/>
          <w:color w:val="auto"/>
        </w:rPr>
      </w:pPr>
    </w:p>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46" w:lineRule="exact"/>
        <w:rPr>
          <w:sz w:val="20"/>
          <w:szCs w:val="20"/>
          <w:color w:val="auto"/>
        </w:rPr>
      </w:pPr>
    </w:p>
    <w:p>
      <w:pPr>
        <w:jc w:val="both"/>
        <w:ind w:firstLine="1109"/>
        <w:spacing w:after="0" w:line="247" w:lineRule="auto"/>
        <w:rPr>
          <w:sz w:val="20"/>
          <w:szCs w:val="20"/>
          <w:color w:val="auto"/>
        </w:rPr>
      </w:pPr>
      <w:r>
        <w:rPr>
          <w:rFonts w:ascii="Times New Roman" w:cs="Times New Roman" w:eastAsia="Times New Roman" w:hAnsi="Times New Roman"/>
          <w:sz w:val="18"/>
          <w:szCs w:val="18"/>
          <w:color w:val="auto"/>
        </w:rPr>
        <w:t>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58" w:name="page259"/>
    <w:bookmarkEnd w:id="258"/>
    <w:p>
      <w:pPr>
        <w:jc w:val="both"/>
        <w:spacing w:after="0" w:line="254" w:lineRule="auto"/>
        <w:rPr>
          <w:sz w:val="20"/>
          <w:szCs w:val="20"/>
          <w:color w:val="auto"/>
        </w:rPr>
      </w:pPr>
      <w:r>
        <w:rPr>
          <w:rFonts w:ascii="Times New Roman" w:cs="Times New Roman" w:eastAsia="Times New Roman" w:hAnsi="Times New Roman"/>
          <w:sz w:val="18"/>
          <w:szCs w:val="18"/>
          <w:color w:val="auto"/>
        </w:rPr>
        <w:t>For the avoidance of doubt, nothing in this Section shall prohibit any Person from voluntarily communicating, disclosing or providing information within the scope of the confidentiality provisions of this Section regarding suspected violations of laws, rules, or regulations to a governmental, regulatory or self-regulatory organization without any notification to any Person.</w:t>
      </w:r>
    </w:p>
    <w:p>
      <w:pPr>
        <w:spacing w:after="0" w:line="136"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b w:val="1"/>
          <w:bCs w:val="1"/>
          <w:u w:val="single" w:color="auto"/>
          <w:color w:val="auto"/>
        </w:rPr>
        <w:t>WAIVERS OF JURY TRIAL</w:t>
      </w:r>
      <w:r>
        <w:rPr>
          <w:rFonts w:ascii="Times New Roman" w:cs="Times New Roman" w:eastAsia="Times New Roman" w:hAnsi="Times New Roman"/>
          <w:sz w:val="18"/>
          <w:szCs w:val="18"/>
          <w:b w:val="1"/>
          <w:bCs w:val="1"/>
          <w:color w:val="auto"/>
        </w:rPr>
        <w:t>. THE BORROWER, THE ADMINISTRATIVE AGENT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LENDERS HEREBY IRREVOCABLY AND UNCONDITIONALLY WAIVE TRIAL BY JURY IN ANY LEGAL ACTION OR PROCEEDING RELATING TO THIS AGREEMENT OR ANY OTHER LOAN DOCUMENT AND FOR ANY COUNTERCLAIM THEREIN.</w:t>
      </w:r>
    </w:p>
    <w:p>
      <w:pPr>
        <w:spacing w:after="0" w:line="141" w:lineRule="exact"/>
        <w:rPr>
          <w:sz w:val="20"/>
          <w:szCs w:val="20"/>
          <w:color w:val="auto"/>
        </w:rPr>
      </w:pPr>
    </w:p>
    <w:p>
      <w:pPr>
        <w:jc w:val="both"/>
        <w:ind w:firstLine="554"/>
        <w:spacing w:after="0" w:line="214" w:lineRule="exact"/>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hereby notifies the Borrower that pursuant to the requirements of the USA Patriot Act (Title III of Pub. L. 107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it is required to obtain, verify and record information that identifies the Borrower, which information includes the name, address, tax identification number and other information regarding the Borrower that will allow each of the Lenders to identify the Borrower in accordance with the Patriot Act. This notice is given in accordance with the requirements of the Patriot Act and is effective as to each Lender. The Borrower shall provide (a) all documentation and information that each Lender reasonably requests in order to satisfy such Lender’s obligations under the Patriot Act and (b) all documentation and information required by bank regulatory authorities under applicable “know your customer” rules and regulations.</w:t>
      </w:r>
    </w:p>
    <w:p>
      <w:pPr>
        <w:spacing w:after="0" w:line="156"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Each Lender hereby (a) acknowledges that a copy of the Intercreditor Agreement was delivered, or made available, to such Lender, (b) approves the Intercreditor Agreement, (c) agrees that it will be bound by, and will take no actions contrary to, the provisions of the Intercreditor Agreement, (d) authorizes and instructs the Administrative Agent to enter into the Intercreditor Agreement as Administrative Agent on behalf of such Lender and (e) agrees that, upon becoming a party hereto, such Lender is deemed to have made the representations and warranties set forth in Section 2.2(a) of the Intercreditor Agreement for the benefit of the other parties thereto.</w:t>
      </w:r>
    </w:p>
    <w:p>
      <w:pPr>
        <w:spacing w:after="0" w:line="149"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359" w:lineRule="exact"/>
        <w:rPr>
          <w:sz w:val="20"/>
          <w:szCs w:val="20"/>
          <w:color w:val="auto"/>
        </w:rPr>
      </w:pPr>
    </w:p>
    <w:p>
      <w:pPr>
        <w:jc w:val="both"/>
        <w:ind w:firstLine="1110"/>
        <w:spacing w:after="0" w:line="254" w:lineRule="auto"/>
        <w:tabs>
          <w:tab w:leader="none" w:pos="166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w:t>
      </w: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59" w:name="page260"/>
    <w:bookmarkEnd w:id="259"/>
    <w:p>
      <w:pPr>
        <w:jc w:val="both"/>
        <w:spacing w:after="0" w:line="245" w:lineRule="auto"/>
        <w:rPr>
          <w:sz w:val="20"/>
          <w:szCs w:val="20"/>
          <w:color w:val="auto"/>
        </w:rPr>
      </w:pPr>
      <w:r>
        <w:rPr>
          <w:rFonts w:ascii="Times New Roman" w:cs="Times New Roman" w:eastAsia="Times New Roman" w:hAnsi="Times New Roman"/>
          <w:sz w:val="18"/>
          <w:szCs w:val="18"/>
          <w:color w:val="auto"/>
        </w:rPr>
        <w:t>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8" w:lineRule="exact"/>
        <w:rPr>
          <w:sz w:val="20"/>
          <w:szCs w:val="20"/>
          <w:color w:val="auto"/>
        </w:rPr>
      </w:pPr>
    </w:p>
    <w:p>
      <w:pPr>
        <w:ind w:left="1680" w:hanging="570"/>
        <w:spacing w:after="0"/>
        <w:tabs>
          <w:tab w:leader="none" w:pos="16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the following terms have the following meanings:</w:t>
      </w:r>
    </w:p>
    <w:p>
      <w:pPr>
        <w:spacing w:after="0" w:line="186" w:lineRule="exact"/>
        <w:rPr>
          <w:sz w:val="20"/>
          <w:szCs w:val="20"/>
          <w:color w:val="auto"/>
        </w:rPr>
      </w:pPr>
    </w:p>
    <w:p>
      <w:pPr>
        <w:jc w:val="both"/>
        <w:ind w:left="560" w:firstLine="55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18" w:lineRule="exact"/>
        <w:rPr>
          <w:sz w:val="20"/>
          <w:szCs w:val="20"/>
          <w:color w:val="auto"/>
        </w:rPr>
      </w:pPr>
    </w:p>
    <w:p>
      <w:pPr>
        <w:jc w:val="both"/>
        <w:ind w:left="560" w:firstLine="55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40" w:lineRule="exact"/>
        <w:rPr>
          <w:sz w:val="20"/>
          <w:szCs w:val="20"/>
          <w:color w:val="auto"/>
        </w:rPr>
      </w:pPr>
    </w:p>
    <w:p>
      <w:pPr>
        <w:jc w:val="both"/>
        <w:ind w:left="560" w:firstLine="55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18" w:lineRule="exact"/>
        <w:rPr>
          <w:sz w:val="20"/>
          <w:szCs w:val="20"/>
          <w:color w:val="auto"/>
        </w:rPr>
      </w:pPr>
    </w:p>
    <w:p>
      <w:pPr>
        <w:jc w:val="both"/>
        <w:ind w:left="560" w:firstLine="55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18"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46" w:lineRule="exact"/>
        <w:rPr>
          <w:sz w:val="20"/>
          <w:szCs w:val="20"/>
          <w:color w:val="auto"/>
        </w:rPr>
      </w:pPr>
    </w:p>
    <w:p>
      <w:pPr>
        <w:jc w:val="both"/>
        <w:ind w:firstLine="1110"/>
        <w:spacing w:after="0" w:line="260" w:lineRule="auto"/>
        <w:tabs>
          <w:tab w:leader="none" w:pos="166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5" w:lineRule="exact"/>
        <w:rPr>
          <w:rFonts w:ascii="Times New Roman" w:cs="Times New Roman" w:eastAsia="Times New Roman" w:hAnsi="Times New Roman"/>
          <w:sz w:val="18"/>
          <w:szCs w:val="18"/>
          <w:color w:val="auto"/>
        </w:rPr>
      </w:pPr>
    </w:p>
    <w:p>
      <w:pPr>
        <w:ind w:left="1680" w:hanging="570"/>
        <w:spacing w:after="0"/>
        <w:tabs>
          <w:tab w:leader="none" w:pos="16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85" w:lineRule="exact"/>
        <w:rPr>
          <w:rFonts w:ascii="Times New Roman" w:cs="Times New Roman" w:eastAsia="Times New Roman" w:hAnsi="Times New Roman"/>
          <w:sz w:val="18"/>
          <w:szCs w:val="18"/>
          <w:color w:val="auto"/>
        </w:rPr>
      </w:pPr>
    </w:p>
    <w:p>
      <w:pPr>
        <w:ind w:left="2240" w:hanging="575"/>
        <w:spacing w:after="0"/>
        <w:tabs>
          <w:tab w:leader="none" w:pos="224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60" w:name="page261"/>
    <w:bookmarkEnd w:id="260"/>
    <w:p>
      <w:pPr>
        <w:jc w:val="both"/>
        <w:ind w:left="560" w:firstLine="1105"/>
        <w:spacing w:after="0" w:line="254" w:lineRule="auto"/>
        <w:tabs>
          <w:tab w:leader="none" w:pos="226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0" w:lineRule="exact"/>
        <w:rPr>
          <w:rFonts w:ascii="Times New Roman" w:cs="Times New Roman" w:eastAsia="Times New Roman" w:hAnsi="Times New Roman"/>
          <w:sz w:val="18"/>
          <w:szCs w:val="18"/>
          <w:color w:val="auto"/>
        </w:rPr>
      </w:pPr>
    </w:p>
    <w:p>
      <w:pPr>
        <w:ind w:left="560" w:firstLine="1105"/>
        <w:spacing w:after="0" w:line="280" w:lineRule="auto"/>
        <w:tabs>
          <w:tab w:leader="none" w:pos="228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18"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Mutual Negotiations</w:t>
      </w:r>
      <w:r>
        <w:rPr>
          <w:rFonts w:ascii="Times New Roman" w:cs="Times New Roman" w:eastAsia="Times New Roman" w:hAnsi="Times New Roman"/>
          <w:sz w:val="18"/>
          <w:szCs w:val="18"/>
          <w:color w:val="auto"/>
        </w:rPr>
        <w:t>. This Agreement and the other Loan Documents are the product of mutual negotiations by the parties thereto and their counsel, and no party shall be deemed the draftsperson of this Agreement or any other Loan Document or any provision hereof or thereof or to have provided the same. Accordingly, in the event of any inconsistency or ambiguity of any provision of this Agreement or any other Loan Document, such inconsistency or ambiguity shall not be interpreted against any party because of such party’s involvement in the drafting thereof.</w:t>
      </w:r>
    </w:p>
    <w:p>
      <w:pPr>
        <w:spacing w:after="0" w:line="146" w:lineRule="exact"/>
        <w:rPr>
          <w:sz w:val="20"/>
          <w:szCs w:val="20"/>
          <w:color w:val="auto"/>
        </w:rPr>
      </w:pPr>
    </w:p>
    <w:p>
      <w:pPr>
        <w:jc w:val="both"/>
        <w:ind w:firstLine="554"/>
        <w:spacing w:after="0" w:line="242"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Amendment and Restatement of Existing Credit Agreement</w:t>
      </w:r>
      <w:r>
        <w:rPr>
          <w:rFonts w:ascii="Times New Roman" w:cs="Times New Roman" w:eastAsia="Times New Roman" w:hAnsi="Times New Roman"/>
          <w:sz w:val="18"/>
          <w:szCs w:val="18"/>
          <w:color w:val="auto"/>
        </w:rPr>
        <w:t xml:space="preserve">. (a) This Agreement constitutes an amendment and restatement of the Existing Credit Agreement effective from and after the Closing Date. The parties to this Agreement agree that, upon (i) the execution and delivery by each of the parties hereto of this Agreement and (ii) satisfaction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(or waiver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terms and provisions of the Existing Credit Agreement shall be and hereby are amended, superseded and restated in their entirety by the terms and provisions of this Agreement. It is the express intent of the parties hereto that this Agreement is entered into in substitution for, and not in payment of, the obligations of the Borrower under the Existing Credit Agreement and is in no way intended to constitute a novation of any of the Borrower’s indebtedness which was evidenced by the Existing Credit Agreement or any of the other Loan Documents. Upon the effectiveness hereof (I) all “Revolving Loans” (as defined in the Existing Credit Agreement) and “Swing Line Loans” (as defined in the Existing Credit Agreement) made under the Existing Credit Agreement which are outstanding on the Closing Date shall continue as Revolving Loans or Swing Line Loans, as applicable, under (and shall be governed by the terms of) this Agreement and, with respect to Revolving Loans, shall either have the same Interest Periods as in effect under the Existing Credit Agreement or an Interest Period of one month as determined by the Administrative Agent in consultation with the Borrower, (II) all obligations constituting “Obligations” under and as defined in the Existing Credit Agreement or any Loan Document with any Lender which are outstanding on the Closing Date and are not being paid on such date shall continue as Obligations under this Agreement and the other Loan Documents, (III) the Administrative Agent shall make such reallocations, sales, assignments or other relevant actions in respect of each Lender’s credit and loan exposure under the Existing Credit Agreement as are necessary in order that such Lender’s pro rata share of the outstanding Revolving Loans hereunder reflect such Lender’s pro rata share of the outstanding aggregate Revolving Loans on the Closing Date based on its Ratable Share, and (IV) each Lender under this Agreement agrees to waive any right to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 connection with the reallocation and transactions described above.</w:t>
      </w: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61" w:name="page262"/>
    <w:bookmarkEnd w:id="261"/>
    <w:p>
      <w:pPr>
        <w:jc w:val="both"/>
        <w:ind w:firstLine="1110"/>
        <w:spacing w:after="0" w:line="247" w:lineRule="auto"/>
        <w:tabs>
          <w:tab w:leader="none" w:pos="167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(i) each Lender shall be deemed, without further action of any party hereto, to have unconditionally and irrevocably purchased from the Swing Line Lender (but not funded), without recourse or warranty, an undivided interest and participation in each Swing Line Loan (as defined in the Existing Credit Agreement) in proportion to such Lender’s Revolving Percentage of such Swing Line Loan on the terms provided in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and (ii) to the extent necessary, each Lender shall fund Revolving Loans (or receive payment of its “Revolving Loans”, as defined in the Existing Credit Agreement) such that the Revolving Loans of each of the Lenders on the Closing Date are equal to its Ratable Share of the Revolving Loans of all of the Lenders outstanding on the Closing Date.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62" w:name="page263"/>
    <w:bookmarkEnd w:id="262"/>
    <w:p>
      <w:pPr>
        <w:ind w:firstLine="1109"/>
        <w:spacing w:after="0" w:line="280"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proper and duly authorized officers as of the day and year first above written.</w:t>
      </w:r>
    </w:p>
    <w:p>
      <w:pPr>
        <w:spacing w:after="0" w:line="2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PNG COMPANIES LLC, as Borrower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By: /s/ Brian</w:t>
      </w:r>
    </w:p>
    <w:p>
      <w:pPr>
        <w:spacing w:after="0" w:line="2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Dingerdissen</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Name: Brian Dingerdissen</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Title: Vice President Financial Planning &amp;</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Analysis and Treasurer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PNG Companies LLC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5783580" cy="476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63" w:name="page264"/>
    <w:bookmarkEnd w:id="263"/>
    <w:p>
      <w:pPr>
        <w:ind w:left="3280"/>
        <w:spacing w:after="0"/>
        <w:rPr>
          <w:sz w:val="20"/>
          <w:szCs w:val="20"/>
          <w:color w:val="auto"/>
        </w:rPr>
      </w:pPr>
      <w:r>
        <w:rPr>
          <w:rFonts w:ascii="Times New Roman" w:cs="Times New Roman" w:eastAsia="Times New Roman" w:hAnsi="Times New Roman"/>
          <w:sz w:val="18"/>
          <w:szCs w:val="18"/>
          <w:color w:val="auto"/>
        </w:rPr>
        <w:t>PNC BANK, NATIONAL ASSOCIATION, as</w:t>
      </w:r>
    </w:p>
    <w:p>
      <w:pPr>
        <w:spacing w:after="0" w:line="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Administrative Agent, Swing Line Lender and as a</w:t>
      </w:r>
    </w:p>
    <w:p>
      <w:pPr>
        <w:spacing w:after="0" w:line="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Lender</w:t>
      </w:r>
    </w:p>
    <w:p>
      <w:pPr>
        <w:spacing w:after="0" w:line="39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By: /s/ Domenic</w:t>
      </w:r>
    </w:p>
    <w:p>
      <w:pPr>
        <w:spacing w:after="0" w:line="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D’Ginto</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Domenic D’Ginto</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PNG Companies LLC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63500</wp:posOffset>
            </wp:positionV>
            <wp:extent cx="5783580" cy="476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417" w:right="1440" w:bottom="1440" w:gutter="0" w:footer="0" w:header="0"/>
        </w:sectPr>
      </w:pPr>
    </w:p>
    <w:bookmarkStart w:id="264" w:name="page265"/>
    <w:bookmarkEnd w:id="264"/>
    <w:p>
      <w:pPr>
        <w:ind w:left="3280"/>
        <w:spacing w:after="0"/>
        <w:rPr>
          <w:sz w:val="20"/>
          <w:szCs w:val="20"/>
          <w:color w:val="auto"/>
        </w:rPr>
      </w:pPr>
      <w:r>
        <w:rPr>
          <w:rFonts w:ascii="Times New Roman" w:cs="Times New Roman" w:eastAsia="Times New Roman" w:hAnsi="Times New Roman"/>
          <w:sz w:val="18"/>
          <w:szCs w:val="18"/>
          <w:color w:val="auto"/>
        </w:rPr>
        <w:t>THE HUNTINGTON NATIONAL BANK</w:t>
      </w: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By: /s/ Nolan</w:t>
      </w:r>
    </w:p>
    <w:p>
      <w:pPr>
        <w:spacing w:after="0" w:line="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Woodbury</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Nolan Woodbury</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PNG Companies LLC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63500</wp:posOffset>
            </wp:positionV>
            <wp:extent cx="5783580" cy="476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417" w:right="1440" w:bottom="1440" w:gutter="0" w:footer="0" w:header="0"/>
        </w:sectPr>
      </w:pPr>
    </w:p>
    <w:bookmarkStart w:id="265" w:name="page266"/>
    <w:bookmarkEnd w:id="265"/>
    <w:p>
      <w:pPr>
        <w:ind w:left="328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By: /s/ Timothy</w:t>
      </w:r>
    </w:p>
    <w:p>
      <w:pPr>
        <w:spacing w:after="0" w:line="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Whalen</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Timothy Whalen</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PNG Companies LLC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63500</wp:posOffset>
            </wp:positionV>
            <wp:extent cx="5783580" cy="476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417" w:right="1440" w:bottom="1440" w:gutter="0" w:footer="0" w:header="0"/>
        </w:sectPr>
      </w:pPr>
    </w:p>
    <w:bookmarkStart w:id="266" w:name="page267"/>
    <w:bookmarkEnd w:id="266"/>
    <w:tbl>
      <w:tblPr>
        <w:tblLayout w:type="fixed"/>
        <w:tblInd w:w="1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Schedule 1.1A</w:t>
            </w:r>
          </w:p>
        </w:tc>
        <w:tc>
          <w:tcPr>
            <w:tcW w:w="0" w:type="dxa"/>
            <w:vAlign w:val="bottom"/>
          </w:tcPr>
          <w:p>
            <w:pPr>
              <w:spacing w:after="0"/>
              <w:rPr>
                <w:sz w:val="1"/>
                <w:szCs w:val="1"/>
                <w:color w:val="auto"/>
              </w:rPr>
            </w:pPr>
          </w:p>
        </w:tc>
      </w:tr>
      <w:tr>
        <w:trPr>
          <w:trHeight w:val="241"/>
        </w:trPr>
        <w:tc>
          <w:tcPr>
            <w:tcW w:w="2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 Credit Agreement</w:t>
            </w:r>
          </w:p>
        </w:tc>
        <w:tc>
          <w:tcPr>
            <w:tcW w:w="0" w:type="dxa"/>
            <w:vAlign w:val="bottom"/>
          </w:tcPr>
          <w:p>
            <w:pPr>
              <w:spacing w:after="0"/>
              <w:rPr>
                <w:sz w:val="1"/>
                <w:szCs w:val="1"/>
                <w:color w:val="auto"/>
              </w:rPr>
            </w:pPr>
          </w:p>
        </w:tc>
      </w:tr>
      <w:tr>
        <w:trPr>
          <w:trHeight w:val="348"/>
        </w:trPr>
        <w:tc>
          <w:tcPr>
            <w:tcW w:w="2540" w:type="dxa"/>
            <w:vAlign w:val="bottom"/>
          </w:tcPr>
          <w:p>
            <w:pPr>
              <w:spacing w:after="0"/>
              <w:rPr>
                <w:sz w:val="24"/>
                <w:szCs w:val="24"/>
                <w:color w:val="auto"/>
              </w:rPr>
            </w:pPr>
          </w:p>
        </w:tc>
        <w:tc>
          <w:tcPr>
            <w:tcW w:w="3740" w:type="dxa"/>
            <w:vAlign w:val="bottom"/>
            <w:gridSpan w:val="4"/>
          </w:tcPr>
          <w:p>
            <w:pPr>
              <w:ind w:left="1060"/>
              <w:spacing w:after="0"/>
              <w:rPr>
                <w:sz w:val="20"/>
                <w:szCs w:val="20"/>
                <w:color w:val="auto"/>
              </w:rPr>
            </w:pPr>
            <w:r>
              <w:rPr>
                <w:rFonts w:ascii="Times New Roman" w:cs="Times New Roman" w:eastAsia="Times New Roman" w:hAnsi="Times New Roman"/>
                <w:sz w:val="18"/>
                <w:szCs w:val="18"/>
                <w:color w:val="auto"/>
              </w:rPr>
              <w:t>Revolving Commitments</w:t>
            </w: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540" w:type="dxa"/>
            <w:vAlign w:val="bottom"/>
            <w:tcBorders>
              <w:left w:val="single" w:sz="8" w:color="auto"/>
            </w:tcBorders>
          </w:tcPr>
          <w:p>
            <w:pPr>
              <w:spacing w:after="0"/>
              <w:rPr>
                <w:sz w:val="14"/>
                <w:szCs w:val="14"/>
                <w:color w:val="auto"/>
              </w:rPr>
            </w:pPr>
          </w:p>
        </w:tc>
        <w:tc>
          <w:tcPr>
            <w:tcW w:w="3740" w:type="dxa"/>
            <w:vAlign w:val="bottom"/>
            <w:tcBorders>
              <w:right w:val="single" w:sz="8" w:color="auto"/>
            </w:tcBorders>
            <w:gridSpan w:val="4"/>
          </w:tcPr>
          <w:p>
            <w:pPr>
              <w:spacing w:after="0" w:line="165" w:lineRule="exact"/>
              <w:rPr>
                <w:sz w:val="20"/>
                <w:szCs w:val="20"/>
                <w:color w:val="auto"/>
              </w:rPr>
            </w:pPr>
            <w:r>
              <w:rPr>
                <w:rFonts w:ascii="Times New Roman" w:cs="Times New Roman" w:eastAsia="Times New Roman" w:hAnsi="Times New Roman"/>
                <w:sz w:val="18"/>
                <w:szCs w:val="18"/>
                <w:color w:val="auto"/>
              </w:rPr>
              <w:t>Name of Lender</w:t>
            </w:r>
          </w:p>
        </w:tc>
        <w:tc>
          <w:tcPr>
            <w:tcW w:w="480" w:type="dxa"/>
            <w:vAlign w:val="bottom"/>
          </w:tcPr>
          <w:p>
            <w:pPr>
              <w:spacing w:after="0"/>
              <w:rPr>
                <w:sz w:val="14"/>
                <w:szCs w:val="14"/>
                <w:color w:val="auto"/>
              </w:rPr>
            </w:pPr>
          </w:p>
        </w:tc>
        <w:tc>
          <w:tcPr>
            <w:tcW w:w="2300" w:type="dxa"/>
            <w:vAlign w:val="bottom"/>
            <w:tcBorders>
              <w:right w:val="single" w:sz="8" w:color="auto"/>
            </w:tcBorders>
            <w:gridSpan w:val="2"/>
          </w:tcPr>
          <w:p>
            <w:pPr>
              <w:jc w:val="right"/>
              <w:ind w:right="500"/>
              <w:spacing w:after="0" w:line="165" w:lineRule="exact"/>
              <w:rPr>
                <w:sz w:val="20"/>
                <w:szCs w:val="20"/>
                <w:color w:val="auto"/>
              </w:rPr>
            </w:pPr>
            <w:r>
              <w:rPr>
                <w:rFonts w:ascii="Times New Roman" w:cs="Times New Roman" w:eastAsia="Times New Roman" w:hAnsi="Times New Roman"/>
                <w:sz w:val="18"/>
                <w:szCs w:val="18"/>
                <w:color w:val="auto"/>
              </w:rPr>
              <w:t>Revolving Commitment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80" w:type="dxa"/>
            <w:vAlign w:val="bottom"/>
            <w:tcBorders>
              <w:left w:val="single" w:sz="8" w:color="auto"/>
              <w:bottom w:val="single" w:sz="8" w:color="auto"/>
              <w:right w:val="single" w:sz="8" w:color="auto"/>
            </w:tcBorders>
            <w:gridSpan w:val="5"/>
          </w:tcPr>
          <w:p>
            <w:pPr>
              <w:ind w:left="120"/>
              <w:spacing w:after="0" w:line="195" w:lineRule="exact"/>
              <w:rPr>
                <w:sz w:val="20"/>
                <w:szCs w:val="20"/>
                <w:color w:val="auto"/>
              </w:rPr>
            </w:pPr>
            <w:r>
              <w:rPr>
                <w:rFonts w:ascii="Times New Roman" w:cs="Times New Roman" w:eastAsia="Times New Roman" w:hAnsi="Times New Roman"/>
                <w:sz w:val="18"/>
                <w:szCs w:val="18"/>
                <w:color w:val="auto"/>
              </w:rPr>
              <w:t>PNC Bank, National Association</w:t>
            </w:r>
          </w:p>
        </w:tc>
        <w:tc>
          <w:tcPr>
            <w:tcW w:w="2780" w:type="dxa"/>
            <w:vAlign w:val="bottom"/>
            <w:tcBorders>
              <w:bottom w:val="single" w:sz="8" w:color="auto"/>
              <w:right w:val="single" w:sz="8" w:color="auto"/>
            </w:tcBorders>
            <w:gridSpan w:val="3"/>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$150,000,000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80" w:type="dxa"/>
            <w:vAlign w:val="bottom"/>
            <w:tcBorders>
              <w:left w:val="single" w:sz="8" w:color="auto"/>
              <w:bottom w:val="single" w:sz="8" w:color="auto"/>
              <w:right w:val="single" w:sz="8" w:color="auto"/>
            </w:tcBorders>
            <w:gridSpan w:val="5"/>
          </w:tcPr>
          <w:p>
            <w:pPr>
              <w:ind w:left="120"/>
              <w:spacing w:after="0" w:line="200" w:lineRule="exact"/>
              <w:rPr>
                <w:sz w:val="20"/>
                <w:szCs w:val="20"/>
                <w:color w:val="auto"/>
              </w:rPr>
            </w:pPr>
            <w:r>
              <w:rPr>
                <w:rFonts w:ascii="Times New Roman" w:cs="Times New Roman" w:eastAsia="Times New Roman" w:hAnsi="Times New Roman"/>
                <w:sz w:val="18"/>
                <w:szCs w:val="18"/>
                <w:color w:val="auto"/>
              </w:rPr>
              <w:t>The Huntington National Bank</w:t>
            </w:r>
          </w:p>
        </w:tc>
        <w:tc>
          <w:tcPr>
            <w:tcW w:w="2780" w:type="dxa"/>
            <w:vAlign w:val="bottom"/>
            <w:tcBorders>
              <w:bottom w:val="single" w:sz="8" w:color="auto"/>
              <w:right w:val="single" w:sz="8" w:color="auto"/>
            </w:tcBorders>
            <w:gridSpan w:val="3"/>
          </w:tcPr>
          <w:p>
            <w:pPr>
              <w:jc w:val="right"/>
              <w:ind w:right="80"/>
              <w:spacing w:after="0" w:line="200" w:lineRule="exact"/>
              <w:rPr>
                <w:sz w:val="20"/>
                <w:szCs w:val="20"/>
                <w:color w:val="auto"/>
              </w:rPr>
            </w:pPr>
            <w:r>
              <w:rPr>
                <w:rFonts w:ascii="Times New Roman" w:cs="Times New Roman" w:eastAsia="Times New Roman" w:hAnsi="Times New Roman"/>
                <w:sz w:val="18"/>
                <w:szCs w:val="18"/>
                <w:color w:val="auto"/>
              </w:rPr>
              <w:t>$75,000,000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80" w:type="dxa"/>
            <w:vAlign w:val="bottom"/>
            <w:tcBorders>
              <w:left w:val="single" w:sz="8" w:color="auto"/>
              <w:bottom w:val="single" w:sz="8" w:color="auto"/>
              <w:right w:val="single" w:sz="8" w:color="auto"/>
            </w:tcBorders>
            <w:gridSpan w:val="5"/>
          </w:tcPr>
          <w:p>
            <w:pPr>
              <w:ind w:left="120"/>
              <w:spacing w:after="0" w:line="200" w:lineRule="exact"/>
              <w:rPr>
                <w:sz w:val="20"/>
                <w:szCs w:val="20"/>
                <w:color w:val="auto"/>
              </w:rPr>
            </w:pPr>
            <w:r>
              <w:rPr>
                <w:rFonts w:ascii="Times New Roman" w:cs="Times New Roman" w:eastAsia="Times New Roman" w:hAnsi="Times New Roman"/>
                <w:sz w:val="18"/>
                <w:szCs w:val="18"/>
                <w:color w:val="auto"/>
              </w:rPr>
              <w:t>Citizens Bank, N.A.</w:t>
            </w:r>
          </w:p>
        </w:tc>
        <w:tc>
          <w:tcPr>
            <w:tcW w:w="2780" w:type="dxa"/>
            <w:vAlign w:val="bottom"/>
            <w:tcBorders>
              <w:bottom w:val="single" w:sz="8" w:color="auto"/>
              <w:right w:val="single" w:sz="8" w:color="auto"/>
            </w:tcBorders>
            <w:gridSpan w:val="3"/>
          </w:tcPr>
          <w:p>
            <w:pPr>
              <w:jc w:val="right"/>
              <w:ind w:right="80"/>
              <w:spacing w:after="0" w:line="200" w:lineRule="exact"/>
              <w:rPr>
                <w:sz w:val="20"/>
                <w:szCs w:val="20"/>
                <w:color w:val="auto"/>
              </w:rPr>
            </w:pPr>
            <w:r>
              <w:rPr>
                <w:rFonts w:ascii="Times New Roman" w:cs="Times New Roman" w:eastAsia="Times New Roman" w:hAnsi="Times New Roman"/>
                <w:sz w:val="18"/>
                <w:szCs w:val="18"/>
                <w:color w:val="auto"/>
              </w:rPr>
              <w:t>$75,000,000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40" w:type="dxa"/>
            <w:vAlign w:val="bottom"/>
            <w:tcBorders>
              <w:left w:val="single" w:sz="8" w:color="auto"/>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gridSpan w:val="4"/>
          </w:tcPr>
          <w:p>
            <w:pPr>
              <w:ind w:left="820"/>
              <w:spacing w:after="0" w:line="200" w:lineRule="exact"/>
              <w:rPr>
                <w:sz w:val="20"/>
                <w:szCs w:val="20"/>
                <w:color w:val="auto"/>
              </w:rPr>
            </w:pPr>
            <w:r>
              <w:rPr>
                <w:rFonts w:ascii="Times New Roman" w:cs="Times New Roman" w:eastAsia="Times New Roman" w:hAnsi="Times New Roman"/>
                <w:sz w:val="18"/>
                <w:szCs w:val="18"/>
                <w:b w:val="1"/>
                <w:bCs w:val="1"/>
                <w:color w:val="auto"/>
              </w:rPr>
              <w:t>Total:</w:t>
            </w:r>
          </w:p>
        </w:tc>
        <w:tc>
          <w:tcPr>
            <w:tcW w:w="2780" w:type="dxa"/>
            <w:vAlign w:val="bottom"/>
            <w:tcBorders>
              <w:bottom w:val="single" w:sz="8" w:color="auto"/>
              <w:right w:val="single" w:sz="8" w:color="auto"/>
            </w:tcBorders>
            <w:gridSpan w:val="3"/>
          </w:tcPr>
          <w:p>
            <w:pPr>
              <w:jc w:val="right"/>
              <w:ind w:right="80"/>
              <w:spacing w:after="0" w:line="200" w:lineRule="exact"/>
              <w:rPr>
                <w:sz w:val="20"/>
                <w:szCs w:val="20"/>
                <w:color w:val="auto"/>
              </w:rPr>
            </w:pPr>
            <w:r>
              <w:rPr>
                <w:rFonts w:ascii="Times New Roman" w:cs="Times New Roman" w:eastAsia="Times New Roman" w:hAnsi="Times New Roman"/>
                <w:sz w:val="18"/>
                <w:szCs w:val="18"/>
                <w:b w:val="1"/>
                <w:bCs w:val="1"/>
                <w:color w:val="auto"/>
              </w:rPr>
              <w:t>$300,000,000.00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Schedule 1.1A-1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67" w:name="page268"/>
    <w:bookmarkEnd w:id="267"/>
    <w:p>
      <w:pPr>
        <w:ind w:left="8100"/>
        <w:spacing w:after="0"/>
        <w:rPr>
          <w:sz w:val="20"/>
          <w:szCs w:val="20"/>
          <w:color w:val="auto"/>
        </w:rPr>
      </w:pPr>
      <w:r>
        <w:rPr>
          <w:rFonts w:ascii="Times New Roman" w:cs="Times New Roman" w:eastAsia="Times New Roman" w:hAnsi="Times New Roman"/>
          <w:sz w:val="18"/>
          <w:szCs w:val="18"/>
          <w:color w:val="auto"/>
        </w:rPr>
        <w:t>Schedule 4.4</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to Credit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Consents, Authorizations, Filings and Notices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Schedule 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68" w:name="page269"/>
    <w:bookmarkEnd w:id="268"/>
    <w:tbl>
      <w:tblPr>
        <w:tblLayout w:type="fixed"/>
        <w:tblInd w:w="10" w:type="dxa"/>
        <w:tblCellMar>
          <w:top w:w="0" w:type="dxa"/>
          <w:left w:w="0" w:type="dxa"/>
          <w:bottom w:w="0" w:type="dxa"/>
          <w:right w:w="0" w:type="dxa"/>
        </w:tblCellMar>
      </w:tblPr>
      <w:tr>
        <w:trPr>
          <w:trHeight w:val="208"/>
        </w:trPr>
        <w:tc>
          <w:tcPr>
            <w:tcW w:w="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Schedule 4.15</w:t>
            </w:r>
          </w:p>
        </w:tc>
      </w:tr>
      <w:tr>
        <w:trPr>
          <w:trHeight w:val="241"/>
        </w:trPr>
        <w:tc>
          <w:tcPr>
            <w:tcW w:w="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to Credit Agreement</w:t>
            </w:r>
          </w:p>
        </w:tc>
      </w:tr>
      <w:tr>
        <w:trPr>
          <w:trHeight w:val="348"/>
        </w:trPr>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Subsidiaries</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4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3"/>
        </w:trPr>
        <w:tc>
          <w:tcPr>
            <w:tcW w:w="460" w:type="dxa"/>
            <w:vAlign w:val="bottom"/>
            <w:tcBorders>
              <w:left w:val="single" w:sz="8" w:color="auto"/>
            </w:tcBorders>
            <w:shd w:val="clear" w:color="auto" w:fill="DEEAF6"/>
          </w:tcPr>
          <w:p>
            <w:pPr>
              <w:spacing w:after="0"/>
              <w:rPr>
                <w:sz w:val="15"/>
                <w:szCs w:val="15"/>
                <w:color w:val="auto"/>
              </w:rPr>
            </w:pPr>
          </w:p>
        </w:tc>
        <w:tc>
          <w:tcPr>
            <w:tcW w:w="3160" w:type="dxa"/>
            <w:vAlign w:val="bottom"/>
            <w:shd w:val="clear" w:color="auto" w:fill="DEEAF6"/>
          </w:tcPr>
          <w:p>
            <w:pPr>
              <w:spacing w:after="0"/>
              <w:rPr>
                <w:sz w:val="15"/>
                <w:szCs w:val="15"/>
                <w:color w:val="auto"/>
              </w:rPr>
            </w:pPr>
          </w:p>
        </w:tc>
        <w:tc>
          <w:tcPr>
            <w:tcW w:w="460" w:type="dxa"/>
            <w:vAlign w:val="bottom"/>
            <w:shd w:val="clear" w:color="auto" w:fill="DEEAF6"/>
          </w:tcPr>
          <w:p>
            <w:pPr>
              <w:spacing w:after="0"/>
              <w:rPr>
                <w:sz w:val="15"/>
                <w:szCs w:val="15"/>
                <w:color w:val="auto"/>
              </w:rPr>
            </w:pPr>
          </w:p>
        </w:tc>
        <w:tc>
          <w:tcPr>
            <w:tcW w:w="820" w:type="dxa"/>
            <w:vAlign w:val="bottom"/>
            <w:tcBorders>
              <w:right w:val="single" w:sz="8" w:color="auto"/>
            </w:tcBorders>
            <w:shd w:val="clear" w:color="auto" w:fill="DEEAF6"/>
          </w:tcPr>
          <w:p>
            <w:pPr>
              <w:spacing w:after="0"/>
              <w:rPr>
                <w:sz w:val="15"/>
                <w:szCs w:val="15"/>
                <w:color w:val="auto"/>
              </w:rPr>
            </w:pPr>
          </w:p>
        </w:tc>
        <w:tc>
          <w:tcPr>
            <w:tcW w:w="80" w:type="dxa"/>
            <w:vAlign w:val="bottom"/>
            <w:shd w:val="clear" w:color="auto" w:fill="DEEAF6"/>
          </w:tcPr>
          <w:p>
            <w:pPr>
              <w:spacing w:after="0"/>
              <w:rPr>
                <w:sz w:val="15"/>
                <w:szCs w:val="15"/>
                <w:color w:val="auto"/>
              </w:rPr>
            </w:pPr>
          </w:p>
        </w:tc>
        <w:tc>
          <w:tcPr>
            <w:tcW w:w="2000" w:type="dxa"/>
            <w:vAlign w:val="bottom"/>
            <w:tcBorders>
              <w:right w:val="single" w:sz="8" w:color="auto"/>
            </w:tcBorders>
            <w:shd w:val="clear" w:color="auto" w:fill="DEEAF6"/>
          </w:tcPr>
          <w:p>
            <w:pPr>
              <w:jc w:val="center"/>
              <w:ind w:right="28"/>
              <w:spacing w:after="0" w:line="173" w:lineRule="exact"/>
              <w:rPr>
                <w:sz w:val="20"/>
                <w:szCs w:val="20"/>
                <w:color w:val="auto"/>
              </w:rPr>
            </w:pPr>
            <w:r>
              <w:rPr>
                <w:rFonts w:ascii="Times New Roman" w:cs="Times New Roman" w:eastAsia="Times New Roman" w:hAnsi="Times New Roman"/>
                <w:sz w:val="18"/>
                <w:szCs w:val="18"/>
                <w:b w:val="1"/>
                <w:bCs w:val="1"/>
                <w:color w:val="auto"/>
              </w:rPr>
              <w:t>Jurisdiction of</w:t>
            </w:r>
          </w:p>
        </w:tc>
        <w:tc>
          <w:tcPr>
            <w:tcW w:w="2080" w:type="dxa"/>
            <w:vAlign w:val="bottom"/>
            <w:tcBorders>
              <w:right w:val="single" w:sz="8" w:color="auto"/>
            </w:tcBorders>
            <w:shd w:val="clear" w:color="auto" w:fill="DEEAF6"/>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rPr>
              <w:t>Significant Subsidiary</w:t>
            </w:r>
          </w:p>
        </w:tc>
        <w:tc>
          <w:tcPr>
            <w:tcW w:w="20" w:type="dxa"/>
            <w:vAlign w:val="bottom"/>
          </w:tcPr>
          <w:p>
            <w:pPr>
              <w:spacing w:after="0"/>
              <w:rPr>
                <w:sz w:val="15"/>
                <w:szCs w:val="15"/>
                <w:color w:val="auto"/>
              </w:rPr>
            </w:pPr>
          </w:p>
        </w:tc>
      </w:tr>
      <w:tr>
        <w:trPr>
          <w:trHeight w:val="235"/>
        </w:trPr>
        <w:tc>
          <w:tcPr>
            <w:tcW w:w="460" w:type="dxa"/>
            <w:vAlign w:val="bottom"/>
            <w:tcBorders>
              <w:left w:val="single" w:sz="8" w:color="auto"/>
              <w:bottom w:val="single" w:sz="8" w:color="auto"/>
            </w:tcBorders>
            <w:shd w:val="clear" w:color="auto" w:fill="DEEAF6"/>
          </w:tcPr>
          <w:p>
            <w:pPr>
              <w:spacing w:after="0"/>
              <w:rPr>
                <w:sz w:val="20"/>
                <w:szCs w:val="20"/>
                <w:color w:val="auto"/>
              </w:rPr>
            </w:pPr>
          </w:p>
        </w:tc>
        <w:tc>
          <w:tcPr>
            <w:tcW w:w="3160" w:type="dxa"/>
            <w:vAlign w:val="bottom"/>
            <w:tcBorders>
              <w:bottom w:val="single" w:sz="8" w:color="auto"/>
            </w:tcBorders>
            <w:shd w:val="clear" w:color="auto" w:fill="DEEAF6"/>
          </w:tcPr>
          <w:p>
            <w:pPr>
              <w:ind w:left="134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460" w:type="dxa"/>
            <w:vAlign w:val="bottom"/>
            <w:tcBorders>
              <w:bottom w:val="single" w:sz="8" w:color="auto"/>
            </w:tcBorders>
            <w:shd w:val="clear" w:color="auto" w:fill="DEEAF6"/>
          </w:tcPr>
          <w:p>
            <w:pPr>
              <w:spacing w:after="0"/>
              <w:rPr>
                <w:sz w:val="20"/>
                <w:szCs w:val="20"/>
                <w:color w:val="auto"/>
              </w:rPr>
            </w:pPr>
          </w:p>
        </w:tc>
        <w:tc>
          <w:tcPr>
            <w:tcW w:w="820" w:type="dxa"/>
            <w:vAlign w:val="bottom"/>
            <w:tcBorders>
              <w:bottom w:val="single" w:sz="8" w:color="auto"/>
              <w:right w:val="single" w:sz="8" w:color="auto"/>
            </w:tcBorders>
            <w:shd w:val="clear" w:color="auto" w:fill="DEEAF6"/>
          </w:tcPr>
          <w:p>
            <w:pPr>
              <w:spacing w:after="0"/>
              <w:rPr>
                <w:sz w:val="20"/>
                <w:szCs w:val="20"/>
                <w:color w:val="auto"/>
              </w:rPr>
            </w:pPr>
          </w:p>
        </w:tc>
        <w:tc>
          <w:tcPr>
            <w:tcW w:w="80" w:type="dxa"/>
            <w:vAlign w:val="bottom"/>
            <w:tcBorders>
              <w:bottom w:val="single" w:sz="8" w:color="auto"/>
            </w:tcBorders>
            <w:shd w:val="clear" w:color="auto" w:fill="DEEAF6"/>
          </w:tcPr>
          <w:p>
            <w:pPr>
              <w:spacing w:after="0"/>
              <w:rPr>
                <w:sz w:val="20"/>
                <w:szCs w:val="20"/>
                <w:color w:val="auto"/>
              </w:rPr>
            </w:pPr>
          </w:p>
        </w:tc>
        <w:tc>
          <w:tcPr>
            <w:tcW w:w="2000" w:type="dxa"/>
            <w:vAlign w:val="bottom"/>
            <w:tcBorders>
              <w:bottom w:val="single" w:sz="8" w:color="auto"/>
              <w:right w:val="single" w:sz="8" w:color="auto"/>
            </w:tcBorders>
            <w:shd w:val="clear" w:color="auto" w:fill="DEEAF6"/>
          </w:tcPr>
          <w:p>
            <w:pPr>
              <w:jc w:val="center"/>
              <w:ind w:right="28"/>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2080" w:type="dxa"/>
            <w:vAlign w:val="bottom"/>
            <w:tcBorders>
              <w:bottom w:val="single" w:sz="8" w:color="auto"/>
              <w:right w:val="single" w:sz="8" w:color="auto"/>
            </w:tcBorders>
            <w:shd w:val="clear" w:color="auto" w:fill="DEEAF6"/>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3620" w:type="dxa"/>
            <w:vAlign w:val="bottom"/>
            <w:tcBorders>
              <w:left w:val="single" w:sz="8" w:color="auto"/>
              <w:bottom w:val="single" w:sz="8" w:color="auto"/>
            </w:tcBorders>
            <w:gridSpan w:val="2"/>
          </w:tcPr>
          <w:p>
            <w:pPr>
              <w:ind w:left="300"/>
              <w:spacing w:after="0" w:line="200" w:lineRule="exact"/>
              <w:rPr>
                <w:sz w:val="20"/>
                <w:szCs w:val="20"/>
                <w:color w:val="auto"/>
              </w:rPr>
            </w:pPr>
            <w:r>
              <w:rPr>
                <w:rFonts w:ascii="Times New Roman" w:cs="Times New Roman" w:eastAsia="Times New Roman" w:hAnsi="Times New Roman"/>
                <w:sz w:val="18"/>
                <w:szCs w:val="18"/>
                <w:color w:val="auto"/>
              </w:rPr>
              <w:t>1. Peoples Homeworks LLC</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28"/>
              <w:spacing w:after="0" w:line="200" w:lineRule="exact"/>
              <w:rPr>
                <w:sz w:val="20"/>
                <w:szCs w:val="20"/>
                <w:color w:val="auto"/>
              </w:rPr>
            </w:pPr>
            <w:r>
              <w:rPr>
                <w:rFonts w:ascii="Times New Roman" w:cs="Times New Roman" w:eastAsia="Times New Roman" w:hAnsi="Times New Roman"/>
                <w:sz w:val="18"/>
                <w:szCs w:val="18"/>
                <w:color w:val="auto"/>
              </w:rPr>
              <w:t>Delaware</w:t>
            </w:r>
          </w:p>
        </w:tc>
        <w:tc>
          <w:tcPr>
            <w:tcW w:w="208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17"/>
                <w:szCs w:val="17"/>
                <w:color w:val="auto"/>
              </w:rPr>
            </w:pPr>
          </w:p>
        </w:tc>
      </w:tr>
      <w:tr>
        <w:trPr>
          <w:trHeight w:val="199"/>
        </w:trPr>
        <w:tc>
          <w:tcPr>
            <w:tcW w:w="3620" w:type="dxa"/>
            <w:vAlign w:val="bottom"/>
            <w:tcBorders>
              <w:left w:val="single" w:sz="8" w:color="auto"/>
              <w:bottom w:val="single" w:sz="8" w:color="auto"/>
            </w:tcBorders>
            <w:gridSpan w:val="2"/>
          </w:tcPr>
          <w:p>
            <w:pPr>
              <w:ind w:left="300"/>
              <w:spacing w:after="0" w:line="200" w:lineRule="exact"/>
              <w:rPr>
                <w:sz w:val="20"/>
                <w:szCs w:val="20"/>
                <w:color w:val="auto"/>
              </w:rPr>
            </w:pPr>
            <w:r>
              <w:rPr>
                <w:rFonts w:ascii="Times New Roman" w:cs="Times New Roman" w:eastAsia="Times New Roman" w:hAnsi="Times New Roman"/>
                <w:sz w:val="18"/>
                <w:szCs w:val="18"/>
                <w:color w:val="auto"/>
              </w:rPr>
              <w:t>2. PNG Gathering LLC</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28"/>
              <w:spacing w:after="0" w:line="200" w:lineRule="exact"/>
              <w:rPr>
                <w:sz w:val="20"/>
                <w:szCs w:val="20"/>
                <w:color w:val="auto"/>
              </w:rPr>
            </w:pPr>
            <w:r>
              <w:rPr>
                <w:rFonts w:ascii="Times New Roman" w:cs="Times New Roman" w:eastAsia="Times New Roman" w:hAnsi="Times New Roman"/>
                <w:sz w:val="18"/>
                <w:szCs w:val="18"/>
                <w:color w:val="auto"/>
              </w:rPr>
              <w:t>Delaware</w:t>
            </w:r>
          </w:p>
        </w:tc>
        <w:tc>
          <w:tcPr>
            <w:tcW w:w="208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17"/>
                <w:szCs w:val="17"/>
                <w:color w:val="auto"/>
              </w:rPr>
            </w:pPr>
          </w:p>
        </w:tc>
      </w:tr>
      <w:tr>
        <w:trPr>
          <w:trHeight w:val="199"/>
        </w:trPr>
        <w:tc>
          <w:tcPr>
            <w:tcW w:w="460" w:type="dxa"/>
            <w:vAlign w:val="bottom"/>
            <w:tcBorders>
              <w:left w:val="single" w:sz="8" w:color="auto"/>
              <w:bottom w:val="single" w:sz="8" w:color="auto"/>
            </w:tcBorders>
          </w:tcPr>
          <w:p>
            <w:pPr>
              <w:ind w:left="300"/>
              <w:spacing w:after="0" w:line="200" w:lineRule="exact"/>
              <w:rPr>
                <w:sz w:val="20"/>
                <w:szCs w:val="20"/>
                <w:color w:val="auto"/>
              </w:rPr>
            </w:pPr>
            <w:r>
              <w:rPr>
                <w:rFonts w:ascii="Times New Roman" w:cs="Times New Roman" w:eastAsia="Times New Roman" w:hAnsi="Times New Roman"/>
                <w:sz w:val="18"/>
                <w:szCs w:val="18"/>
                <w:color w:val="auto"/>
              </w:rPr>
              <w:t>3.</w:t>
            </w:r>
          </w:p>
        </w:tc>
        <w:tc>
          <w:tcPr>
            <w:tcW w:w="3160" w:type="dxa"/>
            <w:vAlign w:val="bottom"/>
            <w:tcBorders>
              <w:bottom w:val="single" w:sz="8" w:color="auto"/>
            </w:tcBorders>
          </w:tcPr>
          <w:p>
            <w:pPr>
              <w:ind w:left="20"/>
              <w:spacing w:after="0" w:line="200" w:lineRule="exact"/>
              <w:rPr>
                <w:sz w:val="20"/>
                <w:szCs w:val="20"/>
                <w:color w:val="auto"/>
              </w:rPr>
            </w:pPr>
            <w:r>
              <w:rPr>
                <w:rFonts w:ascii="Times New Roman" w:cs="Times New Roman" w:eastAsia="Times New Roman" w:hAnsi="Times New Roman"/>
                <w:sz w:val="18"/>
                <w:szCs w:val="18"/>
                <w:color w:val="auto"/>
              </w:rPr>
              <w:t>Peoples Natural Gas Company LLC</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28"/>
              <w:spacing w:after="0" w:line="200" w:lineRule="exact"/>
              <w:rPr>
                <w:sz w:val="20"/>
                <w:szCs w:val="20"/>
                <w:color w:val="auto"/>
              </w:rPr>
            </w:pPr>
            <w:r>
              <w:rPr>
                <w:rFonts w:ascii="Times New Roman" w:cs="Times New Roman" w:eastAsia="Times New Roman" w:hAnsi="Times New Roman"/>
                <w:sz w:val="18"/>
                <w:szCs w:val="18"/>
                <w:color w:val="auto"/>
              </w:rPr>
              <w:t>Pennsylvania</w:t>
            </w:r>
          </w:p>
        </w:tc>
        <w:tc>
          <w:tcPr>
            <w:tcW w:w="208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Yes</w:t>
            </w:r>
          </w:p>
        </w:tc>
        <w:tc>
          <w:tcPr>
            <w:tcW w:w="20" w:type="dxa"/>
            <w:vAlign w:val="bottom"/>
          </w:tcPr>
          <w:p>
            <w:pPr>
              <w:spacing w:after="0"/>
              <w:rPr>
                <w:sz w:val="17"/>
                <w:szCs w:val="17"/>
                <w:color w:val="auto"/>
              </w:rPr>
            </w:pPr>
          </w:p>
        </w:tc>
      </w:tr>
      <w:tr>
        <w:trPr>
          <w:trHeight w:val="199"/>
        </w:trPr>
        <w:tc>
          <w:tcPr>
            <w:tcW w:w="460" w:type="dxa"/>
            <w:vAlign w:val="bottom"/>
            <w:tcBorders>
              <w:left w:val="single" w:sz="8" w:color="auto"/>
              <w:bottom w:val="single" w:sz="8" w:color="auto"/>
            </w:tcBorders>
          </w:tcPr>
          <w:p>
            <w:pPr>
              <w:ind w:left="300"/>
              <w:spacing w:after="0" w:line="200" w:lineRule="exact"/>
              <w:rPr>
                <w:sz w:val="20"/>
                <w:szCs w:val="20"/>
                <w:color w:val="auto"/>
              </w:rPr>
            </w:pPr>
            <w:r>
              <w:rPr>
                <w:rFonts w:ascii="Times New Roman" w:cs="Times New Roman" w:eastAsia="Times New Roman" w:hAnsi="Times New Roman"/>
                <w:sz w:val="18"/>
                <w:szCs w:val="18"/>
                <w:color w:val="auto"/>
              </w:rPr>
              <w:t>4.</w:t>
            </w:r>
          </w:p>
        </w:tc>
        <w:tc>
          <w:tcPr>
            <w:tcW w:w="3160" w:type="dxa"/>
            <w:vAlign w:val="bottom"/>
            <w:tcBorders>
              <w:bottom w:val="single" w:sz="8" w:color="auto"/>
            </w:tcBorders>
          </w:tcPr>
          <w:p>
            <w:pPr>
              <w:ind w:left="20"/>
              <w:spacing w:after="0" w:line="200" w:lineRule="exact"/>
              <w:rPr>
                <w:sz w:val="20"/>
                <w:szCs w:val="20"/>
                <w:color w:val="auto"/>
              </w:rPr>
            </w:pPr>
            <w:r>
              <w:rPr>
                <w:rFonts w:ascii="Times New Roman" w:cs="Times New Roman" w:eastAsia="Times New Roman" w:hAnsi="Times New Roman"/>
                <w:sz w:val="18"/>
                <w:szCs w:val="18"/>
                <w:color w:val="auto"/>
              </w:rPr>
              <w:t>Delta Natural Gas Company, Inc.</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28"/>
              <w:spacing w:after="0" w:line="200" w:lineRule="exact"/>
              <w:rPr>
                <w:sz w:val="20"/>
                <w:szCs w:val="20"/>
                <w:color w:val="auto"/>
              </w:rPr>
            </w:pPr>
            <w:r>
              <w:rPr>
                <w:rFonts w:ascii="Times New Roman" w:cs="Times New Roman" w:eastAsia="Times New Roman" w:hAnsi="Times New Roman"/>
                <w:sz w:val="18"/>
                <w:szCs w:val="18"/>
                <w:color w:val="auto"/>
              </w:rPr>
              <w:t>Kentucky</w:t>
            </w:r>
          </w:p>
        </w:tc>
        <w:tc>
          <w:tcPr>
            <w:tcW w:w="208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17"/>
                <w:szCs w:val="17"/>
                <w:color w:val="auto"/>
              </w:rPr>
            </w:pPr>
          </w:p>
        </w:tc>
      </w:tr>
      <w:tr>
        <w:trPr>
          <w:trHeight w:val="199"/>
        </w:trPr>
        <w:tc>
          <w:tcPr>
            <w:tcW w:w="460" w:type="dxa"/>
            <w:vAlign w:val="bottom"/>
            <w:tcBorders>
              <w:left w:val="single" w:sz="8" w:color="auto"/>
              <w:bottom w:val="single" w:sz="8" w:color="auto"/>
            </w:tcBorders>
          </w:tcPr>
          <w:p>
            <w:pPr>
              <w:ind w:left="300"/>
              <w:spacing w:after="0" w:line="200" w:lineRule="exact"/>
              <w:rPr>
                <w:sz w:val="20"/>
                <w:szCs w:val="20"/>
                <w:color w:val="auto"/>
              </w:rPr>
            </w:pPr>
            <w:r>
              <w:rPr>
                <w:rFonts w:ascii="Times New Roman" w:cs="Times New Roman" w:eastAsia="Times New Roman" w:hAnsi="Times New Roman"/>
                <w:sz w:val="18"/>
                <w:szCs w:val="18"/>
                <w:color w:val="auto"/>
              </w:rPr>
              <w:t>5.</w:t>
            </w:r>
          </w:p>
        </w:tc>
        <w:tc>
          <w:tcPr>
            <w:tcW w:w="3160" w:type="dxa"/>
            <w:vAlign w:val="bottom"/>
            <w:tcBorders>
              <w:bottom w:val="single" w:sz="8" w:color="auto"/>
            </w:tcBorders>
          </w:tcPr>
          <w:p>
            <w:pPr>
              <w:ind w:left="20"/>
              <w:spacing w:after="0" w:line="200" w:lineRule="exact"/>
              <w:rPr>
                <w:sz w:val="20"/>
                <w:szCs w:val="20"/>
                <w:color w:val="auto"/>
              </w:rPr>
            </w:pPr>
            <w:r>
              <w:rPr>
                <w:rFonts w:ascii="Times New Roman" w:cs="Times New Roman" w:eastAsia="Times New Roman" w:hAnsi="Times New Roman"/>
                <w:sz w:val="18"/>
                <w:szCs w:val="18"/>
                <w:color w:val="auto"/>
              </w:rPr>
              <w:t>Delta Resources, LLC</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28"/>
              <w:spacing w:after="0" w:line="200" w:lineRule="exact"/>
              <w:rPr>
                <w:sz w:val="20"/>
                <w:szCs w:val="20"/>
                <w:color w:val="auto"/>
              </w:rPr>
            </w:pPr>
            <w:r>
              <w:rPr>
                <w:rFonts w:ascii="Times New Roman" w:cs="Times New Roman" w:eastAsia="Times New Roman" w:hAnsi="Times New Roman"/>
                <w:sz w:val="18"/>
                <w:szCs w:val="18"/>
                <w:color w:val="auto"/>
              </w:rPr>
              <w:t>Kentucky</w:t>
            </w:r>
          </w:p>
        </w:tc>
        <w:tc>
          <w:tcPr>
            <w:tcW w:w="208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17"/>
                <w:szCs w:val="17"/>
                <w:color w:val="auto"/>
              </w:rPr>
            </w:pPr>
          </w:p>
        </w:tc>
      </w:tr>
      <w:tr>
        <w:trPr>
          <w:trHeight w:val="199"/>
        </w:trPr>
        <w:tc>
          <w:tcPr>
            <w:tcW w:w="460" w:type="dxa"/>
            <w:vAlign w:val="bottom"/>
            <w:tcBorders>
              <w:left w:val="single" w:sz="8" w:color="auto"/>
              <w:bottom w:val="single" w:sz="8" w:color="auto"/>
            </w:tcBorders>
          </w:tcPr>
          <w:p>
            <w:pPr>
              <w:ind w:left="300"/>
              <w:spacing w:after="0" w:line="200" w:lineRule="exact"/>
              <w:rPr>
                <w:sz w:val="20"/>
                <w:szCs w:val="20"/>
                <w:color w:val="auto"/>
              </w:rPr>
            </w:pPr>
            <w:r>
              <w:rPr>
                <w:rFonts w:ascii="Times New Roman" w:cs="Times New Roman" w:eastAsia="Times New Roman" w:hAnsi="Times New Roman"/>
                <w:sz w:val="18"/>
                <w:szCs w:val="18"/>
                <w:color w:val="auto"/>
              </w:rPr>
              <w:t>6.</w:t>
            </w:r>
          </w:p>
        </w:tc>
        <w:tc>
          <w:tcPr>
            <w:tcW w:w="3160" w:type="dxa"/>
            <w:vAlign w:val="bottom"/>
            <w:tcBorders>
              <w:bottom w:val="single" w:sz="8" w:color="auto"/>
            </w:tcBorders>
          </w:tcPr>
          <w:p>
            <w:pPr>
              <w:ind w:left="20"/>
              <w:spacing w:after="0" w:line="200" w:lineRule="exact"/>
              <w:rPr>
                <w:sz w:val="20"/>
                <w:szCs w:val="20"/>
                <w:color w:val="auto"/>
              </w:rPr>
            </w:pPr>
            <w:r>
              <w:rPr>
                <w:rFonts w:ascii="Times New Roman" w:cs="Times New Roman" w:eastAsia="Times New Roman" w:hAnsi="Times New Roman"/>
                <w:sz w:val="18"/>
                <w:szCs w:val="18"/>
                <w:color w:val="auto"/>
              </w:rPr>
              <w:t>Delgasco, LLC</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28"/>
              <w:spacing w:after="0" w:line="200" w:lineRule="exact"/>
              <w:rPr>
                <w:sz w:val="20"/>
                <w:szCs w:val="20"/>
                <w:color w:val="auto"/>
              </w:rPr>
            </w:pPr>
            <w:r>
              <w:rPr>
                <w:rFonts w:ascii="Times New Roman" w:cs="Times New Roman" w:eastAsia="Times New Roman" w:hAnsi="Times New Roman"/>
                <w:sz w:val="18"/>
                <w:szCs w:val="18"/>
                <w:color w:val="auto"/>
              </w:rPr>
              <w:t>Kentucky</w:t>
            </w:r>
          </w:p>
        </w:tc>
        <w:tc>
          <w:tcPr>
            <w:tcW w:w="208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17"/>
                <w:szCs w:val="17"/>
                <w:color w:val="auto"/>
              </w:rPr>
            </w:pPr>
          </w:p>
        </w:tc>
      </w:tr>
      <w:tr>
        <w:trPr>
          <w:trHeight w:val="199"/>
        </w:trPr>
        <w:tc>
          <w:tcPr>
            <w:tcW w:w="460" w:type="dxa"/>
            <w:vAlign w:val="bottom"/>
            <w:tcBorders>
              <w:left w:val="single" w:sz="8" w:color="auto"/>
              <w:bottom w:val="single" w:sz="8" w:color="auto"/>
            </w:tcBorders>
          </w:tcPr>
          <w:p>
            <w:pPr>
              <w:ind w:left="300"/>
              <w:spacing w:after="0" w:line="200" w:lineRule="exact"/>
              <w:rPr>
                <w:sz w:val="20"/>
                <w:szCs w:val="20"/>
                <w:color w:val="auto"/>
              </w:rPr>
            </w:pPr>
            <w:r>
              <w:rPr>
                <w:rFonts w:ascii="Times New Roman" w:cs="Times New Roman" w:eastAsia="Times New Roman" w:hAnsi="Times New Roman"/>
                <w:sz w:val="18"/>
                <w:szCs w:val="18"/>
                <w:color w:val="auto"/>
              </w:rPr>
              <w:t>7.</w:t>
            </w:r>
          </w:p>
        </w:tc>
        <w:tc>
          <w:tcPr>
            <w:tcW w:w="3160" w:type="dxa"/>
            <w:vAlign w:val="bottom"/>
            <w:tcBorders>
              <w:bottom w:val="single" w:sz="8" w:color="auto"/>
            </w:tcBorders>
          </w:tcPr>
          <w:p>
            <w:pPr>
              <w:ind w:left="20"/>
              <w:spacing w:after="0" w:line="200" w:lineRule="exact"/>
              <w:rPr>
                <w:sz w:val="20"/>
                <w:szCs w:val="20"/>
                <w:color w:val="auto"/>
              </w:rPr>
            </w:pPr>
            <w:r>
              <w:rPr>
                <w:rFonts w:ascii="Times New Roman" w:cs="Times New Roman" w:eastAsia="Times New Roman" w:hAnsi="Times New Roman"/>
                <w:sz w:val="18"/>
                <w:szCs w:val="18"/>
                <w:color w:val="auto"/>
              </w:rPr>
              <w:t>Enpro, LLC</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28"/>
              <w:spacing w:after="0" w:line="200" w:lineRule="exact"/>
              <w:rPr>
                <w:sz w:val="20"/>
                <w:szCs w:val="20"/>
                <w:color w:val="auto"/>
              </w:rPr>
            </w:pPr>
            <w:r>
              <w:rPr>
                <w:rFonts w:ascii="Times New Roman" w:cs="Times New Roman" w:eastAsia="Times New Roman" w:hAnsi="Times New Roman"/>
                <w:sz w:val="18"/>
                <w:szCs w:val="18"/>
                <w:color w:val="auto"/>
              </w:rPr>
              <w:t>Kentucky</w:t>
            </w:r>
          </w:p>
        </w:tc>
        <w:tc>
          <w:tcPr>
            <w:tcW w:w="208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Schedule 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69" w:name="page270"/>
    <w:bookmarkEnd w:id="269"/>
    <w:tbl>
      <w:tblPr>
        <w:tblLayout w:type="fixed"/>
        <w:tblInd w:w="10" w:type="dxa"/>
        <w:tblCellMar>
          <w:top w:w="0" w:type="dxa"/>
          <w:left w:w="0" w:type="dxa"/>
          <w:bottom w:w="0" w:type="dxa"/>
          <w:right w:w="0" w:type="dxa"/>
        </w:tblCellMar>
      </w:tblPr>
      <w:tr>
        <w:trPr>
          <w:trHeight w:val="208"/>
        </w:trPr>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Schedule 4.18</w:t>
            </w: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 Credit Agreement</w:t>
            </w:r>
          </w:p>
        </w:tc>
        <w:tc>
          <w:tcPr>
            <w:tcW w:w="0" w:type="dxa"/>
            <w:vAlign w:val="bottom"/>
          </w:tcPr>
          <w:p>
            <w:pPr>
              <w:spacing w:after="0"/>
              <w:rPr>
                <w:sz w:val="1"/>
                <w:szCs w:val="1"/>
                <w:color w:val="auto"/>
              </w:rPr>
            </w:pPr>
          </w:p>
        </w:tc>
      </w:tr>
      <w:tr>
        <w:trPr>
          <w:trHeight w:val="348"/>
        </w:trPr>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UCC Filing Jurisdictions</w:t>
            </w:r>
          </w:p>
        </w:tc>
        <w:tc>
          <w:tcPr>
            <w:tcW w:w="2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8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8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60" w:type="dxa"/>
            <w:vAlign w:val="bottom"/>
            <w:tcBorders>
              <w:left w:val="single" w:sz="8" w:color="auto"/>
              <w:bottom w:val="single" w:sz="8" w:color="auto"/>
              <w:right w:val="single" w:sz="8" w:color="auto"/>
            </w:tcBorders>
          </w:tcPr>
          <w:p>
            <w:pPr>
              <w:ind w:left="700"/>
              <w:spacing w:after="0" w:line="200" w:lineRule="exact"/>
              <w:rPr>
                <w:sz w:val="20"/>
                <w:szCs w:val="20"/>
                <w:color w:val="auto"/>
              </w:rPr>
            </w:pPr>
            <w:r>
              <w:rPr>
                <w:rFonts w:ascii="Times New Roman" w:cs="Times New Roman" w:eastAsia="Times New Roman" w:hAnsi="Times New Roman"/>
                <w:sz w:val="18"/>
                <w:szCs w:val="18"/>
                <w:color w:val="auto"/>
              </w:rPr>
              <w:t>Filing</w:t>
            </w:r>
          </w:p>
        </w:tc>
        <w:tc>
          <w:tcPr>
            <w:tcW w:w="1460" w:type="dxa"/>
            <w:vAlign w:val="bottom"/>
            <w:tcBorders>
              <w:bottom w:val="single" w:sz="8" w:color="auto"/>
            </w:tcBorders>
          </w:tcPr>
          <w:p>
            <w:pPr>
              <w:ind w:left="660"/>
              <w:spacing w:after="0" w:line="200" w:lineRule="exact"/>
              <w:rPr>
                <w:sz w:val="20"/>
                <w:szCs w:val="20"/>
                <w:color w:val="auto"/>
              </w:rPr>
            </w:pPr>
            <w:r>
              <w:rPr>
                <w:rFonts w:ascii="Times New Roman" w:cs="Times New Roman" w:eastAsia="Times New Roman" w:hAnsi="Times New Roman"/>
                <w:sz w:val="18"/>
                <w:szCs w:val="18"/>
                <w:color w:val="auto"/>
              </w:rPr>
              <w:t>Debtor</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gridSpan w:val="2"/>
          </w:tcPr>
          <w:p>
            <w:pPr>
              <w:ind w:left="400"/>
              <w:spacing w:after="0" w:line="200" w:lineRule="exact"/>
              <w:rPr>
                <w:sz w:val="20"/>
                <w:szCs w:val="20"/>
                <w:color w:val="auto"/>
              </w:rPr>
            </w:pPr>
            <w:r>
              <w:rPr>
                <w:rFonts w:ascii="Times New Roman" w:cs="Times New Roman" w:eastAsia="Times New Roman" w:hAnsi="Times New Roman"/>
                <w:sz w:val="18"/>
                <w:szCs w:val="18"/>
                <w:color w:val="auto"/>
              </w:rPr>
              <w:t>Secured Party</w:t>
            </w:r>
          </w:p>
        </w:tc>
        <w:tc>
          <w:tcPr>
            <w:tcW w:w="2600" w:type="dxa"/>
            <w:vAlign w:val="bottom"/>
            <w:tcBorders>
              <w:bottom w:val="single" w:sz="8" w:color="auto"/>
              <w:right w:val="single" w:sz="8" w:color="auto"/>
            </w:tcBorders>
          </w:tcPr>
          <w:p>
            <w:pPr>
              <w:ind w:left="960"/>
              <w:spacing w:after="0" w:line="200" w:lineRule="exact"/>
              <w:rPr>
                <w:sz w:val="20"/>
                <w:szCs w:val="20"/>
                <w:color w:val="auto"/>
              </w:rPr>
            </w:pPr>
            <w:r>
              <w:rPr>
                <w:rFonts w:ascii="Times New Roman" w:cs="Times New Roman" w:eastAsia="Times New Roman" w:hAnsi="Times New Roman"/>
                <w:sz w:val="18"/>
                <w:szCs w:val="18"/>
                <w:color w:val="auto"/>
              </w:rPr>
              <w:t>Location</w:t>
            </w: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60" w:type="dxa"/>
            <w:vAlign w:val="bottom"/>
            <w:tcBorders>
              <w:left w:val="single" w:sz="8" w:color="auto"/>
              <w:bottom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18"/>
                <w:szCs w:val="18"/>
                <w:color w:val="auto"/>
              </w:rPr>
              <w:t>UCC-1</w:t>
            </w:r>
          </w:p>
        </w:tc>
        <w:tc>
          <w:tcPr>
            <w:tcW w:w="1460" w:type="dxa"/>
            <w:vAlign w:val="bottom"/>
            <w:tcBorders>
              <w:bottom w:val="single" w:sz="8" w:color="auto"/>
            </w:tcBorders>
          </w:tcPr>
          <w:p>
            <w:pPr>
              <w:ind w:left="100"/>
              <w:spacing w:after="0" w:line="200" w:lineRule="exact"/>
              <w:rPr>
                <w:sz w:val="20"/>
                <w:szCs w:val="20"/>
                <w:color w:val="auto"/>
              </w:rPr>
            </w:pPr>
            <w:r>
              <w:rPr>
                <w:rFonts w:ascii="Times New Roman" w:cs="Times New Roman" w:eastAsia="Times New Roman" w:hAnsi="Times New Roman"/>
                <w:sz w:val="18"/>
                <w:szCs w:val="18"/>
                <w:color w:val="auto"/>
              </w:rPr>
              <w:t>Borrower</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gridSpan w:val="2"/>
          </w:tcPr>
          <w:p>
            <w:pPr>
              <w:ind w:left="100"/>
              <w:spacing w:after="0" w:line="200" w:lineRule="exact"/>
              <w:rPr>
                <w:sz w:val="20"/>
                <w:szCs w:val="20"/>
                <w:color w:val="auto"/>
              </w:rPr>
            </w:pPr>
            <w:r>
              <w:rPr>
                <w:rFonts w:ascii="Times New Roman" w:cs="Times New Roman" w:eastAsia="Times New Roman" w:hAnsi="Times New Roman"/>
                <w:sz w:val="18"/>
                <w:szCs w:val="18"/>
                <w:color w:val="auto"/>
              </w:rPr>
              <w:t>Collateral Agent</w:t>
            </w:r>
          </w:p>
        </w:tc>
        <w:tc>
          <w:tcPr>
            <w:tcW w:w="2600" w:type="dxa"/>
            <w:vAlign w:val="bottom"/>
            <w:tcBorders>
              <w:bottom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18"/>
                <w:szCs w:val="18"/>
                <w:color w:val="auto"/>
              </w:rPr>
              <w:t>Delaware Secretary of State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Schedule 4.18-1Q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70" w:name="page271"/>
    <w:bookmarkEnd w:id="270"/>
    <w:p>
      <w:pPr>
        <w:ind w:left="8100"/>
        <w:spacing w:after="0"/>
        <w:rPr>
          <w:sz w:val="20"/>
          <w:szCs w:val="20"/>
          <w:color w:val="auto"/>
        </w:rPr>
      </w:pPr>
      <w:r>
        <w:rPr>
          <w:rFonts w:ascii="Times New Roman" w:cs="Times New Roman" w:eastAsia="Times New Roman" w:hAnsi="Times New Roman"/>
          <w:sz w:val="18"/>
          <w:szCs w:val="18"/>
          <w:color w:val="auto"/>
        </w:rPr>
        <w:t>Schedule 7.2</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to Credit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Existing Liens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Schedule 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COMPLIANCE CERTIFICATE</w:t>
      </w:r>
    </w:p>
    <w:p>
      <w:pPr>
        <w:spacing w:after="0" w:line="166"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This Compliance Certificate is delivered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Amended and Restated Credit Agreement, dated as of June 3, 2025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PNG Companies LLC, the Lenders party thereto and PNC Bank, National Association,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Unless otherwise defined herein, terms defined in the Credit Agreement and used herein shall have the meanings given to them in the Credit Agreement.</w:t>
      </w:r>
    </w:p>
    <w:p>
      <w:pPr>
        <w:spacing w:after="0" w:line="149"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I, the undersigned, hereby certify, in my capacity as [•] [FINANCIAL OFFICER] of the Borrower and not in my individual capacity, to the Administrative Agent as follows:</w:t>
      </w:r>
    </w:p>
    <w:p>
      <w:pPr>
        <w:spacing w:after="0" w:line="118" w:lineRule="exact"/>
        <w:rPr>
          <w:sz w:val="20"/>
          <w:szCs w:val="20"/>
          <w:color w:val="auto"/>
        </w:rPr>
      </w:pPr>
    </w:p>
    <w:p>
      <w:pPr>
        <w:ind w:left="1800" w:hanging="690"/>
        <w:spacing w:after="0"/>
        <w:tabs>
          <w:tab w:leader="none" w:pos="18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 duly elected, qualified and acting Financial Officer of the Borrower.</w:t>
      </w:r>
    </w:p>
    <w:p>
      <w:pPr>
        <w:spacing w:after="0" w:line="185" w:lineRule="exact"/>
        <w:rPr>
          <w:rFonts w:ascii="Times New Roman" w:cs="Times New Roman" w:eastAsia="Times New Roman" w:hAnsi="Times New Roman"/>
          <w:sz w:val="18"/>
          <w:szCs w:val="18"/>
          <w:color w:val="auto"/>
        </w:rPr>
      </w:pPr>
    </w:p>
    <w:p>
      <w:pPr>
        <w:ind w:left="1800" w:hanging="690"/>
        <w:spacing w:after="0"/>
        <w:tabs>
          <w:tab w:leader="none" w:pos="18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and am familiar with the contents of this Compliance Certificate.</w:t>
      </w:r>
    </w:p>
    <w:p>
      <w:pPr>
        <w:spacing w:after="0" w:line="185" w:lineRule="exact"/>
        <w:rPr>
          <w:rFonts w:ascii="Times New Roman" w:cs="Times New Roman" w:eastAsia="Times New Roman" w:hAnsi="Times New Roman"/>
          <w:sz w:val="18"/>
          <w:szCs w:val="18"/>
          <w:color w:val="auto"/>
        </w:rPr>
      </w:pPr>
    </w:p>
    <w:p>
      <w:pPr>
        <w:jc w:val="both"/>
        <w:ind w:firstLine="1110"/>
        <w:spacing w:after="0" w:line="250" w:lineRule="auto"/>
        <w:tabs>
          <w:tab w:leader="none" w:pos="180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the terms of the Credit Agreement and the Loan Documents and have made or caused to be made under my supervision, a review in reasonable detail of the transactions and condition of the Borrower during the accounting period covered by the financial statements attached hereto as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As of the date of this certificate, I have obtained no knowledge of the existence of any condition or event which constitutes a Default or Event of Default[, except as set forth below: ____________________].</w:t>
      </w:r>
    </w:p>
    <w:p>
      <w:pPr>
        <w:spacing w:after="0" w:line="146" w:lineRule="exact"/>
        <w:rPr>
          <w:rFonts w:ascii="Times New Roman" w:cs="Times New Roman" w:eastAsia="Times New Roman" w:hAnsi="Times New Roman"/>
          <w:sz w:val="18"/>
          <w:szCs w:val="18"/>
          <w:color w:val="auto"/>
        </w:rPr>
      </w:pPr>
    </w:p>
    <w:p>
      <w:pPr>
        <w:jc w:val="both"/>
        <w:ind w:firstLine="1110"/>
        <w:spacing w:after="0" w:line="260" w:lineRule="auto"/>
        <w:tabs>
          <w:tab w:leader="none" w:pos="180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xml:space="preserve"> are the computations showing compliance with each of the financial covenants set forth in Section 7.1 of the Credit Agreement as of the last day of the accounting period covered by the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72" w:name="page273"/>
    <w:bookmarkEnd w:id="272"/>
    <w:p>
      <w:pPr>
        <w:ind w:left="540"/>
        <w:spacing w:after="0"/>
        <w:rPr>
          <w:sz w:val="20"/>
          <w:szCs w:val="20"/>
          <w:color w:val="auto"/>
        </w:rPr>
      </w:pPr>
      <w:r>
        <w:rPr>
          <w:rFonts w:ascii="Times New Roman" w:cs="Times New Roman" w:eastAsia="Times New Roman" w:hAnsi="Times New Roman"/>
          <w:sz w:val="18"/>
          <w:szCs w:val="18"/>
          <w:color w:val="auto"/>
        </w:rPr>
        <w:t>IN WITNESS WHEREOF, I have executed this Certificate this ___ day of ____________, 20__.</w:t>
      </w:r>
    </w:p>
    <w:p>
      <w:pPr>
        <w:sectPr>
          <w:pgSz w:w="11900" w:h="16838" w:orient="portrait"/>
          <w:cols w:equalWidth="0" w:num="1">
            <w:col w:w="9019"/>
          </w:cols>
          <w:pgMar w:left="1440" w:top="324" w:right="1440" w:bottom="1440" w:gutter="0" w:footer="0" w:header="0"/>
        </w:sectPr>
      </w:pPr>
    </w:p>
    <w:p>
      <w:pPr>
        <w:spacing w:after="0" w:line="18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PNG COMPANIES LLC</w:t>
      </w: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color w:val="auto"/>
        </w:rPr>
        <w:t>Attachment 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Compliance Certificate</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[Attach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5" w:right="14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color w:val="auto"/>
        </w:rPr>
        <w:t>Attachment 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Compliance Certificate</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described herein is as of ____________, _____, and pertains to the period from 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to ____________, _____.</w:t>
      </w:r>
    </w:p>
    <w:p>
      <w:pPr>
        <w:spacing w:after="0" w:line="166" w:lineRule="exact"/>
        <w:rPr>
          <w:sz w:val="20"/>
          <w:szCs w:val="20"/>
          <w:color w:val="auto"/>
        </w:rPr>
      </w:pPr>
    </w:p>
    <w:p>
      <w:pPr>
        <w:ind w:firstLine="554"/>
        <w:spacing w:after="0" w:line="280" w:lineRule="auto"/>
        <w:rPr>
          <w:sz w:val="20"/>
          <w:szCs w:val="20"/>
          <w:color w:val="auto"/>
        </w:rPr>
      </w:pPr>
      <w:r>
        <w:rPr>
          <w:rFonts w:ascii="Times New Roman" w:cs="Times New Roman" w:eastAsia="Times New Roman" w:hAnsi="Times New Roman"/>
          <w:sz w:val="18"/>
          <w:szCs w:val="18"/>
          <w:color w:val="auto"/>
        </w:rPr>
        <w:t>[Set forth each Financial Covenant Calculation as of the last day of the accounting period covered by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CLOSING CERTIFICATE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[__], 2025</w:t>
      </w:r>
    </w:p>
    <w:p>
      <w:pPr>
        <w:spacing w:after="0" w:line="186"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of the Amended and Restated Credit Agreement, dated as of June 3, 2025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terms defined therein being used herein as therein defined), among PNG Companies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thereto, and PNC Bank, National Association,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undersigned, in its capacity as [INSERT TITLE OF OFFICER] of the Borrower and not in its individual capacity, hereby certifies on behalf of the Borrower as follows:</w:t>
      </w:r>
    </w:p>
    <w:p>
      <w:pPr>
        <w:spacing w:after="0" w:line="146" w:lineRule="exact"/>
        <w:rPr>
          <w:sz w:val="20"/>
          <w:szCs w:val="20"/>
          <w:color w:val="auto"/>
        </w:rPr>
      </w:pPr>
    </w:p>
    <w:p>
      <w:pPr>
        <w:jc w:val="both"/>
        <w:ind w:firstLine="1"/>
        <w:spacing w:after="0" w:line="248" w:lineRule="auto"/>
        <w:tabs>
          <w:tab w:leader="none" w:pos="6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each of the Loan Documents to which it is a party are true and correct in all material respects (it being understood that the materiality qualifier shall not be applicable with respect to any clause of any representation or warranty which itself contains a materiality qualification) on and as of the date hereof with the same effect as if made on the date hereof, except for representations and warranties expressly stated to relate to a specific earlier date, in which case such representations and warranties were true and correct in all material respects (or all respects, as applicable) as of such earlier date.</w:t>
      </w:r>
    </w:p>
    <w:p>
      <w:pPr>
        <w:spacing w:after="0" w:line="149" w:lineRule="exact"/>
        <w:rPr>
          <w:rFonts w:ascii="Times New Roman" w:cs="Times New Roman" w:eastAsia="Times New Roman" w:hAnsi="Times New Roman"/>
          <w:sz w:val="18"/>
          <w:szCs w:val="18"/>
          <w:color w:val="auto"/>
        </w:rPr>
      </w:pPr>
    </w:p>
    <w:p>
      <w:pPr>
        <w:ind w:left="700" w:hanging="699"/>
        <w:spacing w:after="0"/>
        <w:tabs>
          <w:tab w:leader="none" w:pos="7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as of the date hereof.</w:t>
      </w:r>
    </w:p>
    <w:p>
      <w:pPr>
        <w:spacing w:after="0" w:line="185" w:lineRule="exact"/>
        <w:rPr>
          <w:rFonts w:ascii="Times New Roman" w:cs="Times New Roman" w:eastAsia="Times New Roman" w:hAnsi="Times New Roman"/>
          <w:sz w:val="18"/>
          <w:szCs w:val="18"/>
          <w:color w:val="auto"/>
        </w:rPr>
      </w:pPr>
    </w:p>
    <w:p>
      <w:pPr>
        <w:jc w:val="both"/>
        <w:ind w:firstLine="1"/>
        <w:spacing w:after="0" w:line="254" w:lineRule="auto"/>
        <w:tabs>
          <w:tab w:leader="none" w:pos="6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is a true and complete copy of a Written Consent duly adopted by the Board of Directors of the Borrower on June 3, 2025; such Written Consent has not in any way been amended, modified, revoked or rescinded, has been in full force and effect since its adoption to and including the date hereof and is now in full force and effect.</w:t>
      </w:r>
    </w:p>
    <w:p>
      <w:pPr>
        <w:spacing w:after="0" w:line="140" w:lineRule="exact"/>
        <w:rPr>
          <w:rFonts w:ascii="Times New Roman" w:cs="Times New Roman" w:eastAsia="Times New Roman" w:hAnsi="Times New Roman"/>
          <w:sz w:val="18"/>
          <w:szCs w:val="18"/>
          <w:color w:val="auto"/>
        </w:rPr>
      </w:pPr>
    </w:p>
    <w:p>
      <w:pPr>
        <w:ind w:firstLine="1"/>
        <w:spacing w:after="0" w:line="280" w:lineRule="auto"/>
        <w:tabs>
          <w:tab w:leader="none" w:pos="6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is a true and complete copy of the Amended and Restated Limited Liability Company Agreement of the Borrower as in effect on the date hereof.</w:t>
      </w:r>
    </w:p>
    <w:p>
      <w:pPr>
        <w:spacing w:after="0" w:line="117" w:lineRule="exact"/>
        <w:rPr>
          <w:rFonts w:ascii="Times New Roman" w:cs="Times New Roman" w:eastAsia="Times New Roman" w:hAnsi="Times New Roman"/>
          <w:sz w:val="18"/>
          <w:szCs w:val="18"/>
          <w:color w:val="auto"/>
        </w:rPr>
      </w:pPr>
    </w:p>
    <w:p>
      <w:pPr>
        <w:ind w:firstLine="1"/>
        <w:spacing w:after="0" w:line="280" w:lineRule="auto"/>
        <w:tabs>
          <w:tab w:leader="none" w:pos="6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xml:space="preserve"> is a true and complete copy of the Certificate of Formation of the Borrower as in effect on the date hereof.</w:t>
      </w:r>
    </w:p>
    <w:p>
      <w:pPr>
        <w:spacing w:after="0" w:line="117" w:lineRule="exact"/>
        <w:rPr>
          <w:rFonts w:ascii="Times New Roman" w:cs="Times New Roman" w:eastAsia="Times New Roman" w:hAnsi="Times New Roman"/>
          <w:sz w:val="18"/>
          <w:szCs w:val="18"/>
          <w:color w:val="auto"/>
        </w:rPr>
      </w:pPr>
    </w:p>
    <w:p>
      <w:pPr>
        <w:jc w:val="both"/>
        <w:ind w:firstLine="1"/>
        <w:spacing w:after="0" w:line="250" w:lineRule="auto"/>
        <w:tabs>
          <w:tab w:leader="none" w:pos="6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are now duly elected and qualified officers or authorized representatives of the Borrower holding the offices indicated next to their respective names below, and the signatures appearing opposite their respective names below are the true and genuine signatures of such officers, and each of such officers is duly authorized to execute and deliver on behalf of the Borrower each of the Loan Documents to which it is a party and any certificate or other document to be delivered by the Borrower pursuant to the Loan Documents to which it is a party.</w:t>
      </w:r>
    </w:p>
    <w:p>
      <w:pPr>
        <w:spacing w:after="0" w:line="3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76" w:name="page277"/>
    <w:bookmarkEnd w:id="276"/>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have hereunto set our names as of the date set forth above.</w:t>
      </w:r>
    </w:p>
    <w:p>
      <w:pPr>
        <w:sectPr>
          <w:pgSz w:w="11900" w:h="16838" w:orient="portrait"/>
          <w:cols w:equalWidth="0" w:num="1">
            <w:col w:w="9019"/>
          </w:cols>
          <w:pgMar w:left="1440" w:top="324" w:right="1440" w:bottom="1440" w:gutter="0" w:footer="0" w:header="0"/>
        </w:sectPr>
      </w:pPr>
    </w:p>
    <w:p>
      <w:pPr>
        <w:spacing w:after="0" w:line="29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PNG COMPANIES LLC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 AGREEMENT</w:t>
      </w:r>
      <w:r>
        <w:rPr>
          <w:rFonts w:ascii="Times New Roman" w:cs="Times New Roman" w:eastAsia="Times New Roman" w:hAnsi="Times New Roman"/>
          <w:sz w:val="9"/>
          <w:szCs w:val="9"/>
          <w:color w:val="auto"/>
        </w:rPr>
        <w:t>1</w:t>
      </w:r>
    </w:p>
    <w:p>
      <w:pPr>
        <w:spacing w:after="0" w:line="186"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This Assignment and Assumption Agreement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specified below and is entered into by and between [the][each]</w:t>
      </w:r>
      <w:r>
        <w:rPr>
          <w:rFonts w:ascii="Times New Roman" w:cs="Times New Roman" w:eastAsia="Times New Roman" w:hAnsi="Times New Roman"/>
          <w:sz w:val="9"/>
          <w:szCs w:val="9"/>
          <w:color w:val="auto"/>
        </w:rPr>
        <w:t>2</w:t>
      </w:r>
      <w:r>
        <w:rPr>
          <w:rFonts w:ascii="Times New Roman" w:cs="Times New Roman" w:eastAsia="Times New Roman" w:hAnsi="Times New Roman"/>
          <w:sz w:val="18"/>
          <w:szCs w:val="18"/>
          <w:color w:val="auto"/>
        </w:rPr>
        <w:t xml:space="preserve"> Assignor identified in item 1 below ([the][each,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xml:space="preserve">”) and [the][each] </w:t>
      </w:r>
      <w:r>
        <w:rPr>
          <w:rFonts w:ascii="Times New Roman" w:cs="Times New Roman" w:eastAsia="Times New Roman" w:hAnsi="Times New Roman"/>
          <w:sz w:val="9"/>
          <w:szCs w:val="9"/>
          <w:color w:val="auto"/>
        </w:rPr>
        <w:t>3</w:t>
      </w:r>
      <w:r>
        <w:rPr>
          <w:rFonts w:ascii="Times New Roman" w:cs="Times New Roman" w:eastAsia="Times New Roman" w:hAnsi="Times New Roman"/>
          <w:sz w:val="18"/>
          <w:szCs w:val="18"/>
          <w:color w:val="auto"/>
        </w:rPr>
        <w:t>Assignee identified in item 2 below ([the][each,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[It is understood and agreed that the rights and obligations of [the Assignors][the Assignees]</w:t>
      </w:r>
      <w:r>
        <w:rPr>
          <w:rFonts w:ascii="Times New Roman" w:cs="Times New Roman" w:eastAsia="Times New Roman" w:hAnsi="Times New Roman"/>
          <w:sz w:val="9"/>
          <w:szCs w:val="9"/>
          <w:color w:val="auto"/>
        </w:rPr>
        <w:t>4</w:t>
      </w:r>
      <w:r>
        <w:rPr>
          <w:rFonts w:ascii="Times New Roman" w:cs="Times New Roman" w:eastAsia="Times New Roman" w:hAnsi="Times New Roman"/>
          <w:sz w:val="18"/>
          <w:szCs w:val="18"/>
          <w:color w:val="auto"/>
        </w:rPr>
        <w:t xml:space="preserve"> hereunder are several and not joint.]</w:t>
      </w:r>
      <w:r>
        <w:rPr>
          <w:rFonts w:ascii="Times New Roman" w:cs="Times New Roman" w:eastAsia="Times New Roman" w:hAnsi="Times New Roman"/>
          <w:sz w:val="9"/>
          <w:szCs w:val="9"/>
          <w:color w:val="auto"/>
        </w:rPr>
        <w:t>5</w:t>
      </w:r>
      <w:r>
        <w:rPr>
          <w:rFonts w:ascii="Times New Roman" w:cs="Times New Roman" w:eastAsia="Times New Roman" w:hAnsi="Times New Roman"/>
          <w:sz w:val="18"/>
          <w:szCs w:val="18"/>
          <w:color w:val="auto"/>
        </w:rPr>
        <w:t xml:space="preserve"> Capitalized terms used but not defined herein shall have the meanings given to them in the Credit Agreement identified below (as amended,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[the][each] Assignee. The Standard Terms and Conditions specified in Annex 1 attached hereto are hereby agreed to and incorporated herein by reference and made a part of this Assignment and Assumption as if specified herein in full.</w:t>
      </w:r>
    </w:p>
    <w:p>
      <w:pPr>
        <w:spacing w:after="0" w:line="151"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 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5" w:lineRule="exact"/>
        <w:rPr>
          <w:sz w:val="20"/>
          <w:szCs w:val="20"/>
          <w:color w:val="auto"/>
        </w:rPr>
      </w:pPr>
    </w:p>
    <w:p>
      <w:pPr>
        <w:jc w:val="both"/>
        <w:ind w:firstLine="1"/>
        <w:spacing w:after="0" w:line="256" w:lineRule="auto"/>
        <w:tabs>
          <w:tab w:leader="none" w:pos="154" w:val="left"/>
        </w:tabs>
        <w:numPr>
          <w:ilvl w:val="0"/>
          <w:numId w:val="26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The LSTA’s Form of Assignment Agreement has been drafted so that parties need not tailor the agreement depending on the identity of each assignee. In this way, electronic settlement platforms do not need to create “pop-ups”, i.e., questions which appear or “pop-up” on the screen of the person completing the assignment agreement and which must be answered before the assignment agreement can be populated and finalized. By avoiding “pop-ups”, the loan market can operate more efficiently, for trades will be able to settle more promptly.</w:t>
      </w:r>
    </w:p>
    <w:p>
      <w:pPr>
        <w:spacing w:after="0" w:line="2" w:lineRule="exact"/>
        <w:rPr>
          <w:rFonts w:ascii="Times New Roman" w:cs="Times New Roman" w:eastAsia="Times New Roman" w:hAnsi="Times New Roman"/>
          <w:sz w:val="15"/>
          <w:szCs w:val="15"/>
          <w:color w:val="auto"/>
          <w:vertAlign w:val="superscript"/>
        </w:rPr>
      </w:pPr>
    </w:p>
    <w:p>
      <w:pPr>
        <w:ind w:firstLine="1"/>
        <w:spacing w:after="0" w:line="257" w:lineRule="auto"/>
        <w:tabs>
          <w:tab w:leader="none" w:pos="143" w:val="left"/>
        </w:tabs>
        <w:numPr>
          <w:ilvl w:val="0"/>
          <w:numId w:val="26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ind w:firstLine="1"/>
        <w:spacing w:after="0" w:line="257" w:lineRule="auto"/>
        <w:tabs>
          <w:tab w:leader="none" w:pos="156" w:val="left"/>
        </w:tabs>
        <w:numPr>
          <w:ilvl w:val="0"/>
          <w:numId w:val="26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140" w:hanging="139"/>
        <w:spacing w:after="0"/>
        <w:tabs>
          <w:tab w:leader="none" w:pos="140" w:val="left"/>
        </w:tabs>
        <w:numPr>
          <w:ilvl w:val="0"/>
          <w:numId w:val="26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Select as appropriate.</w:t>
      </w:r>
    </w:p>
    <w:p>
      <w:pPr>
        <w:spacing w:after="0" w:line="13" w:lineRule="exact"/>
        <w:rPr>
          <w:rFonts w:ascii="Times New Roman" w:cs="Times New Roman" w:eastAsia="Times New Roman" w:hAnsi="Times New Roman"/>
          <w:sz w:val="15"/>
          <w:szCs w:val="15"/>
          <w:color w:val="auto"/>
          <w:vertAlign w:val="superscript"/>
        </w:rPr>
      </w:pPr>
    </w:p>
    <w:p>
      <w:pPr>
        <w:ind w:left="140" w:hanging="139"/>
        <w:spacing w:after="0"/>
        <w:tabs>
          <w:tab w:leader="none" w:pos="140" w:val="left"/>
        </w:tabs>
        <w:numPr>
          <w:ilvl w:val="0"/>
          <w:numId w:val="26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Include bracketed language if there are either multiple Assignors or multiple Assignees.</w:t>
      </w: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78" w:name="page279"/>
    <w:bookmarkEnd w:id="278"/>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and (ii) above being referred to herein collectively as [the][an]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Each such sale and assignment is without recourse to [the][any] Assignor and, except as expressly provided in this Assignment and Assumption, without representation or warranty by [the][any] Assignor.</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1.</w:t>
            </w:r>
          </w:p>
        </w:tc>
        <w:tc>
          <w:tcPr>
            <w:tcW w:w="49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Assignor[s]:</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416"/>
        </w:trPr>
        <w:tc>
          <w:tcPr>
            <w:tcW w:w="340" w:type="dxa"/>
            <w:vAlign w:val="bottom"/>
          </w:tcPr>
          <w:p>
            <w:pPr>
              <w:spacing w:after="0"/>
              <w:rPr>
                <w:sz w:val="24"/>
                <w:szCs w:val="24"/>
                <w:color w:val="auto"/>
              </w:rPr>
            </w:pPr>
          </w:p>
        </w:tc>
        <w:tc>
          <w:tcPr>
            <w:tcW w:w="49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180" w:type="dxa"/>
            <w:vAlign w:val="bottom"/>
          </w:tcPr>
          <w:p>
            <w:pPr>
              <w:spacing w:after="0"/>
              <w:rPr>
                <w:sz w:val="24"/>
                <w:szCs w:val="24"/>
                <w:color w:val="auto"/>
              </w:rPr>
            </w:pPr>
          </w:p>
        </w:tc>
      </w:tr>
      <w:tr>
        <w:trPr>
          <w:trHeight w:val="393"/>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2.</w:t>
            </w:r>
          </w:p>
        </w:tc>
        <w:tc>
          <w:tcPr>
            <w:tcW w:w="49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Assignee[s]:</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416"/>
        </w:trPr>
        <w:tc>
          <w:tcPr>
            <w:tcW w:w="340" w:type="dxa"/>
            <w:vAlign w:val="bottom"/>
          </w:tcPr>
          <w:p>
            <w:pPr>
              <w:spacing w:after="0"/>
              <w:rPr>
                <w:sz w:val="24"/>
                <w:szCs w:val="24"/>
                <w:color w:val="auto"/>
              </w:rPr>
            </w:pPr>
          </w:p>
        </w:tc>
        <w:tc>
          <w:tcPr>
            <w:tcW w:w="49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180" w:type="dxa"/>
            <w:vAlign w:val="bottom"/>
          </w:tcPr>
          <w:p>
            <w:pPr>
              <w:spacing w:after="0"/>
              <w:rPr>
                <w:sz w:val="24"/>
                <w:szCs w:val="24"/>
                <w:color w:val="auto"/>
              </w:rPr>
            </w:pPr>
          </w:p>
        </w:tc>
      </w:tr>
      <w:tr>
        <w:trPr>
          <w:trHeight w:val="393"/>
        </w:trPr>
        <w:tc>
          <w:tcPr>
            <w:tcW w:w="340" w:type="dxa"/>
            <w:vAlign w:val="bottom"/>
          </w:tcPr>
          <w:p>
            <w:pPr>
              <w:spacing w:after="0"/>
              <w:rPr>
                <w:sz w:val="24"/>
                <w:szCs w:val="24"/>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[Assignee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p>
        </w:tc>
        <w:tc>
          <w:tcPr>
            <w:tcW w:w="3180" w:type="dxa"/>
            <w:vAlign w:val="bottom"/>
          </w:tcPr>
          <w:p>
            <w:pPr>
              <w:spacing w:after="0"/>
              <w:rPr>
                <w:sz w:val="24"/>
                <w:szCs w:val="24"/>
                <w:color w:val="auto"/>
              </w:rPr>
            </w:pPr>
          </w:p>
        </w:tc>
      </w:tr>
      <w:tr>
        <w:trPr>
          <w:trHeight w:val="393"/>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3.</w:t>
            </w:r>
          </w:p>
        </w:tc>
        <w:tc>
          <w:tcPr>
            <w:tcW w:w="49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Borrower(s):</w:t>
            </w:r>
          </w:p>
        </w:tc>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PNG COMPANIES LLC</w:t>
            </w:r>
          </w:p>
        </w:tc>
      </w:tr>
      <w:tr>
        <w:trPr>
          <w:trHeight w:val="360"/>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4.</w:t>
            </w:r>
          </w:p>
        </w:tc>
        <w:tc>
          <w:tcPr>
            <w:tcW w:w="49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Administrative Agent:</w:t>
            </w:r>
          </w:p>
        </w:tc>
        <w:tc>
          <w:tcPr>
            <w:tcW w:w="3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PNC BANK, NATIONAL</w:t>
            </w:r>
          </w:p>
        </w:tc>
      </w:tr>
      <w:tr>
        <w:trPr>
          <w:trHeight w:val="241"/>
        </w:trPr>
        <w:tc>
          <w:tcPr>
            <w:tcW w:w="340" w:type="dxa"/>
            <w:vAlign w:val="bottom"/>
          </w:tcPr>
          <w:p>
            <w:pPr>
              <w:spacing w:after="0"/>
              <w:rPr>
                <w:sz w:val="20"/>
                <w:szCs w:val="20"/>
                <w:color w:val="auto"/>
              </w:rPr>
            </w:pPr>
          </w:p>
        </w:tc>
        <w:tc>
          <w:tcPr>
            <w:tcW w:w="81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ASSOCIATION, as the administrative agent under the Credit Agreement</w:t>
            </w:r>
          </w:p>
        </w:tc>
      </w:tr>
      <w:tr>
        <w:trPr>
          <w:trHeight w:val="360"/>
        </w:trPr>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w w:val="88"/>
              </w:rPr>
              <w:t>5.</w:t>
            </w:r>
          </w:p>
        </w:tc>
        <w:tc>
          <w:tcPr>
            <w:tcW w:w="49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Credit Agreement:</w:t>
            </w:r>
          </w:p>
        </w:tc>
        <w:tc>
          <w:tcPr>
            <w:tcW w:w="3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$300,000,000 Credit Agreement</w:t>
            </w:r>
          </w:p>
        </w:tc>
      </w:tr>
      <w:tr>
        <w:trPr>
          <w:trHeight w:val="208"/>
        </w:trPr>
        <w:tc>
          <w:tcPr>
            <w:tcW w:w="340" w:type="dxa"/>
            <w:vAlign w:val="bottom"/>
          </w:tcPr>
          <w:p>
            <w:pPr>
              <w:spacing w:after="0"/>
              <w:rPr>
                <w:sz w:val="18"/>
                <w:szCs w:val="18"/>
                <w:color w:val="auto"/>
              </w:rPr>
            </w:pPr>
          </w:p>
        </w:tc>
        <w:tc>
          <w:tcPr>
            <w:tcW w:w="81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dated as of June 3, 2025 among PNG Companies LLC, the Lenders parties thereto,</w:t>
            </w:r>
          </w:p>
        </w:tc>
      </w:tr>
      <w:tr>
        <w:trPr>
          <w:trHeight w:val="208"/>
        </w:trPr>
        <w:tc>
          <w:tcPr>
            <w:tcW w:w="340" w:type="dxa"/>
            <w:vAlign w:val="bottom"/>
          </w:tcPr>
          <w:p>
            <w:pPr>
              <w:spacing w:after="0"/>
              <w:rPr>
                <w:sz w:val="18"/>
                <w:szCs w:val="18"/>
                <w:color w:val="auto"/>
              </w:rPr>
            </w:pPr>
          </w:p>
        </w:tc>
        <w:tc>
          <w:tcPr>
            <w:tcW w:w="81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PNC Bank, National Association, as Administrative Agent, and the other agents</w:t>
            </w:r>
          </w:p>
        </w:tc>
      </w:tr>
      <w:tr>
        <w:trPr>
          <w:trHeight w:val="241"/>
        </w:trPr>
        <w:tc>
          <w:tcPr>
            <w:tcW w:w="340" w:type="dxa"/>
            <w:vAlign w:val="bottom"/>
          </w:tcPr>
          <w:p>
            <w:pPr>
              <w:spacing w:after="0"/>
              <w:rPr>
                <w:sz w:val="20"/>
                <w:szCs w:val="20"/>
                <w:color w:val="auto"/>
              </w:rPr>
            </w:pPr>
          </w:p>
        </w:tc>
        <w:tc>
          <w:tcPr>
            <w:tcW w:w="49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parties thereto</w:t>
            </w:r>
          </w:p>
        </w:tc>
        <w:tc>
          <w:tcPr>
            <w:tcW w:w="3180" w:type="dxa"/>
            <w:vAlign w:val="bottom"/>
          </w:tcPr>
          <w:p>
            <w:pPr>
              <w:spacing w:after="0"/>
              <w:rPr>
                <w:sz w:val="20"/>
                <w:szCs w:val="20"/>
                <w:color w:val="auto"/>
              </w:rPr>
            </w:pPr>
          </w:p>
        </w:tc>
      </w:tr>
    </w:tbl>
    <w:p>
      <w:pPr>
        <w:spacing w:after="0" w:line="152" w:lineRule="exact"/>
        <w:rPr>
          <w:sz w:val="20"/>
          <w:szCs w:val="20"/>
          <w:color w:val="auto"/>
        </w:rPr>
      </w:pPr>
    </w:p>
    <w:p>
      <w:pPr>
        <w:ind w:left="1080" w:hanging="5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Interest[s]:</w:t>
      </w:r>
    </w:p>
    <w:p>
      <w:pPr>
        <w:spacing w:after="0" w:line="200" w:lineRule="exact"/>
        <w:rPr>
          <w:sz w:val="20"/>
          <w:szCs w:val="20"/>
          <w:color w:val="auto"/>
        </w:rPr>
      </w:pPr>
    </w:p>
    <w:tbl>
      <w:tblPr>
        <w:tblLayout w:type="fixed"/>
        <w:tblInd w:w="90" w:type="dxa"/>
        <w:tblCellMar>
          <w:top w:w="0" w:type="dxa"/>
          <w:left w:w="0" w:type="dxa"/>
          <w:bottom w:w="0" w:type="dxa"/>
          <w:right w:w="0" w:type="dxa"/>
        </w:tblCellMar>
      </w:tblPr>
      <w:tr>
        <w:trPr>
          <w:trHeight w:val="197"/>
        </w:trPr>
        <w:tc>
          <w:tcPr>
            <w:tcW w:w="1140" w:type="dxa"/>
            <w:vAlign w:val="bottom"/>
            <w:tcBorders>
              <w:top w:val="single" w:sz="8" w:color="auto"/>
              <w:left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1740" w:type="dxa"/>
            <w:vAlign w:val="bottom"/>
            <w:tcBorders>
              <w:top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Aggregate Amount</w:t>
            </w:r>
          </w:p>
        </w:tc>
        <w:tc>
          <w:tcPr>
            <w:tcW w:w="170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Percentage</w:t>
            </w:r>
          </w:p>
        </w:tc>
        <w:tc>
          <w:tcPr>
            <w:tcW w:w="820" w:type="dxa"/>
            <w:vAlign w:val="bottom"/>
            <w:tcBorders>
              <w:top w:val="single" w:sz="8" w:color="auto"/>
              <w:right w:val="single" w:sz="8" w:color="auto"/>
            </w:tcBorders>
          </w:tcPr>
          <w:p>
            <w:pPr>
              <w:spacing w:after="0"/>
              <w:rPr>
                <w:sz w:val="17"/>
                <w:szCs w:val="17"/>
                <w:color w:val="auto"/>
              </w:rPr>
            </w:pPr>
          </w:p>
        </w:tc>
      </w:tr>
      <w:tr>
        <w:trPr>
          <w:trHeight w:val="208"/>
        </w:trPr>
        <w:tc>
          <w:tcPr>
            <w:tcW w:w="114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17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Amount of</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Assigned of</w:t>
            </w:r>
          </w:p>
        </w:tc>
        <w:tc>
          <w:tcPr>
            <w:tcW w:w="820" w:type="dxa"/>
            <w:vAlign w:val="bottom"/>
            <w:tcBorders>
              <w:right w:val="single" w:sz="8" w:color="auto"/>
            </w:tcBorders>
          </w:tcPr>
          <w:p>
            <w:pPr>
              <w:spacing w:after="0"/>
              <w:rPr>
                <w:sz w:val="18"/>
                <w:szCs w:val="18"/>
                <w:color w:val="auto"/>
              </w:rPr>
            </w:pPr>
          </w:p>
        </w:tc>
      </w:tr>
      <w:tr>
        <w:trPr>
          <w:trHeight w:val="208"/>
        </w:trPr>
        <w:tc>
          <w:tcPr>
            <w:tcW w:w="114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Facility</w:t>
            </w:r>
          </w:p>
        </w:tc>
        <w:tc>
          <w:tcPr>
            <w:tcW w:w="1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Commitment/ Loans</w:t>
            </w:r>
          </w:p>
        </w:tc>
        <w:tc>
          <w:tcPr>
            <w:tcW w:w="1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Commitment/Loans</w:t>
            </w:r>
          </w:p>
        </w:tc>
        <w:tc>
          <w:tcPr>
            <w:tcW w:w="12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color w:val="auto"/>
              </w:rPr>
              <w:t>Commitment/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CUSIP</w:t>
            </w:r>
          </w:p>
        </w:tc>
      </w:tr>
      <w:tr>
        <w:trPr>
          <w:trHeight w:val="231"/>
        </w:trPr>
        <w:tc>
          <w:tcPr>
            <w:tcW w:w="1140" w:type="dxa"/>
            <w:vAlign w:val="bottom"/>
            <w:tcBorders>
              <w:left w:val="single" w:sz="8" w:color="auto"/>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color w:val="auto"/>
              </w:rPr>
              <w:t>Assignor[s]</w:t>
            </w:r>
            <w:r>
              <w:rPr>
                <w:rFonts w:ascii="Times New Roman" w:cs="Times New Roman" w:eastAsia="Times New Roman" w:hAnsi="Times New Roman"/>
                <w:sz w:val="9"/>
                <w:szCs w:val="9"/>
                <w:color w:val="auto"/>
              </w:rPr>
              <w:t>6</w:t>
            </w: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Assignee[s]</w:t>
            </w:r>
            <w:r>
              <w:rPr>
                <w:rFonts w:ascii="Times New Roman" w:cs="Times New Roman" w:eastAsia="Times New Roman" w:hAnsi="Times New Roman"/>
                <w:sz w:val="9"/>
                <w:szCs w:val="9"/>
                <w:color w:val="auto"/>
              </w:rPr>
              <w:t>7</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Assigned</w:t>
            </w:r>
            <w:r>
              <w:rPr>
                <w:rFonts w:ascii="Times New Roman" w:cs="Times New Roman" w:eastAsia="Times New Roman" w:hAnsi="Times New Roman"/>
                <w:sz w:val="9"/>
                <w:szCs w:val="9"/>
                <w:color w:val="auto"/>
              </w:rPr>
              <w:t>8</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all Lenders</w:t>
            </w:r>
            <w:r>
              <w:rPr>
                <w:rFonts w:ascii="Times New Roman" w:cs="Times New Roman" w:eastAsia="Times New Roman" w:hAnsi="Times New Roman"/>
                <w:sz w:val="9"/>
                <w:szCs w:val="9"/>
                <w:color w:val="auto"/>
              </w:rPr>
              <w:t>9</w:t>
            </w:r>
          </w:p>
        </w:tc>
        <w:tc>
          <w:tcPr>
            <w:tcW w:w="170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Assigned</w:t>
            </w:r>
            <w:r>
              <w:rPr>
                <w:rFonts w:ascii="Times New Roman" w:cs="Times New Roman" w:eastAsia="Times New Roman" w:hAnsi="Times New Roman"/>
                <w:sz w:val="9"/>
                <w:szCs w:val="9"/>
                <w:color w:val="auto"/>
              </w:rPr>
              <w:t>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9"/>
                <w:szCs w:val="9"/>
                <w:color w:val="auto"/>
              </w:rPr>
              <w:t>10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w:t>
            </w:r>
          </w:p>
        </w:tc>
      </w:tr>
      <w:tr>
        <w:trPr>
          <w:trHeight w:val="199"/>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28"/>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spacing w:after="0"/>
              <w:rPr>
                <w:sz w:val="17"/>
                <w:szCs w:val="17"/>
                <w:color w:val="auto"/>
              </w:rPr>
            </w:pPr>
          </w:p>
        </w:tc>
      </w:tr>
      <w:tr>
        <w:trPr>
          <w:trHeight w:val="199"/>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28"/>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spacing w:after="0"/>
              <w:rPr>
                <w:sz w:val="17"/>
                <w:szCs w:val="17"/>
                <w:color w:val="auto"/>
              </w:rPr>
            </w:pPr>
          </w:p>
        </w:tc>
      </w:tr>
      <w:tr>
        <w:trPr>
          <w:trHeight w:val="199"/>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28"/>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spacing w:after="0"/>
              <w:rPr>
                <w:sz w:val="17"/>
                <w:szCs w:val="17"/>
                <w:color w:val="auto"/>
              </w:rPr>
            </w:pPr>
          </w:p>
        </w:tc>
      </w:tr>
      <w:tr>
        <w:trPr>
          <w:trHeight w:val="404"/>
        </w:trPr>
        <w:tc>
          <w:tcPr>
            <w:tcW w:w="1140" w:type="dxa"/>
            <w:vAlign w:val="bottom"/>
          </w:tcPr>
          <w:p>
            <w:pPr>
              <w:jc w:val="right"/>
              <w:ind w:right="428"/>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24"/>
                <w:szCs w:val="24"/>
                <w:color w:val="auto"/>
              </w:rPr>
            </w:pPr>
          </w:p>
        </w:tc>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Date:</w:t>
            </w:r>
          </w:p>
        </w:tc>
        <w:tc>
          <w:tcPr>
            <w:tcW w:w="2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______________]</w:t>
            </w:r>
            <w:r>
              <w:rPr>
                <w:rFonts w:ascii="Times New Roman" w:cs="Times New Roman" w:eastAsia="Times New Roman" w:hAnsi="Times New Roman"/>
                <w:sz w:val="9"/>
                <w:szCs w:val="9"/>
                <w:color w:val="auto"/>
              </w:rPr>
              <w:t>11</w:t>
            </w:r>
          </w:p>
        </w:tc>
        <w:tc>
          <w:tcPr>
            <w:tcW w:w="82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5" w:lineRule="exact"/>
        <w:rPr>
          <w:sz w:val="20"/>
          <w:szCs w:val="20"/>
          <w:color w:val="auto"/>
        </w:rPr>
      </w:pPr>
    </w:p>
    <w:p>
      <w:pPr>
        <w:ind w:left="120" w:hanging="119"/>
        <w:spacing w:after="0"/>
        <w:tabs>
          <w:tab w:leader="none" w:pos="120" w:val="left"/>
        </w:tabs>
        <w:numPr>
          <w:ilvl w:val="0"/>
          <w:numId w:val="26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List each Assignor, as appropriate.</w:t>
      </w:r>
    </w:p>
    <w:p>
      <w:pPr>
        <w:spacing w:after="0" w:line="12"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7</w:t>
      </w:r>
      <w:r>
        <w:rPr>
          <w:rFonts w:ascii="Times New Roman" w:cs="Times New Roman" w:eastAsia="Times New Roman" w:hAnsi="Times New Roman"/>
          <w:sz w:val="15"/>
          <w:szCs w:val="15"/>
          <w:color w:val="auto"/>
        </w:rPr>
        <w:t xml:space="preserve">  List each Assignee, as appropriate.</w:t>
      </w:r>
    </w:p>
    <w:p>
      <w:pPr>
        <w:spacing w:after="0" w:line="12" w:lineRule="exact"/>
        <w:rPr>
          <w:rFonts w:ascii="Times New Roman" w:cs="Times New Roman" w:eastAsia="Times New Roman" w:hAnsi="Times New Roman"/>
          <w:sz w:val="15"/>
          <w:szCs w:val="15"/>
          <w:color w:val="auto"/>
          <w:vertAlign w:val="superscript"/>
        </w:rPr>
      </w:pPr>
    </w:p>
    <w:p>
      <w:pPr>
        <w:spacing w:after="0" w:line="256"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8</w:t>
      </w:r>
      <w:r>
        <w:rPr>
          <w:rFonts w:ascii="Times New Roman" w:cs="Times New Roman" w:eastAsia="Times New Roman" w:hAnsi="Times New Roman"/>
          <w:sz w:val="15"/>
          <w:szCs w:val="15"/>
          <w:color w:val="auto"/>
        </w:rPr>
        <w:t xml:space="preserve"> Fill in the appropriate terminology for the types of facilities under the Credit Agreement that are being assigned under this Assignment (e.g., “Revolving Credit Commitment,” “Term Loan Commitment,” etc.)</w:t>
      </w:r>
    </w:p>
    <w:p>
      <w:pPr>
        <w:spacing w:after="0" w:line="257"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9</w:t>
      </w:r>
      <w:r>
        <w:rPr>
          <w:rFonts w:ascii="Times New Roman" w:cs="Times New Roman" w:eastAsia="Times New Roman" w:hAnsi="Times New Roman"/>
          <w:sz w:val="15"/>
          <w:szCs w:val="15"/>
          <w:color w:val="auto"/>
        </w:rPr>
        <w:t xml:space="preserve"> Amount to be adjusted by the counterparties to take into account any payments or prepayments made between the Trade Date and the Effective Date.</w:t>
      </w: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10</w:t>
      </w:r>
      <w:r>
        <w:rPr>
          <w:rFonts w:ascii="Times New Roman" w:cs="Times New Roman" w:eastAsia="Times New Roman" w:hAnsi="Times New Roman"/>
          <w:sz w:val="15"/>
          <w:szCs w:val="15"/>
          <w:color w:val="auto"/>
        </w:rPr>
        <w:t xml:space="preserve">  Specified, to at least 9 decimals, as a percentage of the Commitment/Loans of all Lenders thereunder.</w:t>
      </w:r>
    </w:p>
    <w:p>
      <w:pPr>
        <w:spacing w:after="0" w:line="13"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11</w:t>
      </w:r>
      <w:r>
        <w:rPr>
          <w:rFonts w:ascii="Times New Roman" w:cs="Times New Roman" w:eastAsia="Times New Roman" w:hAnsi="Times New Roman"/>
          <w:sz w:val="15"/>
          <w:szCs w:val="15"/>
          <w:color w:val="auto"/>
        </w:rPr>
        <w:t xml:space="preserve">  To be completed if the Assignor(s) and the Assignee(s) intend that the minimum assignment amount is to be determined as of the Trade Date.</w:t>
      </w: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79" w:name="page280"/>
    <w:bookmarkEnd w:id="279"/>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Effective Date:</w:t>
        <w:tab/>
        <w:t>_____________ ___, 20___ [TO BE INSERTED BY ADMINISTRATIVE AGENT AND WHICH</w:t>
      </w:r>
    </w:p>
    <w:p>
      <w:pPr>
        <w:spacing w:after="0" w:line="21" w:lineRule="exact"/>
        <w:rPr>
          <w:sz w:val="20"/>
          <w:szCs w:val="20"/>
          <w:color w:val="auto"/>
        </w:rPr>
      </w:pPr>
    </w:p>
    <w:p>
      <w:pPr>
        <w:ind w:right="640"/>
        <w:spacing w:after="0" w:line="471" w:lineRule="auto"/>
        <w:rPr>
          <w:sz w:val="20"/>
          <w:szCs w:val="20"/>
          <w:color w:val="auto"/>
        </w:rPr>
      </w:pPr>
      <w:r>
        <w:rPr>
          <w:rFonts w:ascii="Times New Roman" w:cs="Times New Roman" w:eastAsia="Times New Roman" w:hAnsi="Times New Roman"/>
          <w:sz w:val="18"/>
          <w:szCs w:val="18"/>
          <w:color w:val="auto"/>
        </w:rPr>
        <w:t>SHALL BE THE EFFECTIVE DATE OF RECORDATION OF TRANSFER IN THE REGISTER THEREFOR.] The terms specified in this Assignment and Assumption are hereby agreed to:</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840" w:type="dxa"/>
            <w:vAlign w:val="bottom"/>
            <w:tcBorders>
              <w:top w:val="single" w:sz="8" w:color="auto"/>
              <w:left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ASSIGNOR[S]</w:t>
            </w:r>
            <w:r>
              <w:rPr>
                <w:rFonts w:ascii="Times New Roman" w:cs="Times New Roman" w:eastAsia="Times New Roman" w:hAnsi="Times New Roman"/>
                <w:sz w:val="9"/>
                <w:szCs w:val="9"/>
                <w:color w:val="auto"/>
              </w:rPr>
              <w:t>12</w:t>
            </w:r>
          </w:p>
        </w:tc>
        <w:tc>
          <w:tcPr>
            <w:tcW w:w="120" w:type="dxa"/>
            <w:vAlign w:val="bottom"/>
            <w:tcBorders>
              <w:top w:val="single" w:sz="8" w:color="auto"/>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231"/>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ASSIGNOR]</w:t>
            </w: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546"/>
        </w:trPr>
        <w:tc>
          <w:tcPr>
            <w:tcW w:w="38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By:______________________________</w:t>
            </w:r>
          </w:p>
        </w:tc>
        <w:tc>
          <w:tcPr>
            <w:tcW w:w="12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41"/>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r>
      <w:tr>
        <w:trPr>
          <w:trHeight w:val="232"/>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[NAME OF ASSIGNOR]</w:t>
            </w: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522"/>
        </w:trPr>
        <w:tc>
          <w:tcPr>
            <w:tcW w:w="38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By:______________________________</w:t>
            </w:r>
          </w:p>
        </w:tc>
        <w:tc>
          <w:tcPr>
            <w:tcW w:w="12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41"/>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84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ASSIGNEE[S]</w:t>
            </w:r>
            <w:r>
              <w:rPr>
                <w:rFonts w:ascii="Times New Roman" w:cs="Times New Roman" w:eastAsia="Times New Roman" w:hAnsi="Times New Roman"/>
                <w:sz w:val="9"/>
                <w:szCs w:val="9"/>
                <w:color w:val="auto"/>
              </w:rPr>
              <w:t>13</w:t>
            </w:r>
          </w:p>
        </w:tc>
        <w:tc>
          <w:tcPr>
            <w:tcW w:w="120" w:type="dxa"/>
            <w:vAlign w:val="bottom"/>
            <w:tcBorders>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r>
      <w:tr>
        <w:trPr>
          <w:trHeight w:val="231"/>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ASSIGNEE]</w:t>
            </w: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546"/>
        </w:trPr>
        <w:tc>
          <w:tcPr>
            <w:tcW w:w="38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By:______________________________</w:t>
            </w:r>
          </w:p>
        </w:tc>
        <w:tc>
          <w:tcPr>
            <w:tcW w:w="12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41"/>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r>
      <w:tr>
        <w:trPr>
          <w:trHeight w:val="232"/>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[NAME OF ASSIGNEE]</w:t>
            </w: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522"/>
        </w:trPr>
        <w:tc>
          <w:tcPr>
            <w:tcW w:w="38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By:______________________________</w:t>
            </w:r>
          </w:p>
        </w:tc>
        <w:tc>
          <w:tcPr>
            <w:tcW w:w="12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41"/>
        </w:trPr>
        <w:tc>
          <w:tcPr>
            <w:tcW w:w="3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r>
      <w:tr>
        <w:trPr>
          <w:trHeight w:val="232"/>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9"/>
                <w:szCs w:val="9"/>
                <w:color w:val="auto"/>
              </w:rPr>
              <w:t>14</w:t>
            </w:r>
            <w:r>
              <w:rPr>
                <w:rFonts w:ascii="Times New Roman" w:cs="Times New Roman" w:eastAsia="Times New Roman" w:hAnsi="Times New Roman"/>
                <w:sz w:val="18"/>
                <w:szCs w:val="18"/>
                <w:color w:val="auto"/>
              </w:rPr>
              <w:t xml:space="preserve"> Accepted:</w:t>
            </w: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337"/>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PNC BANK, NATIONAL ASSOCIATION, as</w:t>
            </w: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41"/>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Administrative Agent</w:t>
            </w: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545"/>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By:_________________________________</w:t>
            </w: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41"/>
        </w:trPr>
        <w:tc>
          <w:tcPr>
            <w:tcW w:w="384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r>
      <w:tr>
        <w:trPr>
          <w:trHeight w:val="602"/>
        </w:trPr>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C-3</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91"/>
        </w:trPr>
        <w:tc>
          <w:tcPr>
            <w:tcW w:w="3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r>
        <w:trPr>
          <w:trHeight w:val="20"/>
        </w:trPr>
        <w:tc>
          <w:tcPr>
            <w:tcW w:w="38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24" w:right="1419" w:bottom="1440" w:gutter="0" w:footer="0" w:header="0"/>
        </w:sectPr>
      </w:pPr>
    </w:p>
    <w:bookmarkStart w:id="280" w:name="page281"/>
    <w:bookmarkEnd w:id="280"/>
    <w:p>
      <w:pPr>
        <w:ind w:left="120"/>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9"/>
          <w:szCs w:val="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4848860" cy="10121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48860" cy="1012190"/>
                    </a:xfrm>
                    <a:prstGeom prst="rect">
                      <a:avLst/>
                    </a:prstGeom>
                    <a:noFill/>
                  </pic:spPr>
                </pic:pic>
              </a:graphicData>
            </a:graphic>
          </wp:anchor>
        </w:drawing>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OF RELEVANT PARTY]</w:t>
      </w:r>
    </w:p>
    <w:p>
      <w:pPr>
        <w:spacing w:after="0" w:line="3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By:________________________________</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hanging="159"/>
        <w:spacing w:after="0"/>
        <w:tabs>
          <w:tab w:leader="none" w:pos="160" w:val="left"/>
        </w:tabs>
        <w:numPr>
          <w:ilvl w:val="0"/>
          <w:numId w:val="26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To be added only if the consent of the Borrower and/or other parties (e.g., Swing Line Lender) is required by the terms of the Credit Agreement.</w:t>
      </w:r>
    </w:p>
    <w:p>
      <w:pPr>
        <w:spacing w:after="0" w:line="3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36" w:right="1439" w:bottom="1440" w:gutter="0" w:footer="0" w:header="0"/>
        </w:sectPr>
      </w:pPr>
    </w:p>
    <w:bookmarkStart w:id="281" w:name="page282"/>
    <w:bookmarkEnd w:id="281"/>
    <w:p>
      <w:pPr>
        <w:ind w:left="8260"/>
        <w:spacing w:after="0"/>
        <w:rPr>
          <w:sz w:val="20"/>
          <w:szCs w:val="20"/>
          <w:color w:val="auto"/>
        </w:rPr>
      </w:pPr>
      <w:r>
        <w:rPr>
          <w:rFonts w:ascii="Times New Roman" w:cs="Times New Roman" w:eastAsia="Times New Roman" w:hAnsi="Times New Roman"/>
          <w:sz w:val="18"/>
          <w:szCs w:val="18"/>
          <w:color w:val="auto"/>
        </w:rPr>
        <w:t>ANNEX 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166" w:lineRule="exact"/>
        <w:rPr>
          <w:sz w:val="20"/>
          <w:szCs w:val="20"/>
          <w:color w:val="auto"/>
        </w:rPr>
      </w:pPr>
    </w:p>
    <w:p>
      <w:pPr>
        <w:ind w:left="1240" w:hanging="684"/>
        <w:spacing w:after="0"/>
        <w:tabs>
          <w:tab w:leader="none" w:pos="12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109"/>
        <w:spacing w:after="0" w:line="24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Assignor[s]</w:t>
      </w:r>
      <w:r>
        <w:rPr>
          <w:rFonts w:ascii="Times New Roman" w:cs="Times New Roman" w:eastAsia="Times New Roman" w:hAnsi="Times New Roman"/>
          <w:sz w:val="18"/>
          <w:szCs w:val="18"/>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51" w:lineRule="exact"/>
        <w:rPr>
          <w:sz w:val="20"/>
          <w:szCs w:val="20"/>
          <w:color w:val="auto"/>
        </w:rPr>
      </w:pPr>
    </w:p>
    <w:p>
      <w:pPr>
        <w:jc w:val="both"/>
        <w:ind w:firstLine="1109"/>
        <w:spacing w:after="0" w:line="24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 (subject to such consents, if any, as may be required thereunder),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3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82" w:name="page283"/>
    <w:bookmarkEnd w:id="282"/>
    <w:p>
      <w:pPr>
        <w:jc w:val="both"/>
        <w:ind w:firstLine="556"/>
        <w:spacing w:after="0" w:line="248" w:lineRule="auto"/>
        <w:tabs>
          <w:tab w:leader="none" w:pos="124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49" w:lineRule="exact"/>
        <w:rPr>
          <w:rFonts w:ascii="Times New Roman" w:cs="Times New Roman" w:eastAsia="Times New Roman" w:hAnsi="Times New Roman"/>
          <w:sz w:val="18"/>
          <w:szCs w:val="18"/>
          <w:color w:val="auto"/>
        </w:rPr>
      </w:pPr>
    </w:p>
    <w:p>
      <w:pPr>
        <w:jc w:val="both"/>
        <w:ind w:firstLine="556"/>
        <w:spacing w:after="0" w:line="248" w:lineRule="auto"/>
        <w:tabs>
          <w:tab w:leader="none" w:pos="124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color w:val="auto"/>
        </w:rPr>
        <w:t>EXHIBIT D</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LEGAL OPINION OF O’MELVENY &amp; MYERS LLP</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File With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193040</wp:posOffset>
            </wp:positionV>
            <wp:extent cx="5783580" cy="476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20"/>
          </w:cols>
          <w:pgMar w:left="1440" w:top="325" w:right="14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color w:val="auto"/>
        </w:rPr>
        <w:t>EXHIBIT E-1</w:t>
      </w:r>
    </w:p>
    <w:p>
      <w:pPr>
        <w:spacing w:after="0" w:line="18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FORM OF U.S. TAX CERTIFICATE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186"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June 3, 2025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PNG Companies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thereto, and PNC Bank, National Association,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Pursuant to the provisions of Section 2.14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14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non-United States person status on IRS Form W-8BEN-E (or W-8BEN if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49"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5751195" cy="1466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51195" cy="1466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200660</wp:posOffset>
            </wp:positionV>
            <wp:extent cx="5783580" cy="476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color w:val="auto"/>
        </w:rPr>
        <w:t>EXHIBIT E-2</w:t>
      </w:r>
    </w:p>
    <w:p>
      <w:pPr>
        <w:spacing w:after="0" w:line="18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FORM OF U.S. TAX CERTIFICATE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186"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June 3, 2025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PNG Companies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thereto, and PNC Bank, National Association,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Pursuant to the provisions of Section 2.14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5" w:lineRule="exact"/>
        <w:rPr>
          <w:sz w:val="20"/>
          <w:szCs w:val="20"/>
          <w:color w:val="auto"/>
        </w:rPr>
      </w:pPr>
    </w:p>
    <w:p>
      <w:pPr>
        <w:jc w:val="both"/>
        <w:ind w:firstLine="1"/>
        <w:spacing w:after="0" w:line="245" w:lineRule="auto"/>
        <w:tabs>
          <w:tab w:leader="none" w:pos="32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ten percent shareholder of the Borrower within the meaning of Section 871(h)(3)(B) of the Code, (v) none of its direct or indirect partners/members is a controlled foreign corporation related to the Borrower as described in Section 881(c)(3)(C) of the Code and (vi) the interest payments in question are not effectively connected with the undersigned’s or its direct or indirect partners/members’ conduct of a U.S. trade or business.</w:t>
      </w:r>
    </w:p>
    <w:p>
      <w:pPr>
        <w:spacing w:after="0" w:line="359"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IRS Form W-8IMY accompanied by one of the following forms from each of its direct or indirect partners/members claiming the portfolio interest exemption: (i) an IRS Form W-8BEN-E (or W-8BEN if applicable) or (ii) an IRS Form W-8IMY accompanied by an IRS Form W-8BEN-E (or W-8BEN if applicable) from each of such direct or indirect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55"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color w:val="auto"/>
        </w:rPr>
        <w:t>EXHIBIT E-3</w:t>
      </w:r>
    </w:p>
    <w:p>
      <w:pPr>
        <w:spacing w:after="0" w:line="18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FORM OF U.S. TAX CERTIFICATE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186"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June 3, 2025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PNG Companies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thereto, and PNC Bank, National Association,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Pursuant to the provisions of Section 2.14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14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non-United States person status on IRS Form W-8BEN-E (or W-8BEN if applicable). By executing this certificate, the undersigned agrees that (1) if the information provided on this certificate changes, the undersigned shall promptly so inform such Lender in writing and</w:t>
      </w:r>
    </w:p>
    <w:p>
      <w:pPr>
        <w:spacing w:after="0" w:line="2" w:lineRule="exact"/>
        <w:rPr>
          <w:sz w:val="20"/>
          <w:szCs w:val="20"/>
          <w:color w:val="auto"/>
        </w:rPr>
      </w:pPr>
    </w:p>
    <w:p>
      <w:pPr>
        <w:jc w:val="both"/>
        <w:ind w:firstLine="1"/>
        <w:spacing w:after="0" w:line="249" w:lineRule="auto"/>
        <w:tabs>
          <w:tab w:leader="none" w:pos="28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44" w:lineRule="exact"/>
        <w:rPr>
          <w:sz w:val="20"/>
          <w:szCs w:val="20"/>
          <w:color w:val="auto"/>
        </w:rPr>
      </w:pPr>
    </w:p>
    <w:p>
      <w:pPr>
        <w:ind w:firstLine="554"/>
        <w:spacing w:after="0" w:line="280"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color w:val="auto"/>
        </w:rPr>
        <w:t>EXHIBIT E-4</w:t>
      </w:r>
    </w:p>
    <w:p>
      <w:pPr>
        <w:spacing w:after="0" w:line="18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FORM OF U.S. TAX CERTIFICATE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186"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June 3, 2025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PNG Companies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thereto, and PNC Bank, National Association,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Pursuant to the provisions of Section 2.14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jc w:val="both"/>
        <w:ind w:firstLine="1"/>
        <w:spacing w:after="0" w:line="245" w:lineRule="auto"/>
        <w:tabs>
          <w:tab w:leader="none" w:pos="32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ten percent shareholder of the Borrower within the meaning of Section 871(h)(3)(B) of the Code, (v) none of its direct or indirect partners/members is a controlled foreign corporation related to the Borrower as described in Section 881(c)(3)(C) of the Code and (vi) the interest payments in question are not effectively connected with the undersigned’s or its direct or indirect partners/members’ conduct of a U.S. trade or business.</w:t>
      </w:r>
    </w:p>
    <w:p>
      <w:pPr>
        <w:spacing w:after="0" w:line="359"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 8IMY accompanied by one of the following forms from each of its direct or indirect partners/members claiming the portfolio interest exemption: (i) an IRS Form W-8BEN-E (or W-8BEN if applicable) or (ii) an IRS Form W 8IMY accompanied by an IRS Form W-8BEN-E (or W-8BEN if applicable) from each of such direct or indirect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1"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color w:val="auto"/>
        </w:rPr>
        <w:t>EXHIBIT 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BORROWING REQUEST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Lenders referred to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Stop: P7-PFSC-05-W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First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Agency 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Telecopy: (412) 768-0423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(412) 715-2006</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86"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Reference is made to the Amended and Restated Credit Agreement, dated as of June 3, 2025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PNG Companies LLC, the Lenders party thereto, and PNC Bank, National Association,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Terms defined in the Credit Agreement are used herein with the same meanings. The Borrower hereby requests to borrow Revolving Loans under the Credit Agreement, and in that connection the Borrower specifies the following information with respect to such borrowing of Revolving Loans requested hereby:</w:t>
      </w:r>
    </w:p>
    <w:p>
      <w:pPr>
        <w:spacing w:after="0" w:line="362" w:lineRule="exact"/>
        <w:rPr>
          <w:sz w:val="20"/>
          <w:szCs w:val="20"/>
          <w:color w:val="auto"/>
        </w:rPr>
      </w:pPr>
    </w:p>
    <w:p>
      <w:pPr>
        <w:ind w:left="1240" w:hanging="684"/>
        <w:spacing w:after="0"/>
        <w:tabs>
          <w:tab w:leader="none" w:pos="12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of Revolving Loan</w:t>
      </w:r>
      <w:r>
        <w:rPr>
          <w:rFonts w:ascii="Times New Roman" w:cs="Times New Roman" w:eastAsia="Times New Roman" w:hAnsi="Times New Roman"/>
          <w:sz w:val="9"/>
          <w:szCs w:val="9"/>
          <w:color w:val="auto"/>
        </w:rPr>
        <w:t>16</w:t>
      </w:r>
      <w:r>
        <w:rPr>
          <w:rFonts w:ascii="Times New Roman" w:cs="Times New Roman" w:eastAsia="Times New Roman" w:hAnsi="Times New Roman"/>
          <w:sz w:val="18"/>
          <w:szCs w:val="18"/>
          <w:color w:val="auto"/>
        </w:rPr>
        <w:t xml:space="preserve"> :____________________</w:t>
      </w:r>
    </w:p>
    <w:p>
      <w:pPr>
        <w:spacing w:after="0" w:line="185" w:lineRule="exact"/>
        <w:rPr>
          <w:rFonts w:ascii="Times New Roman" w:cs="Times New Roman" w:eastAsia="Times New Roman" w:hAnsi="Times New Roman"/>
          <w:sz w:val="18"/>
          <w:szCs w:val="18"/>
          <w:color w:val="auto"/>
        </w:rPr>
      </w:pPr>
    </w:p>
    <w:p>
      <w:pPr>
        <w:ind w:left="1240" w:hanging="684"/>
        <w:spacing w:after="0"/>
        <w:tabs>
          <w:tab w:leader="none" w:pos="12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Revolving Loan (which is a Business Day)</w:t>
      </w:r>
      <w:r>
        <w:rPr>
          <w:rFonts w:ascii="Times New Roman" w:cs="Times New Roman" w:eastAsia="Times New Roman" w:hAnsi="Times New Roman"/>
          <w:sz w:val="9"/>
          <w:szCs w:val="9"/>
          <w:color w:val="auto"/>
        </w:rPr>
        <w:t>17</w:t>
      </w:r>
      <w:r>
        <w:rPr>
          <w:rFonts w:ascii="Times New Roman" w:cs="Times New Roman" w:eastAsia="Times New Roman" w:hAnsi="Times New Roman"/>
          <w:sz w:val="18"/>
          <w:szCs w:val="18"/>
          <w:color w:val="auto"/>
        </w:rPr>
        <w:t xml:space="preserve"> :__________________</w:t>
      </w:r>
    </w:p>
    <w:p>
      <w:pPr>
        <w:spacing w:after="0" w:line="185" w:lineRule="exact"/>
        <w:rPr>
          <w:rFonts w:ascii="Times New Roman" w:cs="Times New Roman" w:eastAsia="Times New Roman" w:hAnsi="Times New Roman"/>
          <w:sz w:val="18"/>
          <w:szCs w:val="18"/>
          <w:color w:val="auto"/>
        </w:rPr>
      </w:pPr>
    </w:p>
    <w:p>
      <w:pPr>
        <w:ind w:left="1240" w:hanging="684"/>
        <w:spacing w:after="0"/>
        <w:tabs>
          <w:tab w:leader="none" w:pos="12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Revolving Loan</w:t>
      </w:r>
      <w:r>
        <w:rPr>
          <w:rFonts w:ascii="Times New Roman" w:cs="Times New Roman" w:eastAsia="Times New Roman" w:hAnsi="Times New Roman"/>
          <w:sz w:val="9"/>
          <w:szCs w:val="9"/>
          <w:color w:val="auto"/>
        </w:rPr>
        <w:t>18</w:t>
      </w:r>
      <w:r>
        <w:rPr>
          <w:rFonts w:ascii="Times New Roman" w:cs="Times New Roman" w:eastAsia="Times New Roman" w:hAnsi="Times New Roman"/>
          <w:sz w:val="18"/>
          <w:szCs w:val="18"/>
          <w:color w:val="auto"/>
        </w:rPr>
        <w:t xml:space="preserve"> :____________________</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5" w:lineRule="exact"/>
        <w:rPr>
          <w:sz w:val="20"/>
          <w:szCs w:val="20"/>
          <w:color w:val="auto"/>
        </w:rPr>
      </w:pPr>
    </w:p>
    <w:p>
      <w:pPr>
        <w:ind w:firstLine="1"/>
        <w:spacing w:after="0" w:line="256" w:lineRule="auto"/>
        <w:tabs>
          <w:tab w:leader="none" w:pos="171" w:val="left"/>
        </w:tabs>
        <w:numPr>
          <w:ilvl w:val="0"/>
          <w:numId w:val="27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Not less than $1,000,000 (or $250,000 in the case of an ABR Loan) and in integral multiples of $100,000 (or $50,000 in the case of an ABR Loan).</w:t>
      </w:r>
    </w:p>
    <w:p>
      <w:pPr>
        <w:spacing w:after="0" w:line="184" w:lineRule="exact"/>
        <w:rPr>
          <w:rFonts w:ascii="Times New Roman" w:cs="Times New Roman" w:eastAsia="Times New Roman" w:hAnsi="Times New Roman"/>
          <w:sz w:val="15"/>
          <w:szCs w:val="15"/>
          <w:color w:val="auto"/>
          <w:vertAlign w:val="superscript"/>
        </w:rPr>
      </w:pPr>
    </w:p>
    <w:p>
      <w:pPr>
        <w:jc w:val="both"/>
        <w:ind w:firstLine="1"/>
        <w:spacing w:after="0" w:line="257" w:lineRule="auto"/>
        <w:tabs>
          <w:tab w:leader="none" w:pos="165" w:val="left"/>
        </w:tabs>
        <w:numPr>
          <w:ilvl w:val="0"/>
          <w:numId w:val="27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Notice shall be delivered prior to 11:00 A.M., New York City time, (a) three Business Days prior to the requested Borrowing Date, in the case of Term SOFR Rate Loans, or (b) on the day of the requested Borrowing Date, in the case of ABR Loans; in each case, notice will be considered delivered on the following Business Day if delivered after 11:00 AM New York City time.</w:t>
      </w:r>
    </w:p>
    <w:p>
      <w:pPr>
        <w:ind w:left="160" w:hanging="159"/>
        <w:spacing w:after="0"/>
        <w:tabs>
          <w:tab w:leader="none" w:pos="160" w:val="left"/>
        </w:tabs>
        <w:numPr>
          <w:ilvl w:val="0"/>
          <w:numId w:val="27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Term SOFR Rate or ABR.</w:t>
      </w:r>
    </w:p>
    <w:p>
      <w:pPr>
        <w:spacing w:after="0" w:line="3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89" w:name="page290"/>
    <w:bookmarkEnd w:id="289"/>
    <w:p>
      <w:pPr>
        <w:ind w:left="1240" w:hanging="684"/>
        <w:spacing w:after="0"/>
        <w:tabs>
          <w:tab w:leader="none" w:pos="12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w:t>
      </w:r>
      <w:r>
        <w:rPr>
          <w:rFonts w:ascii="Times New Roman" w:cs="Times New Roman" w:eastAsia="Times New Roman" w:hAnsi="Times New Roman"/>
          <w:sz w:val="9"/>
          <w:szCs w:val="9"/>
          <w:color w:val="auto"/>
        </w:rPr>
        <w:t>19</w:t>
      </w:r>
      <w:r>
        <w:rPr>
          <w:rFonts w:ascii="Times New Roman" w:cs="Times New Roman" w:eastAsia="Times New Roman" w:hAnsi="Times New Roman"/>
          <w:sz w:val="18"/>
          <w:szCs w:val="18"/>
          <w:color w:val="auto"/>
        </w:rPr>
        <w:t xml:space="preserve"> :____________________</w:t>
      </w:r>
    </w:p>
    <w:p>
      <w:pPr>
        <w:spacing w:after="0" w:line="185" w:lineRule="exact"/>
        <w:rPr>
          <w:rFonts w:ascii="Times New Roman" w:cs="Times New Roman" w:eastAsia="Times New Roman" w:hAnsi="Times New Roman"/>
          <w:sz w:val="18"/>
          <w:szCs w:val="18"/>
          <w:color w:val="auto"/>
        </w:rPr>
      </w:pPr>
    </w:p>
    <w:p>
      <w:pPr>
        <w:ind w:firstLine="556"/>
        <w:spacing w:after="0" w:line="280" w:lineRule="auto"/>
        <w:tabs>
          <w:tab w:leader="none" w:pos="124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and number of Borrower’s account at Administrative Agent to which proceeds of borrowing are to be disbursed:____________________</w:t>
      </w:r>
    </w:p>
    <w:p>
      <w:pPr>
        <w:spacing w:after="0" w:line="117" w:lineRule="exact"/>
        <w:rPr>
          <w:rFonts w:ascii="Times New Roman" w:cs="Times New Roman" w:eastAsia="Times New Roman" w:hAnsi="Times New Roman"/>
          <w:sz w:val="18"/>
          <w:szCs w:val="18"/>
          <w:color w:val="auto"/>
        </w:rPr>
      </w:pPr>
    </w:p>
    <w:p>
      <w:pPr>
        <w:ind w:left="1240" w:hanging="684"/>
        <w:spacing w:after="0"/>
        <w:tabs>
          <w:tab w:leader="none" w:pos="12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Revolving Loan will be used:</w:t>
      </w:r>
    </w:p>
    <w:p>
      <w:pPr>
        <w:spacing w:after="0" w:line="197" w:lineRule="exact"/>
        <w:rPr>
          <w:rFonts w:ascii="Times New Roman" w:cs="Times New Roman" w:eastAsia="Times New Roman" w:hAnsi="Times New Roman"/>
          <w:sz w:val="18"/>
          <w:szCs w:val="18"/>
          <w:color w:val="auto"/>
        </w:rPr>
      </w:pPr>
    </w:p>
    <w:p>
      <w:pPr>
        <w:ind w:left="2280" w:hanging="1170"/>
        <w:spacing w:after="0"/>
        <w:tabs>
          <w:tab w:leader="none" w:pos="2280" w:val="left"/>
        </w:tabs>
        <w:numPr>
          <w:ilvl w:val="1"/>
          <w:numId w:val="2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purchases of natural gas inventory</w:t>
      </w:r>
    </w:p>
    <w:p>
      <w:pPr>
        <w:spacing w:after="0" w:line="197" w:lineRule="exact"/>
        <w:rPr>
          <w:rFonts w:ascii="MS PGothic" w:cs="MS PGothic" w:eastAsia="MS PGothic" w:hAnsi="MS PGothic"/>
          <w:sz w:val="18"/>
          <w:szCs w:val="18"/>
          <w:color w:val="auto"/>
        </w:rPr>
      </w:pPr>
    </w:p>
    <w:p>
      <w:pPr>
        <w:ind w:left="2280" w:hanging="1170"/>
        <w:spacing w:after="0"/>
        <w:tabs>
          <w:tab w:leader="none" w:pos="2280" w:val="left"/>
        </w:tabs>
        <w:numPr>
          <w:ilvl w:val="1"/>
          <w:numId w:val="2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other working capital needs and general corporate purposes</w:t>
      </w:r>
      <w:r>
        <w:rPr>
          <w:rFonts w:ascii="Times New Roman" w:cs="Times New Roman" w:eastAsia="Times New Roman" w:hAnsi="Times New Roman"/>
          <w:sz w:val="7"/>
          <w:szCs w:val="7"/>
          <w:color w:val="auto"/>
        </w:rPr>
        <w:t>20</w:t>
      </w:r>
    </w:p>
    <w:p>
      <w:pPr>
        <w:spacing w:after="0" w:line="186" w:lineRule="exact"/>
        <w:rPr>
          <w:sz w:val="20"/>
          <w:szCs w:val="20"/>
          <w:color w:val="auto"/>
        </w:rPr>
      </w:pPr>
    </w:p>
    <w:p>
      <w:pPr>
        <w:ind w:firstLine="554"/>
        <w:spacing w:after="0" w:line="280" w:lineRule="auto"/>
        <w:rPr>
          <w:sz w:val="20"/>
          <w:szCs w:val="20"/>
          <w:color w:val="auto"/>
        </w:rPr>
      </w:pPr>
      <w:r>
        <w:rPr>
          <w:rFonts w:ascii="Times New Roman" w:cs="Times New Roman" w:eastAsia="Times New Roman" w:hAnsi="Times New Roman"/>
          <w:sz w:val="18"/>
          <w:szCs w:val="18"/>
          <w:color w:val="auto"/>
        </w:rPr>
        <w:t>The Borrower hereby represents and warrants as of the date of the making of such Revolving Loan, that the conditions set forth in Section 5.2 of the Credit Agreement have been satisfied or waived.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5" w:lineRule="exact"/>
        <w:rPr>
          <w:sz w:val="20"/>
          <w:szCs w:val="20"/>
          <w:color w:val="auto"/>
        </w:rPr>
      </w:pPr>
    </w:p>
    <w:p>
      <w:pPr>
        <w:ind w:left="160" w:hanging="159"/>
        <w:spacing w:after="0"/>
        <w:tabs>
          <w:tab w:leader="none" w:pos="160" w:val="left"/>
        </w:tabs>
        <w:numPr>
          <w:ilvl w:val="0"/>
          <w:numId w:val="27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Which must comply with the definition of “Interest Period” and end not later than the Revolving Commitment Termination Date.</w:t>
      </w:r>
    </w:p>
    <w:p>
      <w:pPr>
        <w:spacing w:after="0" w:line="12" w:lineRule="exact"/>
        <w:rPr>
          <w:rFonts w:ascii="Times New Roman" w:cs="Times New Roman" w:eastAsia="Times New Roman" w:hAnsi="Times New Roman"/>
          <w:sz w:val="15"/>
          <w:szCs w:val="15"/>
          <w:color w:val="auto"/>
          <w:vertAlign w:val="superscript"/>
        </w:rPr>
      </w:pPr>
    </w:p>
    <w:p>
      <w:pPr>
        <w:ind w:left="160" w:hanging="159"/>
        <w:spacing w:after="0"/>
        <w:tabs>
          <w:tab w:leader="none" w:pos="160" w:val="left"/>
        </w:tabs>
        <w:numPr>
          <w:ilvl w:val="0"/>
          <w:numId w:val="27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The Borrower to check which box is applicable.</w:t>
      </w: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90" w:name="page291"/>
    <w:bookmarkEnd w:id="290"/>
    <w:p>
      <w:pPr>
        <w:ind w:firstLine="1109"/>
        <w:spacing w:after="0" w:line="280" w:lineRule="auto"/>
        <w:rPr>
          <w:sz w:val="20"/>
          <w:szCs w:val="20"/>
          <w:color w:val="auto"/>
        </w:rPr>
      </w:pPr>
      <w:r>
        <w:rPr>
          <w:rFonts w:ascii="Times New Roman" w:cs="Times New Roman" w:eastAsia="Times New Roman" w:hAnsi="Times New Roman"/>
          <w:sz w:val="18"/>
          <w:szCs w:val="18"/>
          <w:color w:val="auto"/>
        </w:rPr>
        <w:t>IN WITNESS WHEREOF, the Borrower has executed and delivered this Borrowing Request as of the date first written above.</w:t>
      </w:r>
    </w:p>
    <w:p>
      <w:pPr>
        <w:spacing w:after="0" w:line="2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PNG COMPANIES LLC</w:t>
      </w:r>
    </w:p>
    <w:p>
      <w:pPr>
        <w:spacing w:after="0" w:line="39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Name:</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G</w:t>
            </w:r>
          </w:p>
        </w:tc>
      </w:tr>
      <w:tr>
        <w:trPr>
          <w:trHeight w:val="393"/>
        </w:trPr>
        <w:tc>
          <w:tcPr>
            <w:tcW w:w="3420" w:type="dxa"/>
            <w:vAlign w:val="bottom"/>
          </w:tcPr>
          <w:p>
            <w:pPr>
              <w:spacing w:after="0"/>
              <w:rPr>
                <w:sz w:val="24"/>
                <w:szCs w:val="24"/>
                <w:color w:val="auto"/>
              </w:rPr>
            </w:pPr>
          </w:p>
        </w:tc>
        <w:tc>
          <w:tcPr>
            <w:tcW w:w="5620" w:type="dxa"/>
            <w:vAlign w:val="bottom"/>
            <w:gridSpan w:val="3"/>
          </w:tcPr>
          <w:p>
            <w:pPr>
              <w:jc w:val="right"/>
              <w:ind w:right="3748"/>
              <w:spacing w:after="0"/>
              <w:rPr>
                <w:sz w:val="20"/>
                <w:szCs w:val="20"/>
                <w:color w:val="auto"/>
              </w:rPr>
            </w:pPr>
            <w:r>
              <w:rPr>
                <w:rFonts w:ascii="Times New Roman" w:cs="Times New Roman" w:eastAsia="Times New Roman" w:hAnsi="Times New Roman"/>
                <w:sz w:val="18"/>
                <w:szCs w:val="18"/>
                <w:color w:val="auto"/>
              </w:rPr>
              <w:t>FORM OF NOTE</w:t>
            </w:r>
          </w:p>
        </w:tc>
      </w:tr>
      <w:tr>
        <w:trPr>
          <w:trHeight w:val="39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20" w:type="dxa"/>
            <w:vAlign w:val="bottom"/>
          </w:tcPr>
          <w:p>
            <w:pPr>
              <w:jc w:val="right"/>
              <w:ind w:right="1308"/>
              <w:spacing w:after="0"/>
              <w:rPr>
                <w:sz w:val="20"/>
                <w:szCs w:val="20"/>
                <w:color w:val="auto"/>
              </w:rPr>
            </w:pPr>
            <w:r>
              <w:rPr>
                <w:rFonts w:ascii="Times New Roman" w:cs="Times New Roman" w:eastAsia="Times New Roman" w:hAnsi="Times New Roman"/>
                <w:sz w:val="18"/>
                <w:szCs w:val="18"/>
                <w:color w:val="auto"/>
              </w:rPr>
              <w:t>New York, New York</w:t>
            </w:r>
          </w:p>
        </w:tc>
      </w:tr>
      <w:tr>
        <w:trPr>
          <w:trHeight w:val="393"/>
        </w:trPr>
        <w:tc>
          <w:tcPr>
            <w:tcW w:w="3420" w:type="dxa"/>
            <w:vAlign w:val="bottom"/>
          </w:tcPr>
          <w:p>
            <w:pPr>
              <w:spacing w:after="0"/>
              <w:rPr>
                <w:sz w:val="24"/>
                <w:szCs w:val="24"/>
                <w:color w:val="auto"/>
              </w:rPr>
            </w:pPr>
          </w:p>
        </w:tc>
        <w:tc>
          <w:tcPr>
            <w:tcW w:w="5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[_____], 20[__]</w:t>
            </w:r>
          </w:p>
        </w:tc>
      </w:tr>
      <w:tr>
        <w:trPr>
          <w:trHeight w:val="360"/>
        </w:trPr>
        <w:tc>
          <w:tcPr>
            <w:tcW w:w="9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FOR  VALUE  RECEIVED,  PNG  COMPANIES  LLC,  a  Delaware  limited  liability  company  (the</w:t>
            </w:r>
          </w:p>
        </w:tc>
      </w:tr>
      <w:tr>
        <w:trPr>
          <w:trHeight w:val="196"/>
        </w:trPr>
        <w:tc>
          <w:tcPr>
            <w:tcW w:w="3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“Borrower”), hereby promises to pay to</w:t>
            </w:r>
          </w:p>
        </w:tc>
        <w:tc>
          <w:tcPr>
            <w:tcW w:w="5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(the “Lender”) and its registered assigns, in lawful money of the</w:t>
            </w:r>
          </w:p>
        </w:tc>
      </w:tr>
      <w:tr>
        <w:trPr>
          <w:trHeight w:val="20"/>
        </w:trPr>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jc w:val="both"/>
        <w:spacing w:after="0" w:line="252" w:lineRule="auto"/>
        <w:rPr>
          <w:sz w:val="20"/>
          <w:szCs w:val="20"/>
          <w:color w:val="auto"/>
        </w:rPr>
      </w:pPr>
      <w:r>
        <w:rPr>
          <w:rFonts w:ascii="Times New Roman" w:cs="Times New Roman" w:eastAsia="Times New Roman" w:hAnsi="Times New Roman"/>
          <w:sz w:val="18"/>
          <w:szCs w:val="18"/>
          <w:color w:val="auto"/>
        </w:rPr>
        <w:t>United States of America in immediately available funds, at the Funding Office of PNC Bank, National Association, in its capacity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under the Credit Agreement (as defined</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below), on the Revolving Commitment Termination Date the principal sum of DOLLARS ($ ) or, if less, the then unpaid principal amount of all Revolving Loans made by the Lender pursuant to the Credit Agreement.</w:t>
      </w:r>
    </w:p>
    <w:p>
      <w:pPr>
        <w:spacing w:after="0" w:line="139"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The Borrower promises also to pay interest on the unpaid principal amount of each Revolving Loan made by the Lender in like money to the Administrative Agent from the date hereof until paid at the rates and at the times provided in Section 2 of the Credit Agreement.</w:t>
      </w:r>
    </w:p>
    <w:p>
      <w:pPr>
        <w:spacing w:after="0" w:line="136"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This Note is one of the Notes issued pursuant to that certain Amended and Restated Credit Agreement, dated as of June 3, 2025, among the Borrower, the Lenders and the Administrative Agent,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is entitled to the benefits and subject to the terms thereof and of the other Loan Documents. This Note is subject to voluntary and mandatory repayment prior to the Revolving Commitment Termination Date, in whole or in part, upon the terms and conditions specified in the Credit Agreement.</w:t>
      </w:r>
    </w:p>
    <w:p>
      <w:pPr>
        <w:spacing w:after="0" w:line="149" w:lineRule="exact"/>
        <w:rPr>
          <w:sz w:val="20"/>
          <w:szCs w:val="20"/>
          <w:color w:val="auto"/>
        </w:rPr>
      </w:pPr>
    </w:p>
    <w:p>
      <w:pPr>
        <w:jc w:val="both"/>
        <w:ind w:firstLine="1109"/>
        <w:spacing w:after="0" w:line="248" w:lineRule="auto"/>
        <w:rPr>
          <w:sz w:val="20"/>
          <w:szCs w:val="20"/>
          <w:color w:val="auto"/>
        </w:rPr>
      </w:pPr>
      <w:r>
        <w:rPr>
          <w:rFonts w:ascii="Times New Roman" w:cs="Times New Roman" w:eastAsia="Times New Roman" w:hAnsi="Times New Roman"/>
          <w:sz w:val="18"/>
          <w:szCs w:val="18"/>
          <w:color w:val="auto"/>
        </w:rPr>
        <w:t xml:space="preserve">All Revolving Loans made by the Lender, the respective types and maturities thereof and all repayments of the principal thereof shall be recorded by the Lender and, if the Lender so elects in connection with any transfer or enforcement hereof, appropriate notations to evidence the foregoing information with respect to each such Revolving Loan then outstanding may be endorsed by the Lender on the schedule attached hereto, or on a continuation of such schedule attached to and made a part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Lender to make any such recordation or endorsement shall not limit or otherwise affect the obligations of the Borrower hereunder or under the Credit Agreement.</w:t>
      </w:r>
    </w:p>
    <w:p>
      <w:pPr>
        <w:spacing w:after="0" w:line="149"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In case an Event of Default shall occur and be continuing, the principal of and accrued interest on this Note then remaining unpaid may become, or be declared to be, due and payable in the manner and with the effect provided in the Credit Agreement.</w:t>
      </w:r>
    </w:p>
    <w:p>
      <w:pPr>
        <w:spacing w:after="0" w:line="136" w:lineRule="exact"/>
        <w:rPr>
          <w:sz w:val="20"/>
          <w:szCs w:val="20"/>
          <w:color w:val="auto"/>
        </w:rPr>
      </w:pPr>
    </w:p>
    <w:p>
      <w:pPr>
        <w:jc w:val="both"/>
        <w:ind w:firstLine="1109"/>
        <w:spacing w:after="0" w:line="260" w:lineRule="auto"/>
        <w:rPr>
          <w:sz w:val="20"/>
          <w:szCs w:val="20"/>
          <w:color w:val="auto"/>
        </w:rPr>
      </w:pPr>
      <w:r>
        <w:rPr>
          <w:rFonts w:ascii="Times New Roman" w:cs="Times New Roman" w:eastAsia="Times New Roman" w:hAnsi="Times New Roman"/>
          <w:sz w:val="18"/>
          <w:szCs w:val="18"/>
          <w:color w:val="auto"/>
        </w:rPr>
        <w:t>The Borrower hereby waives presentment, demand, protest or notice of protest in connection with this Note to the extent permitted under applicable law. The non-exercise by the holder hereof of any of its rights hereunder in any particular instance shall not constitute a waiver thereof in that or any subsequent instance.</w:t>
      </w:r>
    </w:p>
    <w:p>
      <w:pPr>
        <w:spacing w:after="0" w:line="3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92" w:name="page293"/>
    <w:bookmarkEnd w:id="292"/>
    <w:p>
      <w:pPr>
        <w:jc w:val="both"/>
        <w:ind w:firstLine="1109"/>
        <w:spacing w:after="0" w:line="250" w:lineRule="auto"/>
        <w:rPr>
          <w:sz w:val="20"/>
          <w:szCs w:val="20"/>
          <w:color w:val="auto"/>
        </w:rPr>
      </w:pPr>
      <w:r>
        <w:rPr>
          <w:rFonts w:ascii="Times New Roman" w:cs="Times New Roman" w:eastAsia="Times New Roman" w:hAnsi="Times New Roman"/>
          <w:sz w:val="18"/>
          <w:szCs w:val="18"/>
          <w:color w:val="auto"/>
        </w:rPr>
        <w:t>This Note is a registered obligation, subject to restrictions on transfer or assignment as provided in Section 10.6 of the Credit Agreement, and transferable only upon notation in the Register, and no assignment hereof shall be effective until recorded therein; provided, however, nothing shall prevent or prohibit the Lender from pledging this Note, including, without limitation, to a Federal Reserve Bank in support of borrowings made by such Lender from such Federal Reserve Bank.</w:t>
      </w:r>
    </w:p>
    <w:p>
      <w:pPr>
        <w:spacing w:after="0" w:line="146" w:lineRule="exact"/>
        <w:rPr>
          <w:sz w:val="20"/>
          <w:szCs w:val="20"/>
          <w:color w:val="auto"/>
        </w:rPr>
      </w:pPr>
    </w:p>
    <w:p>
      <w:pPr>
        <w:jc w:val="both"/>
        <w:ind w:firstLine="1109"/>
        <w:spacing w:after="0" w:line="280"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93" w:name="page294"/>
    <w:bookmarkEnd w:id="293"/>
    <w:p>
      <w:pPr>
        <w:ind w:firstLine="1109"/>
        <w:spacing w:after="0" w:line="280" w:lineRule="auto"/>
        <w:rPr>
          <w:sz w:val="20"/>
          <w:szCs w:val="20"/>
          <w:color w:val="auto"/>
        </w:rPr>
      </w:pPr>
      <w:r>
        <w:rPr>
          <w:rFonts w:ascii="Times New Roman" w:cs="Times New Roman" w:eastAsia="Times New Roman" w:hAnsi="Times New Roman"/>
          <w:sz w:val="18"/>
          <w:szCs w:val="18"/>
          <w:color w:val="auto"/>
        </w:rPr>
        <w:t>THIS NOTE SHALL BE CONSTRUED IN ACCORDANCE WITH AND BE GOVERNED BY THE LAW OF THE STATE OF NEW YORK.</w:t>
      </w:r>
    </w:p>
    <w:p>
      <w:pPr>
        <w:spacing w:after="0" w:line="11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PNG COMPANIES LLC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Name:</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color w:val="auto"/>
        </w:rPr>
        <w:t>Schedule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REVOLVING LOANS AND PAYMENTS OF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5464810" cy="5499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64810" cy="54991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2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Amount of</w:t>
            </w:r>
          </w:p>
        </w:tc>
        <w:tc>
          <w:tcPr>
            <w:tcW w:w="14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08"/>
        </w:trPr>
        <w:tc>
          <w:tcPr>
            <w:tcW w:w="1220" w:type="dxa"/>
            <w:vAlign w:val="bottom"/>
          </w:tcPr>
          <w:p>
            <w:pPr>
              <w:spacing w:after="0"/>
              <w:rPr>
                <w:sz w:val="18"/>
                <w:szCs w:val="18"/>
                <w:color w:val="auto"/>
              </w:rPr>
            </w:pPr>
          </w:p>
        </w:tc>
        <w:tc>
          <w:tcPr>
            <w:tcW w:w="1660" w:type="dxa"/>
            <w:vAlign w:val="bottom"/>
          </w:tcPr>
          <w:p>
            <w:pPr>
              <w:jc w:val="center"/>
              <w:ind w:left="128"/>
              <w:spacing w:after="0"/>
              <w:rPr>
                <w:sz w:val="20"/>
                <w:szCs w:val="20"/>
                <w:color w:val="auto"/>
              </w:rPr>
            </w:pPr>
            <w:r>
              <w:rPr>
                <w:rFonts w:ascii="Times New Roman" w:cs="Times New Roman" w:eastAsia="Times New Roman" w:hAnsi="Times New Roman"/>
                <w:sz w:val="18"/>
                <w:szCs w:val="18"/>
                <w:color w:val="auto"/>
              </w:rPr>
              <w:t>Amount of</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8"/>
                <w:szCs w:val="18"/>
                <w:color w:val="auto"/>
              </w:rPr>
              <w:t>Type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w:t>
            </w:r>
          </w:p>
        </w:tc>
        <w:tc>
          <w:tcPr>
            <w:tcW w:w="14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Notation Made</w:t>
            </w:r>
          </w:p>
        </w:tc>
      </w:tr>
      <w:tr>
        <w:trPr>
          <w:trHeight w:val="239"/>
        </w:trPr>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Date</w:t>
            </w:r>
          </w:p>
        </w:tc>
        <w:tc>
          <w:tcPr>
            <w:tcW w:w="1660" w:type="dxa"/>
            <w:vAlign w:val="bottom"/>
          </w:tcPr>
          <w:p>
            <w:pPr>
              <w:jc w:val="center"/>
              <w:ind w:left="128"/>
              <w:spacing w:after="0"/>
              <w:rPr>
                <w:sz w:val="20"/>
                <w:szCs w:val="20"/>
                <w:color w:val="auto"/>
              </w:rPr>
            </w:pPr>
            <w:r>
              <w:rPr>
                <w:rFonts w:ascii="Times New Roman" w:cs="Times New Roman" w:eastAsia="Times New Roman" w:hAnsi="Times New Roman"/>
                <w:sz w:val="18"/>
                <w:szCs w:val="18"/>
                <w:color w:val="auto"/>
              </w:rPr>
              <w:t>Revolving Loan</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8"/>
                <w:szCs w:val="18"/>
                <w:color w:val="auto"/>
              </w:rPr>
              <w:t>Revolving Loan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Repaid</w:t>
            </w:r>
          </w:p>
        </w:tc>
        <w:tc>
          <w:tcPr>
            <w:tcW w:w="1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Maturity 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color w:val="auto"/>
        </w:rPr>
        <w:t>EXHIBIT H</w:t>
      </w:r>
    </w:p>
    <w:p>
      <w:pPr>
        <w:spacing w:after="0" w:line="18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FORM OF CONVERSION/CONTINUATION NOTICE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Credit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Stop: P7-PFSC-05-W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First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Agency 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Telecopy: (412) 768-0423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(412) 715-2006</w:t>
      </w:r>
    </w:p>
    <w:p>
      <w:pPr>
        <w:spacing w:after="0" w:line="16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Date: [•]</w:t>
      </w:r>
    </w:p>
    <w:p>
      <w:pPr>
        <w:spacing w:after="0" w:line="186" w:lineRule="exact"/>
        <w:rPr>
          <w:sz w:val="20"/>
          <w:szCs w:val="20"/>
          <w:color w:val="auto"/>
        </w:rPr>
      </w:pPr>
    </w:p>
    <w:p>
      <w:pPr>
        <w:jc w:val="both"/>
        <w:ind w:firstLine="1109"/>
        <w:spacing w:after="0" w:line="249" w:lineRule="auto"/>
        <w:rPr>
          <w:sz w:val="20"/>
          <w:szCs w:val="20"/>
          <w:color w:val="auto"/>
        </w:rPr>
      </w:pPr>
      <w:r>
        <w:rPr>
          <w:rFonts w:ascii="Times New Roman" w:cs="Times New Roman" w:eastAsia="Times New Roman" w:hAnsi="Times New Roman"/>
          <w:sz w:val="18"/>
          <w:szCs w:val="18"/>
          <w:color w:val="auto"/>
        </w:rPr>
        <w:t>The undersigned, PNG Companies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refers to the Amended and Restated Credit Agreement, dated as of June 3, 2025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Borrower, the Lenders party thereto, and PNC Bank, National Association,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Unless otherwise defined herein, terms defined in the Credit Agreement and used herein shall have the meanings given to them in the Credit Agreement.</w:t>
      </w:r>
    </w:p>
    <w:p>
      <w:pPr>
        <w:spacing w:after="0" w:line="35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The undersigned hereby requests (select one):</w:t>
      </w:r>
    </w:p>
    <w:p>
      <w:pPr>
        <w:spacing w:after="0" w:line="1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 conversion of a Term SOFR Rate Loan to an ABR Loan,</w:t>
      </w:r>
    </w:p>
    <w:p>
      <w:pPr>
        <w:spacing w:after="0" w:line="1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 conversion of an ABR Loan to a Term SOFR Rate Loan, or</w:t>
      </w:r>
    </w:p>
    <w:p>
      <w:pPr>
        <w:spacing w:after="0" w:line="1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 continuation of a Term SOFR Rate Loan</w:t>
      </w:r>
    </w:p>
    <w:p>
      <w:pPr>
        <w:spacing w:after="0" w:line="186" w:lineRule="exact"/>
        <w:rPr>
          <w:sz w:val="20"/>
          <w:szCs w:val="20"/>
          <w:color w:val="auto"/>
        </w:rPr>
      </w:pPr>
    </w:p>
    <w:p>
      <w:pPr>
        <w:ind w:left="1660" w:hanging="550"/>
        <w:spacing w:after="0"/>
        <w:tabs>
          <w:tab w:leader="none" w:pos="1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____________________ (a Business Day),</w:t>
      </w:r>
      <w:r>
        <w:rPr>
          <w:rFonts w:ascii="Times New Roman" w:cs="Times New Roman" w:eastAsia="Times New Roman" w:hAnsi="Times New Roman"/>
          <w:sz w:val="9"/>
          <w:szCs w:val="9"/>
          <w:color w:val="auto"/>
        </w:rPr>
        <w:t>21</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5" w:lineRule="exact"/>
        <w:rPr>
          <w:sz w:val="20"/>
          <w:szCs w:val="20"/>
          <w:color w:val="auto"/>
        </w:rPr>
      </w:pPr>
    </w:p>
    <w:p>
      <w:pPr>
        <w:jc w:val="both"/>
        <w:ind w:firstLine="1"/>
        <w:spacing w:after="0" w:line="265" w:lineRule="auto"/>
        <w:tabs>
          <w:tab w:leader="none" w:pos="155" w:val="left"/>
        </w:tabs>
        <w:numPr>
          <w:ilvl w:val="0"/>
          <w:numId w:val="27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Notice shall be delivered prior to 11:00 A.M., New York City time, (a) three Business Days prior to the requested conversion or continuation, in the case of Term SOFR Rate Loans, or (b) on the day of the requested conversion, in the case of ABR Loans; in each case, notice will be considered delivered on the following Business Day if delivered after 11:00 AM New York City time.</w:t>
      </w:r>
    </w:p>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96" w:name="page297"/>
    <w:bookmarkEnd w:id="296"/>
    <w:p>
      <w:pPr>
        <w:ind w:firstLine="1110"/>
        <w:spacing w:after="0" w:line="280" w:lineRule="auto"/>
        <w:tabs>
          <w:tab w:leader="none" w:pos="180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the amount of $____________ to be converted into an ABR Loan.] [in the amount of $____________ to be converted into or continued as a Term SOFR Rate Loan, and]</w:t>
      </w:r>
      <w:r>
        <w:rPr>
          <w:rFonts w:ascii="Times New Roman" w:cs="Times New Roman" w:eastAsia="Times New Roman" w:hAnsi="Times New Roman"/>
          <w:sz w:val="9"/>
          <w:szCs w:val="9"/>
          <w:color w:val="auto"/>
        </w:rPr>
        <w:t>22</w:t>
      </w:r>
    </w:p>
    <w:p>
      <w:pPr>
        <w:spacing w:after="0" w:line="117" w:lineRule="exact"/>
        <w:rPr>
          <w:rFonts w:ascii="Times New Roman" w:cs="Times New Roman" w:eastAsia="Times New Roman" w:hAnsi="Times New Roman"/>
          <w:sz w:val="18"/>
          <w:szCs w:val="18"/>
          <w:color w:val="auto"/>
        </w:rPr>
      </w:pPr>
    </w:p>
    <w:p>
      <w:pPr>
        <w:ind w:left="1800" w:hanging="690"/>
        <w:spacing w:after="0"/>
        <w:tabs>
          <w:tab w:leader="none" w:pos="18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Interest Period of _____________ months.]</w:t>
      </w:r>
      <w:r>
        <w:rPr>
          <w:rFonts w:ascii="Times New Roman" w:cs="Times New Roman" w:eastAsia="Times New Roman" w:hAnsi="Times New Roman"/>
          <w:sz w:val="9"/>
          <w:szCs w:val="9"/>
          <w:color w:val="auto"/>
        </w:rPr>
        <w:t>23</w:t>
      </w:r>
    </w:p>
    <w:p>
      <w:pPr>
        <w:spacing w:after="0" w:line="185" w:lineRule="exact"/>
        <w:rPr>
          <w:rFonts w:ascii="Times New Roman" w:cs="Times New Roman" w:eastAsia="Times New Roman" w:hAnsi="Times New Roman"/>
          <w:sz w:val="18"/>
          <w:szCs w:val="18"/>
          <w:color w:val="auto"/>
        </w:rPr>
      </w:pPr>
    </w:p>
    <w:p>
      <w:pPr>
        <w:ind w:left="1800" w:hanging="690"/>
        <w:spacing w:after="0"/>
        <w:tabs>
          <w:tab w:leader="none" w:pos="18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proceeds of the Revolving Loan that are being continued or converted hereby were</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for:</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purchase natural gas inventory</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Other working capital needs and general corporate purposes.</w:t>
      </w:r>
      <w:r>
        <w:rPr>
          <w:rFonts w:ascii="Times New Roman" w:cs="Times New Roman" w:eastAsia="Times New Roman" w:hAnsi="Times New Roman"/>
          <w:sz w:val="9"/>
          <w:szCs w:val="9"/>
          <w:color w:val="auto"/>
        </w:rPr>
        <w:t>24</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2" w:lineRule="exact"/>
        <w:rPr>
          <w:sz w:val="20"/>
          <w:szCs w:val="20"/>
          <w:color w:val="auto"/>
        </w:rPr>
      </w:pPr>
    </w:p>
    <w:p>
      <w:pPr>
        <w:ind w:firstLine="1"/>
        <w:spacing w:after="0" w:line="267" w:lineRule="auto"/>
        <w:tabs>
          <w:tab w:leader="none" w:pos="171" w:val="left"/>
        </w:tabs>
        <w:numPr>
          <w:ilvl w:val="0"/>
          <w:numId w:val="27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Not less than $1,000,000 (or $250,000 in the case of an ABR Loan) and in integral multiples of $100,000 (or $50,000 in the case of an ABR Loan).</w:t>
      </w:r>
    </w:p>
    <w:p>
      <w:pPr>
        <w:spacing w:after="0" w:line="192" w:lineRule="exact"/>
        <w:rPr>
          <w:rFonts w:ascii="Times New Roman" w:cs="Times New Roman" w:eastAsia="Times New Roman" w:hAnsi="Times New Roman"/>
          <w:sz w:val="15"/>
          <w:szCs w:val="15"/>
          <w:color w:val="auto"/>
          <w:vertAlign w:val="superscript"/>
        </w:rPr>
      </w:pPr>
    </w:p>
    <w:p>
      <w:pPr>
        <w:ind w:left="160" w:hanging="159"/>
        <w:spacing w:after="0"/>
        <w:tabs>
          <w:tab w:leader="none" w:pos="160" w:val="left"/>
        </w:tabs>
        <w:numPr>
          <w:ilvl w:val="0"/>
          <w:numId w:val="27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Use for conversions to, and continuations of, Term SOFR Rate Loans.</w:t>
      </w:r>
    </w:p>
    <w:p>
      <w:pPr>
        <w:spacing w:after="0" w:line="13" w:lineRule="exact"/>
        <w:rPr>
          <w:rFonts w:ascii="Times New Roman" w:cs="Times New Roman" w:eastAsia="Times New Roman" w:hAnsi="Times New Roman"/>
          <w:sz w:val="15"/>
          <w:szCs w:val="15"/>
          <w:color w:val="auto"/>
          <w:vertAlign w:val="superscript"/>
        </w:rPr>
      </w:pPr>
    </w:p>
    <w:p>
      <w:pPr>
        <w:ind w:left="160" w:hanging="159"/>
        <w:spacing w:after="0"/>
        <w:tabs>
          <w:tab w:leader="none" w:pos="160" w:val="left"/>
        </w:tabs>
        <w:numPr>
          <w:ilvl w:val="0"/>
          <w:numId w:val="27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rPr>
        <w:t>The Borrower to check which box is applicable.</w:t>
      </w: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5" w:right="1439" w:bottom="1440" w:gutter="0" w:footer="0" w:header="0"/>
        </w:sectPr>
      </w:pPr>
    </w:p>
    <w:bookmarkStart w:id="297" w:name="page298"/>
    <w:bookmarkEnd w:id="297"/>
    <w:p>
      <w:pPr>
        <w:ind w:firstLine="1109"/>
        <w:spacing w:after="0" w:line="280" w:lineRule="auto"/>
        <w:rPr>
          <w:sz w:val="20"/>
          <w:szCs w:val="20"/>
          <w:color w:val="auto"/>
        </w:rPr>
      </w:pPr>
      <w:r>
        <w:rPr>
          <w:rFonts w:ascii="Times New Roman" w:cs="Times New Roman" w:eastAsia="Times New Roman" w:hAnsi="Times New Roman"/>
          <w:sz w:val="18"/>
          <w:szCs w:val="18"/>
          <w:color w:val="auto"/>
        </w:rPr>
        <w:t>IN WITNESS WHEREOF, the Borrower has executed and delivered this Conversion/Continuation Notice as of the date first written above.</w:t>
      </w:r>
    </w:p>
    <w:p>
      <w:pPr>
        <w:spacing w:after="0" w:line="21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PNG COMPANIES LLC</w:t>
      </w:r>
    </w:p>
    <w:p>
      <w:pPr>
        <w:spacing w:after="0" w:line="200" w:lineRule="exact"/>
        <w:rPr>
          <w:sz w:val="20"/>
          <w:szCs w:val="20"/>
          <w:color w:val="auto"/>
        </w:rPr>
      </w:pPr>
    </w:p>
    <w:p>
      <w:pPr>
        <w:spacing w:after="0" w:line="2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Name:</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5783580" cy="476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902335</wp:posOffset>
            </wp:positionH>
            <wp:positionV relativeFrom="page">
              <wp:posOffset>3940175</wp:posOffset>
            </wp:positionV>
            <wp:extent cx="5743575" cy="146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43575" cy="14605"/>
                    </a:xfrm>
                    <a:prstGeom prst="rect">
                      <a:avLst/>
                    </a:prstGeom>
                    <a:noFill/>
                  </pic:spPr>
                </pic:pic>
              </a:graphicData>
            </a:graphic>
          </wp:anchor>
        </w:drawing>
        <w:drawing>
          <wp:anchor simplePos="0" relativeHeight="251657728" behindDoc="1" locked="0" layoutInCell="0" allowOverlap="1">
            <wp:simplePos x="0" y="0"/>
            <wp:positionH relativeFrom="page">
              <wp:posOffset>889635</wp:posOffset>
            </wp:positionH>
            <wp:positionV relativeFrom="page">
              <wp:posOffset>4880610</wp:posOffset>
            </wp:positionV>
            <wp:extent cx="5783580" cy="476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83580" cy="47625"/>
                    </a:xfrm>
                    <a:prstGeom prst="rect">
                      <a:avLst/>
                    </a:prstGeom>
                    <a:noFill/>
                  </pic:spPr>
                </pic:pic>
              </a:graphicData>
            </a:graphic>
          </wp:anchor>
        </w:drawing>
        <w:t>Exhibit 10.3</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5743575" cy="146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4357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w:t>
      </w:r>
    </w:p>
    <w:p>
      <w:pPr>
        <w:spacing w:after="0" w:line="209" w:lineRule="exact"/>
        <w:rPr>
          <w:sz w:val="20"/>
          <w:szCs w:val="20"/>
          <w:color w:val="auto"/>
        </w:rPr>
      </w:pPr>
    </w:p>
    <w:p>
      <w:pPr>
        <w:ind w:left="2000" w:right="2000"/>
        <w:spacing w:after="0" w:line="280" w:lineRule="auto"/>
        <w:rPr>
          <w:sz w:val="20"/>
          <w:szCs w:val="20"/>
          <w:color w:val="auto"/>
        </w:rPr>
      </w:pPr>
      <w:r>
        <w:rPr>
          <w:rFonts w:ascii="Times New Roman" w:cs="Times New Roman" w:eastAsia="Times New Roman" w:hAnsi="Times New Roman"/>
          <w:sz w:val="18"/>
          <w:szCs w:val="18"/>
          <w:color w:val="auto"/>
        </w:rPr>
        <w:t>$75,000,000 First Mortgage Bonds, 5.38% Series due May 31, 2035 $25,000,000 First Mortgage Bonds, 5.63% Series due May 31, 2040</w:t>
      </w:r>
    </w:p>
    <w:p>
      <w:pPr>
        <w:spacing w:after="0" w:line="21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Bond Purchase Agreement</w:t>
      </w:r>
    </w:p>
    <w:p>
      <w:pPr>
        <w:spacing w:after="0" w:line="27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29, 2025</w:t>
      </w:r>
    </w:p>
    <w:p>
      <w:pPr>
        <w:sectPr>
          <w:pgSz w:w="11900" w:h="16838" w:orient="portrait"/>
          <w:cols w:equalWidth="0" w:num="1">
            <w:col w:w="9040"/>
          </w:cols>
          <w:pgMar w:left="1420" w:top="112" w:right="1439" w:bottom="1440" w:gutter="0" w:footer="0" w:header="0"/>
        </w:sectPr>
      </w:pPr>
    </w:p>
    <w:bookmarkStart w:id="299" w:name="page300"/>
    <w:bookmarkEnd w:id="2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19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w:t>
            </w:r>
          </w:p>
        </w:tc>
        <w:tc>
          <w:tcPr>
            <w:tcW w:w="1140" w:type="dxa"/>
            <w:vAlign w:val="bottom"/>
          </w:tcPr>
          <w:p>
            <w:pPr>
              <w:spacing w:after="0"/>
              <w:rPr>
                <w:sz w:val="17"/>
                <w:szCs w:val="17"/>
                <w:color w:val="auto"/>
              </w:rPr>
            </w:pPr>
          </w:p>
        </w:tc>
        <w:tc>
          <w:tcPr>
            <w:tcW w:w="5260" w:type="dxa"/>
            <w:vAlign w:val="bottom"/>
          </w:tcPr>
          <w:p>
            <w:pPr>
              <w:ind w:left="2700"/>
              <w:spacing w:after="0"/>
              <w:rPr>
                <w:sz w:val="20"/>
                <w:szCs w:val="20"/>
                <w:color w:val="auto"/>
              </w:rPr>
            </w:pPr>
            <w:r>
              <w:rPr>
                <w:rFonts w:ascii="Times New Roman" w:cs="Times New Roman" w:eastAsia="Times New Roman" w:hAnsi="Times New Roman"/>
                <w:sz w:val="15"/>
                <w:szCs w:val="15"/>
                <w:color w:val="auto"/>
              </w:rPr>
              <w:t>HEADING</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PAGE</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w:t>
            </w:r>
          </w:p>
        </w:tc>
        <w:tc>
          <w:tcPr>
            <w:tcW w:w="1140" w:type="dxa"/>
            <w:vAlign w:val="bottom"/>
          </w:tcPr>
          <w:p>
            <w:pPr>
              <w:spacing w:after="0"/>
              <w:rPr>
                <w:sz w:val="20"/>
                <w:szCs w:val="20"/>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AUTHORIZATION OF BONDS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2.</w:t>
            </w:r>
          </w:p>
        </w:tc>
        <w:tc>
          <w:tcPr>
            <w:tcW w:w="1140" w:type="dxa"/>
            <w:vAlign w:val="bottom"/>
          </w:tcPr>
          <w:p>
            <w:pPr>
              <w:spacing w:after="0"/>
              <w:rPr>
                <w:sz w:val="20"/>
                <w:szCs w:val="20"/>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SALE AND PURCHASE OF BONDS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3.</w:t>
            </w:r>
          </w:p>
        </w:tc>
        <w:tc>
          <w:tcPr>
            <w:tcW w:w="1140" w:type="dxa"/>
            <w:vAlign w:val="bottom"/>
          </w:tcPr>
          <w:p>
            <w:pPr>
              <w:spacing w:after="0"/>
              <w:rPr>
                <w:sz w:val="20"/>
                <w:szCs w:val="20"/>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CLOSING</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31"/>
        </w:trPr>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4.</w:t>
            </w:r>
          </w:p>
        </w:tc>
        <w:tc>
          <w:tcPr>
            <w:tcW w:w="1140" w:type="dxa"/>
            <w:vAlign w:val="bottom"/>
          </w:tcPr>
          <w:p>
            <w:pPr>
              <w:spacing w:after="0"/>
              <w:rPr>
                <w:sz w:val="20"/>
                <w:szCs w:val="20"/>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CONDITIONS TO CLOSING</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4.1.</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Representations and Warranties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4.2.</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Performance; No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4.3.</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Compliance Certificates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4.4.</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Opinions of Counsel</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4.5.</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Purchase Permitted by Applicable Law,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4.6.</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Sale of Bonds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4.7.</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 of Special Counsel Fees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4.8.</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Private Placement Number</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4.9.</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Changes in Corporate Structure</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4.10.</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Funding Instructions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4.11.</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Proceedings and Documents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4.12.</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Execution and Delivery and Filing and Recording of the Supplement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4.13.</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Regulatory Approvals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31"/>
        </w:trPr>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5.</w:t>
            </w:r>
          </w:p>
        </w:tc>
        <w:tc>
          <w:tcPr>
            <w:tcW w:w="114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REPRESENTATIONS AND WARRANTIES OF THE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Organization; Power and Authority</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5.2.</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Authorization,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5.3.</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Disclosure</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5.4.</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Organization and Ownership of Shares of Subsidiaries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5.5.</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Financial Statements; Material Liabilities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5.6.</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Compliance with Laws, Other Instruments,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5.7.</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Governmental Authorizations,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5.8.</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Litigation; Observance of Statutes and Orders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5.9.</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Taxes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5.10.</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Title to Property; Leases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5.11.</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Licenses, Permits,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5.12.</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Compliance with Employee Benefit Plans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5.13.</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Private Offering by the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5.14.</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Use of Proceeds; Margin Regulations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5.15.</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Existing Debt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5.16.</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Foreign Assets Control Regulations,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5.17.</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Status under Certain Statutes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5.18.</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Environmental Matters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5.19.</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Lien of Indenture</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5.20.</w:t>
            </w:r>
          </w:p>
        </w:tc>
        <w:tc>
          <w:tcPr>
            <w:tcW w:w="5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Filings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300" w:name="page301"/>
    <w:bookmarkEnd w:id="300"/>
    <w:tbl>
      <w:tblPr>
        <w:tblLayout w:type="fixed"/>
        <w:tblInd w:w="8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6.</w:t>
            </w:r>
          </w:p>
        </w:tc>
        <w:tc>
          <w:tcPr>
            <w:tcW w:w="1140" w:type="dxa"/>
            <w:vAlign w:val="bottom"/>
          </w:tcPr>
          <w:p>
            <w:pPr>
              <w:spacing w:after="0"/>
              <w:rPr>
                <w:sz w:val="20"/>
                <w:szCs w:val="20"/>
                <w:color w:val="auto"/>
              </w:rPr>
            </w:pPr>
          </w:p>
        </w:tc>
        <w:tc>
          <w:tcPr>
            <w:tcW w:w="55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REPRESENTATIONS OF THE PURCHASERS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6.1.</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Purchase for Investment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6.2.</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Source of Funds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31"/>
        </w:trPr>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7.</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INFORMATION AS TO COMPANY</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7.1.</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Financial and Business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7.2</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Officer’s Certificate</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7.3.</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Visitation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8.</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PURCHASE OF BONDS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9.</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AFFIRMATIVE COVENANTS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9.1.</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Compliance with Law</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9.2.</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Insurance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9.3.</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Maintenance of Properties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9.4.</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 of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9.5.</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Corporate Existence, Etc</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9.6.</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Books and Records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10.</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NEGATIVE COVENANTS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10.1.</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Transactions with Affiliates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10.2.</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Merger, Consolidation, Etc</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10.3.</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Line of Business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10.4.</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Economic Sanctions, Etc.</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11.</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PAYMENTS ON BONDS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11.1.</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 by Wire Transfer</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12.</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REGISTRATION; EXCHANGE; EXPENSES, ETC</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12.1.</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Registration of Bonds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12.2.</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Transaction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12.3.</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Survival</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12.4.</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Tax Withholding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4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13.</w:t>
            </w:r>
          </w:p>
        </w:tc>
        <w:tc>
          <w:tcPr>
            <w:tcW w:w="1140" w:type="dxa"/>
            <w:vAlign w:val="bottom"/>
          </w:tcPr>
          <w:p>
            <w:pPr>
              <w:spacing w:after="0"/>
              <w:rPr>
                <w:sz w:val="21"/>
                <w:szCs w:val="21"/>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SURVIVAL OF REPRESENTATIONS AND WARRANTIES; ENTIRE AGREEMENT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14.</w:t>
            </w:r>
          </w:p>
        </w:tc>
        <w:tc>
          <w:tcPr>
            <w:tcW w:w="114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AMENDMENT AND WAIVER</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14.1.</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Requirements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14.2.</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Solicitation of Holders of Bonds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14.3.</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Binding Effect, Etc</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14.4.</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Bonds Held by Company, Etc</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15.</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NOTICES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16.</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INDEMNIFICATION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17.</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REPRODUCTION OF DOCUMENTS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18.</w:t>
            </w:r>
          </w:p>
        </w:tc>
        <w:tc>
          <w:tcPr>
            <w:tcW w:w="114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CONFIDENTIAL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3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SECTION 19.</w:t>
            </w:r>
          </w:p>
        </w:tc>
        <w:tc>
          <w:tcPr>
            <w:tcW w:w="1140" w:type="dxa"/>
            <w:vAlign w:val="bottom"/>
          </w:tcPr>
          <w:p>
            <w:pPr>
              <w:spacing w:after="0"/>
              <w:rPr>
                <w:sz w:val="20"/>
                <w:szCs w:val="20"/>
                <w:color w:val="auto"/>
              </w:rPr>
            </w:pPr>
          </w:p>
        </w:tc>
        <w:tc>
          <w:tcPr>
            <w:tcW w:w="55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MISCELLANEOUS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19.1.</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Successors and Assigns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19.2.</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Accounting Terms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31"/>
        </w:trPr>
        <w:tc>
          <w:tcPr>
            <w:tcW w:w="114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19.3.</w:t>
            </w:r>
          </w:p>
        </w:tc>
        <w:tc>
          <w:tcPr>
            <w:tcW w:w="5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Severability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79" w:right="1440" w:bottom="1440" w:gutter="0" w:footer="0" w:header="0"/>
        </w:sectPr>
      </w:pPr>
    </w:p>
    <w:bookmarkStart w:id="301" w:name="page302"/>
    <w:bookmarkEnd w:id="301"/>
    <w:tbl>
      <w:tblPr>
        <w:tblLayout w:type="fixed"/>
        <w:tblInd w:w="1100" w:type="dxa"/>
        <w:tblCellMar>
          <w:top w:w="0" w:type="dxa"/>
          <w:left w:w="0" w:type="dxa"/>
          <w:bottom w:w="0" w:type="dxa"/>
          <w:right w:w="0" w:type="dxa"/>
        </w:tblCellMar>
      </w:tblPr>
      <w:tr>
        <w:trPr>
          <w:trHeight w:val="199"/>
        </w:trPr>
        <w:tc>
          <w:tcPr>
            <w:tcW w:w="1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19.4.</w:t>
            </w:r>
          </w:p>
        </w:tc>
        <w:tc>
          <w:tcPr>
            <w:tcW w:w="4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Construction,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31"/>
        </w:trPr>
        <w:tc>
          <w:tcPr>
            <w:tcW w:w="12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19.5.</w:t>
            </w:r>
          </w:p>
        </w:tc>
        <w:tc>
          <w:tcPr>
            <w:tcW w:w="4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Counterparts</w:t>
            </w: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31"/>
        </w:trPr>
        <w:tc>
          <w:tcPr>
            <w:tcW w:w="12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19.6.</w:t>
            </w:r>
          </w:p>
        </w:tc>
        <w:tc>
          <w:tcPr>
            <w:tcW w:w="4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Governing Law</w:t>
            </w: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31"/>
        </w:trPr>
        <w:tc>
          <w:tcPr>
            <w:tcW w:w="12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19.7.</w:t>
            </w:r>
          </w:p>
        </w:tc>
        <w:tc>
          <w:tcPr>
            <w:tcW w:w="4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Jurisdiction and Process; Waiver of Jury Trial</w:t>
            </w: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31"/>
        </w:trPr>
        <w:tc>
          <w:tcPr>
            <w:tcW w:w="12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Section 19.8.</w:t>
            </w:r>
          </w:p>
        </w:tc>
        <w:tc>
          <w:tcPr>
            <w:tcW w:w="4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Payments Due on Non-Business Days</w:t>
            </w: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bl>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79" w:right="1440"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Schedule A</w:t>
            </w:r>
          </w:p>
        </w:tc>
        <w:tc>
          <w:tcPr>
            <w:tcW w:w="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Information Relating to Purchasers</w:t>
            </w:r>
          </w:p>
        </w:tc>
      </w:t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Schedule B</w:t>
            </w:r>
          </w:p>
        </w:tc>
        <w:tc>
          <w:tcPr>
            <w:tcW w:w="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Defined Terms</w:t>
            </w:r>
          </w:p>
        </w:tc>
      </w:t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Schedule 5.4</w:t>
            </w:r>
          </w:p>
        </w:tc>
        <w:tc>
          <w:tcPr>
            <w:tcW w:w="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Subsidiaries of the Company and Ownership of Subsidiary Stock</w:t>
            </w:r>
          </w:p>
        </w:tc>
      </w:t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Schedule 5.5</w:t>
            </w:r>
          </w:p>
        </w:tc>
        <w:tc>
          <w:tcPr>
            <w:tcW w:w="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Financial Statements</w:t>
            </w:r>
          </w:p>
        </w:tc>
      </w:t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Schedule 5.15(a)</w:t>
            </w:r>
          </w:p>
        </w:tc>
        <w:tc>
          <w:tcPr>
            <w:tcW w:w="7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Existing Debt</w:t>
            </w:r>
          </w:p>
        </w:tc>
      </w:t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Schedule 5.15(b)</w:t>
            </w:r>
          </w:p>
        </w:tc>
        <w:tc>
          <w:tcPr>
            <w:tcW w:w="7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Debt Instruments</w:t>
            </w:r>
          </w:p>
        </w:tc>
      </w:t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Exhibit A</w:t>
            </w:r>
          </w:p>
        </w:tc>
        <w:tc>
          <w:tcPr>
            <w:tcW w:w="7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Form of Sixty-Third Supplemental Indenture</w:t>
            </w:r>
          </w:p>
        </w:tc>
      </w:t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Exhibit 4.4(a)</w:t>
            </w: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Form of Opinion of Counsel for the Company</w:t>
            </w:r>
          </w:p>
        </w:tc>
      </w:t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Exhibit 4.4(b)</w:t>
            </w: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Form of Opinion of Special Counsel for the Company</w:t>
            </w:r>
          </w:p>
        </w:tc>
      </w:tr>
      <w:tr>
        <w:trPr>
          <w:trHeight w:val="18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Exhibit 4.4(c)</w:t>
            </w: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Form of Opinion of Special Counsel for the Purchasers</w:t>
            </w: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Exhibit 12.4</w:t>
            </w:r>
          </w:p>
        </w:tc>
        <w:tc>
          <w:tcPr>
            <w:tcW w:w="72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Form of 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56" w:right="1440"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762 West Lancaster Avenue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Bryn Mawr, Pennsylvania 19010-3489</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w:t>
      </w:r>
    </w:p>
    <w:p>
      <w:pPr>
        <w:spacing w:after="0" w:line="278" w:lineRule="exact"/>
        <w:rPr>
          <w:sz w:val="20"/>
          <w:szCs w:val="20"/>
          <w:color w:val="auto"/>
        </w:rPr>
      </w:pPr>
    </w:p>
    <w:p>
      <w:pPr>
        <w:ind w:left="2000" w:right="2000"/>
        <w:spacing w:after="0" w:line="280" w:lineRule="auto"/>
        <w:rPr>
          <w:sz w:val="20"/>
          <w:szCs w:val="20"/>
          <w:color w:val="auto"/>
        </w:rPr>
      </w:pPr>
      <w:r>
        <w:rPr>
          <w:rFonts w:ascii="Times New Roman" w:cs="Times New Roman" w:eastAsia="Times New Roman" w:hAnsi="Times New Roman"/>
          <w:sz w:val="18"/>
          <w:szCs w:val="18"/>
          <w:color w:val="auto"/>
        </w:rPr>
        <w:t>$75,000,000 First Mortgage Bonds, 5.38% Series due May 31, 2035 $25,000,000 First Mortgage Bonds, 5.63% Series due May 31, 2040</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As of May 29,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Each of the Purchasers Listed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Hereto:</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 xml:space="preserve">Aqua Pennsylvania, Inc., a corporation organized under the laws of the Commonwealth of Pennsylvania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agrees with each of the purchasers whose names appear at the end hereof (each, a</w:t>
      </w:r>
      <w:r>
        <w:rPr>
          <w:rFonts w:ascii="Times New Roman" w:cs="Times New Roman" w:eastAsia="Times New Roman" w:hAnsi="Times New Roman"/>
          <w:sz w:val="18"/>
          <w:szCs w:val="18"/>
          <w:i w:val="1"/>
          <w:iCs w:val="1"/>
          <w:color w:val="auto"/>
        </w:rPr>
        <w:t xml:space="preserve"> “Purchaser”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collectively, the </w:t>
      </w:r>
      <w:r>
        <w:rPr>
          <w:rFonts w:ascii="Times New Roman" w:cs="Times New Roman" w:eastAsia="Times New Roman" w:hAnsi="Times New Roman"/>
          <w:sz w:val="18"/>
          <w:szCs w:val="18"/>
          <w:i w:val="1"/>
          <w:iCs w:val="1"/>
          <w:color w:val="auto"/>
        </w:rPr>
        <w:t>“Purchasers”</w:t>
      </w:r>
      <w:r>
        <w:rPr>
          <w:rFonts w:ascii="Times New Roman" w:cs="Times New Roman" w:eastAsia="Times New Roman" w:hAnsi="Times New Roman"/>
          <w:sz w:val="18"/>
          <w:szCs w:val="18"/>
          <w:color w:val="auto"/>
        </w:rPr>
        <w:t>) as follows:</w:t>
      </w:r>
    </w:p>
    <w:p>
      <w:pPr>
        <w:spacing w:after="0" w:line="19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color w:val="auto"/>
        </w:rPr>
        <w:t>AUTHORIZATION OF BONDS</w:t>
      </w:r>
    </w:p>
    <w:p>
      <w:pPr>
        <w:spacing w:after="0" w:line="220"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 xml:space="preserve">The Company will authorize the issue and sale of (i) First Mortgage Bonds, 5.38% Series due May 31, 2035 (herein referred to as the </w:t>
      </w:r>
      <w:r>
        <w:rPr>
          <w:rFonts w:ascii="Times New Roman" w:cs="Times New Roman" w:eastAsia="Times New Roman" w:hAnsi="Times New Roman"/>
          <w:sz w:val="18"/>
          <w:szCs w:val="18"/>
          <w:i w:val="1"/>
          <w:iCs w:val="1"/>
          <w:color w:val="auto"/>
        </w:rPr>
        <w:t>“5.38% Series due May 31, 2035 Bonds”</w:t>
      </w:r>
      <w:r>
        <w:rPr>
          <w:rFonts w:ascii="Times New Roman" w:cs="Times New Roman" w:eastAsia="Times New Roman" w:hAnsi="Times New Roman"/>
          <w:sz w:val="18"/>
          <w:szCs w:val="18"/>
          <w:color w:val="auto"/>
        </w:rPr>
        <w:t xml:space="preserve">) in an aggregate principal amount of $75,000,000, to bear interest at the rate of 5.38% per annum, and to mature on May 31, 2035 and (ii) First Mortgage Bonds, 5.63% Series due May 31, 2040 (herein referred to as the </w:t>
      </w:r>
      <w:r>
        <w:rPr>
          <w:rFonts w:ascii="Times New Roman" w:cs="Times New Roman" w:eastAsia="Times New Roman" w:hAnsi="Times New Roman"/>
          <w:sz w:val="18"/>
          <w:szCs w:val="18"/>
          <w:i w:val="1"/>
          <w:iCs w:val="1"/>
          <w:color w:val="auto"/>
        </w:rPr>
        <w:t>“5.63% Series due May 31, 2040 Bonds”</w:t>
      </w:r>
      <w:r>
        <w:rPr>
          <w:rFonts w:ascii="Times New Roman" w:cs="Times New Roman" w:eastAsia="Times New Roman" w:hAnsi="Times New Roman"/>
          <w:sz w:val="18"/>
          <w:szCs w:val="18"/>
          <w:color w:val="auto"/>
        </w:rPr>
        <w:t xml:space="preserve">) in an aggregate principal amount of $25,000,000, to bear interest at the rate of 5.63% per annum, and to mature on May 31, 2040 (the 5.63% Series due May 31, 2040 Bonds and the 5.38% Series due May 31, 2035 Bonds are collectively referred to as the </w:t>
      </w:r>
      <w:r>
        <w:rPr>
          <w:rFonts w:ascii="Times New Roman" w:cs="Times New Roman" w:eastAsia="Times New Roman" w:hAnsi="Times New Roman"/>
          <w:sz w:val="18"/>
          <w:szCs w:val="18"/>
          <w:i w:val="1"/>
          <w:iCs w:val="1"/>
          <w:color w:val="auto"/>
        </w:rPr>
        <w:t>“Bonds”</w:t>
      </w:r>
      <w:r>
        <w:rPr>
          <w:rFonts w:ascii="Times New Roman" w:cs="Times New Roman" w:eastAsia="Times New Roman" w:hAnsi="Times New Roman"/>
          <w:sz w:val="18"/>
          <w:szCs w:val="18"/>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“Original Indenture”</w:t>
      </w:r>
      <w:r>
        <w:rPr>
          <w:rFonts w:ascii="Times New Roman" w:cs="Times New Roman" w:eastAsia="Times New Roman" w:hAnsi="Times New Roman"/>
          <w:sz w:val="18"/>
          <w:szCs w:val="18"/>
          <w:color w:val="auto"/>
        </w:rPr>
        <w:t>), as previously amended and supplemented by sixty-two supplemental indentures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as further supplemented by the Sixty-Third Supplemental Indenture dated as of May 1, 2025 (such Sixty-Third Supplemental Indenture being referred to herein as the </w:t>
      </w:r>
      <w:r>
        <w:rPr>
          <w:rFonts w:ascii="Times New Roman" w:cs="Times New Roman" w:eastAsia="Times New Roman" w:hAnsi="Times New Roman"/>
          <w:sz w:val="18"/>
          <w:szCs w:val="18"/>
          <w:i w:val="1"/>
          <w:iCs w:val="1"/>
          <w:color w:val="auto"/>
        </w:rPr>
        <w:t>“Supplement”</w:t>
      </w:r>
      <w:r>
        <w:rPr>
          <w:rFonts w:ascii="Times New Roman" w:cs="Times New Roman" w:eastAsia="Times New Roman" w:hAnsi="Times New Roman"/>
          <w:sz w:val="18"/>
          <w:szCs w:val="18"/>
          <w:color w:val="auto"/>
        </w:rPr>
        <w:t xml:space="preserve">) which will be substantially in the form attached hereto as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with such changes therein, if any, as shall be approved by the Purchasers and the Company. The Original Indenture, as supplemented and amended by the aforementioned sixty-two supplemental indentures and the Supplement, and as further supplemented or amended according to its terms, is hereinafter referred to as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xml:space="preserve"> Certain capitalized and other terms used in this Agreement are defined in </w:t>
      </w:r>
      <w:r>
        <w:rPr>
          <w:rFonts w:ascii="Times New Roman" w:cs="Times New Roman" w:eastAsia="Times New Roman" w:hAnsi="Times New Roman"/>
          <w:sz w:val="18"/>
          <w:szCs w:val="18"/>
          <w:i w:val="1"/>
          <w:iCs w:val="1"/>
          <w:color w:val="auto"/>
        </w:rPr>
        <w:t>Schedule B</w:t>
      </w:r>
      <w:r>
        <w:rPr>
          <w:rFonts w:ascii="Times New Roman" w:cs="Times New Roman" w:eastAsia="Times New Roman" w:hAnsi="Times New Roman"/>
          <w:sz w:val="18"/>
          <w:szCs w:val="18"/>
          <w:color w:val="auto"/>
        </w:rPr>
        <w:t xml:space="preserve">; and references to a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or an </w:t>
      </w:r>
      <w:r>
        <w:rPr>
          <w:rFonts w:ascii="Times New Roman" w:cs="Times New Roman" w:eastAsia="Times New Roman" w:hAnsi="Times New Roman"/>
          <w:sz w:val="18"/>
          <w:szCs w:val="18"/>
          <w:i w:val="1"/>
          <w:iCs w:val="1"/>
          <w:color w:val="auto"/>
        </w:rPr>
        <w:t>“Exhibit”</w:t>
      </w:r>
      <w:r>
        <w:rPr>
          <w:rFonts w:ascii="Times New Roman" w:cs="Times New Roman" w:eastAsia="Times New Roman" w:hAnsi="Times New Roman"/>
          <w:sz w:val="18"/>
          <w:szCs w:val="18"/>
          <w:color w:val="auto"/>
        </w:rPr>
        <w:t xml:space="preserve"> are, unless otherwise specified, to a Schedule or an Exhibit attached to this Agreement. Terms used herein but not defined herein shall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306070</wp:posOffset>
            </wp:positionV>
            <wp:extent cx="5783580" cy="476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304" w:name="page305"/>
    <w:bookmarkEnd w:id="304"/>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4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color w:val="auto"/>
        </w:rPr>
        <w:t>SALE AND PURCHASE OF BONDS</w:t>
      </w:r>
    </w:p>
    <w:p>
      <w:pPr>
        <w:spacing w:after="0" w:line="220" w:lineRule="exact"/>
        <w:rPr>
          <w:sz w:val="20"/>
          <w:szCs w:val="20"/>
          <w:color w:val="auto"/>
        </w:rPr>
      </w:pPr>
    </w:p>
    <w:p>
      <w:pPr>
        <w:jc w:val="both"/>
        <w:ind w:firstLine="554"/>
        <w:spacing w:after="0" w:line="222" w:lineRule="exact"/>
        <w:rPr>
          <w:sz w:val="20"/>
          <w:szCs w:val="20"/>
          <w:color w:val="auto"/>
        </w:rPr>
      </w:pPr>
      <w:r>
        <w:rPr>
          <w:rFonts w:ascii="Times New Roman" w:cs="Times New Roman" w:eastAsia="Times New Roman" w:hAnsi="Times New Roman"/>
          <w:sz w:val="18"/>
          <w:szCs w:val="18"/>
          <w:color w:val="auto"/>
        </w:rPr>
        <w:t xml:space="preserve">Subject to the terms and conditions of this Agreement, the Company will issue and sell to each Purchaser and each Purchaser will purchase from the Company, at the Closing provided for in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Bonds in the principal amount opposite such Purchaser’s name in </w:t>
      </w:r>
      <w:r>
        <w:rPr>
          <w:rFonts w:ascii="Times New Roman" w:cs="Times New Roman" w:eastAsia="Times New Roman" w:hAnsi="Times New Roman"/>
          <w:sz w:val="18"/>
          <w:szCs w:val="18"/>
          <w:i w:val="1"/>
          <w:iCs w:val="1"/>
          <w:color w:val="auto"/>
        </w:rPr>
        <w:t>Schedule A</w:t>
      </w:r>
      <w:r>
        <w:rPr>
          <w:rFonts w:ascii="Times New Roman" w:cs="Times New Roman" w:eastAsia="Times New Roman" w:hAnsi="Times New Roman"/>
          <w:sz w:val="18"/>
          <w:szCs w:val="18"/>
          <w:color w:val="auto"/>
        </w:rPr>
        <w:t xml:space="preserv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of any obligation by any other Purchaser hereunder.</w:t>
      </w:r>
    </w:p>
    <w:p>
      <w:pPr>
        <w:spacing w:after="0" w:line="18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color w:val="auto"/>
        </w:rPr>
        <w:t>CLOSING</w:t>
      </w:r>
    </w:p>
    <w:p>
      <w:pPr>
        <w:spacing w:after="0" w:line="209" w:lineRule="exact"/>
        <w:rPr>
          <w:sz w:val="20"/>
          <w:szCs w:val="20"/>
          <w:color w:val="auto"/>
        </w:rPr>
      </w:pPr>
    </w:p>
    <w:p>
      <w:pPr>
        <w:jc w:val="both"/>
        <w:ind w:firstLine="554"/>
        <w:spacing w:after="0" w:line="211" w:lineRule="exact"/>
        <w:rPr>
          <w:sz w:val="20"/>
          <w:szCs w:val="20"/>
          <w:color w:val="auto"/>
        </w:rPr>
      </w:pPr>
      <w:r>
        <w:rPr>
          <w:rFonts w:ascii="Times New Roman" w:cs="Times New Roman" w:eastAsia="Times New Roman" w:hAnsi="Times New Roman"/>
          <w:sz w:val="18"/>
          <w:szCs w:val="18"/>
          <w:color w:val="auto"/>
        </w:rPr>
        <w:t xml:space="preserve">The execution and delivery of this Agreement and the sale and purchase of the Bonds to be purchased by each Purchaser shall occur at the offices of Chapman and Cutler LLP, 320 South Canal Street, Chicago, Illinois 60606, at 10:00 A.M., Chicago time, at a closing on May 29, 2025 or on such other Business Day thereafter on or prior to May 30, 2025, as may be agreed upon by the Company and the Purchasers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At the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000053. If at the Closing the Company shall fail to tender such Bonds to any Purchaser as provided above in this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or any of the conditions specified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not having been fulfilled to such Purchaser’s satisfaction.</w:t>
      </w:r>
    </w:p>
    <w:p>
      <w:pPr>
        <w:spacing w:after="0" w:line="22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color w:val="auto"/>
        </w:rPr>
        <w:t>CONDITIONS TO CLOSING</w:t>
      </w:r>
    </w:p>
    <w:p>
      <w:pPr>
        <w:spacing w:after="0" w:line="20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Each Purchaser’s obligation to execute and deliver this Agreement and to purchase and pay for the Bonds to be sold to such Purchaser at the Closing is subject to the fulfillment to such Purchaser’s satisfaction prior to or at the Closing of the following conditions:</w:t>
      </w:r>
    </w:p>
    <w:p>
      <w:pPr>
        <w:spacing w:after="0" w:line="167" w:lineRule="exact"/>
        <w:rPr>
          <w:sz w:val="20"/>
          <w:szCs w:val="20"/>
          <w:color w:val="auto"/>
        </w:rPr>
      </w:pPr>
    </w:p>
    <w:p>
      <w:pPr>
        <w:jc w:val="both"/>
        <w:ind w:firstLine="566"/>
        <w:spacing w:after="0" w:line="284" w:lineRule="auto"/>
        <w:rPr>
          <w:sz w:val="20"/>
          <w:szCs w:val="20"/>
          <w:color w:val="auto"/>
        </w:rPr>
      </w:pPr>
      <w:r>
        <w:rPr>
          <w:rFonts w:ascii="Times New Roman" w:cs="Times New Roman" w:eastAsia="Times New Roman" w:hAnsi="Times New Roman"/>
          <w:sz w:val="18"/>
          <w:szCs w:val="18"/>
          <w:i w:val="1"/>
          <w:iCs w:val="1"/>
          <w:color w:val="auto"/>
        </w:rPr>
        <w:t>Section 4.1. Representations and Warranties</w:t>
      </w:r>
      <w:r>
        <w:rPr>
          <w:rFonts w:ascii="Times New Roman" w:cs="Times New Roman" w:eastAsia="Times New Roman" w:hAnsi="Times New Roman"/>
          <w:sz w:val="18"/>
          <w:szCs w:val="18"/>
          <w:color w:val="auto"/>
        </w:rPr>
        <w:t>. The representations and warranties of the Company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shall be correct when made and at the time of the Closing.</w:t>
      </w:r>
    </w:p>
    <w:p>
      <w:pPr>
        <w:spacing w:after="0" w:line="145" w:lineRule="exact"/>
        <w:rPr>
          <w:sz w:val="20"/>
          <w:szCs w:val="20"/>
          <w:color w:val="auto"/>
        </w:rPr>
      </w:pPr>
    </w:p>
    <w:p>
      <w:pPr>
        <w:jc w:val="both"/>
        <w:ind w:firstLine="56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4.2. Performance; No Default </w:t>
      </w:r>
      <w:r>
        <w:rPr>
          <w:rFonts w:ascii="Times New Roman" w:cs="Times New Roman" w:eastAsia="Times New Roman" w:hAnsi="Times New Roman"/>
          <w:sz w:val="18"/>
          <w:szCs w:val="18"/>
          <w:color w:val="auto"/>
        </w:rPr>
        <w:t>The Company shall have performed and complied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agreements and conditions contained in each Financing Agreement required to be performed or complied with by the Company prior to or at the Closing, and after giving effect to the issue and sale of the Bonds (and the application of the proceeds thereof as contemplated by </w:t>
      </w:r>
      <w:r>
        <w:rPr>
          <w:rFonts w:ascii="Times New Roman" w:cs="Times New Roman" w:eastAsia="Times New Roman" w:hAnsi="Times New Roman"/>
          <w:sz w:val="18"/>
          <w:szCs w:val="18"/>
          <w:b w:val="1"/>
          <w:bCs w:val="1"/>
          <w:color w:val="auto"/>
        </w:rPr>
        <w:t>Section 5.14</w:t>
      </w:r>
      <w:r>
        <w:rPr>
          <w:rFonts w:ascii="Times New Roman" w:cs="Times New Roman" w:eastAsia="Times New Roman" w:hAnsi="Times New Roman"/>
          <w:sz w:val="18"/>
          <w:szCs w:val="18"/>
          <w:color w:val="auto"/>
        </w:rPr>
        <w:t>), no Default or Event of Default shall have occurred and be continuing.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Bond Purchase Agreement</w:t>
      </w:r>
    </w:p>
    <w:p>
      <w:pPr>
        <w:spacing w:after="0" w:line="200" w:lineRule="exact"/>
        <w:rPr>
          <w:sz w:val="20"/>
          <w:szCs w:val="20"/>
          <w:color w:val="auto"/>
        </w:rPr>
      </w:pPr>
    </w:p>
    <w:p>
      <w:pPr>
        <w:sectPr>
          <w:pgSz w:w="11900" w:h="16838" w:orient="portrait"/>
          <w:cols w:equalWidth="0" w:num="2">
            <w:col w:w="5240" w:space="720"/>
            <w:col w:w="3080"/>
          </w:cols>
          <w:pgMar w:left="1420" w:top="115" w:right="1439" w:bottom="1440" w:gutter="0" w:footer="0" w:header="0"/>
        </w:sectPr>
      </w:pPr>
    </w:p>
    <w:p>
      <w:pPr>
        <w:spacing w:after="0" w:line="17" w:lineRule="exact"/>
        <w:rPr>
          <w:sz w:val="20"/>
          <w:szCs w:val="20"/>
          <w:color w:val="auto"/>
        </w:rPr>
      </w:pPr>
    </w:p>
    <w:p>
      <w:pPr>
        <w:ind w:left="560"/>
        <w:spacing w:after="0"/>
        <w:tabs>
          <w:tab w:leader="none" w:pos="2020" w:val="left"/>
          <w:tab w:leader="none" w:pos="4260" w:val="left"/>
        </w:tabs>
        <w:rPr>
          <w:sz w:val="20"/>
          <w:szCs w:val="20"/>
          <w:color w:val="auto"/>
        </w:rPr>
      </w:pPr>
      <w:r>
        <w:rPr>
          <w:rFonts w:ascii="Times New Roman" w:cs="Times New Roman" w:eastAsia="Times New Roman" w:hAnsi="Times New Roman"/>
          <w:sz w:val="18"/>
          <w:szCs w:val="18"/>
          <w:i w:val="1"/>
          <w:iCs w:val="1"/>
          <w:color w:val="auto"/>
        </w:rPr>
        <w:t>Section 4.3.</w:t>
      </w:r>
      <w:r>
        <w:rPr>
          <w:sz w:val="20"/>
          <w:szCs w:val="20"/>
          <w:color w:val="auto"/>
        </w:rPr>
        <w:tab/>
      </w:r>
      <w:r>
        <w:rPr>
          <w:rFonts w:ascii="Times New Roman" w:cs="Times New Roman" w:eastAsia="Times New Roman" w:hAnsi="Times New Roman"/>
          <w:sz w:val="18"/>
          <w:szCs w:val="18"/>
          <w:i w:val="1"/>
          <w:iCs w:val="1"/>
          <w:color w:val="auto"/>
        </w:rPr>
        <w:t>Compliance Certificates</w:t>
      </w:r>
      <w:r>
        <w:rPr>
          <w:sz w:val="20"/>
          <w:szCs w:val="20"/>
          <w:color w:val="auto"/>
        </w:rPr>
        <w:tab/>
      </w:r>
      <w:r>
        <w:rPr>
          <w:rFonts w:ascii="Times New Roman" w:cs="Times New Roman" w:eastAsia="Times New Roman" w:hAnsi="Times New Roman"/>
          <w:sz w:val="18"/>
          <w:szCs w:val="18"/>
          <w:color w:val="auto"/>
        </w:rPr>
        <w:t>The Company shall have performed and complied with all</w:t>
      </w:r>
    </w:p>
    <w:p>
      <w:pPr>
        <w:sectPr>
          <w:pgSz w:w="11900" w:h="16838" w:orient="portrait"/>
          <w:cols w:equalWidth="0" w:num="1">
            <w:col w:w="9040"/>
          </w:cols>
          <w:pgMar w:left="1420" w:top="115" w:right="1439" w:bottom="1440" w:gutter="0" w:footer="0" w:header="0"/>
          <w:type w:val="continuous"/>
        </w:sectPr>
      </w:pPr>
    </w:p>
    <w:p>
      <w:pPr>
        <w:spacing w:after="0" w:line="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agreements and conditions contained in the Indenture which are required to be performed or complied with by the Company for the issuance of the Bonds at the Closing. In addition, the Company shall have delivered the following certificates:</w:t>
      </w:r>
    </w:p>
    <w:p>
      <w:pPr>
        <w:spacing w:after="0" w:line="389" w:lineRule="exact"/>
        <w:rPr>
          <w:sz w:val="20"/>
          <w:szCs w:val="20"/>
          <w:color w:val="auto"/>
        </w:rPr>
      </w:pPr>
    </w:p>
    <w:p>
      <w:pPr>
        <w:jc w:val="both"/>
        <w:ind w:firstLine="1876"/>
        <w:spacing w:after="0" w:line="255" w:lineRule="auto"/>
        <w:tabs>
          <w:tab w:leader="none" w:pos="263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Company shall have delivered to such Purchaser (i)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Officer’s Certificate, dated the date of the Closing, certifying that the conditions specified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of this Agreement have been fulfilled, and (ii) copies of all certificates and opinions required to be delivered to the Trustee under the Indenture in connection with the issuance of the Bonds, in each case, dated the date of the Closing.</w:t>
      </w:r>
    </w:p>
    <w:p>
      <w:pPr>
        <w:spacing w:after="0" w:line="171" w:lineRule="exact"/>
        <w:rPr>
          <w:rFonts w:ascii="Times New Roman" w:cs="Times New Roman" w:eastAsia="Times New Roman" w:hAnsi="Times New Roman"/>
          <w:sz w:val="18"/>
          <w:szCs w:val="18"/>
          <w:color w:val="auto"/>
        </w:rPr>
      </w:pPr>
    </w:p>
    <w:p>
      <w:pPr>
        <w:jc w:val="both"/>
        <w:ind w:firstLine="1876"/>
        <w:spacing w:after="0" w:line="255" w:lineRule="auto"/>
        <w:tabs>
          <w:tab w:leader="none" w:pos="264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Secretary’s Certificate. </w:t>
      </w:r>
      <w:r>
        <w:rPr>
          <w:rFonts w:ascii="Times New Roman" w:cs="Times New Roman" w:eastAsia="Times New Roman" w:hAnsi="Times New Roman"/>
          <w:sz w:val="18"/>
          <w:szCs w:val="18"/>
          <w:color w:val="auto"/>
        </w:rPr>
        <w:t>The Company shall have delivered to such Purchaser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its Secretary or Assistant Secretary, dated the date of the Closing, certifying as to the resolutions attached thereto and other corporate proceedings relating to the authorization, execution and delivery of this Agreement, the Bonds, under the Indenture, and the Supplement.</w:t>
      </w:r>
    </w:p>
    <w:p>
      <w:pPr>
        <w:spacing w:after="0" w:line="171" w:lineRule="exact"/>
        <w:rPr>
          <w:rFonts w:ascii="Times New Roman" w:cs="Times New Roman" w:eastAsia="Times New Roman" w:hAnsi="Times New Roman"/>
          <w:sz w:val="18"/>
          <w:szCs w:val="18"/>
          <w:color w:val="auto"/>
        </w:rPr>
      </w:pPr>
    </w:p>
    <w:p>
      <w:pPr>
        <w:jc w:val="both"/>
        <w:ind w:firstLine="1876"/>
        <w:spacing w:after="0" w:line="262" w:lineRule="auto"/>
        <w:tabs>
          <w:tab w:leader="none" w:pos="263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Certification of Indenture. </w:t>
      </w:r>
      <w:r>
        <w:rPr>
          <w:rFonts w:ascii="Times New Roman" w:cs="Times New Roman" w:eastAsia="Times New Roman" w:hAnsi="Times New Roman"/>
          <w:sz w:val="18"/>
          <w:szCs w:val="18"/>
          <w:color w:val="auto"/>
        </w:rPr>
        <w:t>Such Purchaser shall have received a composite copy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Indenture (together with all amendments and supplements thereto), certified by the Company as of the date of the Closing, exclusive of property exhibits, recording information and the like.</w:t>
      </w:r>
    </w:p>
    <w:p>
      <w:pPr>
        <w:spacing w:after="0" w:line="165" w:lineRule="exact"/>
        <w:rPr>
          <w:sz w:val="20"/>
          <w:szCs w:val="20"/>
          <w:color w:val="auto"/>
        </w:rPr>
      </w:pPr>
    </w:p>
    <w:p>
      <w:pPr>
        <w:jc w:val="both"/>
        <w:ind w:firstLine="566"/>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Section 4.4. Opinions of Counsel </w:t>
      </w:r>
      <w:r>
        <w:rPr>
          <w:rFonts w:ascii="Times New Roman" w:cs="Times New Roman" w:eastAsia="Times New Roman" w:hAnsi="Times New Roman"/>
          <w:sz w:val="18"/>
          <w:szCs w:val="18"/>
          <w:color w:val="auto"/>
        </w:rPr>
        <w:t>Such Purchaser shall have received opinions in form and substance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satisfactory to such Purchaser, dated the date of the Closing (a) from Christopher P. Luning, counsel for the Company, covering the matters set forth in </w:t>
      </w:r>
      <w:r>
        <w:rPr>
          <w:rFonts w:ascii="Times New Roman" w:cs="Times New Roman" w:eastAsia="Times New Roman" w:hAnsi="Times New Roman"/>
          <w:sz w:val="18"/>
          <w:szCs w:val="18"/>
          <w:i w:val="1"/>
          <w:iCs w:val="1"/>
          <w:color w:val="auto"/>
        </w:rPr>
        <w:t>Exhibit 4.4(a)</w:t>
      </w:r>
      <w:r>
        <w:rPr>
          <w:rFonts w:ascii="Times New Roman" w:cs="Times New Roman" w:eastAsia="Times New Roman" w:hAnsi="Times New Roman"/>
          <w:sz w:val="18"/>
          <w:szCs w:val="18"/>
          <w:color w:val="auto"/>
        </w:rPr>
        <w:t xml:space="preserve"> and covering such other matters incident to the transactions contemplated hereby as such Purchaser or its counsel may reasonably request (and the Company hereby instructs its counsel to deliver such opinion to the Purchasers) and (b) from Dilworth Paxson LLP, special counsel to the Company, covering the matters set forth in </w:t>
      </w:r>
      <w:r>
        <w:rPr>
          <w:rFonts w:ascii="Times New Roman" w:cs="Times New Roman" w:eastAsia="Times New Roman" w:hAnsi="Times New Roman"/>
          <w:sz w:val="18"/>
          <w:szCs w:val="18"/>
          <w:i w:val="1"/>
          <w:iCs w:val="1"/>
          <w:color w:val="auto"/>
        </w:rPr>
        <w:t>Exhibit 4.4(b)</w:t>
      </w:r>
      <w:r>
        <w:rPr>
          <w:rFonts w:ascii="Times New Roman" w:cs="Times New Roman" w:eastAsia="Times New Roman" w:hAnsi="Times New Roman"/>
          <w:sz w:val="18"/>
          <w:szCs w:val="18"/>
          <w:color w:val="auto"/>
        </w:rPr>
        <w:t xml:space="preserve">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w:t>
      </w:r>
      <w:r>
        <w:rPr>
          <w:rFonts w:ascii="Times New Roman" w:cs="Times New Roman" w:eastAsia="Times New Roman" w:hAnsi="Times New Roman"/>
          <w:sz w:val="18"/>
          <w:szCs w:val="18"/>
          <w:i w:val="1"/>
          <w:iCs w:val="1"/>
          <w:color w:val="auto"/>
        </w:rPr>
        <w:t>Exhibit 4.4(c)</w:t>
      </w:r>
      <w:r>
        <w:rPr>
          <w:rFonts w:ascii="Times New Roman" w:cs="Times New Roman" w:eastAsia="Times New Roman" w:hAnsi="Times New Roman"/>
          <w:sz w:val="18"/>
          <w:szCs w:val="18"/>
          <w:color w:val="auto"/>
        </w:rPr>
        <w:t xml:space="preserve"> and covering such other matters incident to such transactions as such Purchaser may reasonably request. The Company hereby directs its counsel to deliver the opinions required by this </w:t>
      </w:r>
      <w:r>
        <w:rPr>
          <w:rFonts w:ascii="Times New Roman" w:cs="Times New Roman" w:eastAsia="Times New Roman" w:hAnsi="Times New Roman"/>
          <w:sz w:val="18"/>
          <w:szCs w:val="18"/>
          <w:b w:val="1"/>
          <w:bCs w:val="1"/>
          <w:color w:val="auto"/>
        </w:rPr>
        <w:t>Section 4.4</w:t>
      </w:r>
      <w:r>
        <w:rPr>
          <w:rFonts w:ascii="Times New Roman" w:cs="Times New Roman" w:eastAsia="Times New Roman" w:hAnsi="Times New Roman"/>
          <w:sz w:val="18"/>
          <w:szCs w:val="18"/>
          <w:color w:val="auto"/>
        </w:rPr>
        <w:t xml:space="preserve"> and understands and agrees that each Purchaser will and hereby is authorized to rely on such opinions.</w:t>
      </w:r>
    </w:p>
    <w:p>
      <w:pPr>
        <w:spacing w:after="0" w:line="390" w:lineRule="exact"/>
        <w:rPr>
          <w:sz w:val="20"/>
          <w:szCs w:val="20"/>
          <w:color w:val="auto"/>
        </w:rPr>
      </w:pPr>
    </w:p>
    <w:p>
      <w:pPr>
        <w:ind w:left="560"/>
        <w:spacing w:after="0"/>
        <w:tabs>
          <w:tab w:leader="none" w:pos="2000" w:val="left"/>
          <w:tab w:leader="none" w:pos="5600" w:val="left"/>
        </w:tabs>
        <w:rPr>
          <w:sz w:val="20"/>
          <w:szCs w:val="20"/>
          <w:color w:val="auto"/>
        </w:rPr>
      </w:pPr>
      <w:r>
        <w:rPr>
          <w:rFonts w:ascii="Times New Roman" w:cs="Times New Roman" w:eastAsia="Times New Roman" w:hAnsi="Times New Roman"/>
          <w:sz w:val="18"/>
          <w:szCs w:val="18"/>
          <w:i w:val="1"/>
          <w:iCs w:val="1"/>
          <w:color w:val="auto"/>
        </w:rPr>
        <w:t>Section 4.5.</w:t>
      </w:r>
      <w:r>
        <w:rPr>
          <w:sz w:val="20"/>
          <w:szCs w:val="20"/>
          <w:color w:val="auto"/>
        </w:rPr>
        <w:tab/>
      </w:r>
      <w:r>
        <w:rPr>
          <w:rFonts w:ascii="Times New Roman" w:cs="Times New Roman" w:eastAsia="Times New Roman" w:hAnsi="Times New Roman"/>
          <w:sz w:val="18"/>
          <w:szCs w:val="18"/>
          <w:i w:val="1"/>
          <w:iCs w:val="1"/>
          <w:color w:val="auto"/>
        </w:rPr>
        <w:t>Purchase Permitted by Applicable Law, Etc</w:t>
      </w:r>
      <w:r>
        <w:rPr>
          <w:sz w:val="20"/>
          <w:szCs w:val="20"/>
          <w:color w:val="auto"/>
        </w:rPr>
        <w:tab/>
      </w:r>
      <w:r>
        <w:rPr>
          <w:rFonts w:ascii="Times New Roman" w:cs="Times New Roman" w:eastAsia="Times New Roman" w:hAnsi="Times New Roman"/>
          <w:sz w:val="18"/>
          <w:szCs w:val="18"/>
          <w:color w:val="auto"/>
        </w:rPr>
        <w:t>On the date of the Closing such Purchaser’s</w:t>
      </w:r>
    </w:p>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the Closing. If requested by such Purchaser, such Purchaser shall have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306" w:name="page307"/>
    <w:bookmarkEnd w:id="306"/>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received an Officer’s Certificate certifying as to such matters of fact as such Purchaser may reasonably specify to enable such Purchaser to determine whether such purchase is so permitted.</w:t>
      </w:r>
    </w:p>
    <w:p>
      <w:pPr>
        <w:spacing w:after="0" w:line="148" w:lineRule="exact"/>
        <w:rPr>
          <w:sz w:val="20"/>
          <w:szCs w:val="20"/>
          <w:color w:val="auto"/>
        </w:rPr>
      </w:pPr>
    </w:p>
    <w:p>
      <w:pPr>
        <w:jc w:val="both"/>
        <w:ind w:firstLine="566"/>
        <w:spacing w:after="0" w:line="284" w:lineRule="auto"/>
        <w:rPr>
          <w:sz w:val="20"/>
          <w:szCs w:val="20"/>
          <w:color w:val="auto"/>
        </w:rPr>
      </w:pPr>
      <w:r>
        <w:rPr>
          <w:rFonts w:ascii="Times New Roman" w:cs="Times New Roman" w:eastAsia="Times New Roman" w:hAnsi="Times New Roman"/>
          <w:sz w:val="18"/>
          <w:szCs w:val="18"/>
          <w:i w:val="1"/>
          <w:iCs w:val="1"/>
          <w:color w:val="auto"/>
        </w:rPr>
        <w:t>Section 4.6. Sale of Bonds</w:t>
      </w:r>
      <w:r>
        <w:rPr>
          <w:rFonts w:ascii="Times New Roman" w:cs="Times New Roman" w:eastAsia="Times New Roman" w:hAnsi="Times New Roman"/>
          <w:sz w:val="18"/>
          <w:szCs w:val="18"/>
          <w:color w:val="auto"/>
        </w:rPr>
        <w:t>. Contemporaneously with the Closing, the Company shall sell to each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Purchaser shall purchase the Bonds to be purchased by it as specified in </w:t>
      </w:r>
      <w:r>
        <w:rPr>
          <w:rFonts w:ascii="Times New Roman" w:cs="Times New Roman" w:eastAsia="Times New Roman" w:hAnsi="Times New Roman"/>
          <w:sz w:val="18"/>
          <w:szCs w:val="18"/>
          <w:i w:val="1"/>
          <w:iCs w:val="1"/>
          <w:color w:val="auto"/>
        </w:rPr>
        <w:t>Schedule A</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566"/>
        <w:spacing w:after="0" w:line="255" w:lineRule="auto"/>
        <w:rPr>
          <w:sz w:val="20"/>
          <w:szCs w:val="20"/>
          <w:color w:val="auto"/>
        </w:rPr>
      </w:pPr>
      <w:r>
        <w:rPr>
          <w:rFonts w:ascii="Times New Roman" w:cs="Times New Roman" w:eastAsia="Times New Roman" w:hAnsi="Times New Roman"/>
          <w:sz w:val="18"/>
          <w:szCs w:val="18"/>
          <w:i w:val="1"/>
          <w:iCs w:val="1"/>
          <w:color w:val="auto"/>
        </w:rPr>
        <w:t>Section 4.7. Payment of Special Counsel Fees</w:t>
      </w:r>
      <w:r>
        <w:rPr>
          <w:rFonts w:ascii="Times New Roman" w:cs="Times New Roman" w:eastAsia="Times New Roman" w:hAnsi="Times New Roman"/>
          <w:sz w:val="18"/>
          <w:szCs w:val="18"/>
          <w:color w:val="auto"/>
        </w:rPr>
        <w:t>. Without limiting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12.2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have paid on or before the Closing the reasonable fees, reasonable charges and reasonable disbursements of the Purchasers’ special counsel referred to in </w:t>
      </w:r>
      <w:r>
        <w:rPr>
          <w:rFonts w:ascii="Times New Roman" w:cs="Times New Roman" w:eastAsia="Times New Roman" w:hAnsi="Times New Roman"/>
          <w:sz w:val="18"/>
          <w:szCs w:val="18"/>
          <w:b w:val="1"/>
          <w:bCs w:val="1"/>
          <w:color w:val="auto"/>
        </w:rPr>
        <w:t>Section 4.4(c)</w:t>
      </w:r>
      <w:r>
        <w:rPr>
          <w:rFonts w:ascii="Times New Roman" w:cs="Times New Roman" w:eastAsia="Times New Roman" w:hAnsi="Times New Roman"/>
          <w:sz w:val="18"/>
          <w:szCs w:val="18"/>
          <w:color w:val="auto"/>
        </w:rPr>
        <w:t xml:space="preserve"> to the extent reflected in a statement of such counsel rendered to the Company at least one Business Day prior to the Closing.</w:t>
      </w:r>
    </w:p>
    <w:p>
      <w:pPr>
        <w:spacing w:after="0" w:line="172" w:lineRule="exact"/>
        <w:rPr>
          <w:sz w:val="20"/>
          <w:szCs w:val="20"/>
          <w:color w:val="auto"/>
        </w:rPr>
      </w:pPr>
    </w:p>
    <w:p>
      <w:pPr>
        <w:jc w:val="both"/>
        <w:ind w:firstLine="566"/>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Section 4.8. Private Placement Number </w:t>
      </w:r>
      <w:r>
        <w:rPr>
          <w:rFonts w:ascii="Times New Roman" w:cs="Times New Roman" w:eastAsia="Times New Roman" w:hAnsi="Times New Roman"/>
          <w:sz w:val="18"/>
          <w:szCs w:val="18"/>
          <w:color w:val="auto"/>
        </w:rPr>
        <w:t>A Private Placement Number issued by the PPN CUSIP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CUSIP Global Services (in cooperation with the SVO) shall have been obtained for each series of the Bonds issued at the Closing.</w:t>
      </w:r>
    </w:p>
    <w:p>
      <w:pPr>
        <w:spacing w:after="0" w:line="378" w:lineRule="exact"/>
        <w:rPr>
          <w:sz w:val="20"/>
          <w:szCs w:val="20"/>
          <w:color w:val="auto"/>
        </w:rPr>
      </w:pPr>
    </w:p>
    <w:p>
      <w:pPr>
        <w:jc w:val="both"/>
        <w:ind w:firstLine="56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4.9. Changes in Corporate Structure </w:t>
      </w:r>
      <w:r>
        <w:rPr>
          <w:rFonts w:ascii="Times New Roman" w:cs="Times New Roman" w:eastAsia="Times New Roman" w:hAnsi="Times New Roman"/>
          <w:sz w:val="18"/>
          <w:szCs w:val="18"/>
          <w:color w:val="auto"/>
        </w:rPr>
        <w:t>The Company shall not have changed its jurisdiction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Times New Roman" w:cs="Times New Roman" w:eastAsia="Times New Roman" w:hAnsi="Times New Roman"/>
          <w:sz w:val="18"/>
          <w:szCs w:val="18"/>
          <w:i w:val="1"/>
          <w:iCs w:val="1"/>
          <w:color w:val="auto"/>
        </w:rPr>
        <w:t>Schedule 5.5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566"/>
        <w:spacing w:after="0" w:line="245" w:lineRule="auto"/>
        <w:rPr>
          <w:sz w:val="20"/>
          <w:szCs w:val="20"/>
          <w:color w:val="auto"/>
        </w:rPr>
      </w:pPr>
      <w:r>
        <w:rPr>
          <w:rFonts w:ascii="Times New Roman" w:cs="Times New Roman" w:eastAsia="Times New Roman" w:hAnsi="Times New Roman"/>
          <w:sz w:val="18"/>
          <w:szCs w:val="18"/>
          <w:i w:val="1"/>
          <w:iCs w:val="1"/>
          <w:color w:val="auto"/>
        </w:rPr>
        <w:t>Section 4.10. Funding Instructions</w:t>
      </w:r>
      <w:r>
        <w:rPr>
          <w:rFonts w:ascii="Times New Roman" w:cs="Times New Roman" w:eastAsia="Times New Roman" w:hAnsi="Times New Roman"/>
          <w:sz w:val="18"/>
          <w:szCs w:val="18"/>
          <w:color w:val="auto"/>
        </w:rPr>
        <w:t>. At least five (5) Business Days prior to the date the Closing,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shall have received written instructions signed by a Responsible Officer on letterhead of the Company confirming the information specified in Section 3 including (a) the name and address of the transferee bank, (b) such transferee bank’s ABA number/Swift Code/IBAN, and (c) the account name and number into which the purchase price for the Bonds is to be deposited, which account shall be fully opened and able to receive micro deposits in accordance with this Section at least five (5) Business Days prior to the date of the Closing. Each Purchaser has the right, but not the obligation, upon written notice (which may be by email) to the Company, to elect to deliver a micro deposit (less than $51.00) to the account identified in the written instructions no later than two (2) Business Days prior to the date of the Closing. If a Purchaser delivers a micro deposit, a Responsible Officer must verbally verify the receipt and amount of the micro deposit to such Purchaser on a telephone call initiated by such Purchaser prior to the date of the Closing. The Company shall not be obligated to return the amount of the micro deposit, nor will the amount of the micro deposit be netted against the Purchaser’s purchase price of the Bonds.</w:t>
      </w:r>
    </w:p>
    <w:p>
      <w:pPr>
        <w:spacing w:after="0" w:line="179" w:lineRule="exact"/>
        <w:rPr>
          <w:sz w:val="20"/>
          <w:szCs w:val="20"/>
          <w:color w:val="auto"/>
        </w:rPr>
      </w:pPr>
    </w:p>
    <w:p>
      <w:pPr>
        <w:jc w:val="both"/>
        <w:ind w:firstLine="566"/>
        <w:spacing w:after="0" w:line="252" w:lineRule="auto"/>
        <w:rPr>
          <w:sz w:val="20"/>
          <w:szCs w:val="20"/>
          <w:color w:val="auto"/>
        </w:rPr>
      </w:pPr>
      <w:r>
        <w:rPr>
          <w:rFonts w:ascii="Times New Roman" w:cs="Times New Roman" w:eastAsia="Times New Roman" w:hAnsi="Times New Roman"/>
          <w:sz w:val="18"/>
          <w:szCs w:val="18"/>
          <w:i w:val="1"/>
          <w:iCs w:val="1"/>
          <w:color w:val="auto"/>
        </w:rPr>
        <w:t>Section 4.11. Proceedings and Documents</w:t>
      </w:r>
      <w:r>
        <w:rPr>
          <w:rFonts w:ascii="Times New Roman" w:cs="Times New Roman" w:eastAsia="Times New Roman" w:hAnsi="Times New Roman"/>
          <w:sz w:val="18"/>
          <w:szCs w:val="18"/>
          <w:color w:val="auto"/>
        </w:rPr>
        <w:t>. All corporate and other proceedings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Bond Purchase Agreement</w:t>
      </w:r>
    </w:p>
    <w:p>
      <w:pPr>
        <w:spacing w:after="0" w:line="200" w:lineRule="exact"/>
        <w:rPr>
          <w:sz w:val="20"/>
          <w:szCs w:val="20"/>
          <w:color w:val="auto"/>
        </w:rPr>
      </w:pPr>
    </w:p>
    <w:p>
      <w:pPr>
        <w:sectPr>
          <w:pgSz w:w="11900" w:h="16838" w:orient="portrait"/>
          <w:cols w:equalWidth="0" w:num="2">
            <w:col w:w="5240" w:space="720"/>
            <w:col w:w="3080"/>
          </w:cols>
          <w:pgMar w:left="1420" w:top="115" w:right="1439" w:bottom="1440" w:gutter="0" w:footer="0" w:header="0"/>
        </w:sectPr>
      </w:pPr>
    </w:p>
    <w:p>
      <w:pPr>
        <w:spacing w:after="0" w:line="17" w:lineRule="exact"/>
        <w:rPr>
          <w:sz w:val="20"/>
          <w:szCs w:val="20"/>
          <w:color w:val="auto"/>
        </w:rPr>
      </w:pPr>
    </w:p>
    <w:p>
      <w:pPr>
        <w:ind w:left="560"/>
        <w:spacing w:after="0"/>
        <w:tabs>
          <w:tab w:leader="none" w:pos="2080" w:val="left"/>
          <w:tab w:leader="none" w:pos="7700" w:val="left"/>
        </w:tabs>
        <w:rPr>
          <w:sz w:val="20"/>
          <w:szCs w:val="20"/>
          <w:color w:val="auto"/>
        </w:rPr>
      </w:pPr>
      <w:r>
        <w:rPr>
          <w:rFonts w:ascii="Times New Roman" w:cs="Times New Roman" w:eastAsia="Times New Roman" w:hAnsi="Times New Roman"/>
          <w:sz w:val="18"/>
          <w:szCs w:val="18"/>
          <w:i w:val="1"/>
          <w:iCs w:val="1"/>
          <w:color w:val="auto"/>
        </w:rPr>
        <w:t>Section 4.12.</w:t>
      </w:r>
      <w:r>
        <w:rPr>
          <w:sz w:val="20"/>
          <w:szCs w:val="20"/>
          <w:color w:val="auto"/>
        </w:rPr>
        <w:tab/>
      </w:r>
      <w:r>
        <w:rPr>
          <w:rFonts w:ascii="Times New Roman" w:cs="Times New Roman" w:eastAsia="Times New Roman" w:hAnsi="Times New Roman"/>
          <w:sz w:val="18"/>
          <w:szCs w:val="18"/>
          <w:i w:val="1"/>
          <w:iCs w:val="1"/>
          <w:color w:val="auto"/>
        </w:rPr>
        <w:t>Execution and Delivery and Filing and Recording of the Supplement</w:t>
      </w:r>
      <w:r>
        <w:rPr>
          <w:sz w:val="20"/>
          <w:szCs w:val="20"/>
          <w:color w:val="auto"/>
        </w:rPr>
        <w:tab/>
      </w:r>
      <w:r>
        <w:rPr>
          <w:rFonts w:ascii="Times New Roman" w:cs="Times New Roman" w:eastAsia="Times New Roman" w:hAnsi="Times New Roman"/>
          <w:sz w:val="18"/>
          <w:szCs w:val="18"/>
          <w:color w:val="auto"/>
        </w:rPr>
        <w:t>Prior to or at the</w:t>
      </w:r>
    </w:p>
    <w:p>
      <w:pPr>
        <w:sectPr>
          <w:pgSz w:w="11900" w:h="16838" w:orient="portrait"/>
          <w:cols w:equalWidth="0" w:num="1">
            <w:col w:w="9040"/>
          </w:cols>
          <w:pgMar w:left="1420" w:top="115" w:right="1439" w:bottom="1440" w:gutter="0" w:footer="0" w:header="0"/>
          <w:type w:val="continuous"/>
        </w:sectPr>
      </w:pPr>
    </w:p>
    <w:p>
      <w:pPr>
        <w:spacing w:after="0" w:line="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Closing, the Supplement shall have been duly executed and delivered by the Company, and the Company shall have filed, or delivered for recordation, the Supplement in all locations in Pennsylvania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183"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Section 4.13. Regulatory Approvals </w:t>
      </w:r>
      <w:r>
        <w:rPr>
          <w:rFonts w:ascii="Times New Roman" w:cs="Times New Roman" w:eastAsia="Times New Roman" w:hAnsi="Times New Roman"/>
          <w:sz w:val="18"/>
          <w:szCs w:val="18"/>
          <w:color w:val="auto"/>
        </w:rPr>
        <w:t>The issue and sale of the Bonds shall have been duly authorized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order of the Pennsylvania Public Utility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200" w:lineRule="exact"/>
        <w:rPr>
          <w:sz w:val="20"/>
          <w:szCs w:val="20"/>
          <w:color w:val="auto"/>
        </w:rPr>
      </w:pPr>
    </w:p>
    <w:p>
      <w:pPr>
        <w:spacing w:after="0" w:line="21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color w:val="auto"/>
        </w:rPr>
        <w:t>REPRESENTATIONS AND WARRANTIES OF THE COMPANY</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represents and warrants to each Purchaser as of the date of this Agreement and at the Closing that:</w:t>
      </w:r>
    </w:p>
    <w:p>
      <w:pPr>
        <w:spacing w:after="0" w:line="216" w:lineRule="exact"/>
        <w:rPr>
          <w:sz w:val="20"/>
          <w:szCs w:val="20"/>
          <w:color w:val="auto"/>
        </w:rPr>
      </w:pPr>
    </w:p>
    <w:p>
      <w:pPr>
        <w:jc w:val="both"/>
        <w:ind w:firstLine="566"/>
        <w:spacing w:after="0" w:line="246" w:lineRule="auto"/>
        <w:rPr>
          <w:sz w:val="20"/>
          <w:szCs w:val="20"/>
          <w:color w:val="auto"/>
        </w:rPr>
      </w:pPr>
      <w:r>
        <w:rPr>
          <w:rFonts w:ascii="Times New Roman" w:cs="Times New Roman" w:eastAsia="Times New Roman" w:hAnsi="Times New Roman"/>
          <w:sz w:val="18"/>
          <w:szCs w:val="18"/>
          <w:i w:val="1"/>
          <w:iCs w:val="1"/>
          <w:color w:val="auto"/>
        </w:rPr>
        <w:t>Section 5.1. Organization; Power and Authority</w:t>
      </w:r>
      <w:r>
        <w:rPr>
          <w:rFonts w:ascii="Times New Roman" w:cs="Times New Roman" w:eastAsia="Times New Roman" w:hAnsi="Times New Roman"/>
          <w:sz w:val="18"/>
          <w:szCs w:val="18"/>
          <w:color w:val="auto"/>
        </w:rPr>
        <w:t>. The Company is a corporation duly organized,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394" w:lineRule="exact"/>
        <w:rPr>
          <w:sz w:val="20"/>
          <w:szCs w:val="20"/>
          <w:color w:val="auto"/>
        </w:rPr>
      </w:pPr>
    </w:p>
    <w:p>
      <w:pPr>
        <w:jc w:val="both"/>
        <w:ind w:firstLine="566"/>
        <w:spacing w:after="0" w:line="245" w:lineRule="auto"/>
        <w:rPr>
          <w:sz w:val="20"/>
          <w:szCs w:val="20"/>
          <w:color w:val="auto"/>
        </w:rPr>
      </w:pPr>
      <w:r>
        <w:rPr>
          <w:rFonts w:ascii="Times New Roman" w:cs="Times New Roman" w:eastAsia="Times New Roman" w:hAnsi="Times New Roman"/>
          <w:sz w:val="18"/>
          <w:szCs w:val="18"/>
          <w:i w:val="1"/>
          <w:iCs w:val="1"/>
          <w:color w:val="auto"/>
        </w:rPr>
        <w:t>Section 5.2. Authorization, Etc</w:t>
      </w:r>
      <w:r>
        <w:rPr>
          <w:rFonts w:ascii="Times New Roman" w:cs="Times New Roman" w:eastAsia="Times New Roman" w:hAnsi="Times New Roman"/>
          <w:sz w:val="18"/>
          <w:szCs w:val="18"/>
          <w:color w:val="auto"/>
        </w:rPr>
        <w:t>. At the Closing, each Financing Agreement has been duly authorized by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 enforceable against the Company in accordance with its respective terms, except as such enforceability may be limited by</w:t>
      </w:r>
    </w:p>
    <w:p>
      <w:pPr>
        <w:spacing w:after="0" w:line="4" w:lineRule="exact"/>
        <w:rPr>
          <w:sz w:val="20"/>
          <w:szCs w:val="20"/>
          <w:color w:val="auto"/>
        </w:rPr>
      </w:pPr>
    </w:p>
    <w:p>
      <w:pPr>
        <w:jc w:val="both"/>
        <w:ind w:firstLine="1"/>
        <w:spacing w:after="0" w:line="249" w:lineRule="auto"/>
        <w:tabs>
          <w:tab w:leader="none" w:pos="25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308" w:name="page309"/>
    <w:bookmarkEnd w:id="308"/>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17" w:lineRule="exact"/>
        <w:rPr>
          <w:sz w:val="20"/>
          <w:szCs w:val="20"/>
          <w:color w:val="auto"/>
        </w:rPr>
      </w:pPr>
    </w:p>
    <w:p>
      <w:pPr>
        <w:jc w:val="both"/>
        <w:ind w:firstLine="566"/>
        <w:spacing w:after="0" w:line="245" w:lineRule="auto"/>
        <w:rPr>
          <w:sz w:val="20"/>
          <w:szCs w:val="20"/>
          <w:color w:val="auto"/>
        </w:rPr>
      </w:pPr>
      <w:r>
        <w:rPr>
          <w:rFonts w:ascii="Times New Roman" w:cs="Times New Roman" w:eastAsia="Times New Roman" w:hAnsi="Times New Roman"/>
          <w:sz w:val="18"/>
          <w:szCs w:val="18"/>
          <w:i w:val="1"/>
          <w:iCs w:val="1"/>
          <w:color w:val="auto"/>
        </w:rPr>
        <w:t>Section 5.3. Disclosure</w:t>
      </w:r>
      <w:r>
        <w:rPr>
          <w:rFonts w:ascii="Times New Roman" w:cs="Times New Roman" w:eastAsia="Times New Roman" w:hAnsi="Times New Roman"/>
          <w:sz w:val="18"/>
          <w:szCs w:val="18"/>
          <w:color w:val="auto"/>
        </w:rPr>
        <w:t>. This Agreement and the documents, certificates or other writings delivered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Purchasers by or on behalf of the Company in connection with the transactions contemplated hereby, including the management/investor presentation dated April 2025, and the financial statements listed in </w:t>
      </w:r>
      <w:r>
        <w:rPr>
          <w:rFonts w:ascii="Times New Roman" w:cs="Times New Roman" w:eastAsia="Times New Roman" w:hAnsi="Times New Roman"/>
          <w:sz w:val="18"/>
          <w:szCs w:val="18"/>
          <w:i w:val="1"/>
          <w:iCs w:val="1"/>
          <w:color w:val="auto"/>
        </w:rPr>
        <w:t>Schedule 5.5</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i w:val="1"/>
          <w:iCs w:val="1"/>
          <w:color w:val="auto"/>
        </w:rPr>
        <w:t>“Disclosure Documents”</w:t>
      </w:r>
      <w:r>
        <w:rPr>
          <w:rFonts w:ascii="Times New Roman" w:cs="Times New Roman" w:eastAsia="Times New Roman" w:hAnsi="Times New Roman"/>
          <w:sz w:val="18"/>
          <w:szCs w:val="18"/>
          <w:color w:val="auto"/>
        </w:rPr>
        <w:t>), taken as a whole, do not contain any untrue statement of a material fact or omit to state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fact necessary to make the statements therein not misleading in light of the circumstances under which they were made. Since April 24, 2025,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183" w:lineRule="exact"/>
        <w:rPr>
          <w:sz w:val="20"/>
          <w:szCs w:val="20"/>
          <w:color w:val="auto"/>
        </w:rPr>
      </w:pPr>
    </w:p>
    <w:p>
      <w:pPr>
        <w:jc w:val="both"/>
        <w:ind w:firstLine="566"/>
        <w:spacing w:after="0" w:line="255" w:lineRule="auto"/>
        <w:rPr>
          <w:sz w:val="20"/>
          <w:szCs w:val="20"/>
          <w:color w:val="auto"/>
        </w:rPr>
      </w:pPr>
      <w:r>
        <w:rPr>
          <w:rFonts w:ascii="Times New Roman" w:cs="Times New Roman" w:eastAsia="Times New Roman" w:hAnsi="Times New Roman"/>
          <w:sz w:val="18"/>
          <w:szCs w:val="18"/>
          <w:i w:val="1"/>
          <w:iCs w:val="1"/>
          <w:color w:val="auto"/>
        </w:rPr>
        <w:t>Section 5.4. Organization and Ownership of Shares of Subsidiaries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Schedule 5.4 </w:t>
      </w:r>
      <w:r>
        <w:rPr>
          <w:rFonts w:ascii="Times New Roman" w:cs="Times New Roman" w:eastAsia="Times New Roman" w:hAnsi="Times New Roman"/>
          <w:sz w:val="18"/>
          <w:szCs w:val="18"/>
          <w:color w:val="auto"/>
        </w:rPr>
        <w:t>contains a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correct list of 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176" w:lineRule="exact"/>
        <w:rPr>
          <w:sz w:val="20"/>
          <w:szCs w:val="20"/>
          <w:color w:val="auto"/>
        </w:rPr>
      </w:pPr>
    </w:p>
    <w:p>
      <w:pPr>
        <w:jc w:val="both"/>
        <w:ind w:firstLine="1876"/>
        <w:spacing w:after="0" w:line="260" w:lineRule="auto"/>
        <w:tabs>
          <w:tab w:leader="none" w:pos="264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shares of capital stock or similar equity interests of each Subsidiary shown in </w:t>
      </w:r>
      <w:r>
        <w:rPr>
          <w:rFonts w:ascii="Times New Roman" w:cs="Times New Roman" w:eastAsia="Times New Roman" w:hAnsi="Times New Roman"/>
          <w:sz w:val="18"/>
          <w:szCs w:val="18"/>
          <w:i w:val="1"/>
          <w:iCs w:val="1"/>
          <w:color w:val="auto"/>
        </w:rPr>
        <w:t>Schedule 5.4</w:t>
      </w:r>
      <w:r>
        <w:rPr>
          <w:rFonts w:ascii="Times New Roman" w:cs="Times New Roman" w:eastAsia="Times New Roman" w:hAnsi="Times New Roman"/>
          <w:sz w:val="18"/>
          <w:szCs w:val="18"/>
          <w:color w:val="auto"/>
        </w:rPr>
        <w:t xml:space="preserve"> as being owned by the Company and its Subsidiaries have been validly issued, are fully paid and nonassessable and are owned by the Company or another Subsidiary free and clear of any Lien.</w:t>
      </w:r>
    </w:p>
    <w:p>
      <w:pPr>
        <w:spacing w:after="0" w:line="166" w:lineRule="exact"/>
        <w:rPr>
          <w:rFonts w:ascii="Times New Roman" w:cs="Times New Roman" w:eastAsia="Times New Roman" w:hAnsi="Times New Roman"/>
          <w:sz w:val="18"/>
          <w:szCs w:val="18"/>
          <w:color w:val="auto"/>
        </w:rPr>
      </w:pPr>
    </w:p>
    <w:p>
      <w:pPr>
        <w:jc w:val="both"/>
        <w:ind w:firstLine="1876"/>
        <w:spacing w:after="0" w:line="248" w:lineRule="auto"/>
        <w:tabs>
          <w:tab w:leader="none" w:pos="263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identified in </w:t>
      </w:r>
      <w:r>
        <w:rPr>
          <w:rFonts w:ascii="Times New Roman" w:cs="Times New Roman" w:eastAsia="Times New Roman" w:hAnsi="Times New Roman"/>
          <w:sz w:val="18"/>
          <w:szCs w:val="18"/>
          <w:i w:val="1"/>
          <w:iCs w:val="1"/>
          <w:color w:val="auto"/>
        </w:rPr>
        <w:t>Schedule 5.4</w:t>
      </w:r>
      <w:r>
        <w:rPr>
          <w:rFonts w:ascii="Times New Roman" w:cs="Times New Roman" w:eastAsia="Times New Roman" w:hAnsi="Times New Roman"/>
          <w:sz w:val="18"/>
          <w:szCs w:val="18"/>
          <w:color w:val="auto"/>
        </w:rPr>
        <w:t xml:space="preserve">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78" w:lineRule="exact"/>
        <w:rPr>
          <w:sz w:val="20"/>
          <w:szCs w:val="20"/>
          <w:color w:val="auto"/>
        </w:rPr>
      </w:pPr>
    </w:p>
    <w:p>
      <w:pPr>
        <w:jc w:val="both"/>
        <w:ind w:firstLine="566"/>
        <w:spacing w:after="0" w:line="214" w:lineRule="exact"/>
        <w:rPr>
          <w:sz w:val="20"/>
          <w:szCs w:val="20"/>
          <w:color w:val="auto"/>
        </w:rPr>
      </w:pPr>
      <w:r>
        <w:rPr>
          <w:rFonts w:ascii="Times New Roman" w:cs="Times New Roman" w:eastAsia="Times New Roman" w:hAnsi="Times New Roman"/>
          <w:sz w:val="18"/>
          <w:szCs w:val="18"/>
          <w:i w:val="1"/>
          <w:iCs w:val="1"/>
          <w:color w:val="auto"/>
        </w:rPr>
        <w:t>Section 5.5. Financial Statements; Material Liabilities</w:t>
      </w:r>
      <w:r>
        <w:rPr>
          <w:rFonts w:ascii="Times New Roman" w:cs="Times New Roman" w:eastAsia="Times New Roman" w:hAnsi="Times New Roman"/>
          <w:sz w:val="18"/>
          <w:szCs w:val="18"/>
          <w:color w:val="auto"/>
        </w:rPr>
        <w:t>. The Company has delivered to each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copies of the financial statements of the Company and its Subsidiaries listed on </w:t>
      </w:r>
      <w:r>
        <w:rPr>
          <w:rFonts w:ascii="Times New Roman" w:cs="Times New Roman" w:eastAsia="Times New Roman" w:hAnsi="Times New Roman"/>
          <w:sz w:val="18"/>
          <w:szCs w:val="18"/>
          <w:i w:val="1"/>
          <w:iCs w:val="1"/>
          <w:color w:val="auto"/>
        </w:rPr>
        <w:t>Schedule 5.5</w:t>
      </w:r>
      <w:r>
        <w:rPr>
          <w:rFonts w:ascii="Times New Roman" w:cs="Times New Roman" w:eastAsia="Times New Roman" w:hAnsi="Times New Roman"/>
          <w:sz w:val="18"/>
          <w:szCs w:val="18"/>
          <w:color w:val="auto"/>
        </w:rPr>
        <w:t>. All of said financial statements (including in each case the related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adjustments). The Company does not have any Material liabilities that are not disclosed on such financial statements or otherwise disclosed in the Disclosure Documents.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09" w:name="page310"/>
    <w:bookmarkEnd w:id="309"/>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17" w:lineRule="exact"/>
        <w:rPr>
          <w:sz w:val="20"/>
          <w:szCs w:val="20"/>
          <w:color w:val="auto"/>
        </w:rPr>
      </w:pPr>
    </w:p>
    <w:p>
      <w:pPr>
        <w:ind w:firstLine="56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5.6. Compliance with Laws, Other Instruments, Etc </w:t>
      </w:r>
      <w:r>
        <w:rPr>
          <w:rFonts w:ascii="Times New Roman" w:cs="Times New Roman" w:eastAsia="Times New Roman" w:hAnsi="Times New Roman"/>
          <w:sz w:val="18"/>
          <w:szCs w:val="18"/>
          <w:color w:val="auto"/>
        </w:rPr>
        <w:t>. The execution, delivery and performance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of each Financing Agreement (including the prior execution and delivery of the Indenture), will not</w:t>
      </w:r>
    </w:p>
    <w:p>
      <w:pPr>
        <w:jc w:val="both"/>
        <w:ind w:firstLine="1"/>
        <w:spacing w:after="0" w:line="243" w:lineRule="auto"/>
        <w:tabs>
          <w:tab w:leader="none" w:pos="26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 (b) 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181" w:lineRule="exact"/>
        <w:rPr>
          <w:sz w:val="20"/>
          <w:szCs w:val="20"/>
          <w:color w:val="auto"/>
        </w:rPr>
      </w:pPr>
    </w:p>
    <w:p>
      <w:pPr>
        <w:jc w:val="both"/>
        <w:ind w:firstLine="566"/>
        <w:spacing w:after="0" w:line="255" w:lineRule="auto"/>
        <w:rPr>
          <w:sz w:val="20"/>
          <w:szCs w:val="20"/>
          <w:color w:val="auto"/>
        </w:rPr>
      </w:pPr>
      <w:r>
        <w:rPr>
          <w:rFonts w:ascii="Times New Roman" w:cs="Times New Roman" w:eastAsia="Times New Roman" w:hAnsi="Times New Roman"/>
          <w:sz w:val="18"/>
          <w:szCs w:val="18"/>
          <w:i w:val="1"/>
          <w:iCs w:val="1"/>
          <w:color w:val="auto"/>
        </w:rPr>
        <w:t>Section 5.7. Governmental Authorizations, Etc</w:t>
      </w:r>
      <w:r>
        <w:rPr>
          <w:rFonts w:ascii="Times New Roman" w:cs="Times New Roman" w:eastAsia="Times New Roman" w:hAnsi="Times New Roman"/>
          <w:sz w:val="18"/>
          <w:szCs w:val="18"/>
          <w:color w:val="auto"/>
        </w:rPr>
        <w:t>. No consent, approval or authorization of, or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or declaration 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172" w:lineRule="exact"/>
        <w:rPr>
          <w:sz w:val="20"/>
          <w:szCs w:val="20"/>
          <w:color w:val="auto"/>
        </w:rPr>
      </w:pPr>
    </w:p>
    <w:p>
      <w:pPr>
        <w:ind w:left="560"/>
        <w:spacing w:after="0"/>
        <w:tabs>
          <w:tab w:leader="none" w:pos="1980" w:val="left"/>
          <w:tab w:leader="none" w:pos="5640" w:val="left"/>
        </w:tabs>
        <w:rPr>
          <w:sz w:val="20"/>
          <w:szCs w:val="20"/>
          <w:color w:val="auto"/>
        </w:rPr>
      </w:pPr>
      <w:r>
        <w:rPr>
          <w:rFonts w:ascii="Times New Roman" w:cs="Times New Roman" w:eastAsia="Times New Roman" w:hAnsi="Times New Roman"/>
          <w:sz w:val="18"/>
          <w:szCs w:val="18"/>
          <w:i w:val="1"/>
          <w:iCs w:val="1"/>
          <w:color w:val="auto"/>
        </w:rPr>
        <w:t>Section 5.8.</w:t>
      </w:r>
      <w:r>
        <w:rPr>
          <w:sz w:val="20"/>
          <w:szCs w:val="20"/>
          <w:color w:val="auto"/>
        </w:rPr>
        <w:tab/>
      </w:r>
      <w:r>
        <w:rPr>
          <w:rFonts w:ascii="Times New Roman" w:cs="Times New Roman" w:eastAsia="Times New Roman" w:hAnsi="Times New Roman"/>
          <w:sz w:val="18"/>
          <w:szCs w:val="18"/>
          <w:i w:val="1"/>
          <w:iCs w:val="1"/>
          <w:color w:val="auto"/>
        </w:rPr>
        <w:t>Litigation; Observance of Statutes and Orders</w:t>
      </w:r>
      <w:r>
        <w:rPr>
          <w:sz w:val="20"/>
          <w:szCs w:val="20"/>
          <w:color w:val="auto"/>
        </w:rPr>
        <w:tab/>
      </w:r>
      <w:r>
        <w:rPr>
          <w:rFonts w:ascii="Times New Roman" w:cs="Times New Roman" w:eastAsia="Times New Roman" w:hAnsi="Times New Roman"/>
          <w:sz w:val="18"/>
          <w:szCs w:val="18"/>
          <w:color w:val="auto"/>
        </w:rPr>
        <w:t>(a) There are no actions, suits, investigations</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83" w:lineRule="exact"/>
        <w:rPr>
          <w:sz w:val="20"/>
          <w:szCs w:val="20"/>
          <w:color w:val="auto"/>
        </w:rPr>
      </w:pPr>
    </w:p>
    <w:p>
      <w:pPr>
        <w:jc w:val="both"/>
        <w:ind w:firstLine="1876"/>
        <w:spacing w:after="0" w:line="247" w:lineRule="auto"/>
        <w:tabs>
          <w:tab w:leader="none" w:pos="264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w:t>
      </w:r>
      <w:r>
        <w:rPr>
          <w:rFonts w:ascii="Times New Roman" w:cs="Times New Roman" w:eastAsia="Times New Roman" w:hAnsi="Times New Roman"/>
          <w:sz w:val="18"/>
          <w:szCs w:val="18"/>
          <w:b w:val="1"/>
          <w:bCs w:val="1"/>
          <w:color w:val="auto"/>
        </w:rPr>
        <w:t>Section 5.16</w:t>
      </w:r>
      <w:r>
        <w:rPr>
          <w:rFonts w:ascii="Times New Roman" w:cs="Times New Roman" w:eastAsia="Times New Roman" w:hAnsi="Times New Roman"/>
          <w:sz w:val="18"/>
          <w:szCs w:val="18"/>
          <w:color w:val="auto"/>
        </w:rPr>
        <w:t>), which default or violation, individually or in the aggregate, could reasonably be expected to have a Material Adverse Effect.</w:t>
      </w:r>
    </w:p>
    <w:p>
      <w:pPr>
        <w:spacing w:after="0" w:line="180"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5.9. Taxes</w:t>
      </w:r>
      <w:r>
        <w:rPr>
          <w:rFonts w:ascii="Times New Roman" w:cs="Times New Roman" w:eastAsia="Times New Roman" w:hAnsi="Times New Roman"/>
          <w:sz w:val="18"/>
          <w:szCs w:val="18"/>
          <w:color w:val="auto"/>
        </w:rPr>
        <w:t>. The Company and its Subsidiaries have filed all income tax returns that are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0" w:name="page311"/>
    <w:bookmarkEnd w:id="310"/>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December 31, 2020 and all amounts owing in respect of such audit have been paid.</w:t>
      </w:r>
    </w:p>
    <w:p>
      <w:pPr>
        <w:spacing w:after="0" w:line="171"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5.10. Title to Property; Leases</w:t>
      </w:r>
      <w:r>
        <w:rPr>
          <w:rFonts w:ascii="Times New Roman" w:cs="Times New Roman" w:eastAsia="Times New Roman" w:hAnsi="Times New Roman"/>
          <w:sz w:val="18"/>
          <w:szCs w:val="18"/>
          <w:color w:val="auto"/>
        </w:rPr>
        <w:t>. The Company and its Subsidiaries have good and sufficient title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their respective Material properties, including all such properties reflected in the most recent audited balance sheet referred to in </w:t>
      </w:r>
      <w:r>
        <w:rPr>
          <w:rFonts w:ascii="Times New Roman" w:cs="Times New Roman" w:eastAsia="Times New Roman" w:hAnsi="Times New Roman"/>
          <w:sz w:val="18"/>
          <w:szCs w:val="18"/>
          <w:b w:val="1"/>
          <w:bCs w:val="1"/>
          <w:color w:val="auto"/>
        </w:rPr>
        <w:t>Section 5.5</w:t>
      </w:r>
      <w:r>
        <w:rPr>
          <w:rFonts w:ascii="Times New Roman" w:cs="Times New Roman" w:eastAsia="Times New Roman" w:hAnsi="Times New Roman"/>
          <w:sz w:val="18"/>
          <w:szCs w:val="18"/>
          <w:color w:val="auto"/>
        </w:rPr>
        <w:t xml:space="preserve">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392" w:lineRule="exact"/>
        <w:rPr>
          <w:sz w:val="20"/>
          <w:szCs w:val="20"/>
          <w:color w:val="auto"/>
        </w:rPr>
      </w:pPr>
    </w:p>
    <w:p>
      <w:pPr>
        <w:jc w:val="both"/>
        <w:ind w:firstLine="56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5.11. Licenses, Permits, Etc </w:t>
      </w:r>
      <w:r>
        <w:rPr>
          <w:rFonts w:ascii="Times New Roman" w:cs="Times New Roman" w:eastAsia="Times New Roman" w:hAnsi="Times New Roman"/>
          <w:sz w:val="18"/>
          <w:szCs w:val="18"/>
          <w:color w:val="auto"/>
        </w:rPr>
        <w:t>The Company and its Subsidiaries own or possess all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172" w:lineRule="exact"/>
        <w:rPr>
          <w:sz w:val="20"/>
          <w:szCs w:val="20"/>
          <w:color w:val="auto"/>
        </w:rPr>
      </w:pPr>
    </w:p>
    <w:p>
      <w:pPr>
        <w:jc w:val="both"/>
        <w:ind w:firstLine="566"/>
        <w:spacing w:after="0" w:line="245" w:lineRule="auto"/>
        <w:rPr>
          <w:sz w:val="20"/>
          <w:szCs w:val="20"/>
          <w:color w:val="auto"/>
        </w:rPr>
      </w:pPr>
      <w:r>
        <w:rPr>
          <w:rFonts w:ascii="Times New Roman" w:cs="Times New Roman" w:eastAsia="Times New Roman" w:hAnsi="Times New Roman"/>
          <w:sz w:val="18"/>
          <w:szCs w:val="18"/>
          <w:i w:val="1"/>
          <w:iCs w:val="1"/>
          <w:color w:val="auto"/>
        </w:rPr>
        <w:t>Section 5.12. Compliance with Employee Benefit Plans</w:t>
      </w:r>
      <w:r>
        <w:rPr>
          <w:rFonts w:ascii="Times New Roman" w:cs="Times New Roman" w:eastAsia="Times New Roman" w:hAnsi="Times New Roman"/>
          <w:sz w:val="18"/>
          <w:szCs w:val="18"/>
          <w:color w:val="auto"/>
        </w:rPr>
        <w:t>. (a) The Company and each ERISA Affiliate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1" w:name="page312"/>
    <w:bookmarkEnd w:id="311"/>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ind w:firstLine="1876"/>
        <w:spacing w:after="0" w:line="247" w:lineRule="auto"/>
        <w:tabs>
          <w:tab w:leader="none" w:pos="264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aggregate benefit liabilities under each of the Plans subject to section 412 of the Code (other than Multiemployer Plans), determined as of January 1, 2024 based on such Plan’s actuarial assumptions as of that date for funding purposes as documented in such Plan’s actuarial valuation reports dated September 2024 did not exceed the aggregate current value of the assets of such Plan allocable to such benefit liabilities by more than $5,000,000 in the case of any single Plan and by more than $5,000,000 in the aggregate for all Plans. The term “</w:t>
      </w:r>
      <w:r>
        <w:rPr>
          <w:rFonts w:ascii="Times New Roman" w:cs="Times New Roman" w:eastAsia="Times New Roman" w:hAnsi="Times New Roman"/>
          <w:sz w:val="18"/>
          <w:szCs w:val="18"/>
          <w:i w:val="1"/>
          <w:iCs w:val="1"/>
          <w:color w:val="auto"/>
        </w:rPr>
        <w:t>benefit liabilities</w:t>
      </w:r>
      <w:r>
        <w:rPr>
          <w:rFonts w:ascii="Times New Roman" w:cs="Times New Roman" w:eastAsia="Times New Roman" w:hAnsi="Times New Roman"/>
          <w:sz w:val="18"/>
          <w:szCs w:val="18"/>
          <w:color w:val="auto"/>
        </w:rPr>
        <w:t>” has the meaning specified in section 4001 of ERISA and the terms “</w:t>
      </w:r>
      <w:r>
        <w:rPr>
          <w:rFonts w:ascii="Times New Roman" w:cs="Times New Roman" w:eastAsia="Times New Roman" w:hAnsi="Times New Roman"/>
          <w:sz w:val="18"/>
          <w:szCs w:val="18"/>
          <w:i w:val="1"/>
          <w:iCs w:val="1"/>
          <w:color w:val="auto"/>
        </w:rPr>
        <w:t>current value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present value</w:t>
      </w:r>
      <w:r>
        <w:rPr>
          <w:rFonts w:ascii="Times New Roman" w:cs="Times New Roman" w:eastAsia="Times New Roman" w:hAnsi="Times New Roman"/>
          <w:sz w:val="18"/>
          <w:szCs w:val="18"/>
          <w:color w:val="auto"/>
        </w:rPr>
        <w:t>” have the meaning specified in section 3 of ERISA.</w:t>
      </w:r>
    </w:p>
    <w:p>
      <w:pPr>
        <w:spacing w:after="0" w:line="183" w:lineRule="exact"/>
        <w:rPr>
          <w:rFonts w:ascii="Times New Roman" w:cs="Times New Roman" w:eastAsia="Times New Roman" w:hAnsi="Times New Roman"/>
          <w:sz w:val="18"/>
          <w:szCs w:val="18"/>
          <w:color w:val="auto"/>
        </w:rPr>
      </w:pPr>
    </w:p>
    <w:p>
      <w:pPr>
        <w:jc w:val="both"/>
        <w:ind w:firstLine="1876"/>
        <w:spacing w:after="0" w:line="260" w:lineRule="auto"/>
        <w:tabs>
          <w:tab w:leader="none" w:pos="263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70" w:lineRule="exact"/>
        <w:rPr>
          <w:rFonts w:ascii="Times New Roman" w:cs="Times New Roman" w:eastAsia="Times New Roman" w:hAnsi="Times New Roman"/>
          <w:sz w:val="18"/>
          <w:szCs w:val="18"/>
          <w:color w:val="auto"/>
        </w:rPr>
      </w:pPr>
    </w:p>
    <w:p>
      <w:pPr>
        <w:jc w:val="both"/>
        <w:ind w:firstLine="1876"/>
        <w:spacing w:after="0" w:line="219" w:lineRule="exact"/>
        <w:tabs>
          <w:tab w:leader="none" w:pos="264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 without regard to liabilities attributable to continuation coverage mandated by section 4980B of the Code) of the Company and its Subsidiaries is not Material.</w:t>
      </w:r>
    </w:p>
    <w:p>
      <w:pPr>
        <w:spacing w:after="0" w:line="189" w:lineRule="exact"/>
        <w:rPr>
          <w:rFonts w:ascii="Times New Roman" w:cs="Times New Roman" w:eastAsia="Times New Roman" w:hAnsi="Times New Roman"/>
          <w:sz w:val="18"/>
          <w:szCs w:val="18"/>
          <w:color w:val="auto"/>
        </w:rPr>
      </w:pPr>
    </w:p>
    <w:p>
      <w:pPr>
        <w:jc w:val="both"/>
        <w:ind w:firstLine="1876"/>
        <w:spacing w:after="0" w:line="215" w:lineRule="exact"/>
        <w:tabs>
          <w:tab w:leader="none" w:pos="263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(D) of the Code. The representation by the Company to each Purchaser in the first sentence of this </w:t>
      </w:r>
      <w:r>
        <w:rPr>
          <w:rFonts w:ascii="Times New Roman" w:cs="Times New Roman" w:eastAsia="Times New Roman" w:hAnsi="Times New Roman"/>
          <w:sz w:val="18"/>
          <w:szCs w:val="18"/>
          <w:b w:val="1"/>
          <w:bCs w:val="1"/>
          <w:color w:val="auto"/>
        </w:rPr>
        <w:t>Section 5.12(e)</w:t>
      </w:r>
      <w:r>
        <w:rPr>
          <w:rFonts w:ascii="Times New Roman" w:cs="Times New Roman" w:eastAsia="Times New Roman" w:hAnsi="Times New Roman"/>
          <w:sz w:val="18"/>
          <w:szCs w:val="18"/>
          <w:color w:val="auto"/>
        </w:rPr>
        <w:t xml:space="preserve"> is made in reliance upon and subject to the accuracy of such Purchaser’s representation in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as to the sources of the funds used to pay the purchase price of the Bonds to be purchased by such Purchaser.</w:t>
      </w:r>
    </w:p>
    <w:p>
      <w:pPr>
        <w:spacing w:after="0" w:line="158" w:lineRule="exact"/>
        <w:rPr>
          <w:rFonts w:ascii="Times New Roman" w:cs="Times New Roman" w:eastAsia="Times New Roman" w:hAnsi="Times New Roman"/>
          <w:sz w:val="18"/>
          <w:szCs w:val="18"/>
          <w:color w:val="auto"/>
        </w:rPr>
      </w:pPr>
    </w:p>
    <w:p>
      <w:pPr>
        <w:ind w:left="2620" w:hanging="744"/>
        <w:spacing w:after="0" w:line="207" w:lineRule="exact"/>
        <w:tabs>
          <w:tab w:leader="none" w:pos="26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have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Plans.</w:t>
      </w:r>
    </w:p>
    <w:p>
      <w:pPr>
        <w:spacing w:after="0" w:line="259" w:lineRule="exact"/>
        <w:rPr>
          <w:sz w:val="20"/>
          <w:szCs w:val="20"/>
          <w:color w:val="auto"/>
        </w:rPr>
      </w:pPr>
    </w:p>
    <w:p>
      <w:pPr>
        <w:jc w:val="both"/>
        <w:ind w:firstLine="566"/>
        <w:spacing w:after="0" w:line="249" w:lineRule="auto"/>
        <w:rPr>
          <w:sz w:val="20"/>
          <w:szCs w:val="20"/>
          <w:color w:val="auto"/>
        </w:rPr>
      </w:pPr>
      <w:r>
        <w:rPr>
          <w:rFonts w:ascii="Times New Roman" w:cs="Times New Roman" w:eastAsia="Times New Roman" w:hAnsi="Times New Roman"/>
          <w:sz w:val="18"/>
          <w:szCs w:val="18"/>
          <w:i w:val="1"/>
          <w:iCs w:val="1"/>
          <w:color w:val="auto"/>
        </w:rPr>
        <w:t>Section 5.13. Private Offering by the Company</w:t>
      </w:r>
      <w:r>
        <w:rPr>
          <w:rFonts w:ascii="Times New Roman" w:cs="Times New Roman" w:eastAsia="Times New Roman" w:hAnsi="Times New Roman"/>
          <w:sz w:val="18"/>
          <w:szCs w:val="18"/>
          <w:color w:val="auto"/>
        </w:rPr>
        <w:t>. Neither the Company nor anyone acting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behalf has offered the Bonds or any similar securities for sale to, or solicited any offer to buy any of the same from, or otherwise approached or negotiated in respect thereof with, any Person other than the Purchasers and not more than eighteen (18)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of the Securities Act.</w:t>
      </w:r>
    </w:p>
    <w:p>
      <w:pPr>
        <w:spacing w:after="0" w:line="179"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5.14. Use of Proceeds; Margin Regulations</w:t>
      </w:r>
      <w:r>
        <w:rPr>
          <w:rFonts w:ascii="Times New Roman" w:cs="Times New Roman" w:eastAsia="Times New Roman" w:hAnsi="Times New Roman"/>
          <w:sz w:val="18"/>
          <w:szCs w:val="18"/>
          <w:color w:val="auto"/>
        </w:rPr>
        <w:t>. The Company will apply the proceeds of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Bonds to repay existing indebtedness and for general corporate purposes and in compliance with all laws referenced in </w:t>
      </w:r>
      <w:r>
        <w:rPr>
          <w:rFonts w:ascii="Times New Roman" w:cs="Times New Roman" w:eastAsia="Times New Roman" w:hAnsi="Times New Roman"/>
          <w:sz w:val="18"/>
          <w:szCs w:val="18"/>
          <w:b w:val="1"/>
          <w:bCs w:val="1"/>
          <w:color w:val="auto"/>
        </w:rPr>
        <w:t>Section 5.16</w:t>
      </w:r>
      <w:r>
        <w:rPr>
          <w:rFonts w:ascii="Times New Roman" w:cs="Times New Roman" w:eastAsia="Times New Roman" w:hAnsi="Times New Roman"/>
          <w:sz w:val="18"/>
          <w:szCs w:val="18"/>
          <w:color w:val="auto"/>
        </w:rPr>
        <w:t>. No part of the proceeds from the sale of the Bonds hereunder will be used, directly or indirectly,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2" w:name="page313"/>
    <w:bookmarkEnd w:id="312"/>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the terms “</w:t>
      </w:r>
      <w:r>
        <w:rPr>
          <w:rFonts w:ascii="Times New Roman" w:cs="Times New Roman" w:eastAsia="Times New Roman" w:hAnsi="Times New Roman"/>
          <w:sz w:val="18"/>
          <w:szCs w:val="18"/>
          <w:i w:val="1"/>
          <w:iCs w:val="1"/>
          <w:color w:val="auto"/>
        </w:rPr>
        <w:t>margin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purpose of buying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carrying</w:t>
      </w:r>
      <w:r>
        <w:rPr>
          <w:rFonts w:ascii="Times New Roman" w:cs="Times New Roman" w:eastAsia="Times New Roman" w:hAnsi="Times New Roman"/>
          <w:sz w:val="18"/>
          <w:szCs w:val="18"/>
          <w:color w:val="auto"/>
        </w:rPr>
        <w:t>” shall have the meanings assigned to them in said Regulation U.</w:t>
      </w:r>
    </w:p>
    <w:p>
      <w:pPr>
        <w:spacing w:after="0" w:line="171" w:lineRule="exact"/>
        <w:rPr>
          <w:sz w:val="20"/>
          <w:szCs w:val="20"/>
          <w:color w:val="auto"/>
        </w:rPr>
      </w:pPr>
    </w:p>
    <w:p>
      <w:pPr>
        <w:jc w:val="both"/>
        <w:ind w:firstLine="566"/>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Section 5.15. Existing Debt </w:t>
      </w:r>
      <w:r>
        <w:rPr>
          <w:rFonts w:ascii="Times New Roman" w:cs="Times New Roman" w:eastAsia="Times New Roman" w:hAnsi="Times New Roman"/>
          <w:sz w:val="18"/>
          <w:szCs w:val="18"/>
          <w:color w:val="auto"/>
        </w:rPr>
        <w:t>Except as described therein,</w:t>
      </w:r>
      <w:r>
        <w:rPr>
          <w:rFonts w:ascii="Times New Roman" w:cs="Times New Roman" w:eastAsia="Times New Roman" w:hAnsi="Times New Roman"/>
          <w:sz w:val="18"/>
          <w:szCs w:val="18"/>
          <w:i w:val="1"/>
          <w:iCs w:val="1"/>
          <w:color w:val="auto"/>
        </w:rPr>
        <w:t xml:space="preserve"> Schedule 5.15(a) </w:t>
      </w:r>
      <w:r>
        <w:rPr>
          <w:rFonts w:ascii="Times New Roman" w:cs="Times New Roman" w:eastAsia="Times New Roman" w:hAnsi="Times New Roman"/>
          <w:sz w:val="18"/>
          <w:szCs w:val="18"/>
          <w:color w:val="auto"/>
        </w:rPr>
        <w:t>sets forth a complete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correct list of all outstanding Debt of the Company and its Subsidiaries as of December 31, 2024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394" w:lineRule="exact"/>
        <w:rPr>
          <w:sz w:val="20"/>
          <w:szCs w:val="20"/>
          <w:color w:val="auto"/>
        </w:rPr>
      </w:pPr>
    </w:p>
    <w:p>
      <w:pPr>
        <w:jc w:val="both"/>
        <w:ind w:firstLine="1876"/>
        <w:spacing w:after="0" w:line="252" w:lineRule="auto"/>
        <w:tabs>
          <w:tab w:leader="none" w:pos="264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representation in </w:t>
      </w:r>
      <w:r>
        <w:rPr>
          <w:rFonts w:ascii="Times New Roman" w:cs="Times New Roman" w:eastAsia="Times New Roman" w:hAnsi="Times New Roman"/>
          <w:sz w:val="18"/>
          <w:szCs w:val="18"/>
          <w:b w:val="1"/>
          <w:bCs w:val="1"/>
          <w:color w:val="auto"/>
        </w:rPr>
        <w:t>Section 5.6</w:t>
      </w:r>
      <w:r>
        <w:rPr>
          <w:rFonts w:ascii="Times New Roman" w:cs="Times New Roman" w:eastAsia="Times New Roman" w:hAnsi="Times New Roman"/>
          <w:sz w:val="18"/>
          <w:szCs w:val="18"/>
          <w:color w:val="auto"/>
        </w:rPr>
        <w:t xml:space="preserve">,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w:t>
      </w:r>
      <w:r>
        <w:rPr>
          <w:rFonts w:ascii="Times New Roman" w:cs="Times New Roman" w:eastAsia="Times New Roman" w:hAnsi="Times New Roman"/>
          <w:sz w:val="18"/>
          <w:szCs w:val="18"/>
          <w:i w:val="1"/>
          <w:iCs w:val="1"/>
          <w:color w:val="auto"/>
        </w:rPr>
        <w:t>Schedule 5.15(b)</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566"/>
        <w:spacing w:after="0" w:line="257" w:lineRule="auto"/>
        <w:rPr>
          <w:sz w:val="20"/>
          <w:szCs w:val="20"/>
          <w:color w:val="auto"/>
        </w:rPr>
      </w:pPr>
      <w:r>
        <w:rPr>
          <w:rFonts w:ascii="Times New Roman" w:cs="Times New Roman" w:eastAsia="Times New Roman" w:hAnsi="Times New Roman"/>
          <w:sz w:val="18"/>
          <w:szCs w:val="18"/>
          <w:i w:val="1"/>
          <w:iCs w:val="1"/>
          <w:color w:val="auto"/>
        </w:rPr>
        <w:t>Section 5.16. Foreign Assets Control Regulations, Etc</w:t>
      </w:r>
      <w:r>
        <w:rPr>
          <w:rFonts w:ascii="Times New Roman" w:cs="Times New Roman" w:eastAsia="Times New Roman" w:hAnsi="Times New Roman"/>
          <w:sz w:val="18"/>
          <w:szCs w:val="18"/>
          <w:color w:val="auto"/>
        </w:rPr>
        <w:t>. (a) Neither the Company nor any 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(i) is a Blocked Person, (ii) has been notified that its name appears or may in the future appear on a State Sanctions List or (iii) is a target of sanctions that have been imposed by the United Nations, the United Kingdom, or the European Union.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3" w:name="page314"/>
    <w:bookmarkEnd w:id="313"/>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ind w:firstLine="1876"/>
        <w:spacing w:after="0" w:line="226" w:lineRule="exact"/>
        <w:tabs>
          <w:tab w:leader="none" w:pos="2645"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or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or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w:t>
      </w:r>
    </w:p>
    <w:p>
      <w:pPr>
        <w:spacing w:after="0" w:line="389" w:lineRule="exact"/>
        <w:rPr>
          <w:rFonts w:ascii="Times New Roman" w:cs="Times New Roman" w:eastAsia="Times New Roman" w:hAnsi="Times New Roman"/>
          <w:sz w:val="18"/>
          <w:szCs w:val="18"/>
          <w:color w:val="auto"/>
        </w:rPr>
      </w:pPr>
    </w:p>
    <w:p>
      <w:pPr>
        <w:ind w:left="2640" w:hanging="764"/>
        <w:spacing w:after="0"/>
        <w:tabs>
          <w:tab w:leader="none" w:pos="264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from the sale of the Bonds hereunder:</w:t>
      </w:r>
    </w:p>
    <w:p>
      <w:pPr>
        <w:spacing w:after="0" w:line="220" w:lineRule="exact"/>
        <w:rPr>
          <w:rFonts w:ascii="Times New Roman" w:cs="Times New Roman" w:eastAsia="Times New Roman" w:hAnsi="Times New Roman"/>
          <w:sz w:val="18"/>
          <w:szCs w:val="18"/>
          <w:color w:val="auto"/>
        </w:rPr>
      </w:pPr>
    </w:p>
    <w:p>
      <w:pPr>
        <w:jc w:val="both"/>
        <w:ind w:left="1120" w:firstLine="1527"/>
        <w:spacing w:after="0" w:line="246" w:lineRule="auto"/>
        <w:tabs>
          <w:tab w:leader="none" w:pos="3385"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w:t>
      </w:r>
    </w:p>
    <w:p>
      <w:pPr>
        <w:spacing w:after="0" w:line="3" w:lineRule="exact"/>
        <w:rPr>
          <w:rFonts w:ascii="Times New Roman" w:cs="Times New Roman" w:eastAsia="Times New Roman" w:hAnsi="Times New Roman"/>
          <w:sz w:val="18"/>
          <w:szCs w:val="18"/>
          <w:color w:val="auto"/>
        </w:rPr>
      </w:pPr>
    </w:p>
    <w:p>
      <w:pPr>
        <w:ind w:left="1400" w:hanging="290"/>
        <w:spacing w:after="0"/>
        <w:tabs>
          <w:tab w:leader="none" w:pos="14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violation of any U.S. Economic Sanctions Laws;</w:t>
      </w:r>
    </w:p>
    <w:p>
      <w:pPr>
        <w:spacing w:after="0" w:line="200" w:lineRule="exact"/>
        <w:rPr>
          <w:rFonts w:ascii="Times New Roman" w:cs="Times New Roman" w:eastAsia="Times New Roman" w:hAnsi="Times New Roman"/>
          <w:sz w:val="18"/>
          <w:szCs w:val="18"/>
          <w:color w:val="auto"/>
        </w:rPr>
      </w:pPr>
    </w:p>
    <w:p>
      <w:pPr>
        <w:ind w:left="1120" w:firstLine="1527"/>
        <w:spacing w:after="0" w:line="245" w:lineRule="exact"/>
        <w:tabs>
          <w:tab w:leader="none" w:pos="343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used, directly or indirectly, in violation of, or cause any Purchaser to be in violation of, any applicable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or</w:t>
      </w:r>
    </w:p>
    <w:p>
      <w:pPr>
        <w:spacing w:after="0" w:line="158" w:lineRule="exact"/>
        <w:rPr>
          <w:rFonts w:ascii="Times New Roman" w:cs="Times New Roman" w:eastAsia="Times New Roman" w:hAnsi="Times New Roman"/>
          <w:sz w:val="18"/>
          <w:szCs w:val="18"/>
          <w:color w:val="auto"/>
        </w:rPr>
      </w:pPr>
    </w:p>
    <w:p>
      <w:pPr>
        <w:jc w:val="both"/>
        <w:ind w:left="1120" w:firstLine="1527"/>
        <w:spacing w:after="0" w:line="226" w:lineRule="exact"/>
        <w:tabs>
          <w:tab w:leader="none" w:pos="3488"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w:t>
      </w:r>
    </w:p>
    <w:p>
      <w:pPr>
        <w:spacing w:after="0" w:line="158" w:lineRule="exact"/>
        <w:rPr>
          <w:rFonts w:ascii="Times New Roman" w:cs="Times New Roman" w:eastAsia="Times New Roman" w:hAnsi="Times New Roman"/>
          <w:sz w:val="18"/>
          <w:szCs w:val="18"/>
          <w:color w:val="auto"/>
        </w:rPr>
      </w:pPr>
    </w:p>
    <w:p>
      <w:pPr>
        <w:jc w:val="both"/>
        <w:ind w:firstLine="1876"/>
        <w:spacing w:after="0" w:line="229" w:lineRule="exact"/>
        <w:tabs>
          <w:tab w:leader="none" w:pos="264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and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w:t>
      </w:r>
    </w:p>
    <w:p>
      <w:pPr>
        <w:spacing w:after="0" w:line="156" w:lineRule="exact"/>
        <w:rPr>
          <w:sz w:val="20"/>
          <w:szCs w:val="20"/>
          <w:color w:val="auto"/>
        </w:rPr>
      </w:pPr>
    </w:p>
    <w:p>
      <w:pPr>
        <w:jc w:val="both"/>
        <w:ind w:firstLine="56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5.17. Status under Certain Statutes </w:t>
      </w:r>
      <w:r>
        <w:rPr>
          <w:rFonts w:ascii="Times New Roman" w:cs="Times New Roman" w:eastAsia="Times New Roman" w:hAnsi="Times New Roman"/>
          <w:sz w:val="18"/>
          <w:szCs w:val="18"/>
          <w:color w:val="auto"/>
        </w:rPr>
        <w:t>Neither the Company nor any Subsidiary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under the Investment Company Act of 1940, as amended, the Public Utility Holding Company Act of 2005, as amended, the ICC Termination Act of 1995, as amended, or subject to rate regulation under the Federal Power Act, as amended.</w:t>
      </w:r>
    </w:p>
    <w:p>
      <w:pPr>
        <w:spacing w:after="0" w:line="386" w:lineRule="exact"/>
        <w:rPr>
          <w:sz w:val="20"/>
          <w:szCs w:val="20"/>
          <w:color w:val="auto"/>
        </w:rPr>
      </w:pPr>
    </w:p>
    <w:p>
      <w:pPr>
        <w:jc w:val="both"/>
        <w:ind w:firstLine="566"/>
        <w:spacing w:after="0" w:line="249" w:lineRule="auto"/>
        <w:rPr>
          <w:sz w:val="20"/>
          <w:szCs w:val="20"/>
          <w:color w:val="auto"/>
        </w:rPr>
      </w:pPr>
      <w:r>
        <w:rPr>
          <w:rFonts w:ascii="Times New Roman" w:cs="Times New Roman" w:eastAsia="Times New Roman" w:hAnsi="Times New Roman"/>
          <w:sz w:val="18"/>
          <w:szCs w:val="18"/>
          <w:i w:val="1"/>
          <w:iCs w:val="1"/>
          <w:color w:val="auto"/>
        </w:rPr>
        <w:t>Section 5.18. Environmental Matters</w:t>
      </w:r>
      <w:r>
        <w:rPr>
          <w:rFonts w:ascii="Times New Roman" w:cs="Times New Roman" w:eastAsia="Times New Roman" w:hAnsi="Times New Roman"/>
          <w:sz w:val="18"/>
          <w:szCs w:val="18"/>
          <w:color w:val="auto"/>
        </w:rPr>
        <w:t>. Neither the Company nor any Subsidiary has knowledge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4" w:name="page315"/>
    <w:bookmarkEnd w:id="314"/>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ind w:firstLine="1876"/>
        <w:spacing w:after="0" w:line="251" w:lineRule="auto"/>
        <w:tabs>
          <w:tab w:leader="none" w:pos="263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393" w:lineRule="exact"/>
        <w:rPr>
          <w:rFonts w:ascii="Times New Roman" w:cs="Times New Roman" w:eastAsia="Times New Roman" w:hAnsi="Times New Roman"/>
          <w:sz w:val="18"/>
          <w:szCs w:val="18"/>
          <w:color w:val="auto"/>
        </w:rPr>
      </w:pPr>
    </w:p>
    <w:p>
      <w:pPr>
        <w:jc w:val="both"/>
        <w:ind w:firstLine="1876"/>
        <w:spacing w:after="0" w:line="254" w:lineRule="auto"/>
        <w:tabs>
          <w:tab w:leader="none" w:pos="264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174" w:lineRule="exact"/>
        <w:rPr>
          <w:rFonts w:ascii="Times New Roman" w:cs="Times New Roman" w:eastAsia="Times New Roman" w:hAnsi="Times New Roman"/>
          <w:sz w:val="18"/>
          <w:szCs w:val="18"/>
          <w:color w:val="auto"/>
        </w:rPr>
      </w:pPr>
    </w:p>
    <w:p>
      <w:pPr>
        <w:jc w:val="both"/>
        <w:ind w:firstLine="1876"/>
        <w:spacing w:after="0" w:line="260" w:lineRule="auto"/>
        <w:tabs>
          <w:tab w:leader="none" w:pos="263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167" w:lineRule="exact"/>
        <w:rPr>
          <w:sz w:val="20"/>
          <w:szCs w:val="20"/>
          <w:color w:val="auto"/>
        </w:rPr>
      </w:pPr>
    </w:p>
    <w:p>
      <w:pPr>
        <w:jc w:val="both"/>
        <w:ind w:firstLine="566"/>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Section 5.19. Lien of Indenture </w:t>
      </w:r>
      <w:r>
        <w:rPr>
          <w:rFonts w:ascii="Times New Roman" w:cs="Times New Roman" w:eastAsia="Times New Roman" w:hAnsi="Times New Roman"/>
          <w:sz w:val="18"/>
          <w:szCs w:val="18"/>
          <w:color w:val="auto"/>
        </w:rPr>
        <w:t>The Indenture (and for avoidance of doubt including the Supplement)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constitutes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179"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5.20. Filings</w:t>
      </w:r>
      <w:r>
        <w:rPr>
          <w:rFonts w:ascii="Times New Roman" w:cs="Times New Roman" w:eastAsia="Times New Roman" w:hAnsi="Times New Roman"/>
          <w:sz w:val="18"/>
          <w:szCs w:val="18"/>
          <w:color w:val="auto"/>
        </w:rPr>
        <w:t>. No action, including any filings, registration or notice, is necessary or advisable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0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color w:val="auto"/>
        </w:rPr>
        <w:t>REPRESENTATIONS OF THE PURCHASERS.</w:t>
      </w:r>
    </w:p>
    <w:p>
      <w:pPr>
        <w:spacing w:after="0" w:line="216" w:lineRule="exact"/>
        <w:rPr>
          <w:sz w:val="20"/>
          <w:szCs w:val="20"/>
          <w:color w:val="auto"/>
        </w:rPr>
      </w:pPr>
    </w:p>
    <w:p>
      <w:pPr>
        <w:jc w:val="both"/>
        <w:ind w:firstLine="566"/>
        <w:spacing w:after="0" w:line="262" w:lineRule="auto"/>
        <w:rPr>
          <w:sz w:val="20"/>
          <w:szCs w:val="20"/>
          <w:color w:val="auto"/>
        </w:rPr>
      </w:pPr>
      <w:r>
        <w:rPr>
          <w:rFonts w:ascii="Times New Roman" w:cs="Times New Roman" w:eastAsia="Times New Roman" w:hAnsi="Times New Roman"/>
          <w:sz w:val="18"/>
          <w:szCs w:val="18"/>
          <w:i w:val="1"/>
          <w:iCs w:val="1"/>
          <w:color w:val="auto"/>
        </w:rPr>
        <w:t>Section 6.1. Purchase for Investment</w:t>
      </w:r>
      <w:r>
        <w:rPr>
          <w:rFonts w:ascii="Times New Roman" w:cs="Times New Roman" w:eastAsia="Times New Roman" w:hAnsi="Times New Roman"/>
          <w:sz w:val="18"/>
          <w:szCs w:val="18"/>
          <w:color w:val="auto"/>
        </w:rPr>
        <w:t>. Each Purchaser severally represents that it is purchasing the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its own account or for one or more separate accounts maintained by such Purchaser or for the account of one or more pension or trust funds and not with a view to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5" w:name="page316"/>
    <w:bookmarkEnd w:id="315"/>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177" w:lineRule="exact"/>
        <w:rPr>
          <w:sz w:val="20"/>
          <w:szCs w:val="20"/>
          <w:color w:val="auto"/>
        </w:rPr>
      </w:pPr>
    </w:p>
    <w:p>
      <w:pPr>
        <w:jc w:val="both"/>
        <w:ind w:firstLine="566"/>
        <w:spacing w:after="0" w:line="262" w:lineRule="auto"/>
        <w:rPr>
          <w:sz w:val="20"/>
          <w:szCs w:val="20"/>
          <w:color w:val="auto"/>
        </w:rPr>
      </w:pPr>
      <w:r>
        <w:rPr>
          <w:rFonts w:ascii="Times New Roman" w:cs="Times New Roman" w:eastAsia="Times New Roman" w:hAnsi="Times New Roman"/>
          <w:sz w:val="18"/>
          <w:szCs w:val="18"/>
          <w:i w:val="1"/>
          <w:iCs w:val="1"/>
          <w:color w:val="auto"/>
        </w:rPr>
        <w:t>Section 6.2. Source of Funds</w:t>
      </w:r>
      <w:r>
        <w:rPr>
          <w:rFonts w:ascii="Times New Roman" w:cs="Times New Roman" w:eastAsia="Times New Roman" w:hAnsi="Times New Roman"/>
          <w:sz w:val="18"/>
          <w:szCs w:val="18"/>
          <w:color w:val="auto"/>
        </w:rPr>
        <w:t>. Each Purchaser severally represents that at least one of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statements is an accurate representation as to each source of funds (a </w:t>
      </w:r>
      <w:r>
        <w:rPr>
          <w:rFonts w:ascii="Times New Roman" w:cs="Times New Roman" w:eastAsia="Times New Roman" w:hAnsi="Times New Roman"/>
          <w:sz w:val="18"/>
          <w:szCs w:val="18"/>
          <w:i w:val="1"/>
          <w:iCs w:val="1"/>
          <w:color w:val="auto"/>
        </w:rPr>
        <w:t>“Source”</w:t>
      </w:r>
      <w:r>
        <w:rPr>
          <w:rFonts w:ascii="Times New Roman" w:cs="Times New Roman" w:eastAsia="Times New Roman" w:hAnsi="Times New Roman"/>
          <w:sz w:val="18"/>
          <w:szCs w:val="18"/>
          <w:color w:val="auto"/>
        </w:rPr>
        <w:t>) to be used by such Purchaser to pay the purchase price of the Bonds to be purchased by such Purchaser hereunder: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6" w:name="page317"/>
    <w:bookmarkEnd w:id="316"/>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ind w:firstLine="1876"/>
        <w:spacing w:after="0" w:line="215" w:lineRule="exact"/>
        <w:tabs>
          <w:tab w:leader="none" w:pos="263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an “insurance company general account” (as the term is defined in the United States Department of Labor’s Prohibited Transaction Exemption (</w:t>
      </w:r>
      <w:r>
        <w:rPr>
          <w:rFonts w:ascii="Times New Roman" w:cs="Times New Roman" w:eastAsia="Times New Roman" w:hAnsi="Times New Roman"/>
          <w:sz w:val="18"/>
          <w:szCs w:val="18"/>
          <w:i w:val="1"/>
          <w:iCs w:val="1"/>
          <w:color w:val="auto"/>
        </w:rPr>
        <w:t>“PTE”</w:t>
      </w:r>
      <w:r>
        <w:rPr>
          <w:rFonts w:ascii="Times New Roman" w:cs="Times New Roman" w:eastAsia="Times New Roman" w:hAnsi="Times New Roman"/>
          <w:sz w:val="18"/>
          <w:szCs w:val="18"/>
          <w:color w:val="auto"/>
        </w:rPr>
        <w:t>) 95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60) in respect of which the reserves and liabilities (as defined by the annual statement for life insurance companies approved by the NAIC (the </w:t>
      </w:r>
      <w:r>
        <w:rPr>
          <w:rFonts w:ascii="Times New Roman" w:cs="Times New Roman" w:eastAsia="Times New Roman" w:hAnsi="Times New Roman"/>
          <w:sz w:val="18"/>
          <w:szCs w:val="18"/>
          <w:i w:val="1"/>
          <w:iCs w:val="1"/>
          <w:color w:val="auto"/>
        </w:rPr>
        <w:t>“NAIC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w:t>
      </w:r>
      <w:r>
        <w:rPr>
          <w:rFonts w:ascii="Times New Roman" w:cs="Times New Roman" w:eastAsia="Times New Roman" w:hAnsi="Times New Roman"/>
          <w:sz w:val="18"/>
          <w:szCs w:val="18"/>
          <w:color w:val="auto"/>
        </w:rPr>
        <w:t>)) for the general account contract(s) held by or on behalf of any employee benefit plan together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396" w:lineRule="exact"/>
        <w:rPr>
          <w:rFonts w:ascii="Times New Roman" w:cs="Times New Roman" w:eastAsia="Times New Roman" w:hAnsi="Times New Roman"/>
          <w:sz w:val="18"/>
          <w:szCs w:val="18"/>
          <w:color w:val="auto"/>
        </w:rPr>
      </w:pPr>
    </w:p>
    <w:p>
      <w:pPr>
        <w:jc w:val="both"/>
        <w:ind w:firstLine="1876"/>
        <w:spacing w:after="0" w:line="254" w:lineRule="auto"/>
        <w:tabs>
          <w:tab w:leader="none" w:pos="264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74" w:lineRule="exact"/>
        <w:rPr>
          <w:rFonts w:ascii="Times New Roman" w:cs="Times New Roman" w:eastAsia="Times New Roman" w:hAnsi="Times New Roman"/>
          <w:sz w:val="18"/>
          <w:szCs w:val="18"/>
          <w:color w:val="auto"/>
        </w:rPr>
      </w:pPr>
    </w:p>
    <w:p>
      <w:pPr>
        <w:jc w:val="both"/>
        <w:ind w:firstLine="1876"/>
        <w:spacing w:after="0" w:line="217" w:lineRule="exact"/>
        <w:tabs>
          <w:tab w:leader="none" w:pos="263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either (i) an insurance company pooled separate account, within the meaning of PTE 90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or (ii) a bank collective investment fund, within the meaning of the PTE 91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88" w:lineRule="exact"/>
        <w:rPr>
          <w:rFonts w:ascii="Times New Roman" w:cs="Times New Roman" w:eastAsia="Times New Roman" w:hAnsi="Times New Roman"/>
          <w:sz w:val="18"/>
          <w:szCs w:val="18"/>
          <w:color w:val="auto"/>
        </w:rPr>
      </w:pPr>
    </w:p>
    <w:p>
      <w:pPr>
        <w:jc w:val="both"/>
        <w:ind w:firstLine="1876"/>
        <w:spacing w:after="0" w:line="212" w:lineRule="exact"/>
        <w:tabs>
          <w:tab w:leader="none" w:pos="264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constitutes assets of an “investment fund” (within the meaning of Part VI of PTE 84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14 (the </w:t>
      </w:r>
      <w:r>
        <w:rPr>
          <w:rFonts w:ascii="Times New Roman" w:cs="Times New Roman" w:eastAsia="Times New Roman" w:hAnsi="Times New Roman"/>
          <w:sz w:val="18"/>
          <w:szCs w:val="18"/>
          <w:i w:val="1"/>
          <w:iCs w:val="1"/>
          <w:color w:val="auto"/>
        </w:rPr>
        <w:t>“QPAM Exemption”</w:t>
      </w:r>
      <w:r>
        <w:rPr>
          <w:rFonts w:ascii="Times New Roman" w:cs="Times New Roman" w:eastAsia="Times New Roman" w:hAnsi="Times New Roman"/>
          <w:sz w:val="18"/>
          <w:szCs w:val="18"/>
          <w:color w:val="auto"/>
        </w:rPr>
        <w:t>)) managed by a “</w:t>
      </w:r>
      <w:r>
        <w:rPr>
          <w:rFonts w:ascii="Times New Roman" w:cs="Times New Roman" w:eastAsia="Times New Roman" w:hAnsi="Times New Roman"/>
          <w:sz w:val="18"/>
          <w:szCs w:val="18"/>
          <w:i w:val="1"/>
          <w:iCs w:val="1"/>
          <w:color w:val="auto"/>
        </w:rPr>
        <w:t>qualified professional asset manager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QPAM</w:t>
      </w:r>
      <w:r>
        <w:rPr>
          <w:rFonts w:ascii="Times New Roman" w:cs="Times New Roman" w:eastAsia="Times New Roman" w:hAnsi="Times New Roman"/>
          <w:sz w:val="18"/>
          <w:szCs w:val="18"/>
          <w:color w:val="auto"/>
        </w:rPr>
        <w:t>”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7" w:name="page318"/>
    <w:bookmarkEnd w:id="317"/>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17" w:lineRule="exact"/>
        <w:rPr>
          <w:sz w:val="20"/>
          <w:szCs w:val="20"/>
          <w:color w:val="auto"/>
        </w:rPr>
      </w:pPr>
    </w:p>
    <w:p>
      <w:pPr>
        <w:jc w:val="both"/>
        <w:ind w:firstLine="1876"/>
        <w:spacing w:after="0" w:line="215" w:lineRule="exact"/>
        <w:tabs>
          <w:tab w:leader="none" w:pos="263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constitutes assets of a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(within the meaning of Part IV(h) of PTE 96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23 (the </w:t>
      </w:r>
      <w:r>
        <w:rPr>
          <w:rFonts w:ascii="Times New Roman" w:cs="Times New Roman" w:eastAsia="Times New Roman" w:hAnsi="Times New Roman"/>
          <w:sz w:val="18"/>
          <w:szCs w:val="18"/>
          <w:i w:val="1"/>
          <w:iCs w:val="1"/>
          <w:color w:val="auto"/>
        </w:rPr>
        <w:t>“INHAM Exemption”</w:t>
      </w:r>
      <w:r>
        <w:rPr>
          <w:rFonts w:ascii="Times New Roman" w:cs="Times New Roman" w:eastAsia="Times New Roman" w:hAnsi="Times New Roman"/>
          <w:sz w:val="18"/>
          <w:szCs w:val="18"/>
          <w:color w:val="auto"/>
        </w:rPr>
        <w:t>)) managed by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 asset manager” or “</w:t>
      </w:r>
      <w:r>
        <w:rPr>
          <w:rFonts w:ascii="Times New Roman" w:cs="Times New Roman" w:eastAsia="Times New Roman" w:hAnsi="Times New Roman"/>
          <w:sz w:val="18"/>
          <w:szCs w:val="18"/>
          <w:i w:val="1"/>
          <w:iCs w:val="1"/>
          <w:color w:val="auto"/>
        </w:rPr>
        <w:t>INHAM</w:t>
      </w:r>
      <w:r>
        <w:rPr>
          <w:rFonts w:ascii="Times New Roman" w:cs="Times New Roman" w:eastAsia="Times New Roman" w:hAnsi="Times New Roman"/>
          <w:sz w:val="18"/>
          <w:szCs w:val="18"/>
          <w:color w:val="auto"/>
        </w:rPr>
        <w:t>” (within the meaning of Part IV(a) of the INHAM Exemption), the conditions of Part I(a), (g) and (h) of the INHAM Exemption are satisfied, neither the INHAM nor a person controlling or controlled by the INHAM (applying the definition of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187" w:lineRule="exact"/>
        <w:rPr>
          <w:rFonts w:ascii="Times New Roman" w:cs="Times New Roman" w:eastAsia="Times New Roman" w:hAnsi="Times New Roman"/>
          <w:sz w:val="18"/>
          <w:szCs w:val="18"/>
          <w:color w:val="auto"/>
        </w:rPr>
      </w:pPr>
    </w:p>
    <w:p>
      <w:pPr>
        <w:ind w:left="2620" w:hanging="744"/>
        <w:spacing w:after="0"/>
        <w:tabs>
          <w:tab w:leader="none" w:pos="2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a governmental plan; or</w:t>
      </w:r>
    </w:p>
    <w:p>
      <w:pPr>
        <w:spacing w:after="0" w:line="220" w:lineRule="exact"/>
        <w:rPr>
          <w:rFonts w:ascii="Times New Roman" w:cs="Times New Roman" w:eastAsia="Times New Roman" w:hAnsi="Times New Roman"/>
          <w:sz w:val="18"/>
          <w:szCs w:val="18"/>
          <w:color w:val="auto"/>
        </w:rPr>
      </w:pPr>
    </w:p>
    <w:p>
      <w:pPr>
        <w:jc w:val="both"/>
        <w:ind w:firstLine="1922"/>
        <w:spacing w:after="0" w:line="260" w:lineRule="auto"/>
        <w:tabs>
          <w:tab w:leader="none" w:pos="2691"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70" w:lineRule="exact"/>
        <w:rPr>
          <w:rFonts w:ascii="Times New Roman" w:cs="Times New Roman" w:eastAsia="Times New Roman" w:hAnsi="Times New Roman"/>
          <w:sz w:val="18"/>
          <w:szCs w:val="18"/>
          <w:color w:val="auto"/>
        </w:rPr>
      </w:pPr>
    </w:p>
    <w:p>
      <w:pPr>
        <w:ind w:firstLine="1934"/>
        <w:spacing w:after="0" w:line="280" w:lineRule="auto"/>
        <w:tabs>
          <w:tab w:leader="none" w:pos="2702"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does not include assets of any employee benefit plan, other than a plan exempt from the coverage of ERISA; or</w:t>
      </w:r>
    </w:p>
    <w:p>
      <w:pPr>
        <w:spacing w:after="0" w:line="152" w:lineRule="exact"/>
        <w:rPr>
          <w:sz w:val="20"/>
          <w:szCs w:val="20"/>
          <w:color w:val="auto"/>
        </w:rPr>
      </w:pPr>
    </w:p>
    <w:p>
      <w:pPr>
        <w:ind w:left="1120" w:firstLine="2081"/>
        <w:spacing w:after="0" w:line="280" w:lineRule="auto"/>
        <w:tabs>
          <w:tab w:leader="none" w:pos="39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Qualified Investors in the United Kingdom, the Source constitutes assets of a Qualified Investor.</w:t>
      </w:r>
    </w:p>
    <w:p>
      <w:pPr>
        <w:spacing w:after="0" w:line="14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As used in this Section 6.2, the terms </w:t>
      </w:r>
      <w:r>
        <w:rPr>
          <w:rFonts w:ascii="Times New Roman" w:cs="Times New Roman" w:eastAsia="Times New Roman" w:hAnsi="Times New Roman"/>
          <w:sz w:val="18"/>
          <w:szCs w:val="18"/>
          <w:i w:val="1"/>
          <w:iCs w:val="1"/>
          <w:color w:val="auto"/>
        </w:rPr>
        <w:t>“employee benefit plan,” “governmental plan,”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“separate account”</w:t>
      </w:r>
      <w:r>
        <w:rPr>
          <w:rFonts w:ascii="Times New Roman" w:cs="Times New Roman" w:eastAsia="Times New Roman" w:hAnsi="Times New Roman"/>
          <w:sz w:val="18"/>
          <w:szCs w:val="18"/>
          <w:color w:val="auto"/>
        </w:rPr>
        <w:t xml:space="preserve"> shall have the respective meanings assigned to such terms in section 3 of ERISA.</w:t>
      </w:r>
    </w:p>
    <w:p>
      <w:pPr>
        <w:spacing w:after="0" w:line="17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color w:val="auto"/>
        </w:rPr>
        <w:t>INFORMATION AS TO COMPANY</w:t>
      </w:r>
    </w:p>
    <w:p>
      <w:pPr>
        <w:spacing w:after="0" w:line="216" w:lineRule="exact"/>
        <w:rPr>
          <w:sz w:val="20"/>
          <w:szCs w:val="20"/>
          <w:color w:val="auto"/>
        </w:rPr>
      </w:pPr>
    </w:p>
    <w:p>
      <w:pPr>
        <w:ind w:firstLine="56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7.1. Financial and Business Information </w:t>
      </w:r>
      <w:r>
        <w:rPr>
          <w:rFonts w:ascii="Times New Roman" w:cs="Times New Roman" w:eastAsia="Times New Roman" w:hAnsi="Times New Roman"/>
          <w:sz w:val="18"/>
          <w:szCs w:val="18"/>
          <w:color w:val="auto"/>
        </w:rPr>
        <w:t>The Company shall deliver to each Purchaser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Bonds that is an Institutional Investor:</w:t>
      </w:r>
    </w:p>
    <w:p>
      <w:pPr>
        <w:spacing w:after="0" w:line="145" w:lineRule="exact"/>
        <w:rPr>
          <w:sz w:val="20"/>
          <w:szCs w:val="20"/>
          <w:color w:val="auto"/>
        </w:rPr>
      </w:pPr>
    </w:p>
    <w:p>
      <w:pPr>
        <w:ind w:firstLine="1876"/>
        <w:spacing w:after="0" w:line="284" w:lineRule="auto"/>
        <w:tabs>
          <w:tab w:leader="none" w:pos="263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Quarterly Statements </w:t>
      </w:r>
      <w:r>
        <w:rPr>
          <w:rFonts w:ascii="Times New Roman" w:cs="Times New Roman" w:eastAsia="Times New Roman" w:hAnsi="Times New Roman"/>
          <w:sz w:val="18"/>
          <w:szCs w:val="18"/>
          <w:color w:val="auto"/>
        </w:rPr>
        <w:t>— within 60 days after the end of each quarterly fiscal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fiscal year of the Company (other than the last quarterly fiscal period of each such fiscal year), duplicate copies of:</w:t>
      </w:r>
    </w:p>
    <w:p>
      <w:pPr>
        <w:spacing w:after="0" w:line="149" w:lineRule="exact"/>
        <w:rPr>
          <w:rFonts w:ascii="Times New Roman" w:cs="Times New Roman" w:eastAsia="Times New Roman" w:hAnsi="Times New Roman"/>
          <w:sz w:val="18"/>
          <w:szCs w:val="18"/>
          <w:color w:val="auto"/>
        </w:rPr>
      </w:pPr>
    </w:p>
    <w:p>
      <w:pPr>
        <w:ind w:left="3940" w:hanging="739"/>
        <w:spacing w:after="0"/>
        <w:tabs>
          <w:tab w:leader="none" w:pos="394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balance sheet of the Company and its Subsidiaries as</w:t>
      </w:r>
    </w:p>
    <w:p>
      <w:pPr>
        <w:spacing w:after="0" w:line="2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quarter, and</w:t>
      </w:r>
    </w:p>
    <w:p>
      <w:pPr>
        <w:spacing w:after="0" w:line="200" w:lineRule="exact"/>
        <w:rPr>
          <w:rFonts w:ascii="Times New Roman" w:cs="Times New Roman" w:eastAsia="Times New Roman" w:hAnsi="Times New Roman"/>
          <w:sz w:val="18"/>
          <w:szCs w:val="18"/>
          <w:color w:val="auto"/>
        </w:rPr>
      </w:pPr>
    </w:p>
    <w:p>
      <w:pPr>
        <w:jc w:val="both"/>
        <w:ind w:left="1120" w:firstLine="2081"/>
        <w:spacing w:after="0" w:line="260" w:lineRule="auto"/>
        <w:tabs>
          <w:tab w:leader="none" w:pos="3991"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8" w:name="page319"/>
    <w:bookmarkEnd w:id="318"/>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190"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their results of operations and cash flows, subject to changes resulting from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end adjustments,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within the time period specified above of the Company’s said financial statements, prepared in accordance with the requirements therefor and filed with the Municipal Securities Rulemaking Board on the Electronic Municipal Market Access (“</w:t>
      </w:r>
      <w:r>
        <w:rPr>
          <w:rFonts w:ascii="Times New Roman" w:cs="Times New Roman" w:eastAsia="Times New Roman" w:hAnsi="Times New Roman"/>
          <w:sz w:val="18"/>
          <w:szCs w:val="18"/>
          <w:i w:val="1"/>
          <w:iCs w:val="1"/>
          <w:color w:val="auto"/>
        </w:rPr>
        <w:t>EMMA</w:t>
      </w:r>
      <w:r>
        <w:rPr>
          <w:rFonts w:ascii="Times New Roman" w:cs="Times New Roman" w:eastAsia="Times New Roman" w:hAnsi="Times New Roman"/>
          <w:sz w:val="18"/>
          <w:szCs w:val="18"/>
          <w:color w:val="auto"/>
        </w:rPr>
        <w:t xml:space="preserve">”) database shall be deemed to satisfy the requirements of this </w:t>
      </w:r>
      <w:r>
        <w:rPr>
          <w:rFonts w:ascii="Times New Roman" w:cs="Times New Roman" w:eastAsia="Times New Roman" w:hAnsi="Times New Roman"/>
          <w:sz w:val="18"/>
          <w:szCs w:val="18"/>
          <w:b w:val="1"/>
          <w:bCs w:val="1"/>
          <w:color w:val="auto"/>
        </w:rPr>
        <w:t>Section 7.1(a)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640" w:hanging="764"/>
        <w:spacing w:after="0"/>
        <w:tabs>
          <w:tab w:leader="none" w:pos="26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Statements </w:t>
      </w:r>
      <w:r>
        <w:rPr>
          <w:rFonts w:ascii="Times New Roman" w:cs="Times New Roman" w:eastAsia="Times New Roman" w:hAnsi="Times New Roman"/>
          <w:sz w:val="18"/>
          <w:szCs w:val="18"/>
          <w:color w:val="auto"/>
        </w:rPr>
        <w:t>— within 120 days after the end of each fiscal year of the</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duplicate copies of:</w:t>
      </w:r>
    </w:p>
    <w:p>
      <w:pPr>
        <w:spacing w:after="0" w:line="200" w:lineRule="exact"/>
        <w:rPr>
          <w:rFonts w:ascii="Times New Roman" w:cs="Times New Roman" w:eastAsia="Times New Roman" w:hAnsi="Times New Roman"/>
          <w:sz w:val="18"/>
          <w:szCs w:val="18"/>
          <w:color w:val="auto"/>
        </w:rPr>
      </w:pPr>
    </w:p>
    <w:p>
      <w:pPr>
        <w:ind w:left="3940" w:hanging="739"/>
        <w:spacing w:after="0"/>
        <w:tabs>
          <w:tab w:leader="none" w:pos="394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balance sheet of the Company and its Subsidiaries, as</w:t>
      </w:r>
    </w:p>
    <w:p>
      <w:pPr>
        <w:spacing w:after="0" w:line="2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year, and</w:t>
      </w:r>
    </w:p>
    <w:p>
      <w:pPr>
        <w:spacing w:after="0" w:line="200" w:lineRule="exact"/>
        <w:rPr>
          <w:rFonts w:ascii="Times New Roman" w:cs="Times New Roman" w:eastAsia="Times New Roman" w:hAnsi="Times New Roman"/>
          <w:sz w:val="18"/>
          <w:szCs w:val="18"/>
          <w:color w:val="auto"/>
        </w:rPr>
      </w:pPr>
    </w:p>
    <w:p>
      <w:pPr>
        <w:ind w:left="1120" w:firstLine="2081"/>
        <w:spacing w:after="0" w:line="280" w:lineRule="auto"/>
        <w:tabs>
          <w:tab w:leader="none" w:pos="399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changes in shareholders’ equity and cash flows of the Company and its Subsidiaries for such year,</w:t>
      </w:r>
    </w:p>
    <w:p>
      <w:pPr>
        <w:spacing w:after="0" w:line="152" w:lineRule="exact"/>
        <w:rPr>
          <w:sz w:val="20"/>
          <w:szCs w:val="20"/>
          <w:color w:val="auto"/>
        </w:rPr>
      </w:pPr>
    </w:p>
    <w:p>
      <w:pPr>
        <w:jc w:val="both"/>
        <w:ind w:left="1120"/>
        <w:spacing w:after="0" w:line="244" w:lineRule="auto"/>
        <w:rPr>
          <w:sz w:val="20"/>
          <w:szCs w:val="20"/>
          <w:color w:val="auto"/>
        </w:rPr>
      </w:pPr>
      <w:r>
        <w:rPr>
          <w:rFonts w:ascii="Times New Roman" w:cs="Times New Roman" w:eastAsia="Times New Roman" w:hAnsi="Times New Roman"/>
          <w:sz w:val="18"/>
          <w:szCs w:val="18"/>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provided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w:t>
      </w:r>
      <w:r>
        <w:rPr>
          <w:rFonts w:ascii="Times New Roman" w:cs="Times New Roman" w:eastAsia="Times New Roman" w:hAnsi="Times New Roman"/>
          <w:sz w:val="18"/>
          <w:szCs w:val="18"/>
          <w:b w:val="1"/>
          <w:bCs w:val="1"/>
          <w:color w:val="auto"/>
        </w:rPr>
        <w:t>Section 7.1(b)</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9" w:name="page320"/>
    <w:bookmarkEnd w:id="319"/>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17" w:lineRule="exact"/>
        <w:rPr>
          <w:sz w:val="20"/>
          <w:szCs w:val="20"/>
          <w:color w:val="auto"/>
        </w:rPr>
      </w:pPr>
    </w:p>
    <w:p>
      <w:pPr>
        <w:ind w:left="2640" w:hanging="764"/>
        <w:spacing w:after="0"/>
        <w:tabs>
          <w:tab w:leader="none" w:pos="264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 and Other Reports </w:t>
      </w:r>
      <w:r>
        <w:rPr>
          <w:rFonts w:ascii="Times New Roman" w:cs="Times New Roman" w:eastAsia="Times New Roman" w:hAnsi="Times New Roman"/>
          <w:sz w:val="18"/>
          <w:szCs w:val="18"/>
          <w:color w:val="auto"/>
        </w:rPr>
        <w:t>— promptly upon their becoming available, one copy of</w:t>
      </w:r>
    </w:p>
    <w:p>
      <w:pPr>
        <w:spacing w:after="0" w:line="24" w:lineRule="exact"/>
        <w:rPr>
          <w:rFonts w:ascii="Times New Roman" w:cs="Times New Roman" w:eastAsia="Times New Roman" w:hAnsi="Times New Roman"/>
          <w:sz w:val="18"/>
          <w:szCs w:val="18"/>
          <w:color w:val="auto"/>
        </w:rPr>
      </w:pPr>
    </w:p>
    <w:p>
      <w:pPr>
        <w:jc w:val="both"/>
        <w:ind w:firstLine="1"/>
        <w:spacing w:after="0" w:line="241" w:lineRule="auto"/>
        <w:tabs>
          <w:tab w:leader="none" w:pos="25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financial statement, report, notice, or proxy statement sent by the Company or any Subsidiary to its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Subsidiary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7.1(c);</w:t>
      </w:r>
    </w:p>
    <w:p>
      <w:pPr>
        <w:spacing w:after="0" w:line="196" w:lineRule="exact"/>
        <w:rPr>
          <w:rFonts w:ascii="Times New Roman" w:cs="Times New Roman" w:eastAsia="Times New Roman" w:hAnsi="Times New Roman"/>
          <w:sz w:val="18"/>
          <w:szCs w:val="18"/>
          <w:color w:val="auto"/>
        </w:rPr>
      </w:pPr>
    </w:p>
    <w:p>
      <w:pPr>
        <w:jc w:val="both"/>
        <w:ind w:firstLine="1876"/>
        <w:spacing w:after="0" w:line="262" w:lineRule="auto"/>
        <w:tabs>
          <w:tab w:leader="none" w:pos="2645"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Default or Event of Default </w:t>
      </w:r>
      <w:r>
        <w:rPr>
          <w:rFonts w:ascii="Times New Roman" w:cs="Times New Roman" w:eastAsia="Times New Roman" w:hAnsi="Times New Roman"/>
          <w:sz w:val="18"/>
          <w:szCs w:val="18"/>
          <w:color w:val="auto"/>
        </w:rPr>
        <w:t>— promptly, and in any event within five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a Responsible Officer becomes aware of the existence of any Default or Event of Default, a written notice specifying the nature and period of existence thereof and what action the Company is taking or proposes to take with respect thereto;</w:t>
      </w:r>
    </w:p>
    <w:p>
      <w:pPr>
        <w:spacing w:after="0" w:line="165" w:lineRule="exact"/>
        <w:rPr>
          <w:rFonts w:ascii="Times New Roman" w:cs="Times New Roman" w:eastAsia="Times New Roman" w:hAnsi="Times New Roman"/>
          <w:sz w:val="18"/>
          <w:szCs w:val="18"/>
          <w:color w:val="auto"/>
        </w:rPr>
      </w:pPr>
    </w:p>
    <w:p>
      <w:pPr>
        <w:jc w:val="both"/>
        <w:ind w:firstLine="1876"/>
        <w:spacing w:after="0" w:line="262" w:lineRule="auto"/>
        <w:tabs>
          <w:tab w:leader="none" w:pos="263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Benefits Matters </w:t>
      </w:r>
      <w:r>
        <w:rPr>
          <w:rFonts w:ascii="Times New Roman" w:cs="Times New Roman" w:eastAsia="Times New Roman" w:hAnsi="Times New Roman"/>
          <w:sz w:val="18"/>
          <w:szCs w:val="18"/>
          <w:color w:val="auto"/>
        </w:rPr>
        <w:t>— promptly, and in any event within five days after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Officer becomes aware of any of the following, a written notice setting forth the nature thereof and the action, if any, that the Company or an ERISA Affiliate proposes to take with respect thereto:</w:t>
      </w:r>
    </w:p>
    <w:p>
      <w:pPr>
        <w:spacing w:after="0" w:line="169" w:lineRule="exact"/>
        <w:rPr>
          <w:rFonts w:ascii="Times New Roman" w:cs="Times New Roman" w:eastAsia="Times New Roman" w:hAnsi="Times New Roman"/>
          <w:sz w:val="18"/>
          <w:szCs w:val="18"/>
          <w:color w:val="auto"/>
        </w:rPr>
      </w:pPr>
    </w:p>
    <w:p>
      <w:pPr>
        <w:jc w:val="both"/>
        <w:ind w:left="1120" w:firstLine="2081"/>
        <w:spacing w:after="0" w:line="254" w:lineRule="auto"/>
        <w:tabs>
          <w:tab w:leader="none" w:pos="3940"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or</w:t>
      </w:r>
    </w:p>
    <w:p>
      <w:pPr>
        <w:spacing w:after="0" w:line="174" w:lineRule="exact"/>
        <w:rPr>
          <w:rFonts w:ascii="Times New Roman" w:cs="Times New Roman" w:eastAsia="Times New Roman" w:hAnsi="Times New Roman"/>
          <w:sz w:val="18"/>
          <w:szCs w:val="18"/>
          <w:color w:val="auto"/>
        </w:rPr>
      </w:pPr>
    </w:p>
    <w:p>
      <w:pPr>
        <w:jc w:val="both"/>
        <w:ind w:left="1120" w:firstLine="2081"/>
        <w:spacing w:after="0" w:line="250" w:lineRule="auto"/>
        <w:tabs>
          <w:tab w:leader="none" w:pos="3991"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181" w:lineRule="exact"/>
        <w:rPr>
          <w:rFonts w:ascii="Times New Roman" w:cs="Times New Roman" w:eastAsia="Times New Roman" w:hAnsi="Times New Roman"/>
          <w:sz w:val="18"/>
          <w:szCs w:val="18"/>
          <w:color w:val="auto"/>
        </w:rPr>
      </w:pPr>
    </w:p>
    <w:p>
      <w:pPr>
        <w:jc w:val="both"/>
        <w:ind w:left="1120" w:firstLine="2081"/>
        <w:spacing w:after="0" w:line="247" w:lineRule="auto"/>
        <w:tabs>
          <w:tab w:leader="none" w:pos="4042"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392" w:lineRule="exact"/>
        <w:rPr>
          <w:rFonts w:ascii="Times New Roman" w:cs="Times New Roman" w:eastAsia="Times New Roman" w:hAnsi="Times New Roman"/>
          <w:sz w:val="18"/>
          <w:szCs w:val="18"/>
          <w:color w:val="auto"/>
        </w:rPr>
      </w:pPr>
    </w:p>
    <w:p>
      <w:pPr>
        <w:jc w:val="both"/>
        <w:ind w:firstLine="1876"/>
        <w:spacing w:after="0" w:line="255" w:lineRule="auto"/>
        <w:tabs>
          <w:tab w:leader="none" w:pos="261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from Governmental Authority </w:t>
      </w:r>
      <w:r>
        <w:rPr>
          <w:rFonts w:ascii="Times New Roman" w:cs="Times New Roman" w:eastAsia="Times New Roman" w:hAnsi="Times New Roman"/>
          <w:sz w:val="18"/>
          <w:szCs w:val="18"/>
          <w:color w:val="auto"/>
        </w:rPr>
        <w:t>— promptly, and in any event within 30 days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0" w:name="page321"/>
    <w:bookmarkEnd w:id="320"/>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17" w:lineRule="exact"/>
        <w:rPr>
          <w:sz w:val="20"/>
          <w:szCs w:val="20"/>
          <w:color w:val="auto"/>
        </w:rPr>
      </w:pPr>
    </w:p>
    <w:p>
      <w:pPr>
        <w:jc w:val="both"/>
        <w:ind w:firstLine="1876"/>
        <w:spacing w:after="0" w:line="247" w:lineRule="auto"/>
        <w:tabs>
          <w:tab w:leader="none" w:pos="264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Requested Information </w:t>
      </w:r>
      <w:r>
        <w:rPr>
          <w:rFonts w:ascii="Times New Roman" w:cs="Times New Roman" w:eastAsia="Times New Roman" w:hAnsi="Times New Roman"/>
          <w:sz w:val="18"/>
          <w:szCs w:val="18"/>
          <w:color w:val="auto"/>
        </w:rPr>
        <w:t>— with reasonable promptness, following the receipt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of 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178" w:lineRule="exact"/>
        <w:rPr>
          <w:rFonts w:ascii="Times New Roman" w:cs="Times New Roman" w:eastAsia="Times New Roman" w:hAnsi="Times New Roman"/>
          <w:sz w:val="18"/>
          <w:szCs w:val="18"/>
          <w:color w:val="auto"/>
        </w:rPr>
      </w:pPr>
    </w:p>
    <w:p>
      <w:pPr>
        <w:jc w:val="both"/>
        <w:ind w:firstLine="1876"/>
        <w:spacing w:after="0" w:line="262" w:lineRule="auto"/>
        <w:tabs>
          <w:tab w:leader="none" w:pos="264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Deliveries to Trustee </w:t>
      </w:r>
      <w:r>
        <w:rPr>
          <w:rFonts w:ascii="Times New Roman" w:cs="Times New Roman" w:eastAsia="Times New Roman" w:hAnsi="Times New Roman"/>
          <w:sz w:val="18"/>
          <w:szCs w:val="18"/>
          <w:color w:val="auto"/>
        </w:rPr>
        <w:t>— promptly, and in any event within five days after delivery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a copy of any deliveries made by the Company to the Trustee, including without limitation the annual report delivered to the Trustee pursuant to Article VIII, Section 12 of the Indenture.</w:t>
      </w:r>
    </w:p>
    <w:p>
      <w:pPr>
        <w:spacing w:after="0" w:line="165" w:lineRule="exact"/>
        <w:rPr>
          <w:sz w:val="20"/>
          <w:szCs w:val="20"/>
          <w:color w:val="auto"/>
        </w:rPr>
      </w:pPr>
    </w:p>
    <w:p>
      <w:pPr>
        <w:jc w:val="both"/>
        <w:ind w:firstLine="566"/>
        <w:spacing w:after="0" w:line="245" w:lineRule="auto"/>
        <w:rPr>
          <w:sz w:val="20"/>
          <w:szCs w:val="20"/>
          <w:color w:val="auto"/>
        </w:rPr>
      </w:pPr>
      <w:r>
        <w:rPr>
          <w:rFonts w:ascii="Times New Roman" w:cs="Times New Roman" w:eastAsia="Times New Roman" w:hAnsi="Times New Roman"/>
          <w:sz w:val="18"/>
          <w:szCs w:val="18"/>
          <w:i w:val="1"/>
          <w:iCs w:val="1"/>
          <w:color w:val="auto"/>
        </w:rPr>
        <w:t>Section 7.2 Officer’s Certificate</w:t>
      </w:r>
      <w:r>
        <w:rPr>
          <w:rFonts w:ascii="Times New Roman" w:cs="Times New Roman" w:eastAsia="Times New Roman" w:hAnsi="Times New Roman"/>
          <w:sz w:val="18"/>
          <w:szCs w:val="18"/>
          <w:color w:val="auto"/>
        </w:rPr>
        <w:t>. Each set of financial statements delivered to a holder of Bonds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7.1(b)</w:t>
      </w:r>
      <w:r>
        <w:rPr>
          <w:rFonts w:ascii="Times New Roman" w:cs="Times New Roman" w:eastAsia="Times New Roman" w:hAnsi="Times New Roman"/>
          <w:sz w:val="18"/>
          <w:szCs w:val="18"/>
          <w:color w:val="auto"/>
        </w:rPr>
        <w:t xml:space="preserve">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390" w:lineRule="exact"/>
        <w:rPr>
          <w:sz w:val="20"/>
          <w:szCs w:val="20"/>
          <w:color w:val="auto"/>
        </w:rPr>
      </w:pPr>
    </w:p>
    <w:p>
      <w:pPr>
        <w:ind w:left="560"/>
        <w:spacing w:after="0"/>
        <w:tabs>
          <w:tab w:leader="none" w:pos="1960" w:val="left"/>
        </w:tabs>
        <w:rPr>
          <w:sz w:val="20"/>
          <w:szCs w:val="20"/>
          <w:color w:val="auto"/>
        </w:rPr>
      </w:pPr>
      <w:r>
        <w:rPr>
          <w:rFonts w:ascii="Times New Roman" w:cs="Times New Roman" w:eastAsia="Times New Roman" w:hAnsi="Times New Roman"/>
          <w:sz w:val="18"/>
          <w:szCs w:val="18"/>
          <w:i w:val="1"/>
          <w:iCs w:val="1"/>
          <w:color w:val="auto"/>
        </w:rPr>
        <w:t>Section 7.3.</w:t>
      </w:r>
      <w:r>
        <w:rPr>
          <w:sz w:val="20"/>
          <w:szCs w:val="20"/>
          <w:color w:val="auto"/>
        </w:rPr>
        <w:tab/>
      </w:r>
      <w:r>
        <w:rPr>
          <w:rFonts w:ascii="Times New Roman" w:cs="Times New Roman" w:eastAsia="Times New Roman" w:hAnsi="Times New Roman"/>
          <w:sz w:val="18"/>
          <w:szCs w:val="18"/>
          <w:i w:val="1"/>
          <w:iCs w:val="1"/>
          <w:color w:val="auto"/>
        </w:rPr>
        <w:t>Visitation</w:t>
      </w:r>
      <w:r>
        <w:rPr>
          <w:rFonts w:ascii="Times New Roman" w:cs="Times New Roman" w:eastAsia="Times New Roman" w:hAnsi="Times New Roman"/>
          <w:sz w:val="18"/>
          <w:szCs w:val="18"/>
          <w:color w:val="auto"/>
        </w:rPr>
        <w:t>. The Company shall permit the representatives of each Purchaser and each holder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Bonds that is an Institutional Investor: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1" w:name="page322"/>
    <w:bookmarkEnd w:id="321"/>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17" w:lineRule="exact"/>
        <w:rPr>
          <w:sz w:val="20"/>
          <w:szCs w:val="20"/>
          <w:color w:val="auto"/>
        </w:rPr>
      </w:pPr>
    </w:p>
    <w:p>
      <w:pPr>
        <w:jc w:val="both"/>
        <w:ind w:firstLine="1876"/>
        <w:spacing w:after="0" w:line="249" w:lineRule="auto"/>
        <w:tabs>
          <w:tab w:leader="none" w:pos="263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Default </w:t>
      </w:r>
      <w:r>
        <w:rPr>
          <w:rFonts w:ascii="Times New Roman" w:cs="Times New Roman" w:eastAsia="Times New Roman" w:hAnsi="Times New Roman"/>
          <w:sz w:val="18"/>
          <w:szCs w:val="18"/>
          <w:color w:val="auto"/>
        </w:rPr>
        <w:t>— if no Default or Event of Default then exists, at the expense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178" w:lineRule="exact"/>
        <w:rPr>
          <w:rFonts w:ascii="Times New Roman" w:cs="Times New Roman" w:eastAsia="Times New Roman" w:hAnsi="Times New Roman"/>
          <w:sz w:val="18"/>
          <w:szCs w:val="18"/>
          <w:color w:val="auto"/>
        </w:rPr>
      </w:pPr>
    </w:p>
    <w:p>
      <w:pPr>
        <w:jc w:val="both"/>
        <w:ind w:firstLine="1876"/>
        <w:spacing w:after="0" w:line="249" w:lineRule="auto"/>
        <w:tabs>
          <w:tab w:leader="none" w:pos="264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 if a Default or Event of Default then exists, at the expense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color w:val="auto"/>
        </w:rPr>
        <w:t>PURCHASE OF BONDS</w:t>
      </w:r>
    </w:p>
    <w:p>
      <w:pPr>
        <w:spacing w:after="0" w:line="220"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 (b) 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200" w:lineRule="exact"/>
        <w:rPr>
          <w:sz w:val="20"/>
          <w:szCs w:val="20"/>
          <w:color w:val="auto"/>
        </w:rPr>
      </w:pPr>
    </w:p>
    <w:p>
      <w:pPr>
        <w:spacing w:after="0" w:line="22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8"/>
          <w:szCs w:val="18"/>
          <w:color w:val="auto"/>
        </w:rPr>
        <w:t>AFFIRMATIVE COVENANTS.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covenants that from the date of this Agreement and thereafter, so long as any of the Bonds are outstanding:</w:t>
      </w:r>
    </w:p>
    <w:p>
      <w:pPr>
        <w:spacing w:after="0" w:line="216" w:lineRule="exact"/>
        <w:rPr>
          <w:sz w:val="20"/>
          <w:szCs w:val="20"/>
          <w:color w:val="auto"/>
        </w:rPr>
      </w:pPr>
    </w:p>
    <w:p>
      <w:pPr>
        <w:jc w:val="both"/>
        <w:ind w:firstLine="566"/>
        <w:spacing w:after="0" w:line="215" w:lineRule="exact"/>
        <w:rPr>
          <w:sz w:val="20"/>
          <w:szCs w:val="20"/>
          <w:color w:val="auto"/>
        </w:rPr>
      </w:pPr>
      <w:r>
        <w:rPr>
          <w:rFonts w:ascii="Times New Roman" w:cs="Times New Roman" w:eastAsia="Times New Roman" w:hAnsi="Times New Roman"/>
          <w:sz w:val="18"/>
          <w:szCs w:val="18"/>
          <w:i w:val="1"/>
          <w:iCs w:val="1"/>
          <w:color w:val="auto"/>
        </w:rPr>
        <w:t>Section 9.1. Compliance with Law</w:t>
      </w:r>
      <w:r>
        <w:rPr>
          <w:rFonts w:ascii="Times New Roman" w:cs="Times New Roman" w:eastAsia="Times New Roman" w:hAnsi="Times New Roman"/>
          <w:sz w:val="18"/>
          <w:szCs w:val="18"/>
          <w:color w:val="auto"/>
        </w:rPr>
        <w:t>. Without limiting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10.4</w:t>
      </w:r>
      <w:r>
        <w:rPr>
          <w:rFonts w:ascii="Times New Roman" w:cs="Times New Roman" w:eastAsia="Times New Roman" w:hAnsi="Times New Roman"/>
          <w:sz w:val="18"/>
          <w:szCs w:val="18"/>
          <w:color w:val="auto"/>
        </w:rPr>
        <w:t>, the Company will, and will cause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its Subsidiaries to, comply with all laws, ordinances or governmental rules or regulations to which each of them is subject, including, without limitation, ERISA, Environmental Laws, the USA Patriot Act and the other laws and regulations that are referred to in </w:t>
      </w:r>
      <w:r>
        <w:rPr>
          <w:rFonts w:ascii="Times New Roman" w:cs="Times New Roman" w:eastAsia="Times New Roman" w:hAnsi="Times New Roman"/>
          <w:sz w:val="18"/>
          <w:szCs w:val="18"/>
          <w:b w:val="1"/>
          <w:bCs w:val="1"/>
          <w:color w:val="auto"/>
        </w:rPr>
        <w:t>Section 5.16</w:t>
      </w:r>
      <w:r>
        <w:rPr>
          <w:rFonts w:ascii="Times New Roman" w:cs="Times New Roman" w:eastAsia="Times New Roman" w:hAnsi="Times New Roman"/>
          <w:sz w:val="18"/>
          <w:szCs w:val="18"/>
          <w:color w:val="auto"/>
        </w:rPr>
        <w:t>,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such laws, ordinances or governmental rules or regulations or failures to</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2" w:name="page323"/>
    <w:bookmarkEnd w:id="322"/>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obtain or maintain in effect such licenses, certificates, permits, franchises and other governmental authorizations could not, individually or in the aggregate, reasonably be expected to have a Material Adverse Effect.</w:t>
      </w:r>
    </w:p>
    <w:p>
      <w:pPr>
        <w:spacing w:after="0" w:line="148" w:lineRule="exact"/>
        <w:rPr>
          <w:sz w:val="20"/>
          <w:szCs w:val="20"/>
          <w:color w:val="auto"/>
        </w:rPr>
      </w:pPr>
    </w:p>
    <w:p>
      <w:pPr>
        <w:jc w:val="both"/>
        <w:ind w:firstLine="566"/>
        <w:spacing w:after="0" w:line="252" w:lineRule="auto"/>
        <w:rPr>
          <w:sz w:val="20"/>
          <w:szCs w:val="20"/>
          <w:color w:val="auto"/>
        </w:rPr>
      </w:pPr>
      <w:r>
        <w:rPr>
          <w:rFonts w:ascii="Times New Roman" w:cs="Times New Roman" w:eastAsia="Times New Roman" w:hAnsi="Times New Roman"/>
          <w:sz w:val="18"/>
          <w:szCs w:val="18"/>
          <w:i w:val="1"/>
          <w:iCs w:val="1"/>
          <w:color w:val="auto"/>
        </w:rPr>
        <w:t>Section 9.2. Insurance</w:t>
      </w:r>
      <w:r>
        <w:rPr>
          <w:rFonts w:ascii="Times New Roman" w:cs="Times New Roman" w:eastAsia="Times New Roman" w:hAnsi="Times New Roman"/>
          <w:sz w:val="18"/>
          <w:szCs w:val="18"/>
          <w:color w:val="auto"/>
        </w:rPr>
        <w:t>. The Company will cause each of its Subsidiaries to maintain, with financially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72"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9.3. Maintenance of Properties</w:t>
      </w:r>
      <w:r>
        <w:rPr>
          <w:rFonts w:ascii="Times New Roman" w:cs="Times New Roman" w:eastAsia="Times New Roman" w:hAnsi="Times New Roman"/>
          <w:sz w:val="18"/>
          <w:szCs w:val="18"/>
          <w:color w:val="auto"/>
        </w:rPr>
        <w:t>. The Company will cause each of its Subsidiaries to maintain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9.3</w:t>
      </w:r>
      <w:r>
        <w:rPr>
          <w:rFonts w:ascii="Times New Roman" w:cs="Times New Roman" w:eastAsia="Times New Roman" w:hAnsi="Times New Roman"/>
          <w:sz w:val="18"/>
          <w:szCs w:val="18"/>
          <w:color w:val="auto"/>
        </w:rPr>
        <w:t xml:space="preserve">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78" w:lineRule="exact"/>
        <w:rPr>
          <w:sz w:val="20"/>
          <w:szCs w:val="20"/>
          <w:color w:val="auto"/>
        </w:rPr>
      </w:pPr>
    </w:p>
    <w:p>
      <w:pPr>
        <w:jc w:val="both"/>
        <w:ind w:firstLine="566"/>
        <w:spacing w:after="0" w:line="246" w:lineRule="auto"/>
        <w:rPr>
          <w:sz w:val="20"/>
          <w:szCs w:val="20"/>
          <w:color w:val="auto"/>
        </w:rPr>
      </w:pPr>
      <w:r>
        <w:rPr>
          <w:rFonts w:ascii="Times New Roman" w:cs="Times New Roman" w:eastAsia="Times New Roman" w:hAnsi="Times New Roman"/>
          <w:sz w:val="18"/>
          <w:szCs w:val="18"/>
          <w:i w:val="1"/>
          <w:iCs w:val="1"/>
          <w:color w:val="auto"/>
        </w:rPr>
        <w:t>Section 9.4. Payment of Taxes</w:t>
      </w:r>
      <w:r>
        <w:rPr>
          <w:rFonts w:ascii="Times New Roman" w:cs="Times New Roman" w:eastAsia="Times New Roman" w:hAnsi="Times New Roman"/>
          <w:sz w:val="18"/>
          <w:szCs w:val="18"/>
          <w:color w:val="auto"/>
        </w:rPr>
        <w:t>. The Company will cause each of its Subsidiaries to file all income tax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394" w:lineRule="exact"/>
        <w:rPr>
          <w:sz w:val="20"/>
          <w:szCs w:val="20"/>
          <w:color w:val="auto"/>
        </w:rPr>
      </w:pPr>
    </w:p>
    <w:p>
      <w:pPr>
        <w:jc w:val="both"/>
        <w:ind w:firstLine="566"/>
        <w:spacing w:after="0" w:line="218" w:lineRule="exact"/>
        <w:rPr>
          <w:sz w:val="20"/>
          <w:szCs w:val="20"/>
          <w:color w:val="auto"/>
        </w:rPr>
      </w:pPr>
      <w:r>
        <w:rPr>
          <w:rFonts w:ascii="Times New Roman" w:cs="Times New Roman" w:eastAsia="Times New Roman" w:hAnsi="Times New Roman"/>
          <w:sz w:val="18"/>
          <w:szCs w:val="18"/>
          <w:i w:val="1"/>
          <w:iCs w:val="1"/>
          <w:color w:val="auto"/>
        </w:rPr>
        <w:t>Section 9.5. Corporate Existence, Etc</w:t>
      </w:r>
      <w:r>
        <w:rPr>
          <w:rFonts w:ascii="Times New Roman" w:cs="Times New Roman" w:eastAsia="Times New Roman" w:hAnsi="Times New Roman"/>
          <w:sz w:val="18"/>
          <w:szCs w:val="18"/>
          <w:color w:val="auto"/>
        </w:rPr>
        <w:t>. The Company will at all times preserve and keep in full force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corporate existence of each of its Subsidiaries (unless merged into the Company or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184" w:lineRule="exact"/>
        <w:rPr>
          <w:sz w:val="20"/>
          <w:szCs w:val="20"/>
          <w:color w:val="auto"/>
        </w:rPr>
      </w:pPr>
    </w:p>
    <w:p>
      <w:pPr>
        <w:jc w:val="both"/>
        <w:ind w:firstLine="566"/>
        <w:spacing w:after="0" w:line="262" w:lineRule="auto"/>
        <w:rPr>
          <w:sz w:val="20"/>
          <w:szCs w:val="20"/>
          <w:color w:val="auto"/>
        </w:rPr>
      </w:pPr>
      <w:r>
        <w:rPr>
          <w:rFonts w:ascii="Times New Roman" w:cs="Times New Roman" w:eastAsia="Times New Roman" w:hAnsi="Times New Roman"/>
          <w:sz w:val="18"/>
          <w:szCs w:val="18"/>
          <w:i w:val="1"/>
          <w:iCs w:val="1"/>
          <w:color w:val="auto"/>
        </w:rPr>
        <w:t>Section 9.6. Books and Records</w:t>
      </w:r>
      <w:r>
        <w:rPr>
          <w:rFonts w:ascii="Times New Roman" w:cs="Times New Roman" w:eastAsia="Times New Roman" w:hAnsi="Times New Roman"/>
          <w:sz w:val="18"/>
          <w:szCs w:val="18"/>
          <w:color w:val="auto"/>
        </w:rPr>
        <w:t>. The Company will, and will cause each of its Subsidiaries to, maintain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 books of record and account in conformity with GAAP and all applicable requirements of any Governmental Authority having legal or regulatory jurisdiction over the Company or such Subsidiary.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3" w:name="page324"/>
    <w:bookmarkEnd w:id="323"/>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4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8"/>
          <w:szCs w:val="18"/>
          <w:color w:val="auto"/>
        </w:rPr>
        <w:t>NEGATIVE COVENANTS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covenants that from the date of this Agreement and thereafter, so long as any of the Bonds are outstanding:</w:t>
      </w:r>
    </w:p>
    <w:p>
      <w:pPr>
        <w:spacing w:after="0" w:line="216" w:lineRule="exact"/>
        <w:rPr>
          <w:sz w:val="20"/>
          <w:szCs w:val="20"/>
          <w:color w:val="auto"/>
        </w:rPr>
      </w:pPr>
    </w:p>
    <w:p>
      <w:pPr>
        <w:jc w:val="both"/>
        <w:ind w:firstLine="566"/>
        <w:spacing w:after="0" w:line="252" w:lineRule="auto"/>
        <w:rPr>
          <w:sz w:val="20"/>
          <w:szCs w:val="20"/>
          <w:color w:val="auto"/>
        </w:rPr>
      </w:pPr>
      <w:r>
        <w:rPr>
          <w:rFonts w:ascii="Times New Roman" w:cs="Times New Roman" w:eastAsia="Times New Roman" w:hAnsi="Times New Roman"/>
          <w:sz w:val="18"/>
          <w:szCs w:val="18"/>
          <w:i w:val="1"/>
          <w:iCs w:val="1"/>
          <w:color w:val="auto"/>
        </w:rPr>
        <w:t>Section 10.1. Transactions with Affiliates</w:t>
      </w:r>
      <w:r>
        <w:rPr>
          <w:rFonts w:ascii="Times New Roman" w:cs="Times New Roman" w:eastAsia="Times New Roman" w:hAnsi="Times New Roman"/>
          <w:sz w:val="18"/>
          <w:szCs w:val="18"/>
          <w:color w:val="auto"/>
        </w:rPr>
        <w:t>. The Company will not and will not permit any Subsidiary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172" w:lineRule="exact"/>
        <w:rPr>
          <w:sz w:val="20"/>
          <w:szCs w:val="20"/>
          <w:color w:val="auto"/>
        </w:rPr>
      </w:pPr>
    </w:p>
    <w:p>
      <w:pPr>
        <w:jc w:val="both"/>
        <w:ind w:firstLine="566"/>
        <w:spacing w:after="0" w:line="262" w:lineRule="auto"/>
        <w:rPr>
          <w:sz w:val="20"/>
          <w:szCs w:val="20"/>
          <w:color w:val="auto"/>
        </w:rPr>
      </w:pPr>
      <w:r>
        <w:rPr>
          <w:rFonts w:ascii="Times New Roman" w:cs="Times New Roman" w:eastAsia="Times New Roman" w:hAnsi="Times New Roman"/>
          <w:sz w:val="18"/>
          <w:szCs w:val="18"/>
          <w:i w:val="1"/>
          <w:iCs w:val="1"/>
          <w:color w:val="auto"/>
        </w:rPr>
        <w:t>Section 10.2. Merger, Consolidation, Etc</w:t>
      </w:r>
      <w:r>
        <w:rPr>
          <w:rFonts w:ascii="Times New Roman" w:cs="Times New Roman" w:eastAsia="Times New Roman" w:hAnsi="Times New Roman"/>
          <w:sz w:val="18"/>
          <w:szCs w:val="18"/>
          <w:color w:val="auto"/>
        </w:rPr>
        <w:t>. The Company will not consolidate with or merge with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convey, transfer or lease all or substantially all of its assets in a single transaction or series of transactions to any Person unless:</w:t>
      </w:r>
    </w:p>
    <w:p>
      <w:pPr>
        <w:spacing w:after="0" w:line="169" w:lineRule="exact"/>
        <w:rPr>
          <w:sz w:val="20"/>
          <w:szCs w:val="20"/>
          <w:color w:val="auto"/>
        </w:rPr>
      </w:pPr>
    </w:p>
    <w:p>
      <w:pPr>
        <w:jc w:val="both"/>
        <w:ind w:firstLine="1876"/>
        <w:spacing w:after="0" w:line="245" w:lineRule="auto"/>
        <w:tabs>
          <w:tab w:leader="none" w:pos="263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185" w:lineRule="exact"/>
        <w:rPr>
          <w:rFonts w:ascii="Times New Roman" w:cs="Times New Roman" w:eastAsia="Times New Roman" w:hAnsi="Times New Roman"/>
          <w:sz w:val="18"/>
          <w:szCs w:val="18"/>
          <w:color w:val="auto"/>
        </w:rPr>
      </w:pPr>
    </w:p>
    <w:p>
      <w:pPr>
        <w:ind w:firstLine="1876"/>
        <w:spacing w:after="0" w:line="280" w:lineRule="auto"/>
        <w:tabs>
          <w:tab w:leader="none" w:pos="264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occurred and be continuing.</w:t>
      </w:r>
    </w:p>
    <w:p>
      <w:pPr>
        <w:spacing w:after="0" w:line="152" w:lineRule="exact"/>
        <w:rPr>
          <w:sz w:val="20"/>
          <w:szCs w:val="20"/>
          <w:color w:val="auto"/>
        </w:rPr>
      </w:pPr>
    </w:p>
    <w:p>
      <w:pPr>
        <w:jc w:val="both"/>
        <w:ind w:firstLine="1320"/>
        <w:spacing w:after="0" w:line="260" w:lineRule="auto"/>
        <w:rPr>
          <w:sz w:val="20"/>
          <w:szCs w:val="20"/>
          <w:color w:val="auto"/>
        </w:rPr>
      </w:pPr>
      <w:r>
        <w:rPr>
          <w:rFonts w:ascii="Times New Roman" w:cs="Times New Roman" w:eastAsia="Times New Roman" w:hAnsi="Times New Roman"/>
          <w:sz w:val="18"/>
          <w:szCs w:val="18"/>
          <w:color w:val="auto"/>
        </w:rPr>
        <w:t xml:space="preserve">No such conveyance, transfer or lease of substantially all of the assets of the Company shall have the effect of releasing the Company or any successor corporation or limited liability company that shall theretofore have become such in the manner prescribed in this </w:t>
      </w:r>
      <w:r>
        <w:rPr>
          <w:rFonts w:ascii="Times New Roman" w:cs="Times New Roman" w:eastAsia="Times New Roman" w:hAnsi="Times New Roman"/>
          <w:sz w:val="18"/>
          <w:szCs w:val="18"/>
          <w:b w:val="1"/>
          <w:bCs w:val="1"/>
          <w:color w:val="auto"/>
        </w:rPr>
        <w:t>Section 10.2</w:t>
      </w:r>
      <w:r>
        <w:rPr>
          <w:rFonts w:ascii="Times New Roman" w:cs="Times New Roman" w:eastAsia="Times New Roman" w:hAnsi="Times New Roman"/>
          <w:sz w:val="18"/>
          <w:szCs w:val="18"/>
          <w:color w:val="auto"/>
        </w:rPr>
        <w:t xml:space="preserve"> from its liability under the Financing Agreements.</w:t>
      </w:r>
    </w:p>
    <w:p>
      <w:pPr>
        <w:spacing w:after="0" w:line="167" w:lineRule="exact"/>
        <w:rPr>
          <w:sz w:val="20"/>
          <w:szCs w:val="20"/>
          <w:color w:val="auto"/>
        </w:rPr>
      </w:pPr>
    </w:p>
    <w:p>
      <w:pPr>
        <w:jc w:val="both"/>
        <w:ind w:firstLine="566"/>
        <w:spacing w:after="0" w:line="255" w:lineRule="auto"/>
        <w:rPr>
          <w:sz w:val="20"/>
          <w:szCs w:val="20"/>
          <w:color w:val="auto"/>
        </w:rPr>
      </w:pPr>
      <w:r>
        <w:rPr>
          <w:rFonts w:ascii="Times New Roman" w:cs="Times New Roman" w:eastAsia="Times New Roman" w:hAnsi="Times New Roman"/>
          <w:sz w:val="18"/>
          <w:szCs w:val="18"/>
          <w:i w:val="1"/>
          <w:iCs w:val="1"/>
          <w:color w:val="auto"/>
        </w:rPr>
        <w:t>Section 10.3. Line of Business</w:t>
      </w:r>
      <w:r>
        <w:rPr>
          <w:rFonts w:ascii="Times New Roman" w:cs="Times New Roman" w:eastAsia="Times New Roman" w:hAnsi="Times New Roman"/>
          <w:sz w:val="18"/>
          <w:szCs w:val="18"/>
          <w:color w:val="auto"/>
        </w:rPr>
        <w:t>. The Company will not engage in any business if, as a result, the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the business 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172" w:lineRule="exact"/>
        <w:rPr>
          <w:sz w:val="20"/>
          <w:szCs w:val="20"/>
          <w:color w:val="auto"/>
        </w:rPr>
      </w:pPr>
    </w:p>
    <w:p>
      <w:pPr>
        <w:jc w:val="both"/>
        <w:ind w:firstLine="56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10.4. Economic Sanctions, Etc.. </w:t>
      </w:r>
      <w:r>
        <w:rPr>
          <w:rFonts w:ascii="Times New Roman" w:cs="Times New Roman" w:eastAsia="Times New Roman" w:hAnsi="Times New Roman"/>
          <w:sz w:val="18"/>
          <w:szCs w:val="18"/>
          <w:color w:val="auto"/>
        </w:rPr>
        <w:t>The Company will not, and will not permit any Controlled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become (including by virtue of being owned or controlled by a Blocked Person), own or control a Blocked Person or (b) directly or indirectly have any investment in or engage in any dealing or transaction (including any investment, dealing or transaction involving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4" w:name="page325"/>
    <w:bookmarkEnd w:id="324"/>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19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color w:val="auto"/>
        </w:rPr>
        <w:t>PAYMENTS ON BONDS.</w:t>
      </w:r>
    </w:p>
    <w:p>
      <w:pPr>
        <w:spacing w:after="0" w:line="216" w:lineRule="exact"/>
        <w:rPr>
          <w:sz w:val="20"/>
          <w:szCs w:val="20"/>
          <w:color w:val="auto"/>
        </w:rPr>
      </w:pPr>
    </w:p>
    <w:p>
      <w:pPr>
        <w:jc w:val="both"/>
        <w:ind w:firstLine="566"/>
        <w:spacing w:after="0" w:line="211" w:lineRule="exact"/>
        <w:rPr>
          <w:sz w:val="20"/>
          <w:szCs w:val="20"/>
          <w:color w:val="auto"/>
        </w:rPr>
      </w:pPr>
      <w:r>
        <w:rPr>
          <w:rFonts w:ascii="Times New Roman" w:cs="Times New Roman" w:eastAsia="Times New Roman" w:hAnsi="Times New Roman"/>
          <w:sz w:val="18"/>
          <w:szCs w:val="18"/>
          <w:i w:val="1"/>
          <w:iCs w:val="1"/>
          <w:color w:val="auto"/>
        </w:rPr>
        <w:t>Section 11.1. Payment by Wire Transfer</w:t>
      </w:r>
      <w:r>
        <w:rPr>
          <w:rFonts w:ascii="Times New Roman" w:cs="Times New Roman" w:eastAsia="Times New Roman" w:hAnsi="Times New Roman"/>
          <w:sz w:val="18"/>
          <w:szCs w:val="18"/>
          <w:color w:val="auto"/>
        </w:rPr>
        <w:t>So long as any Purchaser or its nominee shall be the holder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Whole Amount or premium, if any, and interest by the method and at the address specified for such purpose below such Purchaser’s name in </w:t>
      </w:r>
      <w:r>
        <w:rPr>
          <w:rFonts w:ascii="Times New Roman" w:cs="Times New Roman" w:eastAsia="Times New Roman" w:hAnsi="Times New Roman"/>
          <w:sz w:val="18"/>
          <w:szCs w:val="18"/>
          <w:i w:val="1"/>
          <w:iCs w:val="1"/>
          <w:color w:val="auto"/>
        </w:rPr>
        <w:t>Schedule A</w:t>
      </w:r>
      <w:r>
        <w:rPr>
          <w:rFonts w:ascii="Times New Roman" w:cs="Times New Roman" w:eastAsia="Times New Roman" w:hAnsi="Times New Roman"/>
          <w:sz w:val="18"/>
          <w:szCs w:val="18"/>
          <w:color w:val="auto"/>
        </w:rPr>
        <w:t xml:space="preserve">,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w:t>
      </w:r>
      <w:r>
        <w:rPr>
          <w:rFonts w:ascii="Times New Roman" w:cs="Times New Roman" w:eastAsia="Times New Roman" w:hAnsi="Times New Roman"/>
          <w:sz w:val="18"/>
          <w:szCs w:val="18"/>
          <w:b w:val="1"/>
          <w:bCs w:val="1"/>
          <w:color w:val="auto"/>
        </w:rPr>
        <w:t>Section 11.1</w:t>
      </w:r>
      <w:r>
        <w:rPr>
          <w:rFonts w:ascii="Times New Roman" w:cs="Times New Roman" w:eastAsia="Times New Roman" w:hAnsi="Times New Roman"/>
          <w:sz w:val="18"/>
          <w:szCs w:val="18"/>
          <w:color w:val="auto"/>
        </w:rPr>
        <w:t xml:space="preserve"> to any Institutional Investor that is the direct or indirect transferee of any Bond purchased by a Purchaser under this Agreement and that has made the same agreement relating to such Bond as the Purchasers have made in this </w:t>
      </w:r>
      <w:r>
        <w:rPr>
          <w:rFonts w:ascii="Times New Roman" w:cs="Times New Roman" w:eastAsia="Times New Roman" w:hAnsi="Times New Roman"/>
          <w:sz w:val="18"/>
          <w:szCs w:val="18"/>
          <w:b w:val="1"/>
          <w:bCs w:val="1"/>
          <w:color w:val="auto"/>
        </w:rPr>
        <w:t>Section 11.1</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color w:val="auto"/>
        </w:rPr>
        <w:t>REGISTRATION; EXCHANGE; EXPENSES, ETC.</w:t>
      </w:r>
    </w:p>
    <w:p>
      <w:pPr>
        <w:spacing w:after="0" w:line="205" w:lineRule="exact"/>
        <w:rPr>
          <w:sz w:val="20"/>
          <w:szCs w:val="20"/>
          <w:color w:val="auto"/>
        </w:rPr>
      </w:pPr>
    </w:p>
    <w:p>
      <w:pPr>
        <w:jc w:val="both"/>
        <w:ind w:firstLine="566"/>
        <w:spacing w:after="0" w:line="284" w:lineRule="auto"/>
        <w:rPr>
          <w:sz w:val="20"/>
          <w:szCs w:val="20"/>
          <w:color w:val="auto"/>
        </w:rPr>
      </w:pPr>
      <w:r>
        <w:rPr>
          <w:rFonts w:ascii="Times New Roman" w:cs="Times New Roman" w:eastAsia="Times New Roman" w:hAnsi="Times New Roman"/>
          <w:sz w:val="18"/>
          <w:szCs w:val="18"/>
          <w:i w:val="1"/>
          <w:iCs w:val="1"/>
          <w:color w:val="auto"/>
        </w:rPr>
        <w:t>Section 12.1. Registration of Bonds</w:t>
      </w:r>
      <w:r>
        <w:rPr>
          <w:rFonts w:ascii="Times New Roman" w:cs="Times New Roman" w:eastAsia="Times New Roman" w:hAnsi="Times New Roman"/>
          <w:sz w:val="18"/>
          <w:szCs w:val="18"/>
          <w:color w:val="auto"/>
        </w:rPr>
        <w:t>. The Company shall cause the Trustee to keep a register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and registration of transfers of Bonds in accordance with Article XIII, Section 9 of the Indenture.</w:t>
      </w:r>
    </w:p>
    <w:p>
      <w:pPr>
        <w:spacing w:after="0" w:line="145" w:lineRule="exact"/>
        <w:rPr>
          <w:sz w:val="20"/>
          <w:szCs w:val="20"/>
          <w:color w:val="auto"/>
        </w:rPr>
      </w:pPr>
    </w:p>
    <w:p>
      <w:pPr>
        <w:jc w:val="both"/>
        <w:ind w:firstLine="566"/>
        <w:spacing w:after="0" w:line="245" w:lineRule="auto"/>
        <w:rPr>
          <w:sz w:val="20"/>
          <w:szCs w:val="20"/>
          <w:color w:val="auto"/>
        </w:rPr>
      </w:pPr>
      <w:r>
        <w:rPr>
          <w:rFonts w:ascii="Times New Roman" w:cs="Times New Roman" w:eastAsia="Times New Roman" w:hAnsi="Times New Roman"/>
          <w:sz w:val="18"/>
          <w:szCs w:val="18"/>
          <w:i w:val="1"/>
          <w:iCs w:val="1"/>
          <w:color w:val="auto"/>
        </w:rPr>
        <w:t>Section 12.2. Transaction Expenses</w:t>
      </w:r>
      <w:r>
        <w:rPr>
          <w:rFonts w:ascii="Times New Roman" w:cs="Times New Roman" w:eastAsia="Times New Roman" w:hAnsi="Times New Roman"/>
          <w:sz w:val="18"/>
          <w:szCs w:val="18"/>
          <w:color w:val="auto"/>
        </w:rPr>
        <w:t>. Whether or not the transactions contemplated hereby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a Purchaser or holder of any Bond, (b) the costs and expenses, including financial advisors’ fees, incurred in connection with the insolvency or bankruptcy of the Company or any Subsidiary or in connection with 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68580</wp:posOffset>
            </wp:positionV>
            <wp:extent cx="5783580" cy="476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5" w:name="page326"/>
    <w:bookmarkEnd w:id="325"/>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18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each series of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186" w:lineRule="exact"/>
        <w:rPr>
          <w:sz w:val="20"/>
          <w:szCs w:val="20"/>
          <w:color w:val="auto"/>
        </w:rPr>
      </w:pPr>
    </w:p>
    <w:p>
      <w:pPr>
        <w:jc w:val="both"/>
        <w:ind w:firstLine="566"/>
        <w:spacing w:after="0" w:line="262" w:lineRule="auto"/>
        <w:rPr>
          <w:sz w:val="20"/>
          <w:szCs w:val="20"/>
          <w:color w:val="auto"/>
        </w:rPr>
      </w:pPr>
      <w:r>
        <w:rPr>
          <w:rFonts w:ascii="Times New Roman" w:cs="Times New Roman" w:eastAsia="Times New Roman" w:hAnsi="Times New Roman"/>
          <w:sz w:val="18"/>
          <w:szCs w:val="18"/>
          <w:i w:val="1"/>
          <w:iCs w:val="1"/>
          <w:color w:val="auto"/>
        </w:rPr>
        <w:t>Section 12.3. Survival</w:t>
      </w:r>
      <w:r>
        <w:rPr>
          <w:rFonts w:ascii="Times New Roman" w:cs="Times New Roman" w:eastAsia="Times New Roman" w:hAnsi="Times New Roman"/>
          <w:sz w:val="18"/>
          <w:szCs w:val="18"/>
          <w:color w:val="auto"/>
        </w:rPr>
        <w:t>. The obligations of the Company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survive the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any Bond, the enforcement, amendment or waiver of any provision of any Financing Agreement, and the termination of any Financing Agreement.</w:t>
      </w:r>
    </w:p>
    <w:p>
      <w:pPr>
        <w:spacing w:after="0" w:line="165"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12.4. Tax Withholding</w:t>
      </w:r>
      <w:r>
        <w:rPr>
          <w:rFonts w:ascii="Times New Roman" w:cs="Times New Roman" w:eastAsia="Times New Roman" w:hAnsi="Times New Roman"/>
          <w:sz w:val="18"/>
          <w:szCs w:val="18"/>
          <w:color w:val="auto"/>
        </w:rPr>
        <w:t>. Except as otherwise required by applicable law, the Company agrees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w:t>
      </w:r>
      <w:r>
        <w:rPr>
          <w:rFonts w:ascii="Times New Roman" w:cs="Times New Roman" w:eastAsia="Times New Roman" w:hAnsi="Times New Roman"/>
          <w:sz w:val="18"/>
          <w:szCs w:val="18"/>
          <w:i w:val="1"/>
          <w:iCs w:val="1"/>
          <w:color w:val="auto"/>
        </w:rPr>
        <w:t>U.S. Tax Compliance Certificate</w:t>
      </w:r>
      <w:r>
        <w:rPr>
          <w:rFonts w:ascii="Times New Roman" w:cs="Times New Roman" w:eastAsia="Times New Roman" w:hAnsi="Times New Roman"/>
          <w:sz w:val="18"/>
          <w:szCs w:val="18"/>
          <w:color w:val="auto"/>
        </w:rPr>
        <w:t xml:space="preserve">” substantially in the form attached as </w:t>
      </w:r>
      <w:r>
        <w:rPr>
          <w:rFonts w:ascii="Times New Roman" w:cs="Times New Roman" w:eastAsia="Times New Roman" w:hAnsi="Times New Roman"/>
          <w:sz w:val="18"/>
          <w:szCs w:val="18"/>
          <w:i w:val="1"/>
          <w:iCs w:val="1"/>
          <w:color w:val="auto"/>
        </w:rPr>
        <w:t>Exhibit 12.4</w:t>
      </w:r>
      <w:r>
        <w:rPr>
          <w:rFonts w:ascii="Times New Roman" w:cs="Times New Roman" w:eastAsia="Times New Roman" w:hAnsi="Times New Roman"/>
          <w:sz w:val="18"/>
          <w:szCs w:val="18"/>
          <w:color w:val="auto"/>
        </w:rPr>
        <w:t>, in both cases correctly completed and executed.</w:t>
      </w:r>
    </w:p>
    <w:p>
      <w:pPr>
        <w:spacing w:after="0" w:line="20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color w:val="auto"/>
        </w:rPr>
        <w:t>SURVIVAL OF REPRESENTATIONS AND WARRANTIES; ENTIRE AGREEMENT</w:t>
      </w:r>
    </w:p>
    <w:p>
      <w:pPr>
        <w:spacing w:after="0" w:line="220"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20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8"/>
          <w:szCs w:val="18"/>
          <w:color w:val="auto"/>
        </w:rPr>
        <w:t>AMENDMENT AND WAIVER.</w:t>
      </w:r>
    </w:p>
    <w:p>
      <w:pPr>
        <w:spacing w:after="0" w:line="216" w:lineRule="exact"/>
        <w:rPr>
          <w:sz w:val="20"/>
          <w:szCs w:val="20"/>
          <w:color w:val="auto"/>
        </w:rPr>
      </w:pPr>
    </w:p>
    <w:p>
      <w:pPr>
        <w:jc w:val="both"/>
        <w:ind w:firstLine="566"/>
        <w:spacing w:after="0" w:line="247" w:lineRule="auto"/>
        <w:rPr>
          <w:sz w:val="20"/>
          <w:szCs w:val="20"/>
          <w:color w:val="auto"/>
        </w:rPr>
      </w:pPr>
      <w:r>
        <w:rPr>
          <w:rFonts w:ascii="Times New Roman" w:cs="Times New Roman" w:eastAsia="Times New Roman" w:hAnsi="Times New Roman"/>
          <w:sz w:val="18"/>
          <w:szCs w:val="18"/>
          <w:i w:val="1"/>
          <w:iCs w:val="1"/>
          <w:color w:val="auto"/>
        </w:rPr>
        <w:t>Section 14.1. Requirements</w:t>
      </w:r>
      <w:r>
        <w:rPr>
          <w:rFonts w:ascii="Times New Roman" w:cs="Times New Roman" w:eastAsia="Times New Roman" w:hAnsi="Times New Roman"/>
          <w:sz w:val="18"/>
          <w:szCs w:val="18"/>
          <w:color w:val="auto"/>
        </w:rPr>
        <w:t>. This Agreement and the Bonds may be amended, and the observance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hereof or of the Bonds may be waived (either retroactively or prospectively), with (and only with) the written consent of the Company and the Required Holders, except that (i) no amendment or waiver of any of the provisions of </w:t>
      </w:r>
      <w:r>
        <w:rPr>
          <w:rFonts w:ascii="Times New Roman" w:cs="Times New Roman" w:eastAsia="Times New Roman" w:hAnsi="Times New Roman"/>
          <w:sz w:val="18"/>
          <w:szCs w:val="18"/>
          <w:b w:val="1"/>
          <w:bCs w:val="1"/>
          <w:color w:val="auto"/>
        </w:rPr>
        <w:t>Sections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19 </w:t>
      </w:r>
      <w:r>
        <w:rPr>
          <w:rFonts w:ascii="Times New Roman" w:cs="Times New Roman" w:eastAsia="Times New Roman" w:hAnsi="Times New Roman"/>
          <w:sz w:val="18"/>
          <w:szCs w:val="18"/>
          <w:color w:val="auto"/>
        </w:rPr>
        <w:t>hereof, or any defined term, will be effective as to any holder of Bonds unless consented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by such holder of Bonds in writing, and (ii) no such amendment or waiver may, without the written 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6" w:name="page327"/>
    <w:bookmarkEnd w:id="326"/>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computation of interest (if such change results in a decrease in the interest rate) or of the Make-Whole Amount on, the Bonds, (B) change the percentage of the principal amount of the Bonds the holders of which are required to consent to any such amendment or waiver, or (C) amend any of </w:t>
      </w:r>
      <w:r>
        <w:rPr>
          <w:rFonts w:ascii="Times New Roman" w:cs="Times New Roman" w:eastAsia="Times New Roman" w:hAnsi="Times New Roman"/>
          <w:sz w:val="18"/>
          <w:szCs w:val="18"/>
          <w:b w:val="1"/>
          <w:bCs w:val="1"/>
          <w:color w:val="auto"/>
        </w:rPr>
        <w:t>Sections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560"/>
        <w:spacing w:after="0"/>
        <w:tabs>
          <w:tab w:leader="none" w:pos="2060" w:val="left"/>
        </w:tabs>
        <w:rPr>
          <w:sz w:val="20"/>
          <w:szCs w:val="20"/>
          <w:color w:val="auto"/>
        </w:rPr>
      </w:pPr>
      <w:r>
        <w:rPr>
          <w:rFonts w:ascii="Times New Roman" w:cs="Times New Roman" w:eastAsia="Times New Roman" w:hAnsi="Times New Roman"/>
          <w:sz w:val="18"/>
          <w:szCs w:val="18"/>
          <w:i w:val="1"/>
          <w:iCs w:val="1"/>
          <w:color w:val="auto"/>
        </w:rPr>
        <w:t>Section 14.2.</w:t>
      </w:r>
      <w:r>
        <w:rPr>
          <w:sz w:val="20"/>
          <w:szCs w:val="20"/>
          <w:color w:val="auto"/>
        </w:rPr>
        <w:tab/>
      </w:r>
      <w:r>
        <w:rPr>
          <w:rFonts w:ascii="Times New Roman" w:cs="Times New Roman" w:eastAsia="Times New Roman" w:hAnsi="Times New Roman"/>
          <w:sz w:val="18"/>
          <w:szCs w:val="18"/>
          <w:i w:val="1"/>
          <w:iCs w:val="1"/>
          <w:color w:val="auto"/>
        </w:rPr>
        <w:t>Solicitation of Holders of Bonds</w:t>
      </w:r>
    </w:p>
    <w:p>
      <w:pPr>
        <w:spacing w:after="0" w:line="220" w:lineRule="exact"/>
        <w:rPr>
          <w:sz w:val="20"/>
          <w:szCs w:val="20"/>
          <w:color w:val="auto"/>
        </w:rPr>
      </w:pPr>
    </w:p>
    <w:p>
      <w:pPr>
        <w:jc w:val="both"/>
        <w:ind w:firstLine="1876"/>
        <w:spacing w:after="0" w:line="248" w:lineRule="auto"/>
        <w:tabs>
          <w:tab w:leader="none" w:pos="263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Solicitation. </w:t>
      </w:r>
      <w:r>
        <w:rPr>
          <w:rFonts w:ascii="Times New Roman" w:cs="Times New Roman" w:eastAsia="Times New Roman" w:hAnsi="Times New Roman"/>
          <w:sz w:val="18"/>
          <w:szCs w:val="18"/>
          <w:color w:val="auto"/>
        </w:rPr>
        <w:t>The Company will provide each holder of Bonds (irrespective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Bonds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xml:space="preserve"> to each Purchaser and each holder of outstanding Bonds promptly following the date on which it is executed and delivered by, or receives the consent or approval of, the requisite holders of Bonds.</w:t>
      </w:r>
    </w:p>
    <w:p>
      <w:pPr>
        <w:spacing w:after="0" w:line="177" w:lineRule="exact"/>
        <w:rPr>
          <w:rFonts w:ascii="Times New Roman" w:cs="Times New Roman" w:eastAsia="Times New Roman" w:hAnsi="Times New Roman"/>
          <w:sz w:val="18"/>
          <w:szCs w:val="18"/>
          <w:color w:val="auto"/>
        </w:rPr>
      </w:pPr>
    </w:p>
    <w:p>
      <w:pPr>
        <w:jc w:val="both"/>
        <w:ind w:firstLine="1876"/>
        <w:spacing w:after="0" w:line="248" w:lineRule="auto"/>
        <w:tabs>
          <w:tab w:leader="none" w:pos="264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w:t>
      </w:r>
      <w:r>
        <w:rPr>
          <w:rFonts w:ascii="Times New Roman" w:cs="Times New Roman" w:eastAsia="Times New Roman" w:hAnsi="Times New Roman"/>
          <w:sz w:val="18"/>
          <w:szCs w:val="18"/>
          <w:color w:val="auto"/>
        </w:rPr>
        <w:t>The Company will not directly or indirectly pay or cause to be paid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remuneration, whether by way of supplemental or additional interest, fee or otherwise (other than legal fees or other related expenses), or grant any security or provide other credit support, to any holder of Bonds as consideration for or as an inducement to the entering into by any holder of Bonds of any waiver or amendment of any of the terms and provisions hereof or of the Bonds unless such remuneration is concurrently paid, or security is concurrently granted or other credit support concurrently provided, on the same terms, ratably to each holder of Bonds then outstanding even if such holder did not consent to such waiver or amendment.</w:t>
      </w:r>
    </w:p>
    <w:p>
      <w:pPr>
        <w:spacing w:after="0" w:line="177" w:lineRule="exact"/>
        <w:rPr>
          <w:rFonts w:ascii="Times New Roman" w:cs="Times New Roman" w:eastAsia="Times New Roman" w:hAnsi="Times New Roman"/>
          <w:sz w:val="18"/>
          <w:szCs w:val="18"/>
          <w:color w:val="auto"/>
        </w:rPr>
      </w:pPr>
    </w:p>
    <w:p>
      <w:pPr>
        <w:jc w:val="both"/>
        <w:ind w:firstLine="1876"/>
        <w:spacing w:after="0" w:line="247" w:lineRule="auto"/>
        <w:tabs>
          <w:tab w:leader="none" w:pos="263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Consent in Contemplation of Transfer</w:t>
      </w:r>
      <w:r>
        <w:rPr>
          <w:rFonts w:ascii="Times New Roman" w:cs="Times New Roman" w:eastAsia="Times New Roman" w:hAnsi="Times New Roman"/>
          <w:sz w:val="18"/>
          <w:szCs w:val="18"/>
          <w:color w:val="auto"/>
        </w:rPr>
        <w:t>. Any consent made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holder of Bonds that has transferred or has agreed to transfer its Bonds to (i) the Company, (ii) 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179"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14.3. Binding Effect, Etc</w:t>
      </w:r>
      <w:r>
        <w:rPr>
          <w:rFonts w:ascii="Times New Roman" w:cs="Times New Roman" w:eastAsia="Times New Roman" w:hAnsi="Times New Roman"/>
          <w:sz w:val="18"/>
          <w:szCs w:val="18"/>
          <w:color w:val="auto"/>
        </w:rPr>
        <w:t>. Any amendment or waiver consented to as provided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applies equally to all holders of Bonds and is binding upon them and upon each future 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any Bond nor any delay in exercising any rights hereunder or under any Bond shall operate as a waiver of any rights of any holder of such Bond.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7" w:name="page328"/>
    <w:bookmarkEnd w:id="327"/>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17" w:lineRule="exact"/>
        <w:rPr>
          <w:sz w:val="20"/>
          <w:szCs w:val="20"/>
          <w:color w:val="auto"/>
        </w:rPr>
      </w:pPr>
    </w:p>
    <w:p>
      <w:pPr>
        <w:jc w:val="both"/>
        <w:ind w:firstLine="566"/>
        <w:spacing w:after="0" w:line="249" w:lineRule="auto"/>
        <w:rPr>
          <w:sz w:val="20"/>
          <w:szCs w:val="20"/>
          <w:color w:val="auto"/>
        </w:rPr>
      </w:pPr>
      <w:r>
        <w:rPr>
          <w:rFonts w:ascii="Times New Roman" w:cs="Times New Roman" w:eastAsia="Times New Roman" w:hAnsi="Times New Roman"/>
          <w:sz w:val="18"/>
          <w:szCs w:val="18"/>
          <w:i w:val="1"/>
          <w:iCs w:val="1"/>
          <w:color w:val="auto"/>
        </w:rPr>
        <w:t>Section 14.4. Bonds Held by Company, Etc</w:t>
      </w:r>
      <w:r>
        <w:rPr>
          <w:rFonts w:ascii="Times New Roman" w:cs="Times New Roman" w:eastAsia="Times New Roman" w:hAnsi="Times New Roman"/>
          <w:sz w:val="18"/>
          <w:szCs w:val="18"/>
          <w:color w:val="auto"/>
        </w:rPr>
        <w:t>. Solely for the purpose of determining whether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20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8"/>
          <w:szCs w:val="18"/>
          <w:color w:val="auto"/>
        </w:rPr>
        <w:t>NOTICES.</w:t>
      </w:r>
    </w:p>
    <w:p>
      <w:pPr>
        <w:spacing w:after="0" w:line="220" w:lineRule="exact"/>
        <w:rPr>
          <w:sz w:val="20"/>
          <w:szCs w:val="20"/>
          <w:color w:val="auto"/>
        </w:rPr>
      </w:pPr>
    </w:p>
    <w:p>
      <w:pPr>
        <w:jc w:val="both"/>
        <w:ind w:firstLine="554"/>
        <w:spacing w:after="0" w:line="252" w:lineRule="auto"/>
        <w:rPr>
          <w:sz w:val="20"/>
          <w:szCs w:val="20"/>
          <w:color w:val="auto"/>
        </w:rPr>
      </w:pPr>
      <w:r>
        <w:rPr>
          <w:rFonts w:ascii="Times New Roman" w:cs="Times New Roman" w:eastAsia="Times New Roman" w:hAnsi="Times New Roman"/>
          <w:sz w:val="18"/>
          <w:szCs w:val="18"/>
          <w:color w:val="auto"/>
        </w:rPr>
        <w:t>All notices and communications provided for hereunder shall be in writing and sent (a) by telecopy if the sender on the same day sends a confirming copy of such notice by a recognized overnight delivery service (charges prepaid), or</w:t>
      </w:r>
    </w:p>
    <w:p>
      <w:pPr>
        <w:spacing w:after="0" w:line="1" w:lineRule="exact"/>
        <w:rPr>
          <w:sz w:val="20"/>
          <w:szCs w:val="20"/>
          <w:color w:val="auto"/>
        </w:rPr>
      </w:pPr>
    </w:p>
    <w:p>
      <w:pPr>
        <w:ind w:firstLine="1"/>
        <w:spacing w:after="0" w:line="256" w:lineRule="auto"/>
        <w:tabs>
          <w:tab w:leader="none" w:pos="29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registered or certified mail with return receipt requested (postage prepaid), or (c) by a recognized overnight delivery service (with charges prepaid). Any such notice must be sent:</w:t>
      </w:r>
    </w:p>
    <w:p>
      <w:pPr>
        <w:spacing w:after="0" w:line="174" w:lineRule="exact"/>
        <w:rPr>
          <w:sz w:val="20"/>
          <w:szCs w:val="20"/>
          <w:color w:val="auto"/>
        </w:rPr>
      </w:pPr>
    </w:p>
    <w:p>
      <w:pPr>
        <w:jc w:val="both"/>
        <w:ind w:left="560" w:firstLine="666"/>
        <w:spacing w:after="0" w:line="260" w:lineRule="auto"/>
        <w:tabs>
          <w:tab w:leader="none" w:pos="15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Purchaser or its nominee, to such Purchaser or nominee at the address specified for such communications in </w:t>
      </w:r>
      <w:r>
        <w:rPr>
          <w:rFonts w:ascii="Times New Roman" w:cs="Times New Roman" w:eastAsia="Times New Roman" w:hAnsi="Times New Roman"/>
          <w:sz w:val="18"/>
          <w:szCs w:val="18"/>
          <w:i w:val="1"/>
          <w:iCs w:val="1"/>
          <w:color w:val="auto"/>
        </w:rPr>
        <w:t>Schedule A</w:t>
      </w:r>
      <w:r>
        <w:rPr>
          <w:rFonts w:ascii="Times New Roman" w:cs="Times New Roman" w:eastAsia="Times New Roman" w:hAnsi="Times New Roman"/>
          <w:sz w:val="18"/>
          <w:szCs w:val="18"/>
          <w:color w:val="auto"/>
        </w:rPr>
        <w:t>, or at such other address as such Purchaser or nominee shall have specified to the Company in writing,</w:t>
      </w:r>
    </w:p>
    <w:p>
      <w:pPr>
        <w:spacing w:after="0" w:line="159" w:lineRule="exact"/>
        <w:rPr>
          <w:sz w:val="20"/>
          <w:szCs w:val="20"/>
          <w:color w:val="auto"/>
        </w:rPr>
      </w:pPr>
    </w:p>
    <w:p>
      <w:pPr>
        <w:ind w:left="560" w:firstLine="643"/>
        <w:spacing w:after="0" w:line="280" w:lineRule="auto"/>
        <w:tabs>
          <w:tab w:leader="none" w:pos="152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holder of any Bond, to such holder at such address as such other holder shall have specified to the Company in writing, or</w:t>
      </w:r>
    </w:p>
    <w:p>
      <w:pPr>
        <w:spacing w:after="0" w:line="152" w:lineRule="exact"/>
        <w:rPr>
          <w:sz w:val="20"/>
          <w:szCs w:val="20"/>
          <w:color w:val="auto"/>
        </w:rPr>
      </w:pPr>
    </w:p>
    <w:p>
      <w:pPr>
        <w:jc w:val="both"/>
        <w:ind w:left="560" w:firstLine="608"/>
        <w:spacing w:after="0" w:line="260" w:lineRule="auto"/>
        <w:tabs>
          <w:tab w:leader="none" w:pos="150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Notices under this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will be deemed given only when actually received.</w:t>
      </w:r>
    </w:p>
    <w:p>
      <w:pPr>
        <w:spacing w:after="0" w:line="24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8"/>
          <w:szCs w:val="18"/>
          <w:color w:val="auto"/>
        </w:rPr>
        <w:t>INDEMNIFICATION.</w:t>
      </w:r>
    </w:p>
    <w:p>
      <w:pPr>
        <w:spacing w:after="0" w:line="220"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 xml:space="preserve">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xml:space="preserve"> shall survive the execution and delivery of this Agreement, the delivery of the Bonds to the Purchasers and the consummation of the transactions contemplated herein.</w:t>
      </w:r>
    </w:p>
    <w:p>
      <w:pPr>
        <w:spacing w:after="0" w:line="20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8"/>
          <w:szCs w:val="18"/>
          <w:color w:val="auto"/>
        </w:rPr>
        <w:t>REPRODUCTION OF DOCUMENTS.</w:t>
      </w:r>
    </w:p>
    <w:p>
      <w:pPr>
        <w:spacing w:after="0" w:line="220"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This Agreement and all documents relating thereto, including, without limitation, (a) 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8" w:name="page329"/>
    <w:bookmarkEnd w:id="328"/>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xml:space="preserve"> shall not prohibit the Company or any other holder of Bonds from contesting any such reproduction to the same extent that it could contest the original, or from introducing evidence to demonstrate the inaccuracy of any such reproduction.</w:t>
      </w:r>
    </w:p>
    <w:p>
      <w:pPr>
        <w:spacing w:after="0" w:line="20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18.</w:t>
      </w:r>
      <w:r>
        <w:rPr>
          <w:sz w:val="20"/>
          <w:szCs w:val="20"/>
          <w:color w:val="auto"/>
        </w:rPr>
        <w:tab/>
      </w:r>
      <w:r>
        <w:rPr>
          <w:rFonts w:ascii="Times New Roman" w:cs="Times New Roman" w:eastAsia="Times New Roman" w:hAnsi="Times New Roman"/>
          <w:sz w:val="18"/>
          <w:szCs w:val="18"/>
          <w:color w:val="auto"/>
        </w:rPr>
        <w:t>CONFIDENTIAL INFORMATION.</w:t>
      </w:r>
    </w:p>
    <w:p>
      <w:pPr>
        <w:spacing w:after="0" w:line="216" w:lineRule="exact"/>
        <w:rPr>
          <w:sz w:val="20"/>
          <w:szCs w:val="20"/>
          <w:color w:val="auto"/>
        </w:rPr>
      </w:pPr>
    </w:p>
    <w:p>
      <w:pPr>
        <w:jc w:val="both"/>
        <w:ind w:firstLine="554"/>
        <w:spacing w:after="0" w:line="242" w:lineRule="auto"/>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(v) any Person from which it offers to purchase any security of the Company (if such Person has agreed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writing prior to its receipt of such Confidential Information to be bound by the provisions of this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w:t>
      </w:r>
    </w:p>
    <w:p>
      <w:pPr>
        <w:spacing w:after="0" w:line="6" w:lineRule="exact"/>
        <w:rPr>
          <w:sz w:val="20"/>
          <w:szCs w:val="20"/>
          <w:color w:val="auto"/>
        </w:rPr>
      </w:pPr>
    </w:p>
    <w:p>
      <w:pPr>
        <w:jc w:val="both"/>
        <w:ind w:firstLine="1"/>
        <w:spacing w:after="0" w:line="245" w:lineRule="auto"/>
        <w:tabs>
          <w:tab w:leader="none" w:pos="26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29" w:name="page330"/>
    <w:bookmarkEnd w:id="329"/>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benefits of this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shall not be amended thereby and, as between such Purchaser or such holder and the Company, this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shall supersede any such other confidentiality undertaking.</w:t>
      </w:r>
    </w:p>
    <w:p>
      <w:pPr>
        <w:spacing w:after="0" w:line="21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19.1. Successors and Assigns</w:t>
      </w:r>
      <w:r>
        <w:rPr>
          <w:rFonts w:ascii="Times New Roman" w:cs="Times New Roman" w:eastAsia="Times New Roman" w:hAnsi="Times New Roman"/>
          <w:sz w:val="18"/>
          <w:szCs w:val="18"/>
          <w:color w:val="auto"/>
        </w:rPr>
        <w:t>. All covenants and other agreements contained in this Agreement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on behalf of any of the parties hereto bind and inure to the benefit of their respective successors and assigns (including, without limitation, any subsequent holder of a Bond) whether so expressed or not, except that, subject to </w:t>
      </w:r>
      <w:r>
        <w:rPr>
          <w:rFonts w:ascii="Times New Roman" w:cs="Times New Roman" w:eastAsia="Times New Roman" w:hAnsi="Times New Roman"/>
          <w:sz w:val="18"/>
          <w:szCs w:val="18"/>
          <w:b w:val="1"/>
          <w:bCs w:val="1"/>
          <w:color w:val="auto"/>
        </w:rPr>
        <w:t>Section 10.2</w:t>
      </w:r>
      <w:r>
        <w:rPr>
          <w:rFonts w:ascii="Times New Roman" w:cs="Times New Roman" w:eastAsia="Times New Roman" w:hAnsi="Times New Roman"/>
          <w:sz w:val="18"/>
          <w:szCs w:val="18"/>
          <w:color w:val="auto"/>
        </w:rPr>
        <w:t>,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178" w:lineRule="exact"/>
        <w:rPr>
          <w:sz w:val="20"/>
          <w:szCs w:val="20"/>
          <w:color w:val="auto"/>
        </w:rPr>
      </w:pPr>
    </w:p>
    <w:p>
      <w:pPr>
        <w:jc w:val="both"/>
        <w:ind w:firstLine="566"/>
        <w:spacing w:after="0" w:line="250" w:lineRule="auto"/>
        <w:rPr>
          <w:sz w:val="20"/>
          <w:szCs w:val="20"/>
          <w:color w:val="auto"/>
        </w:rPr>
      </w:pPr>
      <w:r>
        <w:rPr>
          <w:rFonts w:ascii="Times New Roman" w:cs="Times New Roman" w:eastAsia="Times New Roman" w:hAnsi="Times New Roman"/>
          <w:sz w:val="18"/>
          <w:szCs w:val="18"/>
          <w:i w:val="1"/>
          <w:iCs w:val="1"/>
          <w:color w:val="auto"/>
        </w:rPr>
        <w:t>Section 19.2. Accounting Terms</w:t>
      </w:r>
      <w:r>
        <w:rPr>
          <w:rFonts w:ascii="Times New Roman" w:cs="Times New Roman" w:eastAsia="Times New Roman" w:hAnsi="Times New Roman"/>
          <w:sz w:val="18"/>
          <w:szCs w:val="18"/>
          <w:color w:val="auto"/>
        </w:rPr>
        <w:t>. All accounting terms used herein which are not expressly defined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the meanings respectively given to them in accordance with GAAP. Except as otherwise specifically provided herein, (a) all computations made pursuant to this Agreement shall be made in accordance with GAAP, and</w:t>
      </w:r>
    </w:p>
    <w:p>
      <w:pPr>
        <w:spacing w:after="0" w:line="1" w:lineRule="exact"/>
        <w:rPr>
          <w:sz w:val="20"/>
          <w:szCs w:val="20"/>
          <w:color w:val="auto"/>
        </w:rPr>
      </w:pPr>
    </w:p>
    <w:p>
      <w:pPr>
        <w:jc w:val="both"/>
        <w:ind w:firstLine="1"/>
        <w:spacing w:after="0" w:line="241" w:lineRule="auto"/>
        <w:tabs>
          <w:tab w:leader="none" w:pos="26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shall be prepared in accordance with GAAP. For purposes of determining compliance with the financial covenants contained in the Financing Agreements, if any, any election by the Company to measure Debt using</w:t>
      </w:r>
    </w:p>
    <w:p>
      <w:pPr>
        <w:jc w:val="both"/>
        <w:spacing w:after="0" w:line="214" w:lineRule="exact"/>
        <w:rPr>
          <w:sz w:val="20"/>
          <w:szCs w:val="20"/>
          <w:color w:val="auto"/>
        </w:rPr>
      </w:pPr>
      <w:r>
        <w:rPr>
          <w:rFonts w:ascii="Times New Roman" w:cs="Times New Roman" w:eastAsia="Times New Roman" w:hAnsi="Times New Roman"/>
          <w:sz w:val="18"/>
          <w:szCs w:val="18"/>
          <w:color w:val="auto"/>
        </w:rPr>
        <w:t>fair value (as permitted by Financial Accounting Standards Board Accounting Standards Codification Topic No. 825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25 – </w:t>
      </w: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xml:space="preserve"> International Accounting Standard 39 – </w:t>
      </w:r>
      <w:r>
        <w:rPr>
          <w:rFonts w:ascii="Times New Roman" w:cs="Times New Roman" w:eastAsia="Times New Roman" w:hAnsi="Times New Roman"/>
          <w:sz w:val="18"/>
          <w:szCs w:val="18"/>
          <w:i w:val="1"/>
          <w:iCs w:val="1"/>
          <w:color w:val="auto"/>
        </w:rPr>
        <w:t>Financial Instruments: Recognition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Measurement </w:t>
      </w:r>
      <w:r>
        <w:rPr>
          <w:rFonts w:ascii="Times New Roman" w:cs="Times New Roman" w:eastAsia="Times New Roman" w:hAnsi="Times New Roman"/>
          <w:sz w:val="18"/>
          <w:szCs w:val="18"/>
          <w:color w:val="auto"/>
        </w:rPr>
        <w:t>or any similar accounting standard) shall be disregarded and such determination shall be made as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election had not been made and such Debt shall be valued at not less than 100% of the principal amount thereof.</w:t>
      </w:r>
    </w:p>
    <w:p>
      <w:pPr>
        <w:spacing w:after="0" w:line="183" w:lineRule="exact"/>
        <w:rPr>
          <w:sz w:val="20"/>
          <w:szCs w:val="20"/>
          <w:color w:val="auto"/>
        </w:rPr>
      </w:pPr>
    </w:p>
    <w:p>
      <w:pPr>
        <w:jc w:val="both"/>
        <w:ind w:firstLine="566"/>
        <w:spacing w:after="0" w:line="255" w:lineRule="auto"/>
        <w:rPr>
          <w:sz w:val="20"/>
          <w:szCs w:val="20"/>
          <w:color w:val="auto"/>
        </w:rPr>
      </w:pPr>
      <w:r>
        <w:rPr>
          <w:rFonts w:ascii="Times New Roman" w:cs="Times New Roman" w:eastAsia="Times New Roman" w:hAnsi="Times New Roman"/>
          <w:sz w:val="18"/>
          <w:szCs w:val="18"/>
          <w:i w:val="1"/>
          <w:iCs w:val="1"/>
          <w:color w:val="auto"/>
        </w:rPr>
        <w:t>Section 19.3. Severability</w:t>
      </w:r>
      <w:r>
        <w:rPr>
          <w:rFonts w:ascii="Times New Roman" w:cs="Times New Roman" w:eastAsia="Times New Roman" w:hAnsi="Times New Roman"/>
          <w:sz w:val="18"/>
          <w:szCs w:val="18"/>
          <w:color w:val="auto"/>
        </w:rPr>
        <w:t>. Any provision of this Agreement that is prohibited or unenforceable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72" w:lineRule="exact"/>
        <w:rPr>
          <w:sz w:val="20"/>
          <w:szCs w:val="20"/>
          <w:color w:val="auto"/>
        </w:rPr>
      </w:pPr>
    </w:p>
    <w:p>
      <w:pPr>
        <w:jc w:val="both"/>
        <w:ind w:firstLine="566"/>
        <w:spacing w:after="0" w:line="284" w:lineRule="auto"/>
        <w:rPr>
          <w:sz w:val="20"/>
          <w:szCs w:val="20"/>
          <w:color w:val="auto"/>
        </w:rPr>
      </w:pPr>
      <w:r>
        <w:rPr>
          <w:rFonts w:ascii="Times New Roman" w:cs="Times New Roman" w:eastAsia="Times New Roman" w:hAnsi="Times New Roman"/>
          <w:sz w:val="18"/>
          <w:szCs w:val="18"/>
          <w:i w:val="1"/>
          <w:iCs w:val="1"/>
          <w:color w:val="auto"/>
        </w:rPr>
        <w:t>Section 19.4. Construction, Etc</w:t>
      </w:r>
      <w:r>
        <w:rPr>
          <w:rFonts w:ascii="Times New Roman" w:cs="Times New Roman" w:eastAsia="Times New Roman" w:hAnsi="Times New Roman"/>
          <w:sz w:val="18"/>
          <w:szCs w:val="18"/>
          <w:color w:val="auto"/>
        </w:rPr>
        <w:t>. Each covenant contained herein shall be construed (absent express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to the contrary) as being independent of each other covenant contained herein,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68580</wp:posOffset>
            </wp:positionV>
            <wp:extent cx="5783580" cy="476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30" w:name="page331"/>
    <w:bookmarkEnd w:id="330"/>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avoidance of doubt, all Schedules and Exhibits attached to this Agreement shall be deemed to be a part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185" w:lineRule="exact"/>
        <w:rPr>
          <w:sz w:val="20"/>
          <w:szCs w:val="20"/>
          <w:color w:val="auto"/>
        </w:rPr>
      </w:pPr>
    </w:p>
    <w:p>
      <w:pPr>
        <w:jc w:val="both"/>
        <w:ind w:firstLine="566"/>
        <w:spacing w:after="0" w:line="262" w:lineRule="auto"/>
        <w:rPr>
          <w:sz w:val="20"/>
          <w:szCs w:val="20"/>
          <w:color w:val="auto"/>
        </w:rPr>
      </w:pPr>
      <w:r>
        <w:rPr>
          <w:rFonts w:ascii="Times New Roman" w:cs="Times New Roman" w:eastAsia="Times New Roman" w:hAnsi="Times New Roman"/>
          <w:sz w:val="18"/>
          <w:szCs w:val="18"/>
          <w:i w:val="1"/>
          <w:iCs w:val="1"/>
          <w:color w:val="auto"/>
        </w:rPr>
        <w:t>Section 19.5. Counterparts</w:t>
      </w:r>
      <w:r>
        <w:rPr>
          <w:rFonts w:ascii="Times New Roman" w:cs="Times New Roman" w:eastAsia="Times New Roman" w:hAnsi="Times New Roman"/>
          <w:sz w:val="18"/>
          <w:szCs w:val="18"/>
          <w:color w:val="auto"/>
        </w:rPr>
        <w:t>. This Agreement may be executed in any number of counterparts,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shall be an original but all of which together shall constitute one instrument. Each counterpart may consist of a number of copies hereof, each signed by less than all, but together signed by all, of the parties hereto.</w:t>
      </w:r>
    </w:p>
    <w:p>
      <w:pPr>
        <w:spacing w:after="0" w:line="165" w:lineRule="exact"/>
        <w:rPr>
          <w:sz w:val="20"/>
          <w:szCs w:val="20"/>
          <w:color w:val="auto"/>
        </w:rPr>
      </w:pPr>
    </w:p>
    <w:p>
      <w:pPr>
        <w:jc w:val="both"/>
        <w:ind w:firstLine="566"/>
        <w:spacing w:after="0" w:line="224" w:lineRule="exact"/>
        <w:rPr>
          <w:sz w:val="20"/>
          <w:szCs w:val="20"/>
          <w:color w:val="auto"/>
        </w:rPr>
      </w:pPr>
      <w:r>
        <w:rPr>
          <w:rFonts w:ascii="Times New Roman" w:cs="Times New Roman" w:eastAsia="Times New Roman" w:hAnsi="Times New Roman"/>
          <w:sz w:val="18"/>
          <w:szCs w:val="18"/>
          <w:i w:val="1"/>
          <w:iCs w:val="1"/>
          <w:color w:val="auto"/>
        </w:rPr>
        <w:t>Section 19.6. Governing Law</w:t>
      </w:r>
      <w:r>
        <w:rPr>
          <w:rFonts w:ascii="Times New Roman" w:cs="Times New Roman" w:eastAsia="Times New Roman" w:hAnsi="Times New Roman"/>
          <w:sz w:val="18"/>
          <w:szCs w:val="18"/>
          <w:color w:val="auto"/>
        </w:rPr>
        <w:t>. This Agreement shall be construed and enforced in accordance with,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the parties shall be governed by, the law of the Commonwealth of Pennsylvania excluding choice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 principles of the law of such State that would permit the application of the laws of a jurisdiction other than such State.</w:t>
      </w:r>
    </w:p>
    <w:p>
      <w:pPr>
        <w:spacing w:after="0" w:line="185"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19.7. Jurisdiction and Process; Waiver of Jury Trial</w:t>
      </w:r>
      <w:r>
        <w:rPr>
          <w:rFonts w:ascii="Times New Roman" w:cs="Times New Roman" w:eastAsia="Times New Roman" w:hAnsi="Times New Roman"/>
          <w:sz w:val="18"/>
          <w:szCs w:val="18"/>
          <w:color w:val="auto"/>
        </w:rPr>
        <w:t>. (a) The Company irrevocably submits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31" w:name="page332"/>
    <w:bookmarkEnd w:id="331"/>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ind w:firstLine="1876"/>
        <w:spacing w:after="0" w:line="246" w:lineRule="auto"/>
        <w:tabs>
          <w:tab w:leader="none" w:pos="264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consents to process being served by or on behalf of any holder of Bonds in any suit, action or proceeding of the nature referred to in </w:t>
      </w:r>
      <w:r>
        <w:rPr>
          <w:rFonts w:ascii="Times New Roman" w:cs="Times New Roman" w:eastAsia="Times New Roman" w:hAnsi="Times New Roman"/>
          <w:sz w:val="18"/>
          <w:szCs w:val="18"/>
          <w:b w:val="1"/>
          <w:bCs w:val="1"/>
          <w:color w:val="auto"/>
        </w:rPr>
        <w:t>Section 19.7(a)</w:t>
      </w:r>
      <w:r>
        <w:rPr>
          <w:rFonts w:ascii="Times New Roman" w:cs="Times New Roman" w:eastAsia="Times New Roman" w:hAnsi="Times New Roman"/>
          <w:sz w:val="18"/>
          <w:szCs w:val="18"/>
          <w:color w:val="auto"/>
        </w:rPr>
        <w:t xml:space="preserve"> by mailing a copy thereof by registered or certified mail (or any substantially similar form of mail), postage prepaid, return receipt requested, to it at its address specified in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389" w:lineRule="exact"/>
        <w:rPr>
          <w:rFonts w:ascii="Times New Roman" w:cs="Times New Roman" w:eastAsia="Times New Roman" w:hAnsi="Times New Roman"/>
          <w:sz w:val="18"/>
          <w:szCs w:val="18"/>
          <w:color w:val="auto"/>
        </w:rPr>
      </w:pPr>
    </w:p>
    <w:p>
      <w:pPr>
        <w:jc w:val="both"/>
        <w:ind w:firstLine="1876"/>
        <w:spacing w:after="0" w:line="255" w:lineRule="auto"/>
        <w:tabs>
          <w:tab w:leader="none" w:pos="263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b w:val="1"/>
          <w:bCs w:val="1"/>
          <w:color w:val="auto"/>
        </w:rPr>
        <w:t>Section 19.7</w:t>
      </w:r>
      <w:r>
        <w:rPr>
          <w:rFonts w:ascii="Times New Roman" w:cs="Times New Roman" w:eastAsia="Times New Roman" w:hAnsi="Times New Roman"/>
          <w:sz w:val="18"/>
          <w:szCs w:val="18"/>
          <w:color w:val="auto"/>
        </w:rPr>
        <w:t xml:space="preserve">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75" w:lineRule="exact"/>
        <w:rPr>
          <w:rFonts w:ascii="Times New Roman" w:cs="Times New Roman" w:eastAsia="Times New Roman" w:hAnsi="Times New Roman"/>
          <w:sz w:val="18"/>
          <w:szCs w:val="18"/>
          <w:color w:val="auto"/>
        </w:rPr>
      </w:pPr>
    </w:p>
    <w:p>
      <w:pPr>
        <w:ind w:left="2640" w:hanging="764"/>
        <w:spacing w:after="0"/>
        <w:tabs>
          <w:tab w:leader="none" w:pos="26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hereby waive trial by jury in any action brought on or with respect</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this Agreement, the Bonds or any other document executed in connection herewith or therewith.</w:t>
      </w:r>
    </w:p>
    <w:p>
      <w:pPr>
        <w:spacing w:after="0" w:line="196" w:lineRule="exact"/>
        <w:rPr>
          <w:sz w:val="20"/>
          <w:szCs w:val="20"/>
          <w:color w:val="auto"/>
        </w:rPr>
      </w:pPr>
    </w:p>
    <w:p>
      <w:pPr>
        <w:jc w:val="both"/>
        <w:ind w:firstLine="566"/>
        <w:spacing w:after="0" w:line="248" w:lineRule="auto"/>
        <w:rPr>
          <w:sz w:val="20"/>
          <w:szCs w:val="20"/>
          <w:color w:val="auto"/>
        </w:rPr>
      </w:pPr>
      <w:r>
        <w:rPr>
          <w:rFonts w:ascii="Times New Roman" w:cs="Times New Roman" w:eastAsia="Times New Roman" w:hAnsi="Times New Roman"/>
          <w:sz w:val="18"/>
          <w:szCs w:val="18"/>
          <w:i w:val="1"/>
          <w:iCs w:val="1"/>
          <w:color w:val="auto"/>
        </w:rPr>
        <w:t>Section 19.8. Payments Due on Non-Business Days</w:t>
      </w:r>
      <w:r>
        <w:rPr>
          <w:rFonts w:ascii="Times New Roman" w:cs="Times New Roman" w:eastAsia="Times New Roman" w:hAnsi="Times New Roman"/>
          <w:sz w:val="18"/>
          <w:szCs w:val="18"/>
          <w:color w:val="auto"/>
        </w:rPr>
        <w:t>. Anything in this Agreement or the Bonds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32" w:name="page333"/>
    <w:bookmarkEnd w:id="332"/>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jc w:val="both"/>
        <w:ind w:right="1200" w:firstLine="554"/>
        <w:spacing w:after="0" w:line="260" w:lineRule="auto"/>
        <w:rPr>
          <w:sz w:val="20"/>
          <w:szCs w:val="20"/>
          <w:color w:val="auto"/>
        </w:rPr>
      </w:pPr>
      <w:r>
        <w:rPr>
          <w:rFonts w:ascii="Times New Roman" w:cs="Times New Roman" w:eastAsia="Times New Roman" w:hAnsi="Times New Roman"/>
          <w:sz w:val="18"/>
          <w:szCs w:val="18"/>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15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_____________________________________________________________________</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u w:val="single" w:color="auto"/>
          <w:color w:val="auto"/>
        </w:rPr>
        <w:t>/s/ Brian Dingerdissen</w:t>
      </w:r>
    </w:p>
    <w:p>
      <w:pPr>
        <w:spacing w:after="0" w:line="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Name: Brian Dingerdissen</w:t>
      </w:r>
    </w:p>
    <w:p>
      <w:pPr>
        <w:spacing w:after="0" w:line="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Its: Vice President Financial Planning &amp; Analysis and Treasurer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10240"/>
          </w:cols>
          <w:pgMar w:left="1420" w:top="115" w:right="239" w:bottom="1440" w:gutter="0" w:footer="0" w:header="0"/>
        </w:sectPr>
      </w:pPr>
    </w:p>
    <w:bookmarkStart w:id="333" w:name="page334"/>
    <w:bookmarkEnd w:id="333"/>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Aqua Pennsylvania, Inc.</w:t>
      </w:r>
      <w:r>
        <w:rPr>
          <w:sz w:val="20"/>
          <w:szCs w:val="20"/>
          <w:color w:val="auto"/>
        </w:rPr>
        <w:tab/>
      </w:r>
      <w:r>
        <w:rPr>
          <w:rFonts w:ascii="Times New Roman" w:cs="Times New Roman" w:eastAsia="Times New Roman" w:hAnsi="Times New Roman"/>
          <w:sz w:val="18"/>
          <w:szCs w:val="18"/>
          <w:color w:val="auto"/>
        </w:rPr>
        <w:t>Bond Purchase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0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STATE FARM LIFE INSURANCE COMPANY</w:t>
      </w:r>
    </w:p>
    <w:p>
      <w:pPr>
        <w:spacing w:after="0" w:line="200" w:lineRule="exact"/>
        <w:rPr>
          <w:sz w:val="20"/>
          <w:szCs w:val="20"/>
          <w:color w:val="auto"/>
        </w:rPr>
      </w:pPr>
    </w:p>
    <w:p>
      <w:pPr>
        <w:spacing w:after="0" w:line="2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Rebekah L. Holt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Rebekah L. Holt</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38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Michelle K. Marsh</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Michelle K. Marsh</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39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STATE FARM LIFE AND ACCIDENT ASSURANCE COMPANY</w:t>
      </w:r>
    </w:p>
    <w:p>
      <w:pPr>
        <w:spacing w:after="0" w:line="200" w:lineRule="exact"/>
        <w:rPr>
          <w:sz w:val="20"/>
          <w:szCs w:val="20"/>
          <w:color w:val="auto"/>
        </w:rPr>
      </w:pPr>
    </w:p>
    <w:p>
      <w:pPr>
        <w:spacing w:after="0" w:line="2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Rebekah L. Holt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Rebekah L. Holt</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38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Michelle K. Marsh</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Michelle K. Marsh</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397"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STATE FARM MUTUAL AUTOMOBILE INSURANCE COMPANY</w:t>
      </w:r>
    </w:p>
    <w:p>
      <w:pPr>
        <w:spacing w:after="0" w:line="200" w:lineRule="exact"/>
        <w:rPr>
          <w:sz w:val="20"/>
          <w:szCs w:val="20"/>
          <w:color w:val="auto"/>
        </w:rPr>
      </w:pPr>
    </w:p>
    <w:p>
      <w:pPr>
        <w:spacing w:after="0" w:line="2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Rebekah L. Holt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Rebekah L. Holt</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38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Michelle K. Marsh</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Michelle K. Marsh</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16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color w:val="auto"/>
        </w:rPr>
        <w:t>Aqua Pennsylvania,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Bond Purchase Agreement</w:t>
      </w:r>
    </w:p>
    <w:p>
      <w:pPr>
        <w:spacing w:after="0" w:line="417" w:lineRule="exact"/>
        <w:rPr>
          <w:sz w:val="20"/>
          <w:szCs w:val="20"/>
          <w:color w:val="auto"/>
        </w:rPr>
      </w:pPr>
    </w:p>
    <w:p>
      <w:pPr>
        <w:sectPr>
          <w:pgSz w:w="11900" w:h="16838" w:orient="portrait"/>
          <w:cols w:equalWidth="0" w:num="2">
            <w:col w:w="5240" w:space="720"/>
            <w:col w:w="3080"/>
          </w:cols>
          <w:pgMar w:left="1420" w:top="115" w:right="1439" w:bottom="1440" w:gutter="0" w:footer="0" w:header="0"/>
        </w:sectPr>
      </w:pPr>
    </w:p>
    <w:p>
      <w:pPr>
        <w:ind w:left="3320"/>
        <w:spacing w:after="0"/>
        <w:rPr>
          <w:sz w:val="20"/>
          <w:szCs w:val="20"/>
          <w:color w:val="auto"/>
        </w:rPr>
      </w:pPr>
      <w:r>
        <w:rPr>
          <w:rFonts w:ascii="Times New Roman" w:cs="Times New Roman" w:eastAsia="Times New Roman" w:hAnsi="Times New Roman"/>
          <w:sz w:val="18"/>
          <w:szCs w:val="18"/>
          <w:color w:val="auto"/>
        </w:rPr>
        <w:t>STATE FARM FIRE AND CASUALTY COMPANY</w:t>
      </w:r>
    </w:p>
    <w:p>
      <w:pPr>
        <w:spacing w:after="0" w:line="200" w:lineRule="exact"/>
        <w:rPr>
          <w:sz w:val="20"/>
          <w:szCs w:val="20"/>
          <w:color w:val="auto"/>
        </w:rPr>
      </w:pPr>
    </w:p>
    <w:p>
      <w:pPr>
        <w:spacing w:after="0" w:line="2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Rebekah L. Holt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Rebekah L. Holt</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38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Michelle K. Marsh</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Michelle K. Marsh</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18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STATE FARM INSURANCE COMPANIES EMPLOYEE RETIREMENT</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TRUST</w:t>
      </w:r>
    </w:p>
    <w:p>
      <w:pPr>
        <w:spacing w:after="0" w:line="38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Rebekah L. Holt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Rebekah L. Holt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Authorized Signer</w:t>
      </w:r>
    </w:p>
    <w:p>
      <w:pPr>
        <w:spacing w:after="0" w:line="38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/s/ Michelle K. Marsh</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Michelle K. Marsh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Authorized Signer</w:t>
      </w:r>
    </w:p>
    <w:p>
      <w:pPr>
        <w:sectPr>
          <w:pgSz w:w="11900" w:h="16838" w:orient="portrait"/>
          <w:cols w:equalWidth="0" w:num="1">
            <w:col w:w="9040"/>
          </w:cols>
          <w:pgMar w:left="1420" w:top="115"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68580</wp:posOffset>
            </wp:positionV>
            <wp:extent cx="5783580" cy="476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335" w:name="page336"/>
    <w:bookmarkEnd w:id="335"/>
    <w:tbl>
      <w:tblPr>
        <w:tblLayout w:type="fixed"/>
        <w:tblInd w:w="180" w:type="dxa"/>
        <w:tblCellMar>
          <w:top w:w="0" w:type="dxa"/>
          <w:left w:w="0" w:type="dxa"/>
          <w:bottom w:w="0" w:type="dxa"/>
          <w:right w:w="0" w:type="dxa"/>
        </w:tblCellMar>
      </w:tblPr>
      <w:tr>
        <w:trPr>
          <w:trHeight w:val="208"/>
        </w:trPr>
        <w:tc>
          <w:tcPr>
            <w:tcW w:w="5720" w:type="dxa"/>
            <w:vAlign w:val="bottom"/>
            <w:gridSpan w:val="2"/>
          </w:tcPr>
          <w:p>
            <w:pPr>
              <w:jc w:val="center"/>
              <w:ind w:left="2893"/>
              <w:spacing w:after="0"/>
              <w:rPr>
                <w:sz w:val="20"/>
                <w:szCs w:val="20"/>
                <w:color w:val="auto"/>
              </w:rPr>
            </w:pPr>
            <w:r>
              <w:rPr>
                <w:rFonts w:ascii="Times New Roman" w:cs="Times New Roman" w:eastAsia="Times New Roman" w:hAnsi="Times New Roman"/>
                <w:sz w:val="18"/>
                <w:szCs w:val="18"/>
                <w:b w:val="1"/>
                <w:bCs w:val="1"/>
                <w:color w:val="auto"/>
              </w:rPr>
              <w:t>AQUA PENNSYLVANIA, INC.</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060" w:type="dxa"/>
            <w:vAlign w:val="bottom"/>
            <w:gridSpan w:val="3"/>
          </w:tcPr>
          <w:p>
            <w:pPr>
              <w:jc w:val="center"/>
              <w:ind w:left="1533"/>
              <w:spacing w:after="0"/>
              <w:rPr>
                <w:sz w:val="20"/>
                <w:szCs w:val="20"/>
                <w:color w:val="auto"/>
              </w:rPr>
            </w:pPr>
            <w:r>
              <w:rPr>
                <w:rFonts w:ascii="Times New Roman" w:cs="Times New Roman" w:eastAsia="Times New Roman" w:hAnsi="Times New Roman"/>
                <w:sz w:val="18"/>
                <w:szCs w:val="18"/>
                <w:b w:val="1"/>
                <w:bCs w:val="1"/>
                <w:color w:val="auto"/>
              </w:rPr>
              <w:t>INFORMATION RELATING TO PURCHASERS</w:t>
            </w:r>
          </w:p>
        </w:tc>
        <w:tc>
          <w:tcPr>
            <w:tcW w:w="0" w:type="dxa"/>
            <w:vAlign w:val="bottom"/>
          </w:tcPr>
          <w:p>
            <w:pPr>
              <w:spacing w:after="0"/>
              <w:rPr>
                <w:sz w:val="1"/>
                <w:szCs w:val="1"/>
                <w:color w:val="auto"/>
              </w:rPr>
            </w:pPr>
          </w:p>
        </w:tc>
      </w:tr>
      <w:tr>
        <w:trPr>
          <w:trHeight w:val="395"/>
        </w:trPr>
        <w:tc>
          <w:tcPr>
            <w:tcW w:w="4400" w:type="dxa"/>
            <w:vAlign w:val="bottom"/>
            <w:vMerge w:val="restart"/>
          </w:tcPr>
          <w:p>
            <w:pPr>
              <w:jc w:val="center"/>
              <w:ind w:right="33"/>
              <w:spacing w:after="0"/>
              <w:rPr>
                <w:sz w:val="20"/>
                <w:szCs w:val="20"/>
                <w:color w:val="auto"/>
              </w:rPr>
            </w:pPr>
            <w:r>
              <w:rPr>
                <w:rFonts w:ascii="Times New Roman" w:cs="Times New Roman" w:eastAsia="Times New Roman" w:hAnsi="Times New Roman"/>
                <w:sz w:val="18"/>
                <w:szCs w:val="18"/>
                <w:color w:val="auto"/>
              </w:rPr>
              <w:t>NAME AND ADDRESS</w:t>
            </w:r>
          </w:p>
        </w:tc>
        <w:tc>
          <w:tcPr>
            <w:tcW w:w="1320" w:type="dxa"/>
            <w:vAlign w:val="bottom"/>
            <w:vMerge w:val="restart"/>
          </w:tcPr>
          <w:p>
            <w:pPr>
              <w:jc w:val="center"/>
              <w:ind w:right="88"/>
              <w:spacing w:after="0"/>
              <w:rPr>
                <w:sz w:val="20"/>
                <w:szCs w:val="20"/>
                <w:color w:val="auto"/>
              </w:rPr>
            </w:pPr>
            <w:r>
              <w:rPr>
                <w:rFonts w:ascii="Times New Roman" w:cs="Times New Roman" w:eastAsia="Times New Roman" w:hAnsi="Times New Roman"/>
                <w:sz w:val="18"/>
                <w:szCs w:val="18"/>
                <w:color w:val="auto"/>
              </w:rPr>
              <w:t>SERIES OF</w:t>
            </w:r>
          </w:p>
        </w:tc>
        <w:tc>
          <w:tcPr>
            <w:tcW w:w="1340" w:type="dxa"/>
            <w:vAlign w:val="bottom"/>
          </w:tcPr>
          <w:p>
            <w:pPr>
              <w:jc w:val="center"/>
              <w:ind w:left="28"/>
              <w:spacing w:after="0"/>
              <w:rPr>
                <w:sz w:val="20"/>
                <w:szCs w:val="20"/>
                <w:color w:val="auto"/>
              </w:rPr>
            </w:pPr>
            <w:r>
              <w:rPr>
                <w:rFonts w:ascii="Times New Roman" w:cs="Times New Roman" w:eastAsia="Times New Roman" w:hAnsi="Times New Roman"/>
                <w:sz w:val="18"/>
                <w:szCs w:val="18"/>
                <w:color w:val="auto"/>
              </w:rPr>
              <w:t>PRINCIPAL</w:t>
            </w:r>
          </w:p>
        </w:tc>
        <w:tc>
          <w:tcPr>
            <w:tcW w:w="0" w:type="dxa"/>
            <w:vAlign w:val="bottom"/>
          </w:tcPr>
          <w:p>
            <w:pPr>
              <w:spacing w:after="0"/>
              <w:rPr>
                <w:sz w:val="1"/>
                <w:szCs w:val="1"/>
                <w:color w:val="auto"/>
              </w:rPr>
            </w:pPr>
          </w:p>
        </w:tc>
      </w:tr>
      <w:tr>
        <w:trPr>
          <w:trHeight w:val="185"/>
        </w:trPr>
        <w:tc>
          <w:tcPr>
            <w:tcW w:w="44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340" w:type="dxa"/>
            <w:vAlign w:val="bottom"/>
          </w:tcPr>
          <w:p>
            <w:pPr>
              <w:jc w:val="center"/>
              <w:ind w:left="28"/>
              <w:spacing w:after="0" w:line="185" w:lineRule="exact"/>
              <w:rPr>
                <w:sz w:val="20"/>
                <w:szCs w:val="20"/>
                <w:color w:val="auto"/>
              </w:rPr>
            </w:pPr>
            <w:r>
              <w:rPr>
                <w:rFonts w:ascii="Times New Roman" w:cs="Times New Roman" w:eastAsia="Times New Roman" w:hAnsi="Times New Roman"/>
                <w:sz w:val="18"/>
                <w:szCs w:val="18"/>
                <w:color w:val="auto"/>
              </w:rPr>
              <w:t>AMOUNT OF</w:t>
            </w:r>
          </w:p>
        </w:tc>
        <w:tc>
          <w:tcPr>
            <w:tcW w:w="0" w:type="dxa"/>
            <w:vAlign w:val="bottom"/>
          </w:tcPr>
          <w:p>
            <w:pPr>
              <w:spacing w:after="0"/>
              <w:rPr>
                <w:sz w:val="1"/>
                <w:szCs w:val="1"/>
                <w:color w:val="auto"/>
              </w:rPr>
            </w:pPr>
          </w:p>
        </w:tc>
      </w:tr>
      <w:tr>
        <w:trPr>
          <w:trHeight w:val="185"/>
        </w:trPr>
        <w:tc>
          <w:tcPr>
            <w:tcW w:w="4400" w:type="dxa"/>
            <w:vAlign w:val="bottom"/>
          </w:tcPr>
          <w:p>
            <w:pPr>
              <w:jc w:val="center"/>
              <w:ind w:right="33"/>
              <w:spacing w:after="0" w:line="185" w:lineRule="exact"/>
              <w:rPr>
                <w:sz w:val="20"/>
                <w:szCs w:val="20"/>
                <w:color w:val="auto"/>
              </w:rPr>
            </w:pPr>
            <w:r>
              <w:rPr>
                <w:rFonts w:ascii="Times New Roman" w:cs="Times New Roman" w:eastAsia="Times New Roman" w:hAnsi="Times New Roman"/>
                <w:sz w:val="18"/>
                <w:szCs w:val="18"/>
                <w:color w:val="auto"/>
              </w:rPr>
              <w:t>OF PURCHASER</w:t>
            </w:r>
          </w:p>
        </w:tc>
        <w:tc>
          <w:tcPr>
            <w:tcW w:w="1320" w:type="dxa"/>
            <w:vAlign w:val="bottom"/>
          </w:tcPr>
          <w:p>
            <w:pPr>
              <w:jc w:val="center"/>
              <w:ind w:right="108"/>
              <w:spacing w:after="0" w:line="185" w:lineRule="exact"/>
              <w:rPr>
                <w:sz w:val="20"/>
                <w:szCs w:val="20"/>
                <w:color w:val="auto"/>
              </w:rPr>
            </w:pPr>
            <w:r>
              <w:rPr>
                <w:rFonts w:ascii="Times New Roman" w:cs="Times New Roman" w:eastAsia="Times New Roman" w:hAnsi="Times New Roman"/>
                <w:sz w:val="18"/>
                <w:szCs w:val="18"/>
                <w:color w:val="auto"/>
              </w:rPr>
              <w:t>BONDS</w:t>
            </w:r>
          </w:p>
        </w:tc>
        <w:tc>
          <w:tcPr>
            <w:tcW w:w="1340" w:type="dxa"/>
            <w:vAlign w:val="bottom"/>
          </w:tcPr>
          <w:p>
            <w:pPr>
              <w:jc w:val="center"/>
              <w:ind w:left="48"/>
              <w:spacing w:after="0" w:line="185" w:lineRule="exact"/>
              <w:rPr>
                <w:sz w:val="20"/>
                <w:szCs w:val="20"/>
                <w:color w:val="auto"/>
              </w:rPr>
            </w:pPr>
            <w:r>
              <w:rPr>
                <w:rFonts w:ascii="Times New Roman" w:cs="Times New Roman" w:eastAsia="Times New Roman" w:hAnsi="Times New Roman"/>
                <w:sz w:val="18"/>
                <w:szCs w:val="18"/>
                <w:color w:val="auto"/>
              </w:rPr>
              <w:t>BONDS TO BE</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jc w:val="center"/>
              <w:ind w:left="28"/>
              <w:spacing w:after="0" w:line="193" w:lineRule="exact"/>
              <w:rPr>
                <w:sz w:val="20"/>
                <w:szCs w:val="20"/>
                <w:color w:val="auto"/>
              </w:rPr>
            </w:pPr>
            <w:r>
              <w:rPr>
                <w:rFonts w:ascii="Times New Roman" w:cs="Times New Roman" w:eastAsia="Times New Roman" w:hAnsi="Times New Roman"/>
                <w:sz w:val="18"/>
                <w:szCs w:val="18"/>
                <w:color w:val="auto"/>
              </w:rPr>
              <w:t>PURCHASED</w:t>
            </w:r>
          </w:p>
        </w:tc>
        <w:tc>
          <w:tcPr>
            <w:tcW w:w="0" w:type="dxa"/>
            <w:vAlign w:val="bottom"/>
          </w:tcPr>
          <w:p>
            <w:pPr>
              <w:spacing w:after="0"/>
              <w:rPr>
                <w:sz w:val="1"/>
                <w:szCs w:val="1"/>
                <w:color w:val="auto"/>
              </w:rPr>
            </w:pPr>
          </w:p>
        </w:tc>
      </w:tr>
      <w:tr>
        <w:trPr>
          <w:trHeight w:val="193"/>
        </w:trPr>
        <w:tc>
          <w:tcPr>
            <w:tcW w:w="4400" w:type="dxa"/>
            <w:vAlign w:val="bottom"/>
          </w:tcPr>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STATE  FARM  MUTUAL  AUTOMOBILE  INSURANCE</w:t>
            </w:r>
          </w:p>
        </w:tc>
        <w:tc>
          <w:tcPr>
            <w:tcW w:w="1320" w:type="dxa"/>
            <w:vAlign w:val="bottom"/>
          </w:tcPr>
          <w:p>
            <w:pPr>
              <w:jc w:val="center"/>
              <w:ind w:right="108"/>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2035</w:t>
            </w:r>
          </w:p>
        </w:tc>
        <w:tc>
          <w:tcPr>
            <w:tcW w:w="1340" w:type="dxa"/>
            <w:vAlign w:val="bottom"/>
          </w:tcPr>
          <w:p>
            <w:pPr>
              <w:jc w:val="center"/>
              <w:ind w:left="48"/>
              <w:spacing w:after="0" w:line="194" w:lineRule="exact"/>
              <w:rPr>
                <w:sz w:val="20"/>
                <w:szCs w:val="20"/>
                <w:color w:val="auto"/>
              </w:rPr>
            </w:pPr>
            <w:r>
              <w:rPr>
                <w:rFonts w:ascii="Times New Roman" w:cs="Times New Roman" w:eastAsia="Times New Roman" w:hAnsi="Times New Roman"/>
                <w:sz w:val="18"/>
                <w:szCs w:val="18"/>
                <w:b w:val="1"/>
                <w:bCs w:val="1"/>
                <w:color w:val="auto"/>
              </w:rPr>
              <w:t>$30,000,000</w:t>
            </w:r>
          </w:p>
        </w:tc>
        <w:tc>
          <w:tcPr>
            <w:tcW w:w="0" w:type="dxa"/>
            <w:vAlign w:val="bottom"/>
          </w:tcPr>
          <w:p>
            <w:pPr>
              <w:spacing w:after="0"/>
              <w:rPr>
                <w:sz w:val="1"/>
                <w:szCs w:val="1"/>
                <w:color w:val="auto"/>
              </w:rPr>
            </w:pPr>
          </w:p>
        </w:tc>
      </w:tr>
      <w:tr>
        <w:trPr>
          <w:trHeight w:val="200"/>
        </w:trPr>
        <w:tc>
          <w:tcPr>
            <w:tcW w:w="44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COMPANY</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Times New Roman" w:cs="Times New Roman" w:eastAsia="Times New Roman" w:hAnsi="Times New Roman"/>
          <w:sz w:val="18"/>
          <w:szCs w:val="18"/>
          <w:color w:val="auto"/>
        </w:rPr>
        <w:t>Investment Accounting Dept. D-2</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Bloomington, IL 61710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ID #37-0533080</w:t>
      </w:r>
    </w:p>
    <w:p>
      <w:pPr>
        <w:spacing w:after="0" w:line="209"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Participation/Series:</w:t>
      </w:r>
      <w:r>
        <w:rPr>
          <w:sz w:val="20"/>
          <w:szCs w:val="20"/>
          <w:color w:val="auto"/>
        </w:rPr>
        <w:tab/>
      </w:r>
      <w:r>
        <w:rPr>
          <w:rFonts w:ascii="Times New Roman" w:cs="Times New Roman" w:eastAsia="Times New Roman" w:hAnsi="Times New Roman"/>
          <w:sz w:val="18"/>
          <w:szCs w:val="18"/>
          <w:color w:val="auto"/>
        </w:rPr>
        <w:t>$30,000,000/5.38% First Mortgage Bonds due May 31, 2035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 Transfer Instructions:</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 Morgan Chase Bank</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ABA 021000021</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No. 9009000200</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Name: State Farm Fire and Casualty Company</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 PPN 03842* CF1, Par, Custody Account # G06894</w:t>
      </w:r>
    </w:p>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All payments on account of Notes held by such Purchaser shall be made by wire transfer of immediately available funds, providing sufficient information to identify the source of the transfer, including issuer, CUSIP number, interest rate, maturity date, and whether payment is interest, principal, or premium.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E-mail: privateplacements@statefarm.com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Phone: (309) 766-2386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notices, financial statements, officer’s certificates, and other correspondence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 at CityLine, Building 4</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Attn: Investment Department, Floor 9</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1415 State Street, Suite 1000</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Richardson, TX 75082-2147</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by E-Mail: privateplacements@statefarm.com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confirms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 Fire and Casualty Company</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 Accounting Dept. D-2</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Bloomington, IL 61710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If by E-Mail:</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home.acct-stocks-bonds.607j00@statefarm.com</w:t>
            </w:r>
          </w:p>
        </w:tc>
      </w:tr>
      <w:tr>
        <w:trPr>
          <w:trHeight w:val="548"/>
        </w:trPr>
        <w:tc>
          <w:tcPr>
            <w:tcW w:w="1700" w:type="dxa"/>
            <w:vAlign w:val="bottom"/>
          </w:tcPr>
          <w:p>
            <w:pPr>
              <w:spacing w:after="0"/>
              <w:rPr>
                <w:sz w:val="24"/>
                <w:szCs w:val="24"/>
                <w:color w:val="auto"/>
              </w:rPr>
            </w:pPr>
          </w:p>
        </w:tc>
        <w:tc>
          <w:tcPr>
            <w:tcW w:w="7360" w:type="dxa"/>
            <w:vAlign w:val="bottom"/>
          </w:tcPr>
          <w:p>
            <w:pPr>
              <w:jc w:val="center"/>
              <w:ind w:right="1608"/>
              <w:spacing w:after="0"/>
              <w:rPr>
                <w:sz w:val="20"/>
                <w:szCs w:val="20"/>
                <w:color w:val="auto"/>
              </w:rPr>
            </w:pPr>
            <w:r>
              <w:rPr>
                <w:rFonts w:ascii="Times New Roman" w:cs="Times New Roman" w:eastAsia="Times New Roman" w:hAnsi="Times New Roman"/>
                <w:sz w:val="18"/>
                <w:szCs w:val="18"/>
                <w:color w:val="auto"/>
              </w:rPr>
              <w:t>Schedule A</w:t>
            </w:r>
          </w:p>
        </w:tc>
      </w:tr>
      <w:tr>
        <w:trPr>
          <w:trHeight w:val="241"/>
        </w:trPr>
        <w:tc>
          <w:tcPr>
            <w:tcW w:w="1700" w:type="dxa"/>
            <w:vAlign w:val="bottom"/>
          </w:tcPr>
          <w:p>
            <w:pPr>
              <w:spacing w:after="0"/>
              <w:rPr>
                <w:sz w:val="20"/>
                <w:szCs w:val="20"/>
                <w:color w:val="auto"/>
              </w:rPr>
            </w:pPr>
          </w:p>
        </w:tc>
        <w:tc>
          <w:tcPr>
            <w:tcW w:w="7360" w:type="dxa"/>
            <w:vAlign w:val="bottom"/>
          </w:tcPr>
          <w:p>
            <w:pPr>
              <w:jc w:val="center"/>
              <w:ind w:right="1608"/>
              <w:spacing w:after="0"/>
              <w:rPr>
                <w:sz w:val="20"/>
                <w:szCs w:val="20"/>
                <w:color w:val="auto"/>
              </w:rPr>
            </w:pPr>
            <w:r>
              <w:rPr>
                <w:rFonts w:ascii="Times New Roman" w:cs="Times New Roman" w:eastAsia="Times New Roman" w:hAnsi="Times New Roman"/>
                <w:sz w:val="18"/>
                <w:szCs w:val="18"/>
                <w:color w:val="auto"/>
              </w:rPr>
              <w:t>(to Bond Purchase Agreement)</w:t>
            </w:r>
          </w:p>
        </w:tc>
      </w:tr>
      <w:tr>
        <w:trPr>
          <w:trHeight w:val="83"/>
        </w:trPr>
        <w:tc>
          <w:tcPr>
            <w:tcW w:w="1700" w:type="dxa"/>
            <w:vAlign w:val="bottom"/>
            <w:tcBorders>
              <w:bottom w:val="single" w:sz="8" w:color="9A9A9A"/>
            </w:tcBorders>
          </w:tcPr>
          <w:p>
            <w:pPr>
              <w:spacing w:after="0"/>
              <w:rPr>
                <w:sz w:val="7"/>
                <w:szCs w:val="7"/>
                <w:color w:val="auto"/>
              </w:rPr>
            </w:pPr>
          </w:p>
        </w:tc>
        <w:tc>
          <w:tcPr>
            <w:tcW w:w="7360" w:type="dxa"/>
            <w:vAlign w:val="bottom"/>
            <w:tcBorders>
              <w:bottom w:val="single" w:sz="8" w:color="9A9A9A"/>
            </w:tcBorders>
          </w:tcPr>
          <w:p>
            <w:pPr>
              <w:spacing w:after="0"/>
              <w:rPr>
                <w:sz w:val="7"/>
                <w:szCs w:val="7"/>
                <w:color w:val="auto"/>
              </w:rPr>
            </w:pPr>
          </w:p>
        </w:tc>
      </w:tr>
      <w:tr>
        <w:trPr>
          <w:trHeight w:val="20"/>
        </w:trPr>
        <w:tc>
          <w:tcPr>
            <w:tcW w:w="1700" w:type="dxa"/>
            <w:vAlign w:val="bottom"/>
            <w:tcBorders>
              <w:bottom w:val="single" w:sz="8" w:color="EEEEEE"/>
            </w:tcBorders>
          </w:tcPr>
          <w:p>
            <w:pPr>
              <w:spacing w:after="0" w:line="20" w:lineRule="exact"/>
              <w:rPr>
                <w:sz w:val="1"/>
                <w:szCs w:val="1"/>
                <w:color w:val="auto"/>
              </w:rPr>
            </w:pPr>
          </w:p>
        </w:tc>
        <w:tc>
          <w:tcPr>
            <w:tcW w:w="73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20" w:right="141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color w:val="auto"/>
        </w:rPr>
        <w:t>Send the original promissory note (via registered mail)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780 Delta Drive</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Mail Code: CIB Inbound LA4-0099</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Monroe, LA 71203</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G06894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any other document whose enforceability requires an original signature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Bloomington, Illinois 61710</w:t>
      </w:r>
    </w:p>
    <w:p>
      <w:pPr>
        <w:spacing w:after="0" w:line="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Attn:</w:t>
        <w:tab/>
        <w:t>Corporate Law-Investments, A-3</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Matthew Melick, Associate General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an electronic set of closing documents to:</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private.placements.law@statefarm.com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20" w:right="1440"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07"/>
        </w:trPr>
        <w:tc>
          <w:tcPr>
            <w:tcW w:w="458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NAME AND ADDRESS</w:t>
            </w:r>
          </w:p>
        </w:tc>
        <w:tc>
          <w:tcPr>
            <w:tcW w:w="1240" w:type="dxa"/>
            <w:vAlign w:val="bottom"/>
            <w:vMerge w:val="restart"/>
          </w:tcPr>
          <w:p>
            <w:pPr>
              <w:jc w:val="center"/>
              <w:ind w:right="8"/>
              <w:spacing w:after="0"/>
              <w:rPr>
                <w:sz w:val="20"/>
                <w:szCs w:val="20"/>
                <w:color w:val="auto"/>
              </w:rPr>
            </w:pPr>
            <w:r>
              <w:rPr>
                <w:rFonts w:ascii="Times New Roman" w:cs="Times New Roman" w:eastAsia="Times New Roman" w:hAnsi="Times New Roman"/>
                <w:sz w:val="18"/>
                <w:szCs w:val="18"/>
                <w:color w:val="auto"/>
              </w:rPr>
              <w:t>SERIES OF</w:t>
            </w:r>
          </w:p>
        </w:tc>
        <w:tc>
          <w:tcPr>
            <w:tcW w:w="1420" w:type="dxa"/>
            <w:vAlign w:val="bottom"/>
          </w:tcPr>
          <w:p>
            <w:pPr>
              <w:jc w:val="center"/>
              <w:ind w:left="108"/>
              <w:spacing w:after="0"/>
              <w:rPr>
                <w:sz w:val="20"/>
                <w:szCs w:val="20"/>
                <w:color w:val="auto"/>
              </w:rPr>
            </w:pPr>
            <w:r>
              <w:rPr>
                <w:rFonts w:ascii="Times New Roman" w:cs="Times New Roman" w:eastAsia="Times New Roman" w:hAnsi="Times New Roman"/>
                <w:sz w:val="18"/>
                <w:szCs w:val="18"/>
                <w:color w:val="auto"/>
              </w:rPr>
              <w:t>PRINCIPAL</w:t>
            </w:r>
          </w:p>
        </w:tc>
        <w:tc>
          <w:tcPr>
            <w:tcW w:w="0" w:type="dxa"/>
            <w:vAlign w:val="bottom"/>
          </w:tcPr>
          <w:p>
            <w:pPr>
              <w:spacing w:after="0"/>
              <w:rPr>
                <w:sz w:val="1"/>
                <w:szCs w:val="1"/>
                <w:color w:val="auto"/>
              </w:rPr>
            </w:pPr>
          </w:p>
        </w:tc>
      </w:tr>
      <w:tr>
        <w:trPr>
          <w:trHeight w:val="185"/>
        </w:trPr>
        <w:tc>
          <w:tcPr>
            <w:tcW w:w="45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20" w:type="dxa"/>
            <w:vAlign w:val="bottom"/>
          </w:tcPr>
          <w:p>
            <w:pPr>
              <w:jc w:val="center"/>
              <w:ind w:left="108"/>
              <w:spacing w:after="0" w:line="185" w:lineRule="exact"/>
              <w:rPr>
                <w:sz w:val="20"/>
                <w:szCs w:val="20"/>
                <w:color w:val="auto"/>
              </w:rPr>
            </w:pPr>
            <w:r>
              <w:rPr>
                <w:rFonts w:ascii="Times New Roman" w:cs="Times New Roman" w:eastAsia="Times New Roman" w:hAnsi="Times New Roman"/>
                <w:sz w:val="18"/>
                <w:szCs w:val="18"/>
                <w:color w:val="auto"/>
              </w:rPr>
              <w:t>AMOUNT OF</w:t>
            </w:r>
          </w:p>
        </w:tc>
        <w:tc>
          <w:tcPr>
            <w:tcW w:w="0" w:type="dxa"/>
            <w:vAlign w:val="bottom"/>
          </w:tcPr>
          <w:p>
            <w:pPr>
              <w:spacing w:after="0"/>
              <w:rPr>
                <w:sz w:val="1"/>
                <w:szCs w:val="1"/>
                <w:color w:val="auto"/>
              </w:rPr>
            </w:pPr>
          </w:p>
        </w:tc>
      </w:tr>
      <w:tr>
        <w:trPr>
          <w:trHeight w:val="185"/>
        </w:trPr>
        <w:tc>
          <w:tcPr>
            <w:tcW w:w="4580" w:type="dxa"/>
            <w:vAlign w:val="bottom"/>
          </w:tcPr>
          <w:p>
            <w:pPr>
              <w:ind w:left="1640"/>
              <w:spacing w:after="0" w:line="185" w:lineRule="exact"/>
              <w:rPr>
                <w:sz w:val="20"/>
                <w:szCs w:val="20"/>
                <w:color w:val="auto"/>
              </w:rPr>
            </w:pPr>
            <w:r>
              <w:rPr>
                <w:rFonts w:ascii="Times New Roman" w:cs="Times New Roman" w:eastAsia="Times New Roman" w:hAnsi="Times New Roman"/>
                <w:sz w:val="18"/>
                <w:szCs w:val="18"/>
                <w:color w:val="auto"/>
              </w:rPr>
              <w:t>OF PURCHASER</w:t>
            </w:r>
          </w:p>
        </w:tc>
        <w:tc>
          <w:tcPr>
            <w:tcW w:w="1240" w:type="dxa"/>
            <w:vAlign w:val="bottom"/>
          </w:tcPr>
          <w:p>
            <w:pPr>
              <w:jc w:val="center"/>
              <w:ind w:right="28"/>
              <w:spacing w:after="0" w:line="185" w:lineRule="exact"/>
              <w:rPr>
                <w:sz w:val="20"/>
                <w:szCs w:val="20"/>
                <w:color w:val="auto"/>
              </w:rPr>
            </w:pPr>
            <w:r>
              <w:rPr>
                <w:rFonts w:ascii="Times New Roman" w:cs="Times New Roman" w:eastAsia="Times New Roman" w:hAnsi="Times New Roman"/>
                <w:sz w:val="18"/>
                <w:szCs w:val="18"/>
                <w:color w:val="auto"/>
              </w:rPr>
              <w:t>BONDS</w:t>
            </w:r>
          </w:p>
        </w:tc>
        <w:tc>
          <w:tcPr>
            <w:tcW w:w="1420" w:type="dxa"/>
            <w:vAlign w:val="bottom"/>
          </w:tcPr>
          <w:p>
            <w:pPr>
              <w:jc w:val="center"/>
              <w:ind w:left="128"/>
              <w:spacing w:after="0" w:line="185" w:lineRule="exact"/>
              <w:rPr>
                <w:sz w:val="20"/>
                <w:szCs w:val="20"/>
                <w:color w:val="auto"/>
              </w:rPr>
            </w:pPr>
            <w:r>
              <w:rPr>
                <w:rFonts w:ascii="Times New Roman" w:cs="Times New Roman" w:eastAsia="Times New Roman" w:hAnsi="Times New Roman"/>
                <w:sz w:val="18"/>
                <w:szCs w:val="18"/>
                <w:color w:val="auto"/>
              </w:rPr>
              <w:t>BONDS TO BE</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20" w:type="dxa"/>
            <w:vAlign w:val="bottom"/>
          </w:tcPr>
          <w:p>
            <w:pPr>
              <w:jc w:val="center"/>
              <w:ind w:left="108"/>
              <w:spacing w:after="0" w:line="193" w:lineRule="exact"/>
              <w:rPr>
                <w:sz w:val="20"/>
                <w:szCs w:val="20"/>
                <w:color w:val="auto"/>
              </w:rPr>
            </w:pPr>
            <w:r>
              <w:rPr>
                <w:rFonts w:ascii="Times New Roman" w:cs="Times New Roman" w:eastAsia="Times New Roman" w:hAnsi="Times New Roman"/>
                <w:sz w:val="18"/>
                <w:szCs w:val="18"/>
                <w:color w:val="auto"/>
              </w:rPr>
              <w:t>PURCHASED</w:t>
            </w:r>
          </w:p>
        </w:tc>
        <w:tc>
          <w:tcPr>
            <w:tcW w:w="0" w:type="dxa"/>
            <w:vAlign w:val="bottom"/>
          </w:tcPr>
          <w:p>
            <w:pPr>
              <w:spacing w:after="0"/>
              <w:rPr>
                <w:sz w:val="1"/>
                <w:szCs w:val="1"/>
                <w:color w:val="auto"/>
              </w:rPr>
            </w:pPr>
          </w:p>
        </w:tc>
      </w:tr>
      <w:tr>
        <w:trPr>
          <w:trHeight w:val="193"/>
        </w:trPr>
        <w:tc>
          <w:tcPr>
            <w:tcW w:w="45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STATE  FARM  MUTUAL  AUTOMOBILE  INSURANCE</w:t>
            </w:r>
          </w:p>
        </w:tc>
        <w:tc>
          <w:tcPr>
            <w:tcW w:w="1240" w:type="dxa"/>
            <w:vAlign w:val="bottom"/>
          </w:tcPr>
          <w:p>
            <w:pPr>
              <w:jc w:val="center"/>
              <w:ind w:right="28"/>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2035</w:t>
            </w:r>
          </w:p>
        </w:tc>
        <w:tc>
          <w:tcPr>
            <w:tcW w:w="1420" w:type="dxa"/>
            <w:vAlign w:val="bottom"/>
          </w:tcPr>
          <w:p>
            <w:pPr>
              <w:jc w:val="center"/>
              <w:ind w:left="128"/>
              <w:spacing w:after="0" w:line="194" w:lineRule="exact"/>
              <w:rPr>
                <w:sz w:val="20"/>
                <w:szCs w:val="20"/>
                <w:color w:val="auto"/>
              </w:rPr>
            </w:pPr>
            <w:r>
              <w:rPr>
                <w:rFonts w:ascii="Times New Roman" w:cs="Times New Roman" w:eastAsia="Times New Roman" w:hAnsi="Times New Roman"/>
                <w:sz w:val="18"/>
                <w:szCs w:val="18"/>
                <w:b w:val="1"/>
                <w:bCs w:val="1"/>
                <w:color w:val="auto"/>
              </w:rPr>
              <w:t>$20,000,000</w:t>
            </w:r>
          </w:p>
        </w:tc>
        <w:tc>
          <w:tcPr>
            <w:tcW w:w="0" w:type="dxa"/>
            <w:vAlign w:val="bottom"/>
          </w:tcPr>
          <w:p>
            <w:pPr>
              <w:spacing w:after="0"/>
              <w:rPr>
                <w:sz w:val="1"/>
                <w:szCs w:val="1"/>
                <w:color w:val="auto"/>
              </w:rPr>
            </w:pPr>
          </w:p>
        </w:tc>
      </w:tr>
      <w:tr>
        <w:trPr>
          <w:trHeight w:val="180"/>
        </w:trPr>
        <w:tc>
          <w:tcPr>
            <w:tcW w:w="458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COMPANY</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Accounting Dept. D-2</w:t>
            </w: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State Farm Plaza</w:t>
            </w: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Bloomington, IL 61710</w:t>
            </w:r>
          </w:p>
        </w:tc>
        <w:tc>
          <w:tcPr>
            <w:tcW w:w="1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ID #37-0533100</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Participation/Series:</w:t>
      </w:r>
      <w:r>
        <w:rPr>
          <w:sz w:val="20"/>
          <w:szCs w:val="20"/>
          <w:color w:val="auto"/>
        </w:rPr>
        <w:tab/>
      </w:r>
      <w:r>
        <w:rPr>
          <w:rFonts w:ascii="Times New Roman" w:cs="Times New Roman" w:eastAsia="Times New Roman" w:hAnsi="Times New Roman"/>
          <w:sz w:val="18"/>
          <w:szCs w:val="18"/>
          <w:color w:val="auto"/>
        </w:rPr>
        <w:t>$20,000,000/5.38% First Mortgage Bonds due May 31, 2035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 Transfer Instructions:</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 Morgan Chase Bank</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ABA 021000021</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No. 9009000200</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Name: State Farm Mutual Automobile Insurance Company</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 PPN 03842* CF1, Par, Custody Account # G06892</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All payments on account of Notes held by such Purchaser shall be made by wire transfer of immediately available funds, providing sufficient information to identify the source of the transfer, including issuer, CUSIP number, interest rate, maturity date, and whether payment is interest, principal, or premium.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E-mail: privateplacements@statefarm.com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Phone: (309) 766-2386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notices, financial statements, officer’s certificates, and other correspondence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 at CityLine, Building 4</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Attn: Investment Department, Floor 9</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1415 State Street, Suite 1000</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Richardson, TX 75082-2147</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by E-Mail: privateplacements@statefarm.com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confirms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 Mutual Automobile Insurance Company</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 Accounting Dept. D-2</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Bloomington, IL 61710</w:t>
      </w:r>
    </w:p>
    <w:p>
      <w:pPr>
        <w:spacing w:after="0" w:line="1" w:lineRule="exact"/>
        <w:rPr>
          <w:sz w:val="20"/>
          <w:szCs w:val="20"/>
          <w:color w:val="auto"/>
        </w:rPr>
      </w:pPr>
    </w:p>
    <w:p>
      <w:pPr>
        <w:ind w:left="560"/>
        <w:spacing w:after="0"/>
        <w:tabs>
          <w:tab w:leader="none" w:pos="1840" w:val="left"/>
        </w:tabs>
        <w:rPr>
          <w:sz w:val="20"/>
          <w:szCs w:val="20"/>
          <w:color w:val="auto"/>
        </w:rPr>
      </w:pPr>
      <w:r>
        <w:rPr>
          <w:rFonts w:ascii="Times New Roman" w:cs="Times New Roman" w:eastAsia="Times New Roman" w:hAnsi="Times New Roman"/>
          <w:sz w:val="18"/>
          <w:szCs w:val="18"/>
          <w:color w:val="auto"/>
        </w:rPr>
        <w:t>If by E-Mail:</w:t>
      </w:r>
      <w:r>
        <w:rPr>
          <w:sz w:val="20"/>
          <w:szCs w:val="20"/>
          <w:color w:val="auto"/>
        </w:rPr>
        <w:tab/>
      </w:r>
      <w:r>
        <w:rPr>
          <w:rFonts w:ascii="Times New Roman" w:cs="Times New Roman" w:eastAsia="Times New Roman" w:hAnsi="Times New Roman"/>
          <w:sz w:val="18"/>
          <w:szCs w:val="18"/>
          <w:color w:val="auto"/>
        </w:rPr>
        <w:t>home.acct-stocks-bonds.607j00@statefarm.com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the original promissory note (via registered mail)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780 Delta Drive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36" w:right="1439" w:bottom="1440" w:gutter="0" w:footer="0" w:header="0"/>
        </w:sectPr>
      </w:pPr>
    </w:p>
    <w:bookmarkStart w:id="338" w:name="page339"/>
    <w:bookmarkEnd w:id="338"/>
    <w:p>
      <w:pPr>
        <w:ind w:left="560"/>
        <w:spacing w:after="0"/>
        <w:rPr>
          <w:sz w:val="20"/>
          <w:szCs w:val="20"/>
          <w:color w:val="auto"/>
        </w:rPr>
      </w:pPr>
      <w:r>
        <w:rPr>
          <w:rFonts w:ascii="Times New Roman" w:cs="Times New Roman" w:eastAsia="Times New Roman" w:hAnsi="Times New Roman"/>
          <w:sz w:val="18"/>
          <w:szCs w:val="18"/>
          <w:color w:val="auto"/>
        </w:rPr>
        <w:t>Mail Code: CIB Inbound LA4-0099</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Monroe, LA 71203</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G06892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any other document whose enforceability requires an original signature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Bloomington, Illinois 61710</w:t>
      </w:r>
    </w:p>
    <w:p>
      <w:pPr>
        <w:spacing w:after="0" w:line="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Attn:</w:t>
        <w:tab/>
        <w:t>Corporate Law-Investments, A-3</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Matthew Melick, Associate General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an electronic set of closing documents to:</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private.placements.law@statefarm.com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24" w:right="1440"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07"/>
        </w:trPr>
        <w:tc>
          <w:tcPr>
            <w:tcW w:w="394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NAME AND ADDRESS</w:t>
            </w:r>
          </w:p>
        </w:tc>
        <w:tc>
          <w:tcPr>
            <w:tcW w:w="1620" w:type="dxa"/>
            <w:vAlign w:val="bottom"/>
            <w:vMerge w:val="restart"/>
          </w:tcPr>
          <w:p>
            <w:pPr>
              <w:jc w:val="center"/>
              <w:ind w:left="388"/>
              <w:spacing w:after="0"/>
              <w:rPr>
                <w:sz w:val="20"/>
                <w:szCs w:val="20"/>
                <w:color w:val="auto"/>
              </w:rPr>
            </w:pPr>
            <w:r>
              <w:rPr>
                <w:rFonts w:ascii="Times New Roman" w:cs="Times New Roman" w:eastAsia="Times New Roman" w:hAnsi="Times New Roman"/>
                <w:sz w:val="18"/>
                <w:szCs w:val="18"/>
                <w:color w:val="auto"/>
              </w:rPr>
              <w:t>SERIES OF</w:t>
            </w:r>
          </w:p>
        </w:tc>
        <w:tc>
          <w:tcPr>
            <w:tcW w:w="1900" w:type="dxa"/>
            <w:vAlign w:val="bottom"/>
          </w:tcPr>
          <w:p>
            <w:pPr>
              <w:jc w:val="center"/>
              <w:ind w:left="28"/>
              <w:spacing w:after="0"/>
              <w:rPr>
                <w:sz w:val="20"/>
                <w:szCs w:val="20"/>
                <w:color w:val="auto"/>
              </w:rPr>
            </w:pPr>
            <w:r>
              <w:rPr>
                <w:rFonts w:ascii="Times New Roman" w:cs="Times New Roman" w:eastAsia="Times New Roman" w:hAnsi="Times New Roman"/>
                <w:sz w:val="18"/>
                <w:szCs w:val="18"/>
                <w:color w:val="auto"/>
              </w:rPr>
              <w:t>PRINCIPAL</w:t>
            </w:r>
          </w:p>
        </w:tc>
        <w:tc>
          <w:tcPr>
            <w:tcW w:w="0" w:type="dxa"/>
            <w:vAlign w:val="bottom"/>
          </w:tcPr>
          <w:p>
            <w:pPr>
              <w:spacing w:after="0"/>
              <w:rPr>
                <w:sz w:val="1"/>
                <w:szCs w:val="1"/>
                <w:color w:val="auto"/>
              </w:rPr>
            </w:pPr>
          </w:p>
        </w:tc>
      </w:tr>
      <w:tr>
        <w:trPr>
          <w:trHeight w:val="185"/>
        </w:trPr>
        <w:tc>
          <w:tcPr>
            <w:tcW w:w="39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900" w:type="dxa"/>
            <w:vAlign w:val="bottom"/>
          </w:tcPr>
          <w:p>
            <w:pPr>
              <w:jc w:val="center"/>
              <w:ind w:left="28"/>
              <w:spacing w:after="0" w:line="185" w:lineRule="exact"/>
              <w:rPr>
                <w:sz w:val="20"/>
                <w:szCs w:val="20"/>
                <w:color w:val="auto"/>
              </w:rPr>
            </w:pPr>
            <w:r>
              <w:rPr>
                <w:rFonts w:ascii="Times New Roman" w:cs="Times New Roman" w:eastAsia="Times New Roman" w:hAnsi="Times New Roman"/>
                <w:sz w:val="18"/>
                <w:szCs w:val="18"/>
                <w:color w:val="auto"/>
              </w:rPr>
              <w:t>AMOUNT OF BONDS</w:t>
            </w:r>
          </w:p>
        </w:tc>
        <w:tc>
          <w:tcPr>
            <w:tcW w:w="0" w:type="dxa"/>
            <w:vAlign w:val="bottom"/>
          </w:tcPr>
          <w:p>
            <w:pPr>
              <w:spacing w:after="0"/>
              <w:rPr>
                <w:sz w:val="1"/>
                <w:szCs w:val="1"/>
                <w:color w:val="auto"/>
              </w:rPr>
            </w:pPr>
          </w:p>
        </w:tc>
      </w:tr>
      <w:tr>
        <w:trPr>
          <w:trHeight w:val="241"/>
        </w:trPr>
        <w:tc>
          <w:tcPr>
            <w:tcW w:w="39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OF PURCHASER</w:t>
            </w:r>
          </w:p>
        </w:tc>
        <w:tc>
          <w:tcPr>
            <w:tcW w:w="1620" w:type="dxa"/>
            <w:vAlign w:val="bottom"/>
          </w:tcPr>
          <w:p>
            <w:pPr>
              <w:jc w:val="center"/>
              <w:ind w:left="388"/>
              <w:spacing w:after="0"/>
              <w:rPr>
                <w:sz w:val="20"/>
                <w:szCs w:val="20"/>
                <w:color w:val="auto"/>
              </w:rPr>
            </w:pPr>
            <w:r>
              <w:rPr>
                <w:rFonts w:ascii="Times New Roman" w:cs="Times New Roman" w:eastAsia="Times New Roman" w:hAnsi="Times New Roman"/>
                <w:sz w:val="18"/>
                <w:szCs w:val="18"/>
                <w:color w:val="auto"/>
              </w:rPr>
              <w:t>BONDS</w:t>
            </w:r>
          </w:p>
        </w:tc>
        <w:tc>
          <w:tcPr>
            <w:tcW w:w="1900" w:type="dxa"/>
            <w:vAlign w:val="bottom"/>
          </w:tcPr>
          <w:p>
            <w:pPr>
              <w:jc w:val="center"/>
              <w:ind w:left="28"/>
              <w:spacing w:after="0"/>
              <w:rPr>
                <w:sz w:val="20"/>
                <w:szCs w:val="20"/>
                <w:color w:val="auto"/>
              </w:rPr>
            </w:pPr>
            <w:r>
              <w:rPr>
                <w:rFonts w:ascii="Times New Roman" w:cs="Times New Roman" w:eastAsia="Times New Roman" w:hAnsi="Times New Roman"/>
                <w:sz w:val="18"/>
                <w:szCs w:val="18"/>
                <w:color w:val="auto"/>
              </w:rPr>
              <w:t>TO BE PURCHASED</w:t>
            </w:r>
          </w:p>
        </w:tc>
        <w:tc>
          <w:tcPr>
            <w:tcW w:w="0" w:type="dxa"/>
            <w:vAlign w:val="bottom"/>
          </w:tcPr>
          <w:p>
            <w:pPr>
              <w:spacing w:after="0"/>
              <w:rPr>
                <w:sz w:val="1"/>
                <w:szCs w:val="1"/>
                <w:color w:val="auto"/>
              </w:rPr>
            </w:pPr>
          </w:p>
        </w:tc>
      </w:tr>
      <w:tr>
        <w:trPr>
          <w:trHeight w:val="268"/>
        </w:trPr>
        <w:tc>
          <w:tcPr>
            <w:tcW w:w="39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STATE FARM LIFE INSURANCE COMPANY</w:t>
            </w:r>
          </w:p>
        </w:tc>
        <w:tc>
          <w:tcPr>
            <w:tcW w:w="1620" w:type="dxa"/>
            <w:vAlign w:val="bottom"/>
          </w:tcPr>
          <w:p>
            <w:pPr>
              <w:jc w:val="center"/>
              <w:ind w:left="388"/>
              <w:spacing w:after="0"/>
              <w:rPr>
                <w:sz w:val="20"/>
                <w:szCs w:val="20"/>
                <w:color w:val="auto"/>
              </w:rPr>
            </w:pPr>
            <w:r>
              <w:rPr>
                <w:rFonts w:ascii="Times New Roman" w:cs="Times New Roman" w:eastAsia="Times New Roman" w:hAnsi="Times New Roman"/>
                <w:sz w:val="18"/>
                <w:szCs w:val="18"/>
                <w:b w:val="1"/>
                <w:bCs w:val="1"/>
                <w:color w:val="auto"/>
              </w:rPr>
              <w:t>2035</w:t>
            </w:r>
          </w:p>
        </w:tc>
        <w:tc>
          <w:tcPr>
            <w:tcW w:w="1900" w:type="dxa"/>
            <w:vAlign w:val="bottom"/>
          </w:tcPr>
          <w:p>
            <w:pPr>
              <w:jc w:val="center"/>
              <w:ind w:left="28"/>
              <w:spacing w:after="0"/>
              <w:rPr>
                <w:sz w:val="20"/>
                <w:szCs w:val="20"/>
                <w:color w:val="auto"/>
              </w:rPr>
            </w:pPr>
            <w:r>
              <w:rPr>
                <w:rFonts w:ascii="Times New Roman" w:cs="Times New Roman" w:eastAsia="Times New Roman" w:hAnsi="Times New Roman"/>
                <w:sz w:val="18"/>
                <w:szCs w:val="18"/>
                <w:b w:val="1"/>
                <w:bCs w:val="1"/>
                <w:color w:val="auto"/>
              </w:rPr>
              <w:t>$19,000,000</w:t>
            </w:r>
          </w:p>
        </w:tc>
        <w:tc>
          <w:tcPr>
            <w:tcW w:w="0" w:type="dxa"/>
            <w:vAlign w:val="bottom"/>
          </w:tcPr>
          <w:p>
            <w:pPr>
              <w:spacing w:after="0"/>
              <w:rPr>
                <w:sz w:val="1"/>
                <w:szCs w:val="1"/>
                <w:color w:val="auto"/>
              </w:rPr>
            </w:pPr>
          </w:p>
        </w:tc>
      </w:tr>
      <w:tr>
        <w:trPr>
          <w:trHeight w:val="20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Accounting Dept. D-2</w:t>
            </w:r>
          </w:p>
        </w:tc>
        <w:tc>
          <w:tcPr>
            <w:tcW w:w="1620" w:type="dxa"/>
            <w:vAlign w:val="bottom"/>
          </w:tcPr>
          <w:p>
            <w:pPr>
              <w:jc w:val="center"/>
              <w:ind w:left="388"/>
              <w:spacing w:after="0"/>
              <w:rPr>
                <w:sz w:val="20"/>
                <w:szCs w:val="20"/>
                <w:color w:val="auto"/>
              </w:rPr>
            </w:pPr>
            <w:r>
              <w:rPr>
                <w:rFonts w:ascii="Times New Roman" w:cs="Times New Roman" w:eastAsia="Times New Roman" w:hAnsi="Times New Roman"/>
                <w:sz w:val="18"/>
                <w:szCs w:val="18"/>
                <w:b w:val="1"/>
                <w:bCs w:val="1"/>
                <w:color w:val="auto"/>
              </w:rPr>
              <w:t>2040</w:t>
            </w:r>
          </w:p>
        </w:tc>
        <w:tc>
          <w:tcPr>
            <w:tcW w:w="1900" w:type="dxa"/>
            <w:vAlign w:val="bottom"/>
          </w:tcPr>
          <w:p>
            <w:pPr>
              <w:jc w:val="center"/>
              <w:ind w:left="28"/>
              <w:spacing w:after="0"/>
              <w:rPr>
                <w:sz w:val="20"/>
                <w:szCs w:val="20"/>
                <w:color w:val="auto"/>
              </w:rPr>
            </w:pPr>
            <w:r>
              <w:rPr>
                <w:rFonts w:ascii="Times New Roman" w:cs="Times New Roman" w:eastAsia="Times New Roman" w:hAnsi="Times New Roman"/>
                <w:sz w:val="18"/>
                <w:szCs w:val="18"/>
                <w:b w:val="1"/>
                <w:bCs w:val="1"/>
                <w:color w:val="auto"/>
              </w:rPr>
              <w:t>$20,000,000</w:t>
            </w:r>
          </w:p>
        </w:tc>
        <w:tc>
          <w:tcPr>
            <w:tcW w:w="0" w:type="dxa"/>
            <w:vAlign w:val="bottom"/>
          </w:tcPr>
          <w:p>
            <w:pPr>
              <w:spacing w:after="0"/>
              <w:rPr>
                <w:sz w:val="1"/>
                <w:szCs w:val="1"/>
                <w:color w:val="auto"/>
              </w:rPr>
            </w:pPr>
          </w:p>
        </w:tc>
      </w:tr>
      <w:tr>
        <w:trPr>
          <w:trHeight w:val="20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State Farm Plaza</w:t>
            </w: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Bloomington, IL 61710</w:t>
            </w: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ID #37-0533090</w:t>
            </w: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jc w:val="right"/>
        <w:ind w:right="21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Participation/Series:        </w:t>
      </w:r>
      <w:r>
        <w:rPr>
          <w:rFonts w:ascii="Times New Roman" w:cs="Times New Roman" w:eastAsia="Times New Roman" w:hAnsi="Times New Roman"/>
          <w:sz w:val="18"/>
          <w:szCs w:val="18"/>
          <w:color w:val="auto"/>
        </w:rPr>
        <w:t>$19,000,000/5.38% First Mortgage Bonds due May 31, 2035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$20,000,000/5.63% First Mortgage Bonds due May 31, 2040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 Transfer Instructions:</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 Morgan Chase Bank</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ABA 021000021</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No. 9009000200</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Name: State Farm Life Insurance Company</w:t>
      </w:r>
    </w:p>
    <w:p>
      <w:pPr>
        <w:spacing w:after="0" w:line="21" w:lineRule="exact"/>
        <w:rPr>
          <w:sz w:val="20"/>
          <w:szCs w:val="20"/>
          <w:color w:val="auto"/>
        </w:rPr>
      </w:pPr>
    </w:p>
    <w:p>
      <w:pPr>
        <w:ind w:left="900" w:right="1380" w:hanging="346"/>
        <w:spacing w:after="0" w:line="256" w:lineRule="auto"/>
        <w:rPr>
          <w:sz w:val="20"/>
          <w:szCs w:val="20"/>
          <w:color w:val="auto"/>
        </w:rPr>
      </w:pPr>
      <w:r>
        <w:rPr>
          <w:rFonts w:ascii="Times New Roman" w:cs="Times New Roman" w:eastAsia="Times New Roman" w:hAnsi="Times New Roman"/>
          <w:sz w:val="18"/>
          <w:szCs w:val="18"/>
          <w:color w:val="auto"/>
        </w:rPr>
        <w:t>REF: PPN 03842* CF1 (5.38% Series due 2035) or PPN 03842* CG9 (5.63% Series due 2040), Par, Custody Account # G06893</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All payments on account of Notes held by such Purchaser shall be made by wire transfer of immediately available funds, providing sufficient information to identify the source of the transfer, including issuer, CUSIP number, interest rate, maturity date, and whether payment is interest, principal, or premium.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E-mail: privateplacements@statefarm.com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Phone: (309) 766-2386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notices, financial statements, officer’s certificates and other correspondence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 at CityLine, Building 4</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Attn: Investment Department, Floor 9</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1415 State Street, Suite 1000</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Richardson, TX 75082-2147</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by E-Mail: privateplacements@statefarm.com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confirms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 Life Insurance Company</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 Accounting Dept. D-2</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Bloomington, IL 61710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If by E-Mail:</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home.acct-stocks-bonds.607j00@statefarm.com</w:t>
            </w:r>
          </w:p>
        </w:tc>
      </w:tr>
      <w:tr>
        <w:trPr>
          <w:trHeight w:val="373"/>
        </w:trPr>
        <w:tc>
          <w:tcPr>
            <w:tcW w:w="1700" w:type="dxa"/>
            <w:vAlign w:val="bottom"/>
          </w:tcPr>
          <w:p>
            <w:pPr>
              <w:spacing w:after="0"/>
              <w:rPr>
                <w:sz w:val="24"/>
                <w:szCs w:val="24"/>
                <w:color w:val="auto"/>
              </w:rPr>
            </w:pPr>
          </w:p>
        </w:tc>
        <w:tc>
          <w:tcPr>
            <w:tcW w:w="73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A-5</w:t>
            </w:r>
          </w:p>
        </w:tc>
      </w:tr>
      <w:tr>
        <w:trPr>
          <w:trHeight w:val="83"/>
        </w:trPr>
        <w:tc>
          <w:tcPr>
            <w:tcW w:w="1700" w:type="dxa"/>
            <w:vAlign w:val="bottom"/>
            <w:tcBorders>
              <w:bottom w:val="single" w:sz="8" w:color="9A9A9A"/>
            </w:tcBorders>
          </w:tcPr>
          <w:p>
            <w:pPr>
              <w:spacing w:after="0"/>
              <w:rPr>
                <w:sz w:val="7"/>
                <w:szCs w:val="7"/>
                <w:color w:val="auto"/>
              </w:rPr>
            </w:pPr>
          </w:p>
        </w:tc>
        <w:tc>
          <w:tcPr>
            <w:tcW w:w="7360" w:type="dxa"/>
            <w:vAlign w:val="bottom"/>
            <w:tcBorders>
              <w:bottom w:val="single" w:sz="8" w:color="9A9A9A"/>
            </w:tcBorders>
          </w:tcPr>
          <w:p>
            <w:pPr>
              <w:spacing w:after="0"/>
              <w:rPr>
                <w:sz w:val="7"/>
                <w:szCs w:val="7"/>
                <w:color w:val="auto"/>
              </w:rPr>
            </w:pPr>
          </w:p>
        </w:tc>
      </w:tr>
      <w:tr>
        <w:trPr>
          <w:trHeight w:val="20"/>
        </w:trPr>
        <w:tc>
          <w:tcPr>
            <w:tcW w:w="1700" w:type="dxa"/>
            <w:vAlign w:val="bottom"/>
            <w:tcBorders>
              <w:bottom w:val="single" w:sz="8" w:color="EEEEEE"/>
            </w:tcBorders>
          </w:tcPr>
          <w:p>
            <w:pPr>
              <w:spacing w:after="0" w:line="20" w:lineRule="exact"/>
              <w:rPr>
                <w:sz w:val="1"/>
                <w:szCs w:val="1"/>
                <w:color w:val="auto"/>
              </w:rPr>
            </w:pPr>
          </w:p>
        </w:tc>
        <w:tc>
          <w:tcPr>
            <w:tcW w:w="73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color w:val="auto"/>
        </w:rPr>
        <w:t>Send the original promissory note (via registered mail)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780 Delta Drive</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Mail Code: CIB Inbound LA4-0099</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Monroe, LA 71203</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G06893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any other document whose enforceability requires an original signature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Bloomington, Illinois 61710</w:t>
      </w:r>
    </w:p>
    <w:p>
      <w:pPr>
        <w:spacing w:after="0" w:line="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Attn:</w:t>
        <w:tab/>
        <w:t>Corporate Law-Investments, A-3</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Matthew Melick, Associate General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an electronic set of closing documents to:</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private.placements.law@statefarm.com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20" w:right="1440"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207"/>
        </w:trPr>
        <w:tc>
          <w:tcPr>
            <w:tcW w:w="440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NAME AND ADDRESS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SERIES OF</w:t>
            </w:r>
          </w:p>
        </w:tc>
        <w:tc>
          <w:tcPr>
            <w:tcW w:w="1900" w:type="dxa"/>
            <w:vAlign w:val="bottom"/>
          </w:tcPr>
          <w:p>
            <w:pPr>
              <w:jc w:val="center"/>
              <w:ind w:left="28"/>
              <w:spacing w:after="0"/>
              <w:rPr>
                <w:sz w:val="20"/>
                <w:szCs w:val="20"/>
                <w:color w:val="auto"/>
              </w:rPr>
            </w:pPr>
            <w:r>
              <w:rPr>
                <w:rFonts w:ascii="Times New Roman" w:cs="Times New Roman" w:eastAsia="Times New Roman" w:hAnsi="Times New Roman"/>
                <w:sz w:val="18"/>
                <w:szCs w:val="18"/>
                <w:color w:val="auto"/>
              </w:rPr>
              <w:t>PRINCIPAL</w:t>
            </w:r>
          </w:p>
        </w:tc>
        <w:tc>
          <w:tcPr>
            <w:tcW w:w="0" w:type="dxa"/>
            <w:vAlign w:val="bottom"/>
          </w:tcPr>
          <w:p>
            <w:pPr>
              <w:spacing w:after="0"/>
              <w:rPr>
                <w:sz w:val="1"/>
                <w:szCs w:val="1"/>
                <w:color w:val="auto"/>
              </w:rPr>
            </w:pPr>
          </w:p>
        </w:tc>
      </w:tr>
      <w:tr>
        <w:trPr>
          <w:trHeight w:val="185"/>
        </w:trPr>
        <w:tc>
          <w:tcPr>
            <w:tcW w:w="4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900" w:type="dxa"/>
            <w:vAlign w:val="bottom"/>
          </w:tcPr>
          <w:p>
            <w:pPr>
              <w:jc w:val="center"/>
              <w:ind w:left="28"/>
              <w:spacing w:after="0" w:line="185" w:lineRule="exact"/>
              <w:rPr>
                <w:sz w:val="20"/>
                <w:szCs w:val="20"/>
                <w:color w:val="auto"/>
              </w:rPr>
            </w:pPr>
            <w:r>
              <w:rPr>
                <w:rFonts w:ascii="Times New Roman" w:cs="Times New Roman" w:eastAsia="Times New Roman" w:hAnsi="Times New Roman"/>
                <w:sz w:val="18"/>
                <w:szCs w:val="18"/>
                <w:color w:val="auto"/>
              </w:rPr>
              <w:t>AMOUNT OF BONDS</w:t>
            </w:r>
          </w:p>
        </w:tc>
        <w:tc>
          <w:tcPr>
            <w:tcW w:w="0" w:type="dxa"/>
            <w:vAlign w:val="bottom"/>
          </w:tcPr>
          <w:p>
            <w:pPr>
              <w:spacing w:after="0"/>
              <w:rPr>
                <w:sz w:val="1"/>
                <w:szCs w:val="1"/>
                <w:color w:val="auto"/>
              </w:rPr>
            </w:pPr>
          </w:p>
        </w:tc>
      </w:tr>
      <w:tr>
        <w:trPr>
          <w:trHeight w:val="241"/>
        </w:trPr>
        <w:tc>
          <w:tcPr>
            <w:tcW w:w="44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OF PURCHASER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BONDS</w:t>
            </w:r>
          </w:p>
        </w:tc>
        <w:tc>
          <w:tcPr>
            <w:tcW w:w="1900" w:type="dxa"/>
            <w:vAlign w:val="bottom"/>
          </w:tcPr>
          <w:p>
            <w:pPr>
              <w:jc w:val="center"/>
              <w:ind w:left="28"/>
              <w:spacing w:after="0"/>
              <w:rPr>
                <w:sz w:val="20"/>
                <w:szCs w:val="20"/>
                <w:color w:val="auto"/>
              </w:rPr>
            </w:pPr>
            <w:r>
              <w:rPr>
                <w:rFonts w:ascii="Times New Roman" w:cs="Times New Roman" w:eastAsia="Times New Roman" w:hAnsi="Times New Roman"/>
                <w:sz w:val="18"/>
                <w:szCs w:val="18"/>
                <w:color w:val="auto"/>
              </w:rPr>
              <w:t>TO BE PURCHASED</w:t>
            </w:r>
          </w:p>
        </w:tc>
        <w:tc>
          <w:tcPr>
            <w:tcW w:w="0" w:type="dxa"/>
            <w:vAlign w:val="bottom"/>
          </w:tcPr>
          <w:p>
            <w:pPr>
              <w:spacing w:after="0"/>
              <w:rPr>
                <w:sz w:val="1"/>
                <w:szCs w:val="1"/>
                <w:color w:val="auto"/>
              </w:rPr>
            </w:pPr>
          </w:p>
        </w:tc>
      </w:tr>
      <w:tr>
        <w:trPr>
          <w:trHeight w:val="272"/>
        </w:trPr>
        <w:tc>
          <w:tcPr>
            <w:tcW w:w="44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STATE  FARM  INSURANCE  COMPANIES  EMPLOYEE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2035</w:t>
            </w:r>
          </w:p>
        </w:tc>
        <w:tc>
          <w:tcPr>
            <w:tcW w:w="1900" w:type="dxa"/>
            <w:vAlign w:val="bottom"/>
          </w:tcPr>
          <w:p>
            <w:pPr>
              <w:jc w:val="center"/>
              <w:ind w:left="28"/>
              <w:spacing w:after="0"/>
              <w:rPr>
                <w:sz w:val="20"/>
                <w:szCs w:val="20"/>
                <w:color w:val="auto"/>
              </w:rPr>
            </w:pPr>
            <w:r>
              <w:rPr>
                <w:rFonts w:ascii="Times New Roman" w:cs="Times New Roman" w:eastAsia="Times New Roman" w:hAnsi="Times New Roman"/>
                <w:sz w:val="18"/>
                <w:szCs w:val="18"/>
                <w:b w:val="1"/>
                <w:bCs w:val="1"/>
                <w:color w:val="auto"/>
              </w:rPr>
              <w:t>$5,000,000</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RETIREMENT TRUST</w:t>
            </w:r>
          </w:p>
        </w:tc>
        <w:tc>
          <w:tcPr>
            <w:tcW w:w="11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2040</w:t>
            </w:r>
          </w:p>
        </w:tc>
        <w:tc>
          <w:tcPr>
            <w:tcW w:w="1900" w:type="dxa"/>
            <w:vAlign w:val="bottom"/>
          </w:tcPr>
          <w:p>
            <w:pPr>
              <w:jc w:val="center"/>
              <w:ind w:left="28"/>
              <w:spacing w:after="0" w:line="203" w:lineRule="exact"/>
              <w:rPr>
                <w:sz w:val="20"/>
                <w:szCs w:val="20"/>
                <w:color w:val="auto"/>
              </w:rPr>
            </w:pPr>
            <w:r>
              <w:rPr>
                <w:rFonts w:ascii="Times New Roman" w:cs="Times New Roman" w:eastAsia="Times New Roman" w:hAnsi="Times New Roman"/>
                <w:sz w:val="18"/>
                <w:szCs w:val="18"/>
                <w:b w:val="1"/>
                <w:bCs w:val="1"/>
                <w:color w:val="auto"/>
              </w:rPr>
              <w:t>$4,000,000</w:t>
            </w:r>
          </w:p>
        </w:tc>
        <w:tc>
          <w:tcPr>
            <w:tcW w:w="0" w:type="dxa"/>
            <w:vAlign w:val="bottom"/>
          </w:tcPr>
          <w:p>
            <w:pPr>
              <w:spacing w:after="0"/>
              <w:rPr>
                <w:sz w:val="1"/>
                <w:szCs w:val="1"/>
                <w:color w:val="auto"/>
              </w:rPr>
            </w:pPr>
          </w:p>
        </w:tc>
      </w:tr>
      <w:tr>
        <w:trPr>
          <w:trHeight w:val="185"/>
        </w:trPr>
        <w:tc>
          <w:tcPr>
            <w:tcW w:w="4400" w:type="dxa"/>
            <w:vAlign w:val="bottom"/>
          </w:tcPr>
          <w:p>
            <w:pPr>
              <w:ind w:left="180"/>
              <w:spacing w:after="0" w:line="185" w:lineRule="exact"/>
              <w:rPr>
                <w:sz w:val="20"/>
                <w:szCs w:val="20"/>
                <w:color w:val="auto"/>
              </w:rPr>
            </w:pPr>
            <w:r>
              <w:rPr>
                <w:rFonts w:ascii="Times New Roman" w:cs="Times New Roman" w:eastAsia="Times New Roman" w:hAnsi="Times New Roman"/>
                <w:sz w:val="18"/>
                <w:szCs w:val="18"/>
                <w:color w:val="auto"/>
              </w:rPr>
              <w:t>Investment Accounting Dept. D-2</w:t>
            </w:r>
          </w:p>
        </w:tc>
        <w:tc>
          <w:tcPr>
            <w:tcW w:w="1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State Farm Plaza</w:t>
            </w:r>
          </w:p>
        </w:tc>
        <w:tc>
          <w:tcPr>
            <w:tcW w:w="1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Bloomington, IL 61710</w:t>
            </w:r>
          </w:p>
        </w:tc>
        <w:tc>
          <w:tcPr>
            <w:tcW w:w="1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ID #36-6042145</w:t>
            </w:r>
          </w:p>
        </w:tc>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right"/>
        <w:ind w:right="220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Participation/Series:        </w:t>
      </w:r>
      <w:r>
        <w:rPr>
          <w:rFonts w:ascii="Times New Roman" w:cs="Times New Roman" w:eastAsia="Times New Roman" w:hAnsi="Times New Roman"/>
          <w:sz w:val="18"/>
          <w:szCs w:val="18"/>
          <w:color w:val="auto"/>
        </w:rPr>
        <w:t>$5,000,000/5.38% First Mortgage Bonds due May 31, 2035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$4,000,000/5.63% First Mortgage Bonds due May 31, 2040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 Transfer Instructions:</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 Morgan Chase Bank</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ABA 021000021</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No. 9009000200</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Name: State Farm Insurance Companies Employee Retirement Trust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 PPN 03842* CF1 (5.38% Series due 2035) or PPN 03842* CG9, Par,</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Custody Account # G07251</w:t>
      </w:r>
    </w:p>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All payments on account of Notes held by such Purchaser shall be made by wire transfer of immediately available funds, providing sufficient information to identify the source of the transfer, including issuer, CUSIP number, interest rate, maturity date, and whether payment is interest, principal, or premium.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E-mail: privateplacements@statefarm.com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Phone: (309) 766-2386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notices, financial statements, officer’s certificates, and other correspondence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 at CityLine, Building 4</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Attn: Investment Department, Floor 9</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1415 State Street, Suite 1000</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Richardson, TX 75082-2147</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by E-Mail: privateplacements@statefarm.com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confirms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 Insurance Companies Employee Retirement Trust</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 Accounting Dept. D-2</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Bloomington, IL 61710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If by E-Mail:</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home.acct-stocks-bonds.607j00@statefarm.com</w:t>
            </w:r>
          </w:p>
        </w:tc>
      </w:tr>
      <w:tr>
        <w:trPr>
          <w:trHeight w:val="373"/>
        </w:trPr>
        <w:tc>
          <w:tcPr>
            <w:tcW w:w="1700" w:type="dxa"/>
            <w:vAlign w:val="bottom"/>
          </w:tcPr>
          <w:p>
            <w:pPr>
              <w:spacing w:after="0"/>
              <w:rPr>
                <w:sz w:val="24"/>
                <w:szCs w:val="24"/>
                <w:color w:val="auto"/>
              </w:rPr>
            </w:pPr>
          </w:p>
        </w:tc>
        <w:tc>
          <w:tcPr>
            <w:tcW w:w="73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A-7</w:t>
            </w:r>
          </w:p>
        </w:tc>
      </w:tr>
      <w:tr>
        <w:trPr>
          <w:trHeight w:val="83"/>
        </w:trPr>
        <w:tc>
          <w:tcPr>
            <w:tcW w:w="1700" w:type="dxa"/>
            <w:vAlign w:val="bottom"/>
            <w:tcBorders>
              <w:bottom w:val="single" w:sz="8" w:color="9A9A9A"/>
            </w:tcBorders>
          </w:tcPr>
          <w:p>
            <w:pPr>
              <w:spacing w:after="0"/>
              <w:rPr>
                <w:sz w:val="7"/>
                <w:szCs w:val="7"/>
                <w:color w:val="auto"/>
              </w:rPr>
            </w:pPr>
          </w:p>
        </w:tc>
        <w:tc>
          <w:tcPr>
            <w:tcW w:w="7360" w:type="dxa"/>
            <w:vAlign w:val="bottom"/>
            <w:tcBorders>
              <w:bottom w:val="single" w:sz="8" w:color="9A9A9A"/>
            </w:tcBorders>
          </w:tcPr>
          <w:p>
            <w:pPr>
              <w:spacing w:after="0"/>
              <w:rPr>
                <w:sz w:val="7"/>
                <w:szCs w:val="7"/>
                <w:color w:val="auto"/>
              </w:rPr>
            </w:pPr>
          </w:p>
        </w:tc>
      </w:tr>
      <w:tr>
        <w:trPr>
          <w:trHeight w:val="20"/>
        </w:trPr>
        <w:tc>
          <w:tcPr>
            <w:tcW w:w="1700" w:type="dxa"/>
            <w:vAlign w:val="bottom"/>
            <w:tcBorders>
              <w:bottom w:val="single" w:sz="8" w:color="EEEEEE"/>
            </w:tcBorders>
          </w:tcPr>
          <w:p>
            <w:pPr>
              <w:spacing w:after="0" w:line="20" w:lineRule="exact"/>
              <w:rPr>
                <w:sz w:val="1"/>
                <w:szCs w:val="1"/>
                <w:color w:val="auto"/>
              </w:rPr>
            </w:pPr>
          </w:p>
        </w:tc>
        <w:tc>
          <w:tcPr>
            <w:tcW w:w="73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36" w:right="141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color w:val="auto"/>
        </w:rPr>
        <w:t>Send the original security (via registered mail)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780 Delta Drive</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Mail Code: CIB Inbound LA4-0099</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Monroe, LA 71203</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G07251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any other document whose enforceability requires an original signature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Bloomington, Illinois 61710</w:t>
      </w:r>
    </w:p>
    <w:p>
      <w:pPr>
        <w:spacing w:after="0" w:line="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Attn:</w:t>
        <w:tab/>
        <w:t>Corporate Law-Investments, A-3</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Matthew Melick, Associate General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an electronic set of closing documents to:</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private.placements.law@statefarm.com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19" w:right="1440" w:bottom="1440" w:gutter="0" w:footer="0" w:header="0"/>
        </w:sectPr>
      </w:pPr>
    </w:p>
    <w:bookmarkStart w:id="343" w:name="page344"/>
    <w:bookmarkEnd w:id="343"/>
    <w:tbl>
      <w:tblPr>
        <w:tblLayout w:type="fixed"/>
        <w:tblInd w:w="140" w:type="dxa"/>
        <w:tblCellMar>
          <w:top w:w="0" w:type="dxa"/>
          <w:left w:w="0" w:type="dxa"/>
          <w:bottom w:w="0" w:type="dxa"/>
          <w:right w:w="0" w:type="dxa"/>
        </w:tblCellMar>
      </w:tblPr>
      <w:tr>
        <w:trPr>
          <w:trHeight w:val="207"/>
        </w:trPr>
        <w:tc>
          <w:tcPr>
            <w:tcW w:w="444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color w:val="auto"/>
              </w:rPr>
              <w:t>NAME AND ADDRESS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SERIES OF</w:t>
            </w:r>
          </w:p>
        </w:tc>
        <w:tc>
          <w:tcPr>
            <w:tcW w:w="1440" w:type="dxa"/>
            <w:vAlign w:val="bottom"/>
          </w:tcPr>
          <w:p>
            <w:pPr>
              <w:jc w:val="center"/>
              <w:ind w:left="168"/>
              <w:spacing w:after="0"/>
              <w:rPr>
                <w:sz w:val="20"/>
                <w:szCs w:val="20"/>
                <w:color w:val="auto"/>
              </w:rPr>
            </w:pPr>
            <w:r>
              <w:rPr>
                <w:rFonts w:ascii="Times New Roman" w:cs="Times New Roman" w:eastAsia="Times New Roman" w:hAnsi="Times New Roman"/>
                <w:sz w:val="18"/>
                <w:szCs w:val="18"/>
                <w:color w:val="auto"/>
              </w:rPr>
              <w:t>PRINCIPAL</w:t>
            </w:r>
          </w:p>
        </w:tc>
        <w:tc>
          <w:tcPr>
            <w:tcW w:w="0" w:type="dxa"/>
            <w:vAlign w:val="bottom"/>
          </w:tcPr>
          <w:p>
            <w:pPr>
              <w:spacing w:after="0"/>
              <w:rPr>
                <w:sz w:val="1"/>
                <w:szCs w:val="1"/>
                <w:color w:val="auto"/>
              </w:rPr>
            </w:pPr>
          </w:p>
        </w:tc>
      </w:tr>
      <w:tr>
        <w:trPr>
          <w:trHeight w:val="185"/>
        </w:trPr>
        <w:tc>
          <w:tcPr>
            <w:tcW w:w="44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40" w:type="dxa"/>
            <w:vAlign w:val="bottom"/>
          </w:tcPr>
          <w:p>
            <w:pPr>
              <w:jc w:val="center"/>
              <w:ind w:left="168"/>
              <w:spacing w:after="0" w:line="185" w:lineRule="exact"/>
              <w:rPr>
                <w:sz w:val="20"/>
                <w:szCs w:val="20"/>
                <w:color w:val="auto"/>
              </w:rPr>
            </w:pPr>
            <w:r>
              <w:rPr>
                <w:rFonts w:ascii="Times New Roman" w:cs="Times New Roman" w:eastAsia="Times New Roman" w:hAnsi="Times New Roman"/>
                <w:sz w:val="18"/>
                <w:szCs w:val="18"/>
                <w:color w:val="auto"/>
              </w:rPr>
              <w:t>AMOUNT OF</w:t>
            </w:r>
          </w:p>
        </w:tc>
        <w:tc>
          <w:tcPr>
            <w:tcW w:w="0" w:type="dxa"/>
            <w:vAlign w:val="bottom"/>
          </w:tcPr>
          <w:p>
            <w:pPr>
              <w:spacing w:after="0"/>
              <w:rPr>
                <w:sz w:val="1"/>
                <w:szCs w:val="1"/>
                <w:color w:val="auto"/>
              </w:rPr>
            </w:pPr>
          </w:p>
        </w:tc>
      </w:tr>
      <w:tr>
        <w:trPr>
          <w:trHeight w:val="185"/>
        </w:trPr>
        <w:tc>
          <w:tcPr>
            <w:tcW w:w="4440" w:type="dxa"/>
            <w:vAlign w:val="bottom"/>
          </w:tcPr>
          <w:p>
            <w:pPr>
              <w:ind w:left="1600"/>
              <w:spacing w:after="0" w:line="185" w:lineRule="exact"/>
              <w:rPr>
                <w:sz w:val="20"/>
                <w:szCs w:val="20"/>
                <w:color w:val="auto"/>
              </w:rPr>
            </w:pPr>
            <w:r>
              <w:rPr>
                <w:rFonts w:ascii="Times New Roman" w:cs="Times New Roman" w:eastAsia="Times New Roman" w:hAnsi="Times New Roman"/>
                <w:sz w:val="18"/>
                <w:szCs w:val="18"/>
                <w:color w:val="auto"/>
              </w:rPr>
              <w:t>OF PURCHASER</w:t>
            </w:r>
          </w:p>
        </w:tc>
        <w:tc>
          <w:tcPr>
            <w:tcW w:w="13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rPr>
              <w:t>BONDS</w:t>
            </w:r>
          </w:p>
        </w:tc>
        <w:tc>
          <w:tcPr>
            <w:tcW w:w="1440" w:type="dxa"/>
            <w:vAlign w:val="bottom"/>
          </w:tcPr>
          <w:p>
            <w:pPr>
              <w:jc w:val="center"/>
              <w:ind w:left="148"/>
              <w:spacing w:after="0" w:line="185" w:lineRule="exact"/>
              <w:rPr>
                <w:sz w:val="20"/>
                <w:szCs w:val="20"/>
                <w:color w:val="auto"/>
              </w:rPr>
            </w:pPr>
            <w:r>
              <w:rPr>
                <w:rFonts w:ascii="Times New Roman" w:cs="Times New Roman" w:eastAsia="Times New Roman" w:hAnsi="Times New Roman"/>
                <w:sz w:val="18"/>
                <w:szCs w:val="18"/>
                <w:color w:val="auto"/>
              </w:rPr>
              <w:t>BONDS TO BE</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jc w:val="center"/>
              <w:ind w:left="168"/>
              <w:spacing w:after="0" w:line="193" w:lineRule="exact"/>
              <w:rPr>
                <w:sz w:val="20"/>
                <w:szCs w:val="20"/>
                <w:color w:val="auto"/>
              </w:rPr>
            </w:pPr>
            <w:r>
              <w:rPr>
                <w:rFonts w:ascii="Times New Roman" w:cs="Times New Roman" w:eastAsia="Times New Roman" w:hAnsi="Times New Roman"/>
                <w:sz w:val="18"/>
                <w:szCs w:val="18"/>
                <w:color w:val="auto"/>
              </w:rPr>
              <w:t>PURCHASED</w:t>
            </w:r>
          </w:p>
        </w:tc>
        <w:tc>
          <w:tcPr>
            <w:tcW w:w="0" w:type="dxa"/>
            <w:vAlign w:val="bottom"/>
          </w:tcPr>
          <w:p>
            <w:pPr>
              <w:spacing w:after="0"/>
              <w:rPr>
                <w:sz w:val="1"/>
                <w:szCs w:val="1"/>
                <w:color w:val="auto"/>
              </w:rPr>
            </w:pPr>
          </w:p>
        </w:tc>
      </w:tr>
      <w:tr>
        <w:trPr>
          <w:trHeight w:val="208"/>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State Farm Life And Accident Assurance Company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2035</w:t>
            </w:r>
          </w:p>
        </w:tc>
        <w:tc>
          <w:tcPr>
            <w:tcW w:w="1440" w:type="dxa"/>
            <w:vAlign w:val="bottom"/>
          </w:tcPr>
          <w:p>
            <w:pPr>
              <w:jc w:val="center"/>
              <w:ind w:left="168"/>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0" w:type="dxa"/>
            <w:vAlign w:val="bottom"/>
          </w:tcPr>
          <w:p>
            <w:pPr>
              <w:spacing w:after="0"/>
              <w:rPr>
                <w:sz w:val="1"/>
                <w:szCs w:val="1"/>
                <w:color w:val="auto"/>
              </w:rPr>
            </w:pPr>
          </w:p>
        </w:tc>
      </w:tr>
      <w:tr>
        <w:trPr>
          <w:trHeight w:val="212"/>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Accounting Dept. D-2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2040</w:t>
            </w:r>
          </w:p>
        </w:tc>
        <w:tc>
          <w:tcPr>
            <w:tcW w:w="1440" w:type="dxa"/>
            <w:vAlign w:val="bottom"/>
          </w:tcPr>
          <w:p>
            <w:pPr>
              <w:jc w:val="center"/>
              <w:ind w:left="168"/>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0" w:type="dxa"/>
            <w:vAlign w:val="bottom"/>
          </w:tcPr>
          <w:p>
            <w:pPr>
              <w:spacing w:after="0"/>
              <w:rPr>
                <w:sz w:val="1"/>
                <w:szCs w:val="1"/>
                <w:color w:val="auto"/>
              </w:rPr>
            </w:pPr>
          </w:p>
        </w:tc>
      </w:tr>
      <w:tr>
        <w:trPr>
          <w:trHeight w:val="208"/>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State Farm Plaza</w:t>
            </w: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Bloomington, IL 61710</w:t>
            </w:r>
          </w:p>
        </w:tc>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ID #37-0805091</w:t>
            </w: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360" w:firstLine="139"/>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Participation/Series: </w:t>
      </w:r>
      <w:r>
        <w:rPr>
          <w:rFonts w:ascii="Times New Roman" w:cs="Times New Roman" w:eastAsia="Times New Roman" w:hAnsi="Times New Roman"/>
          <w:sz w:val="18"/>
          <w:szCs w:val="18"/>
          <w:color w:val="auto"/>
        </w:rPr>
        <w:t>$1,000,000/5.38% First Mortgage Bonds due May 31, 2035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$1,000,000/5.63% First Mortgage Bonds due May 31, 2040</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Wire Transfer Instructions:</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Chase Bank</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ABA 021000021</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Account No. 9009000200</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Account Name: State Farm Life and Accident Assurance Company</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 PPN 03842* CF1 (5.38% Series due 2035) or PPN 03842* CG9, Par,</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Custody Account # G06895</w:t>
      </w:r>
    </w:p>
    <w:p>
      <w:pPr>
        <w:spacing w:after="0" w:line="189" w:lineRule="exact"/>
        <w:rPr>
          <w:sz w:val="20"/>
          <w:szCs w:val="20"/>
          <w:color w:val="auto"/>
        </w:rPr>
      </w:pPr>
    </w:p>
    <w:p>
      <w:pPr>
        <w:jc w:val="both"/>
        <w:ind w:left="140" w:right="20"/>
        <w:spacing w:after="0" w:line="260" w:lineRule="auto"/>
        <w:rPr>
          <w:sz w:val="20"/>
          <w:szCs w:val="20"/>
          <w:color w:val="auto"/>
        </w:rPr>
      </w:pPr>
      <w:r>
        <w:rPr>
          <w:rFonts w:ascii="Times New Roman" w:cs="Times New Roman" w:eastAsia="Times New Roman" w:hAnsi="Times New Roman"/>
          <w:sz w:val="18"/>
          <w:szCs w:val="18"/>
          <w:color w:val="auto"/>
        </w:rPr>
        <w:t>All payments on account of Notes held by such Purchaser shall be made by wire transfer of immediately available funds, providing sufficient information to identify the source of the transfer, including issuer, CUSIP number, interest rate, maturity date, and whether payment is interest, principal, or premium.</w:t>
      </w:r>
    </w:p>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E-mail: privateplacements@statefarm.com</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Phone: (309) 766-2386</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Send notices, financial statements, officer’s certificates, and other correspondence to:</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State Farm at CityLine, Building 4</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Attn: Investment Department, Floor 9</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1415 State Street, Suite 1000</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Richardson, TX 75082-2147</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If by E-Mail: privateplacements@statefarm.com</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Send confirms to:</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State Farm Life and Accident Assurance Company</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Investment Accounting Dept. D-2</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Bloomington, IL 61710</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41"/>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If by E-Mail:</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home.acct-stocks-bonds.607j00@statefarm.com</w:t>
            </w:r>
          </w:p>
        </w:tc>
      </w:tr>
      <w:tr>
        <w:trPr>
          <w:trHeight w:val="581"/>
        </w:trPr>
        <w:tc>
          <w:tcPr>
            <w:tcW w:w="1700" w:type="dxa"/>
            <w:vAlign w:val="bottom"/>
          </w:tcPr>
          <w:p>
            <w:pPr>
              <w:spacing w:after="0"/>
              <w:rPr>
                <w:sz w:val="24"/>
                <w:szCs w:val="24"/>
                <w:color w:val="auto"/>
              </w:rPr>
            </w:pPr>
          </w:p>
        </w:tc>
        <w:tc>
          <w:tcPr>
            <w:tcW w:w="73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A-9</w:t>
            </w:r>
          </w:p>
        </w:tc>
      </w:tr>
      <w:tr>
        <w:trPr>
          <w:trHeight w:val="83"/>
        </w:trPr>
        <w:tc>
          <w:tcPr>
            <w:tcW w:w="1700" w:type="dxa"/>
            <w:vAlign w:val="bottom"/>
            <w:tcBorders>
              <w:bottom w:val="single" w:sz="8" w:color="9A9A9A"/>
            </w:tcBorders>
          </w:tcPr>
          <w:p>
            <w:pPr>
              <w:spacing w:after="0"/>
              <w:rPr>
                <w:sz w:val="7"/>
                <w:szCs w:val="7"/>
                <w:color w:val="auto"/>
              </w:rPr>
            </w:pPr>
          </w:p>
        </w:tc>
        <w:tc>
          <w:tcPr>
            <w:tcW w:w="7360" w:type="dxa"/>
            <w:vAlign w:val="bottom"/>
            <w:tcBorders>
              <w:bottom w:val="single" w:sz="8" w:color="9A9A9A"/>
            </w:tcBorders>
          </w:tcPr>
          <w:p>
            <w:pPr>
              <w:spacing w:after="0"/>
              <w:rPr>
                <w:sz w:val="7"/>
                <w:szCs w:val="7"/>
                <w:color w:val="auto"/>
              </w:rPr>
            </w:pPr>
          </w:p>
        </w:tc>
      </w:tr>
      <w:tr>
        <w:trPr>
          <w:trHeight w:val="20"/>
        </w:trPr>
        <w:tc>
          <w:tcPr>
            <w:tcW w:w="1700" w:type="dxa"/>
            <w:vAlign w:val="bottom"/>
            <w:tcBorders>
              <w:bottom w:val="single" w:sz="8" w:color="EEEEEE"/>
            </w:tcBorders>
          </w:tcPr>
          <w:p>
            <w:pPr>
              <w:spacing w:after="0" w:line="20" w:lineRule="exact"/>
              <w:rPr>
                <w:sz w:val="1"/>
                <w:szCs w:val="1"/>
                <w:color w:val="auto"/>
              </w:rPr>
            </w:pPr>
          </w:p>
        </w:tc>
        <w:tc>
          <w:tcPr>
            <w:tcW w:w="73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-34290</wp:posOffset>
            </wp:positionV>
            <wp:extent cx="33020" cy="476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280" w:top="336" w:right="141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color w:val="auto"/>
        </w:rPr>
        <w:t>Send the original security (via registered mail)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780 Delta Drive</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Mail Code: CIB Inbound LA4-0099</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Monroe, LA 71203</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 G06895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Send any other document whose enforceability requires an original signature to:</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Farm</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State Farm Plaza</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Bloomington, Illinois 61710</w:t>
      </w:r>
    </w:p>
    <w:p>
      <w:pPr>
        <w:spacing w:after="0" w:line="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Attn:</w:t>
        <w:tab/>
        <w:t>Corporate Law-Investments, A-3</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Matthew Melick, Associate General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an electronic set of closing documents to:</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private.placements.law@statefarm.com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0" w:top="320" w:right="1440" w:bottom="1440" w:gutter="0" w:footer="0" w:header="0"/>
        </w:sectPr>
      </w:pPr>
    </w:p>
    <w:bookmarkStart w:id="345" w:name="page346"/>
    <w:bookmarkEnd w:id="345"/>
    <w:p>
      <w:pPr>
        <w:jc w:val="center"/>
        <w:spacing w:after="0"/>
        <w:rPr>
          <w:sz w:val="20"/>
          <w:szCs w:val="20"/>
          <w:color w:val="auto"/>
        </w:rPr>
      </w:pPr>
      <w:r>
        <w:rPr>
          <w:rFonts w:ascii="Times New Roman" w:cs="Times New Roman" w:eastAsia="Times New Roman" w:hAnsi="Times New Roman"/>
          <w:sz w:val="18"/>
          <w:szCs w:val="18"/>
          <w:color w:val="auto"/>
        </w:rPr>
        <w:t>DEFINED TERMS</w:t>
      </w:r>
    </w:p>
    <w:p>
      <w:pPr>
        <w:spacing w:after="0" w:line="220"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As used herein, the following terms have the respective meanings set forth below or set forth in the Section hereof following such term:</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“5.38% Series due May 31, 2035 Bonds”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“5.63% Series due May 31, 2040 Bonds”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554"/>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means, at any time, and with respect to any Person, any other Person that at such time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is a reference to an Affiliate of the Company.</w:t>
      </w:r>
    </w:p>
    <w:p>
      <w:pPr>
        <w:spacing w:after="0" w:line="167"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means this Bond Purchase Agreement, including all Schedules and Exhibits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18" w:lineRule="exact"/>
        <w:rPr>
          <w:sz w:val="20"/>
          <w:szCs w:val="20"/>
          <w:color w:val="auto"/>
        </w:rPr>
      </w:pPr>
    </w:p>
    <w:p>
      <w:pPr>
        <w:jc w:val="both"/>
        <w:ind w:firstLine="554"/>
        <w:spacing w:after="0" w:line="245" w:lineRule="exact"/>
        <w:rPr>
          <w:sz w:val="20"/>
          <w:szCs w:val="20"/>
          <w:color w:val="auto"/>
        </w:rPr>
      </w:pPr>
      <w:r>
        <w:rPr>
          <w:rFonts w:ascii="Times New Roman" w:cs="Times New Roman" w:eastAsia="Times New Roman" w:hAnsi="Times New Roman"/>
          <w:sz w:val="18"/>
          <w:szCs w:val="18"/>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Corruption Laws” </w:t>
      </w:r>
      <w:r>
        <w:rPr>
          <w:rFonts w:ascii="Times New Roman" w:cs="Times New Roman" w:eastAsia="Times New Roman" w:hAnsi="Times New Roman"/>
          <w:sz w:val="18"/>
          <w:szCs w:val="18"/>
          <w:color w:val="auto"/>
        </w:rPr>
        <w:t>means any law or regulation in a U.S. or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jurisdiction regarding bribery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corrupt activity, including the U.S. Foreign Corrupt Practices Act and the U.K. Bribery Act 2010.</w:t>
      </w:r>
    </w:p>
    <w:p>
      <w:pPr>
        <w:spacing w:after="0" w:line="157" w:lineRule="exact"/>
        <w:rPr>
          <w:sz w:val="20"/>
          <w:szCs w:val="20"/>
          <w:color w:val="auto"/>
        </w:rPr>
      </w:pPr>
    </w:p>
    <w:p>
      <w:pPr>
        <w:jc w:val="both"/>
        <w:ind w:firstLine="554"/>
        <w:spacing w:after="0" w:line="241" w:lineRule="exact"/>
        <w:rPr>
          <w:sz w:val="20"/>
          <w:szCs w:val="20"/>
          <w:color w:val="auto"/>
        </w:rPr>
      </w:pPr>
      <w:r>
        <w:rPr>
          <w:rFonts w:ascii="Times New Roman" w:cs="Times New Roman" w:eastAsia="Times New Roman" w:hAnsi="Times New Roman"/>
          <w:sz w:val="18"/>
          <w:szCs w:val="18"/>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Money Laundering Laws” </w:t>
      </w:r>
      <w:r>
        <w:rPr>
          <w:rFonts w:ascii="Times New Roman" w:cs="Times New Roman" w:eastAsia="Times New Roman" w:hAnsi="Times New Roman"/>
          <w:sz w:val="18"/>
          <w:szCs w:val="18"/>
          <w:color w:val="auto"/>
        </w:rPr>
        <w:t>means any law or regulation in a U.S. or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jurisdiction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laundering, drug trafficking, terrorist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activities or other money laundering predicate crimes, including the Currency and Foreign Transactions Reporting Act of 1970 (otherwise known as the Bank Secrecy Act) and the USA Patriot Act.</w:t>
      </w:r>
    </w:p>
    <w:p>
      <w:pPr>
        <w:spacing w:after="0" w:line="368" w:lineRule="exact"/>
        <w:rPr>
          <w:sz w:val="20"/>
          <w:szCs w:val="20"/>
          <w:color w:val="auto"/>
        </w:rPr>
      </w:pPr>
    </w:p>
    <w:p>
      <w:pPr>
        <w:jc w:val="both"/>
        <w:ind w:firstLine="55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“Blocked Person” </w:t>
      </w:r>
      <w:r>
        <w:rPr>
          <w:rFonts w:ascii="Times New Roman" w:cs="Times New Roman" w:eastAsia="Times New Roman" w:hAnsi="Times New Roman"/>
          <w:sz w:val="18"/>
          <w:szCs w:val="18"/>
          <w:color w:val="auto"/>
        </w:rPr>
        <w:t>means (a) a Person whose name appears on the list of Specially Designated Nationals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“Bonds”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55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for the purposes of any provision of this Agreement, any day other than a Saturday,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Sunday or a day on which commercial banks in New York, New York or Philadelphia, Pennsylvania are required or authorized to be closed.</w:t>
      </w:r>
    </w:p>
    <w:p>
      <w:pPr>
        <w:spacing w:after="0" w:line="154"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Lease” </w:t>
      </w:r>
      <w:r>
        <w:rPr>
          <w:rFonts w:ascii="Times New Roman" w:cs="Times New Roman" w:eastAsia="Times New Roman" w:hAnsi="Times New Roman"/>
          <w:sz w:val="18"/>
          <w:szCs w:val="18"/>
          <w:color w:val="auto"/>
        </w:rPr>
        <w:t>means, at any time, a lease with respect to which the lessee is required concurrently to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acquisition of an asset and the incurrence of a liability in accordance with GAAP.</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B</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5783580" cy="476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346" w:name="page347"/>
    <w:bookmarkEnd w:id="346"/>
    <w:p>
      <w:pPr>
        <w:jc w:val="both"/>
        <w:ind w:firstLine="55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“Capital Lease Obligation” </w:t>
      </w:r>
      <w:r>
        <w:rPr>
          <w:rFonts w:ascii="Times New Roman" w:cs="Times New Roman" w:eastAsia="Times New Roman" w:hAnsi="Times New Roman"/>
          <w:sz w:val="18"/>
          <w:szCs w:val="18"/>
          <w:color w:val="auto"/>
        </w:rPr>
        <w:t>means, with respect to any Person and a Capital Lease, the amount of the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Person as the lessee under such Capital Lease which would, in accordance with GAAP, appear as a liability on a balance sheet of such Person.</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“Closing”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from time to time,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thereunder from time to time.</w:t>
      </w:r>
    </w:p>
    <w:p>
      <w:pPr>
        <w:spacing w:after="0" w:line="14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“Company” </w:t>
      </w:r>
      <w:r>
        <w:rPr>
          <w:rFonts w:ascii="Times New Roman" w:cs="Times New Roman" w:eastAsia="Times New Roman" w:hAnsi="Times New Roman"/>
          <w:sz w:val="18"/>
          <w:szCs w:val="18"/>
          <w:color w:val="auto"/>
        </w:rPr>
        <w:t>means Aqua Pennsylvania, Inc., a corporation existing under the laws of the Commonwealth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Pennsylvania.</w:t>
      </w:r>
    </w:p>
    <w:p>
      <w:pPr>
        <w:spacing w:after="0" w:line="134"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Entity</w:t>
      </w:r>
      <w:r>
        <w:rPr>
          <w:rFonts w:ascii="Times New Roman" w:cs="Times New Roman" w:eastAsia="Times New Roman" w:hAnsi="Times New Roman"/>
          <w:sz w:val="18"/>
          <w:szCs w:val="18"/>
          <w:color w:val="auto"/>
        </w:rPr>
        <w:t>” means any of the Subsidiaries of the Company and any of their or the Company’s respective Controlled Affiliates. As used in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means, with respect to any Person, without duplication,</w:t>
      </w:r>
    </w:p>
    <w:p>
      <w:pPr>
        <w:spacing w:after="0" w:line="224" w:lineRule="exact"/>
        <w:rPr>
          <w:sz w:val="20"/>
          <w:szCs w:val="20"/>
          <w:color w:val="auto"/>
        </w:rPr>
      </w:pPr>
    </w:p>
    <w:p>
      <w:pPr>
        <w:ind w:left="1880" w:hanging="770"/>
        <w:spacing w:after="0"/>
        <w:tabs>
          <w:tab w:leader="none" w:pos="18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liabilities for borrowed money;</w:t>
      </w:r>
    </w:p>
    <w:p>
      <w:pPr>
        <w:spacing w:after="0" w:line="220" w:lineRule="exact"/>
        <w:rPr>
          <w:rFonts w:ascii="Times New Roman" w:cs="Times New Roman" w:eastAsia="Times New Roman" w:hAnsi="Times New Roman"/>
          <w:sz w:val="18"/>
          <w:szCs w:val="18"/>
          <w:color w:val="auto"/>
        </w:rPr>
      </w:pPr>
    </w:p>
    <w:p>
      <w:pPr>
        <w:jc w:val="both"/>
        <w:ind w:left="560" w:firstLine="550"/>
        <w:spacing w:after="0" w:line="263" w:lineRule="auto"/>
        <w:tabs>
          <w:tab w:leader="none" w:pos="188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67" w:lineRule="exact"/>
        <w:rPr>
          <w:rFonts w:ascii="Times New Roman" w:cs="Times New Roman" w:eastAsia="Times New Roman" w:hAnsi="Times New Roman"/>
          <w:sz w:val="18"/>
          <w:szCs w:val="18"/>
          <w:color w:val="auto"/>
        </w:rPr>
      </w:pPr>
    </w:p>
    <w:p>
      <w:pPr>
        <w:ind w:left="1880" w:hanging="770"/>
        <w:spacing w:after="0"/>
        <w:tabs>
          <w:tab w:leader="none" w:pos="18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Lease Obligations;</w:t>
      </w:r>
    </w:p>
    <w:p>
      <w:pPr>
        <w:spacing w:after="0" w:line="231" w:lineRule="exact"/>
        <w:rPr>
          <w:rFonts w:ascii="Times New Roman" w:cs="Times New Roman" w:eastAsia="Times New Roman" w:hAnsi="Times New Roman"/>
          <w:sz w:val="18"/>
          <w:szCs w:val="18"/>
          <w:color w:val="auto"/>
        </w:rPr>
      </w:pPr>
    </w:p>
    <w:p>
      <w:pPr>
        <w:ind w:left="560" w:firstLine="550"/>
        <w:spacing w:after="0" w:line="280" w:lineRule="auto"/>
        <w:tabs>
          <w:tab w:leader="none" w:pos="188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borrowed money secured by any Lien with respect to any property owned by such Person (whether or not it has assumed or otherwise become liable for such liabilities);</w:t>
      </w:r>
    </w:p>
    <w:p>
      <w:pPr>
        <w:spacing w:after="0" w:line="152" w:lineRule="exact"/>
        <w:rPr>
          <w:rFonts w:ascii="Times New Roman" w:cs="Times New Roman" w:eastAsia="Times New Roman" w:hAnsi="Times New Roman"/>
          <w:sz w:val="18"/>
          <w:szCs w:val="18"/>
          <w:color w:val="auto"/>
        </w:rPr>
      </w:pPr>
    </w:p>
    <w:p>
      <w:pPr>
        <w:jc w:val="both"/>
        <w:ind w:left="560" w:firstLine="550"/>
        <w:spacing w:after="0" w:line="274" w:lineRule="auto"/>
        <w:tabs>
          <w:tab w:leader="none" w:pos="187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157" w:lineRule="exact"/>
        <w:rPr>
          <w:rFonts w:ascii="Times New Roman" w:cs="Times New Roman" w:eastAsia="Times New Roman" w:hAnsi="Times New Roman"/>
          <w:sz w:val="18"/>
          <w:szCs w:val="18"/>
          <w:color w:val="auto"/>
        </w:rPr>
      </w:pPr>
    </w:p>
    <w:p>
      <w:pPr>
        <w:ind w:left="1840" w:hanging="730"/>
        <w:spacing w:after="0"/>
        <w:tabs>
          <w:tab w:leader="none" w:pos="18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Swaps of such Person; and</w:t>
      </w:r>
    </w:p>
    <w:p>
      <w:pPr>
        <w:spacing w:after="0" w:line="220" w:lineRule="exact"/>
        <w:rPr>
          <w:rFonts w:ascii="Times New Roman" w:cs="Times New Roman" w:eastAsia="Times New Roman" w:hAnsi="Times New Roman"/>
          <w:sz w:val="18"/>
          <w:szCs w:val="18"/>
          <w:color w:val="auto"/>
        </w:rPr>
      </w:pPr>
    </w:p>
    <w:p>
      <w:pPr>
        <w:ind w:left="560" w:firstLine="550"/>
        <w:spacing w:after="0" w:line="293" w:lineRule="auto"/>
        <w:tabs>
          <w:tab w:leader="none" w:pos="188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Guaranties of such Person with respect to liabilities of a type described in any of clauses (a) through (f) hereof.</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539" w:right="1439" w:bottom="1440" w:gutter="0" w:footer="0" w:header="0"/>
        </w:sectPr>
      </w:pPr>
    </w:p>
    <w:bookmarkStart w:id="347" w:name="page348"/>
    <w:bookmarkEnd w:id="347"/>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means an event or condition the occurrence or existence of which would, with the lapse of time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of notice or both, become an Event of Default.</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“Disclosure Documents”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“EMMA”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7.1(a)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Laws” </w:t>
      </w:r>
      <w:r>
        <w:rPr>
          <w:rFonts w:ascii="Times New Roman" w:cs="Times New Roman" w:eastAsia="Times New Roman" w:hAnsi="Times New Roman"/>
          <w:sz w:val="18"/>
          <w:szCs w:val="18"/>
          <w:color w:val="auto"/>
        </w:rPr>
        <w:t>means any and all Federal, state, local, and foreign statutes, laws, regulations, ordinances,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16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“ERISA” </w:t>
      </w:r>
      <w:r>
        <w:rPr>
          <w:rFonts w:ascii="Times New Roman" w:cs="Times New Roman" w:eastAsia="Times New Roman" w:hAnsi="Times New Roman"/>
          <w:sz w:val="18"/>
          <w:szCs w:val="18"/>
          <w:color w:val="auto"/>
        </w:rPr>
        <w:t>means the Employee Retirement Income Security Act of 1974, as amended from time to time,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and regulations promulgated thereunder from time to time in effect.</w:t>
      </w:r>
    </w:p>
    <w:p>
      <w:pPr>
        <w:spacing w:after="0" w:line="14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“ERISA Affiliate” </w:t>
      </w:r>
      <w:r>
        <w:rPr>
          <w:rFonts w:ascii="Times New Roman" w:cs="Times New Roman" w:eastAsia="Times New Roman" w:hAnsi="Times New Roman"/>
          <w:sz w:val="18"/>
          <w:szCs w:val="18"/>
          <w:color w:val="auto"/>
        </w:rPr>
        <w:t>means any trade or business (whether or not incorporated) that is treated as a single employer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with the Company under section 414 of the Code.</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“Event of Default” </w:t>
      </w:r>
      <w:r>
        <w:rPr>
          <w:rFonts w:ascii="Times New Roman" w:cs="Times New Roman" w:eastAsia="Times New Roman" w:hAnsi="Times New Roman"/>
          <w:sz w:val="18"/>
          <w:szCs w:val="18"/>
          <w:color w:val="auto"/>
        </w:rPr>
        <w:t>is an “event of default” as defined in the Indenture.</w:t>
      </w:r>
    </w:p>
    <w:p>
      <w:pPr>
        <w:spacing w:after="0" w:line="209"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Agreements” </w:t>
      </w:r>
      <w:r>
        <w:rPr>
          <w:rFonts w:ascii="Times New Roman" w:cs="Times New Roman" w:eastAsia="Times New Roman" w:hAnsi="Times New Roman"/>
          <w:sz w:val="18"/>
          <w:szCs w:val="18"/>
          <w:color w:val="auto"/>
        </w:rPr>
        <w:t>means this Agreement, the Indenture (including without limitation the Supplement),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Bonds.</w:t>
      </w:r>
    </w:p>
    <w:p>
      <w:pPr>
        <w:spacing w:after="0" w:line="14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 of America.</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“Governmental Authority” </w:t>
      </w:r>
      <w:r>
        <w:rPr>
          <w:rFonts w:ascii="Times New Roman" w:cs="Times New Roman" w:eastAsia="Times New Roman" w:hAnsi="Times New Roman"/>
          <w:sz w:val="18"/>
          <w:szCs w:val="18"/>
          <w:color w:val="auto"/>
        </w:rPr>
        <w:t>means:</w:t>
      </w:r>
    </w:p>
    <w:p>
      <w:pPr>
        <w:spacing w:after="0" w:line="213" w:lineRule="exact"/>
        <w:rPr>
          <w:sz w:val="20"/>
          <w:szCs w:val="20"/>
          <w:color w:val="auto"/>
        </w:rPr>
      </w:pPr>
    </w:p>
    <w:p>
      <w:pPr>
        <w:ind w:left="1700" w:hanging="590"/>
        <w:spacing w:after="0"/>
        <w:tabs>
          <w:tab w:leader="none" w:pos="17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w:t>
      </w:r>
    </w:p>
    <w:p>
      <w:pPr>
        <w:spacing w:after="0" w:line="220" w:lineRule="exact"/>
        <w:rPr>
          <w:sz w:val="20"/>
          <w:szCs w:val="20"/>
          <w:color w:val="auto"/>
        </w:rPr>
      </w:pPr>
    </w:p>
    <w:p>
      <w:pPr>
        <w:ind w:left="1660" w:hanging="550"/>
        <w:spacing w:after="0"/>
        <w:tabs>
          <w:tab w:leader="none" w:pos="1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of America or any State or other political subdivision thereof, or</w:t>
      </w:r>
    </w:p>
    <w:p>
      <w:pPr>
        <w:spacing w:after="0" w:line="220" w:lineRule="exact"/>
        <w:rPr>
          <w:rFonts w:ascii="Times New Roman" w:cs="Times New Roman" w:eastAsia="Times New Roman" w:hAnsi="Times New Roman"/>
          <w:sz w:val="18"/>
          <w:szCs w:val="18"/>
          <w:color w:val="auto"/>
        </w:rPr>
      </w:pPr>
    </w:p>
    <w:p>
      <w:pPr>
        <w:ind w:firstLine="1110"/>
        <w:spacing w:after="0" w:line="280" w:lineRule="auto"/>
        <w:tabs>
          <w:tab w:leader="none" w:pos="165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jurisdiction in which the Company or any Subsidiary conducts all or any part of its business, or which asserts jurisdiction over any properties of the Company or any Subsidiary, or</w:t>
      </w:r>
    </w:p>
    <w:p>
      <w:pPr>
        <w:spacing w:after="0" w:line="141" w:lineRule="exact"/>
        <w:rPr>
          <w:sz w:val="20"/>
          <w:szCs w:val="20"/>
          <w:color w:val="auto"/>
        </w:rPr>
      </w:pPr>
    </w:p>
    <w:p>
      <w:pPr>
        <w:ind w:firstLine="1110"/>
        <w:spacing w:after="0" w:line="280" w:lineRule="auto"/>
        <w:tabs>
          <w:tab w:leader="none" w:pos="170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exercising executive, legislative, judicial, regulatory or administrative functions of, or pertaining to, any such government.</w:t>
      </w:r>
    </w:p>
    <w:p>
      <w:pPr>
        <w:spacing w:after="0" w:line="121" w:lineRule="exact"/>
        <w:rPr>
          <w:sz w:val="20"/>
          <w:szCs w:val="20"/>
          <w:color w:val="auto"/>
        </w:rPr>
      </w:pPr>
    </w:p>
    <w:p>
      <w:pPr>
        <w:jc w:val="both"/>
        <w:ind w:firstLine="554"/>
        <w:spacing w:after="0" w:line="237" w:lineRule="exact"/>
        <w:rPr>
          <w:sz w:val="20"/>
          <w:szCs w:val="20"/>
          <w:color w:val="auto"/>
        </w:rPr>
      </w:pPr>
      <w:r>
        <w:rPr>
          <w:rFonts w:ascii="Times New Roman" w:cs="Times New Roman" w:eastAsia="Times New Roman" w:hAnsi="Times New Roman"/>
          <w:sz w:val="18"/>
          <w:szCs w:val="18"/>
          <w:i w:val="1"/>
          <w:iCs w:val="1"/>
          <w:color w:val="auto"/>
        </w:rPr>
        <w:t xml:space="preserve">“Governmental Official” </w:t>
      </w:r>
      <w:r>
        <w:rPr>
          <w:rFonts w:ascii="Times New Roman" w:cs="Times New Roman" w:eastAsia="Times New Roman" w:hAnsi="Times New Roman"/>
          <w:sz w:val="18"/>
          <w:szCs w:val="18"/>
          <w:color w:val="auto"/>
        </w:rPr>
        <w:t>means any governmental official or employee, employee of any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entity, political party, any official of a political party, candidate for political office, official of any public international organization or anyone else acting in an official capacity.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540" w:right="1439" w:bottom="1440" w:gutter="0" w:footer="0" w:header="0"/>
        </w:sectPr>
      </w:pPr>
    </w:p>
    <w:bookmarkStart w:id="348" w:name="page349"/>
    <w:bookmarkEnd w:id="348"/>
    <w:p>
      <w:pPr>
        <w:jc w:val="both"/>
        <w:ind w:firstLine="55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“Guaranty” </w:t>
      </w:r>
      <w:r>
        <w:rPr>
          <w:rFonts w:ascii="Times New Roman" w:cs="Times New Roman" w:eastAsia="Times New Roman" w:hAnsi="Times New Roman"/>
          <w:sz w:val="18"/>
          <w:szCs w:val="18"/>
          <w:color w:val="auto"/>
        </w:rPr>
        <w:t>means, with respect to any Person, any obligation (except the endorsement in the ordinary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164" w:lineRule="exact"/>
        <w:rPr>
          <w:sz w:val="20"/>
          <w:szCs w:val="20"/>
          <w:color w:val="auto"/>
        </w:rPr>
      </w:pPr>
    </w:p>
    <w:p>
      <w:pPr>
        <w:jc w:val="both"/>
        <w:ind w:left="560" w:firstLine="550"/>
        <w:spacing w:after="0" w:line="260" w:lineRule="auto"/>
        <w:tabs>
          <w:tab w:leader="none" w:pos="187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170" w:lineRule="exact"/>
        <w:rPr>
          <w:rFonts w:ascii="Times New Roman" w:cs="Times New Roman" w:eastAsia="Times New Roman" w:hAnsi="Times New Roman"/>
          <w:sz w:val="18"/>
          <w:szCs w:val="18"/>
          <w:color w:val="auto"/>
        </w:rPr>
      </w:pPr>
    </w:p>
    <w:p>
      <w:pPr>
        <w:jc w:val="both"/>
        <w:ind w:left="560" w:firstLine="550"/>
        <w:spacing w:after="0" w:line="260" w:lineRule="auto"/>
        <w:tabs>
          <w:tab w:leader="none" w:pos="188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170" w:lineRule="exact"/>
        <w:rPr>
          <w:rFonts w:ascii="Times New Roman" w:cs="Times New Roman" w:eastAsia="Times New Roman" w:hAnsi="Times New Roman"/>
          <w:sz w:val="18"/>
          <w:szCs w:val="18"/>
          <w:color w:val="auto"/>
        </w:rPr>
      </w:pPr>
    </w:p>
    <w:p>
      <w:pPr>
        <w:ind w:left="560" w:firstLine="550"/>
        <w:spacing w:after="0" w:line="280" w:lineRule="auto"/>
        <w:tabs>
          <w:tab w:leader="none" w:pos="187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lease properties or to purchase properties or services primarily for the purpose of assuring the owner of such Debt or obligation of the ability of any other Person to make payment of the Debt or obligation; or</w:t>
      </w:r>
    </w:p>
    <w:p>
      <w:pPr>
        <w:spacing w:after="0" w:line="140" w:lineRule="exact"/>
        <w:rPr>
          <w:rFonts w:ascii="Times New Roman" w:cs="Times New Roman" w:eastAsia="Times New Roman" w:hAnsi="Times New Roman"/>
          <w:sz w:val="18"/>
          <w:szCs w:val="18"/>
          <w:color w:val="auto"/>
        </w:rPr>
      </w:pPr>
    </w:p>
    <w:p>
      <w:pPr>
        <w:ind w:left="1880" w:hanging="770"/>
        <w:spacing w:after="0"/>
        <w:tabs>
          <w:tab w:leader="none" w:pos="18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to assure the owner of such Debt or obligation against loss in respect thereof.</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Debt outstanding for purposes of this Agreement shall not exceed the maximum amount of Debt that is the subject of such Guaranty.</w:t>
      </w:r>
    </w:p>
    <w:p>
      <w:pPr>
        <w:spacing w:after="0" w:line="171" w:lineRule="exact"/>
        <w:rPr>
          <w:sz w:val="20"/>
          <w:szCs w:val="20"/>
          <w:color w:val="auto"/>
        </w:rPr>
      </w:pPr>
    </w:p>
    <w:p>
      <w:pPr>
        <w:jc w:val="both"/>
        <w:ind w:firstLine="554"/>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“Hazardous Material” </w:t>
      </w:r>
      <w:r>
        <w:rPr>
          <w:rFonts w:ascii="Times New Roman" w:cs="Times New Roman" w:eastAsia="Times New Roman" w:hAnsi="Times New Roman"/>
          <w:sz w:val="18"/>
          <w:szCs w:val="18"/>
          <w:color w:val="auto"/>
        </w:rPr>
        <w:t>means any and all pollutants, toxic or hazardous wastes or other substances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is defined in the Indenture.</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55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“Institutional Investor” </w:t>
      </w:r>
      <w:r>
        <w:rPr>
          <w:rFonts w:ascii="Times New Roman" w:cs="Times New Roman" w:eastAsia="Times New Roman" w:hAnsi="Times New Roman"/>
          <w:sz w:val="18"/>
          <w:szCs w:val="18"/>
          <w:color w:val="auto"/>
        </w:rPr>
        <w:t>means (a) any Purchaser of a Bond, (b) any holder of a Bond holding (together with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539" w:right="1439" w:bottom="1440" w:gutter="0" w:footer="0" w:header="0"/>
        </w:sectPr>
      </w:pPr>
    </w:p>
    <w:bookmarkStart w:id="349" w:name="page350"/>
    <w:bookmarkEnd w:id="349"/>
    <w:p>
      <w:pPr>
        <w:jc w:val="both"/>
        <w:ind w:firstLine="55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means, with respect to any Person, any mortgage, lien, pledge, charge, security interest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“Make-Whole Amount” </w:t>
      </w:r>
      <w:r>
        <w:rPr>
          <w:rFonts w:ascii="Times New Roman" w:cs="Times New Roman" w:eastAsia="Times New Roman" w:hAnsi="Times New Roman"/>
          <w:sz w:val="18"/>
          <w:szCs w:val="18"/>
          <w:color w:val="auto"/>
        </w:rPr>
        <w:t>is defined in the Supplement.</w:t>
      </w:r>
    </w:p>
    <w:p>
      <w:pPr>
        <w:spacing w:after="0" w:line="22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w:t>
      </w:r>
      <w:r>
        <w:rPr>
          <w:rFonts w:ascii="Times New Roman" w:cs="Times New Roman" w:eastAsia="Times New Roman" w:hAnsi="Times New Roman"/>
          <w:sz w:val="18"/>
          <w:szCs w:val="18"/>
          <w:color w:val="auto"/>
        </w:rPr>
        <w:t>means material in relation to the business, operations, affairs, financial condition, assets or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and its Subsidiaries taken as a whole.</w:t>
      </w:r>
    </w:p>
    <w:p>
      <w:pPr>
        <w:spacing w:after="0" w:line="145"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“Material Adverse Effect” </w:t>
      </w:r>
      <w:r>
        <w:rPr>
          <w:rFonts w:ascii="Times New Roman" w:cs="Times New Roman" w:eastAsia="Times New Roman" w:hAnsi="Times New Roman"/>
          <w:sz w:val="18"/>
          <w:szCs w:val="18"/>
          <w:color w:val="auto"/>
        </w:rPr>
        <w:t>means a material adverse effect on (a) the business, operations, affairs,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assets or properties of the Company and its Subsidiaries taken as a whole, (b) the ability of the Company to perform its obligations under this Agreement, the Bonds or the Indenture, or (c) the validity or enforceability of any Financing Agreement.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“Multiemployer Plan” </w:t>
      </w:r>
      <w:r>
        <w:rPr>
          <w:rFonts w:ascii="Times New Roman" w:cs="Times New Roman" w:eastAsia="Times New Roman" w:hAnsi="Times New Roman"/>
          <w:sz w:val="18"/>
          <w:szCs w:val="18"/>
          <w:color w:val="auto"/>
        </w:rPr>
        <w:t>means any Plan that is a “</w:t>
      </w:r>
      <w:r>
        <w:rPr>
          <w:rFonts w:ascii="Times New Roman" w:cs="Times New Roman" w:eastAsia="Times New Roman" w:hAnsi="Times New Roman"/>
          <w:sz w:val="18"/>
          <w:szCs w:val="18"/>
          <w:i w:val="1"/>
          <w:iCs w:val="1"/>
          <w:color w:val="auto"/>
        </w:rPr>
        <w:t>multiemployer plan</w:t>
      </w:r>
      <w:r>
        <w:rPr>
          <w:rFonts w:ascii="Times New Roman" w:cs="Times New Roman" w:eastAsia="Times New Roman" w:hAnsi="Times New Roman"/>
          <w:sz w:val="18"/>
          <w:szCs w:val="18"/>
          <w:color w:val="auto"/>
        </w:rPr>
        <w:t>” (as such term is defined in section 4001(a)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of ERISA).</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“NAIC” </w:t>
      </w:r>
      <w:r>
        <w:rPr>
          <w:rFonts w:ascii="Times New Roman" w:cs="Times New Roman" w:eastAsia="Times New Roman" w:hAnsi="Times New Roman"/>
          <w:sz w:val="18"/>
          <w:szCs w:val="18"/>
          <w:color w:val="auto"/>
        </w:rPr>
        <w:t>means the National Association of Insurance Commissioners or any successor thereto.</w:t>
      </w:r>
    </w:p>
    <w:p>
      <w:pPr>
        <w:spacing w:after="0" w:line="193" w:lineRule="exact"/>
        <w:rPr>
          <w:sz w:val="20"/>
          <w:szCs w:val="20"/>
          <w:color w:val="auto"/>
        </w:rPr>
      </w:pPr>
    </w:p>
    <w:p>
      <w:pPr>
        <w:jc w:val="both"/>
        <w:ind w:firstLine="554"/>
        <w:spacing w:after="0" w:line="223" w:lineRule="exact"/>
        <w:rPr>
          <w:sz w:val="20"/>
          <w:szCs w:val="20"/>
          <w:color w:val="auto"/>
        </w:rPr>
      </w:pPr>
      <w:r>
        <w:rPr>
          <w:rFonts w:ascii="Times New Roman" w:cs="Times New Roman" w:eastAsia="Times New Roman" w:hAnsi="Times New Roman"/>
          <w:sz w:val="18"/>
          <w:szCs w:val="18"/>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 U.S. Plan” </w:t>
      </w:r>
      <w:r>
        <w:rPr>
          <w:rFonts w:ascii="Times New Roman" w:cs="Times New Roman" w:eastAsia="Times New Roman" w:hAnsi="Times New Roman"/>
          <w:sz w:val="18"/>
          <w:szCs w:val="18"/>
          <w:color w:val="auto"/>
        </w:rPr>
        <w:t>means any plan, fund or other similar program that (a) is established or maintained outside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“OFAC” </w:t>
      </w:r>
      <w:r>
        <w:rPr>
          <w:rFonts w:ascii="Times New Roman" w:cs="Times New Roman" w:eastAsia="Times New Roman" w:hAnsi="Times New Roman"/>
          <w:sz w:val="18"/>
          <w:szCs w:val="18"/>
          <w:color w:val="auto"/>
        </w:rPr>
        <w:t>means the Office of Foreign Assets Control of the United States Department of the Treasury.</w:t>
      </w:r>
    </w:p>
    <w:p>
      <w:pPr>
        <w:spacing w:after="0" w:line="220" w:lineRule="exact"/>
        <w:rPr>
          <w:sz w:val="20"/>
          <w:szCs w:val="20"/>
          <w:color w:val="auto"/>
        </w:rPr>
      </w:pPr>
    </w:p>
    <w:p>
      <w:pPr>
        <w:jc w:val="both"/>
        <w:ind w:firstLine="5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OFAC Sanctions Program</w:t>
      </w:r>
      <w:r>
        <w:rPr>
          <w:rFonts w:ascii="Times New Roman" w:cs="Times New Roman" w:eastAsia="Times New Roman" w:hAnsi="Times New Roman"/>
          <w:sz w:val="18"/>
          <w:szCs w:val="18"/>
          <w:color w:val="auto"/>
        </w:rPr>
        <w:t>” means any economic or trade sanction that OFAC is responsible for administering and enforcing. A list of OFAC Sanctions Programs may be found at http://www.treasury.gov/resource-center/sanctions/Programs/Pages/Programs.aspx.</w:t>
      </w:r>
    </w:p>
    <w:p>
      <w:pPr>
        <w:spacing w:after="0" w:line="16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means a certificate of a Senior Financial Officer or of any other officer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whose responsibilities extend to the subject matter of such certificate.</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“Original Indenture”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“PBGC” </w:t>
      </w:r>
      <w:r>
        <w:rPr>
          <w:rFonts w:ascii="Times New Roman" w:cs="Times New Roman" w:eastAsia="Times New Roman" w:hAnsi="Times New Roman"/>
          <w:sz w:val="18"/>
          <w:szCs w:val="18"/>
          <w:color w:val="auto"/>
        </w:rPr>
        <w:t>means the Pension Benefit Guaranty Corporation referred to and defined in ERISA or any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“Permitted Liens” </w:t>
      </w:r>
      <w:r>
        <w:rPr>
          <w:rFonts w:ascii="Times New Roman" w:cs="Times New Roman" w:eastAsia="Times New Roman" w:hAnsi="Times New Roman"/>
          <w:sz w:val="18"/>
          <w:szCs w:val="18"/>
          <w:color w:val="auto"/>
        </w:rPr>
        <w:t>shall have the meaning assigned to such term in the Indenture.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540" w:right="1439" w:bottom="1440" w:gutter="0" w:footer="0" w:header="0"/>
        </w:sectPr>
      </w:pPr>
    </w:p>
    <w:bookmarkStart w:id="350" w:name="page351"/>
    <w:bookmarkEnd w:id="350"/>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 individual, partnership, corporation, limited liability company, association,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unincorporated organization, business entity or Governmental Authority.</w:t>
      </w:r>
    </w:p>
    <w:p>
      <w:pPr>
        <w:spacing w:after="0" w:line="134"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means an “</w:t>
      </w:r>
      <w:r>
        <w:rPr>
          <w:rFonts w:ascii="Times New Roman" w:cs="Times New Roman" w:eastAsia="Times New Roman" w:hAnsi="Times New Roman"/>
          <w:sz w:val="18"/>
          <w:szCs w:val="18"/>
          <w:i w:val="1"/>
          <w:iCs w:val="1"/>
          <w:color w:val="auto"/>
        </w:rPr>
        <w:t>employee benefit plan</w:t>
      </w:r>
      <w:r>
        <w:rPr>
          <w:rFonts w:ascii="Times New Roman" w:cs="Times New Roman" w:eastAsia="Times New Roman" w:hAnsi="Times New Roman"/>
          <w:sz w:val="18"/>
          <w:szCs w:val="18"/>
          <w:color w:val="auto"/>
        </w:rPr>
        <w:t>” (as defined in section 3(2) of ERISA) subject to Title I of ERISA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72"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“properties” </w:t>
      </w:r>
      <w:r>
        <w:rPr>
          <w:rFonts w:ascii="Times New Roman" w:cs="Times New Roman" w:eastAsia="Times New Roman" w:hAnsi="Times New Roman"/>
          <w:sz w:val="18"/>
          <w:szCs w:val="18"/>
          <w:color w:val="auto"/>
        </w:rPr>
        <w:t>means, unless otherwise specifically limited, real or personal property of any kind,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tangible or intangible, choate or inchoate.</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“PTE”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6.2(a)</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“Purchaser” </w:t>
      </w:r>
      <w:r>
        <w:rPr>
          <w:rFonts w:ascii="Times New Roman" w:cs="Times New Roman" w:eastAsia="Times New Roman" w:hAnsi="Times New Roman"/>
          <w:sz w:val="18"/>
          <w:szCs w:val="18"/>
          <w:color w:val="auto"/>
        </w:rPr>
        <w:t>is defined in the first paragraph of this Agreement.</w:t>
      </w:r>
    </w:p>
    <w:p>
      <w:pPr>
        <w:spacing w:after="0" w:line="220" w:lineRule="exact"/>
        <w:rPr>
          <w:sz w:val="20"/>
          <w:szCs w:val="20"/>
          <w:color w:val="auto"/>
        </w:rPr>
      </w:pPr>
    </w:p>
    <w:p>
      <w:pPr>
        <w:jc w:val="both"/>
        <w:ind w:firstLine="554"/>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“Qualified Investor” </w:t>
      </w:r>
      <w:r>
        <w:rPr>
          <w:rFonts w:ascii="Times New Roman" w:cs="Times New Roman" w:eastAsia="Times New Roman" w:hAnsi="Times New Roman"/>
          <w:sz w:val="18"/>
          <w:szCs w:val="18"/>
          <w:color w:val="auto"/>
        </w:rPr>
        <w:t>means Persons or entities that are listed in clauses (1) to (4) of Section I of Annex II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Directive 2014/65/EU (known as MiFID II), which includes (among others): entities which are required to be authorized or regulated to operate in the financial markets, including: (a) credit institutions; (b) investment firms; (c) other authorized or regulated financial institutions; (d) insurance companies; (e) collective investment schemes and management companies of such schemes; (f) pension funds and management companies of such funds; (g) commodity and commodity derivatives dealers; (h) local public authorities; and (i) other institutional investors.</w:t>
      </w:r>
    </w:p>
    <w:p>
      <w:pPr>
        <w:spacing w:after="0" w:line="179" w:lineRule="exact"/>
        <w:rPr>
          <w:sz w:val="20"/>
          <w:szCs w:val="20"/>
          <w:color w:val="auto"/>
        </w:rPr>
      </w:pPr>
    </w:p>
    <w:p>
      <w:pPr>
        <w:jc w:val="both"/>
        <w:ind w:firstLine="55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“Related Fund” </w:t>
      </w:r>
      <w:r>
        <w:rPr>
          <w:rFonts w:ascii="Times New Roman" w:cs="Times New Roman" w:eastAsia="Times New Roman" w:hAnsi="Times New Roman"/>
          <w:sz w:val="18"/>
          <w:szCs w:val="18"/>
          <w:color w:val="auto"/>
        </w:rPr>
        <w:t>means, with respect to any holder of any Bond, any fund or entity that (i) invests in Securities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loans, and (ii) is advised or managed by such holder, the same investment advisor as such holder or by an affiliate of such holder or such investment advisor.</w:t>
      </w:r>
    </w:p>
    <w:p>
      <w:pPr>
        <w:spacing w:after="0" w:line="154"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“Required Holders” </w:t>
      </w:r>
      <w:r>
        <w:rPr>
          <w:rFonts w:ascii="Times New Roman" w:cs="Times New Roman" w:eastAsia="Times New Roman" w:hAnsi="Times New Roman"/>
          <w:sz w:val="18"/>
          <w:szCs w:val="18"/>
          <w:color w:val="auto"/>
        </w:rPr>
        <w:t>means at any time on or after the Closing, the holders of at least 51% in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Bonds at the time outstanding (exclusive of Bonds then owned by the Company or any of its Affiliates).</w:t>
      </w:r>
    </w:p>
    <w:p>
      <w:pPr>
        <w:spacing w:after="0" w:line="14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“Responsible Officer” </w:t>
      </w:r>
      <w:r>
        <w:rPr>
          <w:rFonts w:ascii="Times New Roman" w:cs="Times New Roman" w:eastAsia="Times New Roman" w:hAnsi="Times New Roman"/>
          <w:sz w:val="18"/>
          <w:szCs w:val="18"/>
          <w:color w:val="auto"/>
        </w:rPr>
        <w:t>means any Senior Financial Officer and any other officer of the Company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the administration of the relevant portion of this Agreement.</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Securities and Exchange Commission of the United States, or any successor thereto.</w:t>
      </w:r>
    </w:p>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“Security” </w:t>
      </w:r>
      <w:r>
        <w:rPr>
          <w:rFonts w:ascii="Times New Roman" w:cs="Times New Roman" w:eastAsia="Times New Roman" w:hAnsi="Times New Roman"/>
          <w:sz w:val="18"/>
          <w:szCs w:val="18"/>
          <w:color w:val="auto"/>
        </w:rPr>
        <w:t>shall have the meaning specified in section 2(a)(1) of the Securities Act.</w:t>
      </w:r>
    </w:p>
    <w:p>
      <w:pPr>
        <w:spacing w:after="0" w:line="22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 from time to time,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thereunder from time to time in effect.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540" w:right="1439" w:bottom="1440" w:gutter="0" w:footer="0" w:header="0"/>
        </w:sectPr>
      </w:pPr>
    </w:p>
    <w:bookmarkStart w:id="351" w:name="page352"/>
    <w:bookmarkEnd w:id="351"/>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Financial Officer” </w:t>
      </w:r>
      <w:r>
        <w:rPr>
          <w:rFonts w:ascii="Times New Roman" w:cs="Times New Roman" w:eastAsia="Times New Roman" w:hAnsi="Times New Roman"/>
          <w:sz w:val="18"/>
          <w:szCs w:val="18"/>
          <w:color w:val="auto"/>
        </w:rPr>
        <w:t>means the chief financial officer, principal accounting officer, treasurer or comptroller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“Source”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55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“State Sanctions List” </w:t>
      </w:r>
      <w:r>
        <w:rPr>
          <w:rFonts w:ascii="Times New Roman" w:cs="Times New Roman" w:eastAsia="Times New Roman" w:hAnsi="Times New Roman"/>
          <w:sz w:val="18"/>
          <w:szCs w:val="18"/>
          <w:color w:val="auto"/>
        </w:rPr>
        <w:t>means a list that is adopted by any state Governmental Authority within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America pertaining to Persons that engage in investment or other commercial activities in Iran or any other country that is a target of economic sanctions imposed under U.S. Economic Sanctions Laws.</w:t>
      </w:r>
    </w:p>
    <w:p>
      <w:pPr>
        <w:spacing w:after="0" w:line="165"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as to any Person, any other Person in which such first Person or one or more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is a reference to a Subsidiary of the Company.</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“Supplement”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“SVO” </w:t>
      </w:r>
      <w:r>
        <w:rPr>
          <w:rFonts w:ascii="Times New Roman" w:cs="Times New Roman" w:eastAsia="Times New Roman" w:hAnsi="Times New Roman"/>
          <w:sz w:val="18"/>
          <w:szCs w:val="18"/>
          <w:color w:val="auto"/>
        </w:rPr>
        <w:t>means the Securities Valuation Office of the NAIC or any successor to such Office.</w:t>
      </w:r>
    </w:p>
    <w:p>
      <w:pPr>
        <w:spacing w:after="0" w:line="220"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“Swaps” </w:t>
      </w:r>
      <w:r>
        <w:rPr>
          <w:rFonts w:ascii="Times New Roman" w:cs="Times New Roman" w:eastAsia="Times New Roman" w:hAnsi="Times New Roman"/>
          <w:sz w:val="18"/>
          <w:szCs w:val="18"/>
          <w:color w:val="auto"/>
        </w:rPr>
        <w:t>means, with respect to any Person, payment obligations with respect to interest rate swaps,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“Trust Estate” </w:t>
      </w:r>
      <w:r>
        <w:rPr>
          <w:rFonts w:ascii="Times New Roman" w:cs="Times New Roman" w:eastAsia="Times New Roman" w:hAnsi="Times New Roman"/>
          <w:sz w:val="18"/>
          <w:szCs w:val="18"/>
          <w:color w:val="auto"/>
        </w:rPr>
        <w:t>is defined in the Indenture.</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“UCC” </w:t>
      </w:r>
      <w:r>
        <w:rPr>
          <w:rFonts w:ascii="Times New Roman" w:cs="Times New Roman" w:eastAsia="Times New Roman" w:hAnsi="Times New Roman"/>
          <w:sz w:val="18"/>
          <w:szCs w:val="18"/>
          <w:color w:val="auto"/>
        </w:rPr>
        <w:t>means, the Uniform Commercial Code as enacted and in effect from time to time in the state whose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treated as applying to the Trust Estate.</w:t>
      </w:r>
    </w:p>
    <w:p>
      <w:pPr>
        <w:spacing w:after="0" w:line="107" w:lineRule="exact"/>
        <w:rPr>
          <w:sz w:val="20"/>
          <w:szCs w:val="20"/>
          <w:color w:val="auto"/>
        </w:rPr>
      </w:pPr>
    </w:p>
    <w:p>
      <w:pPr>
        <w:jc w:val="both"/>
        <w:ind w:firstLine="554"/>
        <w:spacing w:after="0" w:line="245" w:lineRule="exact"/>
        <w:rPr>
          <w:sz w:val="20"/>
          <w:szCs w:val="20"/>
          <w:color w:val="auto"/>
        </w:rPr>
      </w:pPr>
      <w:r>
        <w:rPr>
          <w:rFonts w:ascii="Times New Roman" w:cs="Times New Roman" w:eastAsia="Times New Roman" w:hAnsi="Times New Roman"/>
          <w:sz w:val="18"/>
          <w:szCs w:val="18"/>
          <w:i w:val="1"/>
          <w:iCs w:val="1"/>
          <w:color w:val="auto"/>
        </w:rPr>
        <w:t xml:space="preserve">“USA Patriot Act” </w:t>
      </w:r>
      <w:r>
        <w:rPr>
          <w:rFonts w:ascii="Times New Roman" w:cs="Times New Roman" w:eastAsia="Times New Roman" w:hAnsi="Times New Roman"/>
          <w:sz w:val="18"/>
          <w:szCs w:val="18"/>
          <w:color w:val="auto"/>
        </w:rPr>
        <w:t>means United States Public Law 107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56, Uniting and Strengthening America by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Tools Required to Intercept and Obstruct Terrorism (USA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539" w:right="1439" w:bottom="1440" w:gutter="0" w:footer="0" w:header="0"/>
        </w:sectPr>
      </w:pPr>
    </w:p>
    <w:bookmarkStart w:id="352" w:name="page353"/>
    <w:bookmarkEnd w:id="352"/>
    <w:p>
      <w:pPr>
        <w:jc w:val="both"/>
        <w:spacing w:after="0" w:line="280" w:lineRule="auto"/>
        <w:rPr>
          <w:sz w:val="20"/>
          <w:szCs w:val="20"/>
          <w:color w:val="auto"/>
        </w:rPr>
      </w:pPr>
      <w:r>
        <w:rPr>
          <w:rFonts w:ascii="Times New Roman" w:cs="Times New Roman" w:eastAsia="Times New Roman" w:hAnsi="Times New Roman"/>
          <w:sz w:val="18"/>
          <w:szCs w:val="18"/>
          <w:color w:val="auto"/>
        </w:rPr>
        <w:t>PATRIOT ACT) Act of 2001, as amended from time to time, and the rules and regulations promulgated thereunder from time to time in effect.</w:t>
      </w:r>
    </w:p>
    <w:p>
      <w:pPr>
        <w:spacing w:after="0" w:line="137" w:lineRule="exact"/>
        <w:rPr>
          <w:sz w:val="20"/>
          <w:szCs w:val="20"/>
          <w:color w:val="auto"/>
        </w:rPr>
      </w:pPr>
    </w:p>
    <w:p>
      <w:pPr>
        <w:jc w:val="both"/>
        <w:ind w:firstLine="55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“U.S. Economic Sanctions Laws” </w:t>
      </w:r>
      <w:r>
        <w:rPr>
          <w:rFonts w:ascii="Times New Roman" w:cs="Times New Roman" w:eastAsia="Times New Roman" w:hAnsi="Times New Roman"/>
          <w:sz w:val="18"/>
          <w:szCs w:val="18"/>
          <w:color w:val="auto"/>
        </w:rPr>
        <w:t>means those laws, executive orders, enabling legislation or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5783580" cy="476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543" w:right="1439" w:bottom="1440" w:gutter="0" w:footer="0" w:header="0"/>
        </w:sectPr>
      </w:pPr>
    </w:p>
    <w:bookmarkStart w:id="353" w:name="page354"/>
    <w:bookmarkEnd w:id="3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AQUA PENNSYLVANIA,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OWNERSHIP OF SUBSIDIARY STOCK</w:t>
      </w:r>
    </w:p>
    <w:p>
      <w:pPr>
        <w:spacing w:after="0" w:line="200" w:lineRule="exact"/>
        <w:rPr>
          <w:sz w:val="20"/>
          <w:szCs w:val="20"/>
          <w:color w:val="auto"/>
        </w:rPr>
      </w:pPr>
    </w:p>
    <w:p>
      <w:pPr>
        <w:spacing w:after="0" w:line="211" w:lineRule="exact"/>
        <w:rPr>
          <w:sz w:val="20"/>
          <w:szCs w:val="20"/>
          <w:color w:val="auto"/>
        </w:rPr>
      </w:pPr>
    </w:p>
    <w:tbl>
      <w:tblPr>
        <w:tblLayout w:type="fixed"/>
        <w:tblInd w:w="390" w:type="dxa"/>
        <w:tblCellMar>
          <w:top w:w="0" w:type="dxa"/>
          <w:left w:w="0" w:type="dxa"/>
          <w:bottom w:w="0" w:type="dxa"/>
          <w:right w:w="0" w:type="dxa"/>
        </w:tblCellMar>
      </w:tblPr>
      <w:tr>
        <w:trPr>
          <w:trHeight w:val="193"/>
        </w:trPr>
        <w:tc>
          <w:tcPr>
            <w:tcW w:w="680" w:type="dxa"/>
            <w:vAlign w:val="bottom"/>
            <w:tcBorders>
              <w:top w:val="single" w:sz="8" w:color="auto"/>
              <w:left w:val="single" w:sz="8" w:color="auto"/>
            </w:tcBorders>
            <w:shd w:val="clear" w:color="auto" w:fill="DBE5F1"/>
          </w:tcPr>
          <w:p>
            <w:pPr>
              <w:spacing w:after="0"/>
              <w:rPr>
                <w:sz w:val="16"/>
                <w:szCs w:val="16"/>
                <w:color w:val="auto"/>
              </w:rPr>
            </w:pPr>
          </w:p>
        </w:tc>
        <w:tc>
          <w:tcPr>
            <w:tcW w:w="3220" w:type="dxa"/>
            <w:vAlign w:val="bottom"/>
            <w:tcBorders>
              <w:top w:val="single" w:sz="8" w:color="auto"/>
              <w:right w:val="single" w:sz="8" w:color="auto"/>
            </w:tcBorders>
            <w:shd w:val="clear" w:color="auto" w:fill="DBE5F1"/>
          </w:tcPr>
          <w:p>
            <w:pPr>
              <w:spacing w:after="0"/>
              <w:rPr>
                <w:sz w:val="16"/>
                <w:szCs w:val="16"/>
                <w:color w:val="auto"/>
              </w:rPr>
            </w:pPr>
          </w:p>
        </w:tc>
        <w:tc>
          <w:tcPr>
            <w:tcW w:w="2000" w:type="dxa"/>
            <w:vAlign w:val="bottom"/>
            <w:tcBorders>
              <w:top w:val="single" w:sz="8" w:color="auto"/>
              <w:right w:val="single" w:sz="8" w:color="auto"/>
            </w:tcBorders>
            <w:shd w:val="clear" w:color="auto" w:fill="DBE5F1"/>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State of Incorporation</w:t>
            </w:r>
          </w:p>
        </w:tc>
        <w:tc>
          <w:tcPr>
            <w:tcW w:w="1940" w:type="dxa"/>
            <w:vAlign w:val="bottom"/>
            <w:tcBorders>
              <w:top w:val="single" w:sz="8" w:color="auto"/>
              <w:right w:val="single" w:sz="8" w:color="auto"/>
            </w:tcBorders>
            <w:shd w:val="clear" w:color="auto" w:fill="DBE5F1"/>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 of Ownership</w:t>
            </w:r>
          </w:p>
        </w:tc>
      </w:tr>
      <w:tr>
        <w:trPr>
          <w:trHeight w:val="235"/>
        </w:trPr>
        <w:tc>
          <w:tcPr>
            <w:tcW w:w="680" w:type="dxa"/>
            <w:vAlign w:val="bottom"/>
            <w:tcBorders>
              <w:left w:val="single" w:sz="8" w:color="auto"/>
              <w:bottom w:val="single" w:sz="8" w:color="auto"/>
            </w:tcBorders>
            <w:shd w:val="clear" w:color="auto" w:fill="DBE5F1"/>
          </w:tcPr>
          <w:p>
            <w:pPr>
              <w:spacing w:after="0"/>
              <w:rPr>
                <w:sz w:val="20"/>
                <w:szCs w:val="20"/>
                <w:color w:val="auto"/>
              </w:rPr>
            </w:pPr>
          </w:p>
        </w:tc>
        <w:tc>
          <w:tcPr>
            <w:tcW w:w="3220" w:type="dxa"/>
            <w:vAlign w:val="bottom"/>
            <w:tcBorders>
              <w:bottom w:val="single" w:sz="8" w:color="auto"/>
              <w:right w:val="single" w:sz="8" w:color="auto"/>
            </w:tcBorders>
            <w:shd w:val="clear" w:color="auto" w:fill="DBE5F1"/>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000" w:type="dxa"/>
            <w:vAlign w:val="bottom"/>
            <w:tcBorders>
              <w:bottom w:val="single" w:sz="8" w:color="auto"/>
              <w:right w:val="single" w:sz="8" w:color="auto"/>
            </w:tcBorders>
            <w:shd w:val="clear" w:color="auto" w:fill="DBE5F1"/>
          </w:tcPr>
          <w:p>
            <w:pPr>
              <w:spacing w:after="0"/>
              <w:rPr>
                <w:sz w:val="20"/>
                <w:szCs w:val="20"/>
                <w:color w:val="auto"/>
              </w:rPr>
            </w:pPr>
          </w:p>
        </w:tc>
        <w:tc>
          <w:tcPr>
            <w:tcW w:w="1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b w:val="1"/>
                <w:bCs w:val="1"/>
                <w:color w:val="auto"/>
              </w:rPr>
              <w:t>(Direct &amp; Indirect)</w:t>
            </w:r>
          </w:p>
        </w:tc>
      </w:tr>
      <w:tr>
        <w:trPr>
          <w:trHeight w:val="384"/>
        </w:trPr>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Aqua Pennsylvania, Inc.</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Pennsylvania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Aqua Pennsylvania Wastewater, Inc.</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Pennsylvania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Honesdale Consolidated Water Company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Pennsylvania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5.4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48260</wp:posOffset>
            </wp:positionV>
            <wp:extent cx="5783580" cy="476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354" w:name="page355"/>
    <w:bookmarkEnd w:id="354"/>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0" w:lineRule="exact"/>
        <w:rPr>
          <w:sz w:val="20"/>
          <w:szCs w:val="20"/>
          <w:color w:val="auto"/>
        </w:rPr>
      </w:pPr>
    </w:p>
    <w:p>
      <w:pPr>
        <w:spacing w:after="0" w:line="232" w:lineRule="exact"/>
        <w:rPr>
          <w:sz w:val="20"/>
          <w:szCs w:val="20"/>
          <w:color w:val="auto"/>
        </w:rPr>
      </w:pPr>
    </w:p>
    <w:p>
      <w:pPr>
        <w:ind w:left="559" w:hanging="559"/>
        <w:spacing w:after="0" w:line="280" w:lineRule="auto"/>
        <w:tabs>
          <w:tab w:leader="none" w:pos="582"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Aqua Pennsylvania, Inc. Consolidated Financial Statements as of and for the years ended December 31, 2022, 2023, and 2024 (audited)</w:t>
      </w:r>
    </w:p>
    <w:p>
      <w:pPr>
        <w:spacing w:after="0" w:line="140" w:lineRule="exact"/>
        <w:rPr>
          <w:rFonts w:ascii="Times New Roman" w:cs="Times New Roman" w:eastAsia="Times New Roman" w:hAnsi="Times New Roman"/>
          <w:sz w:val="18"/>
          <w:szCs w:val="18"/>
          <w:color w:val="auto"/>
        </w:rPr>
      </w:pPr>
    </w:p>
    <w:p>
      <w:pPr>
        <w:ind w:left="699" w:hanging="699"/>
        <w:spacing w:after="0"/>
        <w:tabs>
          <w:tab w:leader="none" w:pos="69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Aqua Pennsylvania, Inc. Report for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Schedule 5.5</w:t>
      </w:r>
    </w:p>
    <w:p>
      <w:pPr>
        <w:spacing w:after="0" w:line="2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5783580" cy="476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39"/>
          </w:cols>
          <w:pgMar w:left="1421" w:top="320" w:right="1439" w:bottom="1440" w:gutter="0" w:footer="0" w:header="0"/>
        </w:sectPr>
      </w:pPr>
    </w:p>
    <w:bookmarkStart w:id="355" w:name="page356"/>
    <w:bookmarkEnd w:id="355"/>
    <w:tbl>
      <w:tblPr>
        <w:tblLayout w:type="fixed"/>
        <w:tblInd w:w="80" w:type="dxa"/>
        <w:tblCellMar>
          <w:top w:w="0" w:type="dxa"/>
          <w:left w:w="0" w:type="dxa"/>
          <w:bottom w:w="0" w:type="dxa"/>
          <w:right w:w="0" w:type="dxa"/>
        </w:tblCellMar>
      </w:tblPr>
      <w:tr>
        <w:trPr>
          <w:trHeight w:val="208"/>
        </w:trPr>
        <w:tc>
          <w:tcPr>
            <w:tcW w:w="2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18"/>
                <w:szCs w:val="18"/>
                <w:color w:val="auto"/>
              </w:rPr>
            </w:pPr>
          </w:p>
        </w:tc>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Aqua Pennsylvania and Subsidiaries</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18"/>
                <w:szCs w:val="18"/>
                <w:color w:val="auto"/>
              </w:rPr>
            </w:pPr>
          </w:p>
        </w:tc>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 5.15(a) – Existing Debt</w:t>
            </w: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80" w:type="dxa"/>
            <w:vAlign w:val="bottom"/>
            <w:gridSpan w:val="2"/>
          </w:tcPr>
          <w:p>
            <w:pPr>
              <w:jc w:val="center"/>
              <w:ind w:right="1128"/>
              <w:spacing w:after="0"/>
              <w:rPr>
                <w:sz w:val="20"/>
                <w:szCs w:val="20"/>
                <w:color w:val="auto"/>
              </w:rPr>
            </w:pPr>
            <w:r>
              <w:rPr>
                <w:rFonts w:ascii="Times New Roman" w:cs="Times New Roman" w:eastAsia="Times New Roman" w:hAnsi="Times New Roman"/>
                <w:sz w:val="18"/>
                <w:szCs w:val="18"/>
                <w:b w:val="1"/>
                <w:bCs w:val="1"/>
                <w:color w:val="auto"/>
              </w:rPr>
              <w:t>as of 12/31/2024</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tcPr>
          <w:p>
            <w:pPr>
              <w:jc w:val="right"/>
              <w:ind w:right="488"/>
              <w:spacing w:after="0" w:line="196" w:lineRule="exact"/>
              <w:rPr>
                <w:sz w:val="20"/>
                <w:szCs w:val="20"/>
                <w:color w:val="auto"/>
              </w:rPr>
            </w:pPr>
            <w:r>
              <w:rPr>
                <w:rFonts w:ascii="Times New Roman" w:cs="Times New Roman" w:eastAsia="Times New Roman" w:hAnsi="Times New Roman"/>
                <w:sz w:val="18"/>
                <w:szCs w:val="18"/>
                <w:color w:val="auto"/>
              </w:rPr>
              <w:t>Outstanding</w:t>
            </w:r>
          </w:p>
        </w:tc>
        <w:tc>
          <w:tcPr>
            <w:tcW w:w="0" w:type="dxa"/>
            <w:vAlign w:val="bottom"/>
          </w:tcPr>
          <w:p>
            <w:pPr>
              <w:spacing w:after="0"/>
              <w:rPr>
                <w:sz w:val="1"/>
                <w:szCs w:val="1"/>
                <w:color w:val="auto"/>
              </w:rPr>
            </w:pPr>
          </w:p>
        </w:tc>
      </w:tr>
      <w:tr>
        <w:trPr>
          <w:trHeight w:val="211"/>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Unsecured Note</w:t>
            </w:r>
          </w:p>
        </w:tc>
        <w:tc>
          <w:tcPr>
            <w:tcW w:w="12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5.95%</w:t>
            </w:r>
          </w:p>
        </w:tc>
        <w:tc>
          <w:tcPr>
            <w:tcW w:w="840" w:type="dxa"/>
            <w:vAlign w:val="bottom"/>
          </w:tcPr>
          <w:p>
            <w:pPr>
              <w:spacing w:after="0"/>
              <w:rPr>
                <w:sz w:val="18"/>
                <w:szCs w:val="18"/>
                <w:color w:val="auto"/>
              </w:rPr>
            </w:pPr>
          </w:p>
        </w:tc>
        <w:tc>
          <w:tcPr>
            <w:tcW w:w="20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8"/>
                <w:szCs w:val="18"/>
                <w:color w:val="auto"/>
              </w:rPr>
              <w:t>Balance</w:t>
            </w:r>
          </w:p>
        </w:tc>
        <w:tc>
          <w:tcPr>
            <w:tcW w:w="0" w:type="dxa"/>
            <w:vAlign w:val="bottom"/>
          </w:tcPr>
          <w:p>
            <w:pPr>
              <w:spacing w:after="0"/>
              <w:rPr>
                <w:sz w:val="1"/>
                <w:szCs w:val="1"/>
                <w:color w:val="auto"/>
              </w:rPr>
            </w:pPr>
          </w:p>
        </w:tc>
      </w:tr>
      <w:tr>
        <w:trPr>
          <w:trHeight w:val="185"/>
        </w:trPr>
        <w:tc>
          <w:tcPr>
            <w:tcW w:w="23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204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5.95%</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Unsecured Notes</w:t>
            </w:r>
          </w:p>
        </w:tc>
        <w:tc>
          <w:tcPr>
            <w:tcW w:w="1280" w:type="dxa"/>
            <w:vAlign w:val="bottom"/>
          </w:tcPr>
          <w:p>
            <w:pPr>
              <w:spacing w:after="0"/>
              <w:rPr>
                <w:sz w:val="18"/>
                <w:szCs w:val="18"/>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w:t>
            </w: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2.711%</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82,066</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356,208</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112,968</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2.690%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411,544</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845,044</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292,180</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1.510%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1,053,064</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503,547</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3.468%</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61,191</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2.774%</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410,979</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3.195%</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398,652</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2.556%</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175,252</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2.554%</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282,064</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170,088</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3.046%</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408,909</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496,022</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370,313</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446,179</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3.143%</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744,672</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390,438</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1.510%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3,885,745</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2.668%</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93,767</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423,166</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199,517</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2.774%</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26,259</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3.052%</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122,355</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2.774%</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2,311,200</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3.365%</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2,249,960</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2.547%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2,045,000</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1,129,196</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PennVest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1.743%</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1,429,385</w:t>
            </w:r>
          </w:p>
        </w:tc>
        <w:tc>
          <w:tcPr>
            <w:tcW w:w="0" w:type="dxa"/>
            <w:vAlign w:val="bottom"/>
          </w:tcPr>
          <w:p>
            <w:pPr>
              <w:spacing w:after="0"/>
              <w:rPr>
                <w:sz w:val="1"/>
                <w:szCs w:val="1"/>
                <w:color w:val="auto"/>
              </w:rPr>
            </w:pPr>
          </w:p>
        </w:tc>
      </w:tr>
      <w:tr>
        <w:trPr>
          <w:trHeight w:val="222"/>
        </w:trPr>
        <w:tc>
          <w:tcPr>
            <w:tcW w:w="2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rPr>
              <w:t>16,220,354</w:t>
            </w:r>
          </w:p>
        </w:tc>
        <w:tc>
          <w:tcPr>
            <w:tcW w:w="0" w:type="dxa"/>
            <w:vAlign w:val="bottom"/>
          </w:tcPr>
          <w:p>
            <w:pPr>
              <w:spacing w:after="0"/>
              <w:rPr>
                <w:sz w:val="1"/>
                <w:szCs w:val="1"/>
                <w:color w:val="auto"/>
              </w:rPr>
            </w:pPr>
          </w:p>
        </w:tc>
      </w:tr>
      <w:tr>
        <w:trPr>
          <w:trHeight w:val="21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PennVest</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FMB</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5.98%</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5.15(a)</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48260</wp:posOffset>
            </wp:positionV>
            <wp:extent cx="5783580" cy="476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6.06%</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15,000,000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6.06%</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7.72%</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15,000,000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9.29%</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11,800,000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3.790%</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40,000,000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3.80%</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3.85%</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3.94%</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4.61%</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4.62%</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3.64%</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4.01%</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15,000,000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4.06%</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13,000,000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4.11%</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12,000,000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3.77%</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65,000,000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3.82%</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3.85%</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4.16%</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60,000,000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4.18%</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4.20%</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3.85%</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3.95%</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60,000,000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3.65%</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10,000,000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3.69%</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40,000,000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4.04%</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40,000,000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4.06%</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40,000,000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4.06%</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35,000,000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4.07%</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4.09%</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3.99%</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4.04%</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10,000,000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4.09%</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65,000,000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4.44%</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65,000,000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4.49%</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30,000,000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4.51%</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30,000,000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4.02%</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75,000,000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4.07%</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4.12%</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25,000,000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4.09%</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50,000,000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4.13%</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75,000,000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4.14%</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50,000,000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3.39%</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75,000,000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3.41%</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50,000,000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3.49%</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75,000,000</w:t>
            </w:r>
          </w:p>
        </w:tc>
      </w:tr>
      <w:tr>
        <w:trPr>
          <w:trHeight w:val="208"/>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3.54%</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50,000,000</w:t>
            </w:r>
          </w:p>
        </w:tc>
      </w:tr>
      <w:tr>
        <w:trPr>
          <w:trHeight w:val="241"/>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FMB</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3.55%</w:t>
            </w:r>
          </w:p>
        </w:tc>
        <w:tc>
          <w:tcPr>
            <w:tcW w:w="5220" w:type="dxa"/>
            <w:vAlign w:val="bottom"/>
          </w:tcPr>
          <w:p>
            <w:pPr>
              <w:jc w:val="right"/>
              <w:ind w:right="2648"/>
              <w:spacing w:after="0"/>
              <w:rPr>
                <w:sz w:val="20"/>
                <w:szCs w:val="20"/>
                <w:color w:val="auto"/>
              </w:rPr>
            </w:pPr>
            <w:r>
              <w:rPr>
                <w:rFonts w:ascii="Times New Roman" w:cs="Times New Roman" w:eastAsia="Times New Roman" w:hAnsi="Times New Roman"/>
                <w:sz w:val="18"/>
                <w:szCs w:val="18"/>
                <w:color w:val="auto"/>
              </w:rPr>
              <w:t>50,000,000</w:t>
            </w:r>
          </w:p>
        </w:tc>
      </w:tr>
      <w:tr>
        <w:trPr>
          <w:trHeight w:val="393"/>
        </w:trPr>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20" w:type="dxa"/>
            <w:vAlign w:val="bottom"/>
          </w:tcPr>
          <w:p>
            <w:pPr>
              <w:jc w:val="right"/>
              <w:ind w:right="4108"/>
              <w:spacing w:after="0"/>
              <w:rPr>
                <w:sz w:val="20"/>
                <w:szCs w:val="20"/>
                <w:color w:val="auto"/>
              </w:rPr>
            </w:pPr>
            <w:r>
              <w:rPr>
                <w:rFonts w:ascii="Times New Roman" w:cs="Times New Roman" w:eastAsia="Times New Roman" w:hAnsi="Times New Roman"/>
                <w:sz w:val="18"/>
                <w:szCs w:val="18"/>
                <w:color w:val="auto"/>
              </w:rPr>
              <w:t>5.15(a)-2</w:t>
            </w:r>
          </w:p>
        </w:tc>
      </w:tr>
      <w:tr>
        <w:trPr>
          <w:trHeight w:val="83"/>
        </w:trPr>
        <w:tc>
          <w:tcPr>
            <w:tcW w:w="172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5220" w:type="dxa"/>
            <w:vAlign w:val="bottom"/>
            <w:tcBorders>
              <w:bottom w:val="single" w:sz="8" w:color="9A9A9A"/>
            </w:tcBorders>
          </w:tcPr>
          <w:p>
            <w:pPr>
              <w:spacing w:after="0"/>
              <w:rPr>
                <w:sz w:val="7"/>
                <w:szCs w:val="7"/>
                <w:color w:val="auto"/>
              </w:rPr>
            </w:pPr>
          </w:p>
        </w:tc>
      </w:tr>
      <w:tr>
        <w:trPr>
          <w:trHeight w:val="20"/>
        </w:trPr>
        <w:tc>
          <w:tcPr>
            <w:tcW w:w="172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52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-34290</wp:posOffset>
            </wp:positionV>
            <wp:extent cx="33020" cy="476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-34290</wp:posOffset>
            </wp:positionV>
            <wp:extent cx="33020" cy="476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060"/>
          </w:cols>
          <w:pgMar w:left="1420" w:top="324" w:right="1419" w:bottom="1440" w:gutter="0" w:footer="0" w:header="0"/>
        </w:sectPr>
      </w:pPr>
    </w:p>
    <w:bookmarkStart w:id="357" w:name="page358"/>
    <w:bookmarkEnd w:id="357"/>
    <w:tbl>
      <w:tblPr>
        <w:tblLayout w:type="fixed"/>
        <w:tblInd w:w="80" w:type="dxa"/>
        <w:tblCellMar>
          <w:top w:w="0" w:type="dxa"/>
          <w:left w:w="0" w:type="dxa"/>
          <w:bottom w:w="0" w:type="dxa"/>
          <w:right w:w="0" w:type="dxa"/>
        </w:tblCellMar>
      </w:tblP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FMB</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2.85%</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FMB</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2.89%</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FMB</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FMB</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125,000,000</w:t>
            </w:r>
          </w:p>
        </w:tc>
      </w:tr>
      <w:tr>
        <w:trPr>
          <w:trHeight w:val="208"/>
        </w:trPr>
        <w:tc>
          <w:tcPr>
            <w:tcW w:w="2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8"/>
        </w:trPr>
        <w:tc>
          <w:tcPr>
            <w:tcW w:w="2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8"/>
        </w:trPr>
        <w:tc>
          <w:tcPr>
            <w:tcW w:w="2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8"/>
        </w:trPr>
        <w:tc>
          <w:tcPr>
            <w:tcW w:w="2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FMB</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5.60%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75,000,000</w:t>
            </w: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FMB</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5.48%</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175,000,000</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FMB</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5.56%</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169"/>
        </w:trPr>
        <w:tc>
          <w:tcPr>
            <w:tcW w:w="2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12"/>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First Mortgage Bonds</w:t>
            </w:r>
          </w:p>
        </w:tc>
        <w:tc>
          <w:tcPr>
            <w:tcW w:w="18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2,169,800,000</w:t>
            </w:r>
          </w:p>
        </w:tc>
      </w:tr>
      <w:tr>
        <w:trPr>
          <w:trHeight w:val="208"/>
        </w:trPr>
        <w:tc>
          <w:tcPr>
            <w:tcW w:w="2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PennVest - Aqua PA WW</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305,540</w:t>
            </w: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PennVest - Aqua PA WW</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2.774%</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PennVest - Aqua PA WW</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1,466,881</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PennVest - Aqua PA WW</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2,046,015</w:t>
            </w:r>
          </w:p>
        </w:tc>
      </w:tr>
      <w:tr>
        <w:trPr>
          <w:trHeight w:val="169"/>
        </w:trPr>
        <w:tc>
          <w:tcPr>
            <w:tcW w:w="2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12"/>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PennVest LWW</w:t>
            </w:r>
          </w:p>
        </w:tc>
        <w:tc>
          <w:tcPr>
            <w:tcW w:w="18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3,833,888</w:t>
            </w:r>
          </w:p>
        </w:tc>
      </w:tr>
      <w:tr>
        <w:trPr>
          <w:trHeight w:val="204"/>
        </w:trPr>
        <w:tc>
          <w:tcPr>
            <w:tcW w:w="2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 Term Debt</w:t>
            </w:r>
          </w:p>
        </w:tc>
        <w:tc>
          <w:tcPr>
            <w:tcW w:w="1820" w:type="dxa"/>
            <w:vAlign w:val="bottom"/>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$2,209,954,243</w:t>
            </w:r>
          </w:p>
        </w:tc>
      </w:tr>
      <w:tr>
        <w:trPr>
          <w:trHeight w:val="169"/>
        </w:trPr>
        <w:tc>
          <w:tcPr>
            <w:tcW w:w="2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PNC Revolver</w:t>
            </w:r>
          </w:p>
        </w:tc>
        <w:tc>
          <w:tcPr>
            <w:tcW w:w="1820" w:type="dxa"/>
            <w:vAlign w:val="bottom"/>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31,157,564</w:t>
            </w:r>
          </w:p>
        </w:tc>
      </w:tr>
      <w:tr>
        <w:trPr>
          <w:trHeight w:val="169"/>
        </w:trPr>
        <w:tc>
          <w:tcPr>
            <w:tcW w:w="2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Debt Aqua Pennsylvania</w:t>
            </w:r>
          </w:p>
        </w:tc>
        <w:tc>
          <w:tcPr>
            <w:tcW w:w="18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$2,241,011,807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-5080</wp:posOffset>
            </wp:positionV>
            <wp:extent cx="1290955" cy="146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9095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5.15(a)-3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60960</wp:posOffset>
            </wp:positionV>
            <wp:extent cx="5783580" cy="476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358" w:name="page359"/>
    <w:bookmarkEnd w:id="358"/>
    <w:p>
      <w:pPr>
        <w:jc w:val="center"/>
        <w:spacing w:after="0"/>
        <w:rPr>
          <w:sz w:val="20"/>
          <w:szCs w:val="20"/>
          <w:color w:val="auto"/>
        </w:rPr>
      </w:pPr>
      <w:r>
        <w:rPr>
          <w:rFonts w:ascii="Times New Roman" w:cs="Times New Roman" w:eastAsia="Times New Roman" w:hAnsi="Times New Roman"/>
          <w:sz w:val="18"/>
          <w:szCs w:val="18"/>
          <w:b w:val="1"/>
          <w:bCs w:val="1"/>
          <w:color w:val="auto"/>
        </w:rPr>
        <w:t>SCHEDULE 5.15(B)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AQUA PENNSYLVANIA,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ISSUANCE LIMITATIONS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of Mortgage dated as of January 1, 1941 of Aqua Pennsylvania, Inc. as Supplemented and Amended</w:t>
      </w:r>
    </w:p>
    <w:p>
      <w:pPr>
        <w:spacing w:after="0" w:line="20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$100 million Amended and Restated Credit Agreement among Aqua Pennsylvania, Inc. and PNC Bank, National Association as Agent dated as of November 17, 2016, as amended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Aqua Pennsylvania, Inc. $40,000,000 5.95% Senior Notes dated March 31, 2006</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5.15(b)</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5783580" cy="476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528" w:right="1439" w:bottom="1440" w:gutter="0" w:footer="0" w:header="0"/>
        </w:sectPr>
      </w:pPr>
    </w:p>
    <w:bookmarkStart w:id="359" w:name="page360"/>
    <w:bookmarkEnd w:id="359"/>
    <w:p>
      <w:pPr>
        <w:jc w:val="center"/>
        <w:spacing w:after="0"/>
        <w:rPr>
          <w:sz w:val="20"/>
          <w:szCs w:val="20"/>
          <w:color w:val="auto"/>
        </w:rPr>
      </w:pPr>
      <w:r>
        <w:rPr>
          <w:rFonts w:ascii="Times New Roman" w:cs="Times New Roman" w:eastAsia="Times New Roman" w:hAnsi="Times New Roman"/>
          <w:sz w:val="18"/>
          <w:szCs w:val="18"/>
          <w:b w:val="1"/>
          <w:bCs w:val="1"/>
          <w:color w:val="auto"/>
        </w:rPr>
        <w:t>FORM OF SUPPLEMENT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 SIXTY-THIRD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48260</wp:posOffset>
            </wp:positionV>
            <wp:extent cx="5783580" cy="476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360" w:name="page361"/>
    <w:bookmarkEnd w:id="3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OPINION OF GENERAL COUNSEL</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COMPANY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4.4(a)</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48260</wp:posOffset>
            </wp:positionV>
            <wp:extent cx="5783580" cy="476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361" w:name="page362"/>
    <w:bookmarkEnd w:id="361"/>
    <w:p>
      <w:pPr>
        <w:jc w:val="center"/>
        <w:spacing w:after="0"/>
        <w:rPr>
          <w:sz w:val="20"/>
          <w:szCs w:val="20"/>
          <w:color w:val="auto"/>
        </w:rPr>
      </w:pPr>
      <w:r>
        <w:rPr>
          <w:rFonts w:ascii="Times New Roman" w:cs="Times New Roman" w:eastAsia="Times New Roman" w:hAnsi="Times New Roman"/>
          <w:sz w:val="18"/>
          <w:szCs w:val="18"/>
          <w:b w:val="1"/>
          <w:bCs w:val="1"/>
          <w:color w:val="auto"/>
        </w:rPr>
        <w:t>FORM OF OPINION OF SPECIAL COUNSEL</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COMPANY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4.4(b)</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48260</wp:posOffset>
            </wp:positionV>
            <wp:extent cx="5783580" cy="476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362" w:name="page363"/>
    <w:bookmarkEnd w:id="362"/>
    <w:p>
      <w:pPr>
        <w:jc w:val="center"/>
        <w:spacing w:after="0"/>
        <w:rPr>
          <w:sz w:val="20"/>
          <w:szCs w:val="20"/>
          <w:color w:val="auto"/>
        </w:rPr>
      </w:pPr>
      <w:r>
        <w:rPr>
          <w:rFonts w:ascii="Times New Roman" w:cs="Times New Roman" w:eastAsia="Times New Roman" w:hAnsi="Times New Roman"/>
          <w:sz w:val="18"/>
          <w:szCs w:val="18"/>
          <w:b w:val="1"/>
          <w:bCs w:val="1"/>
          <w:color w:val="auto"/>
        </w:rPr>
        <w:t>FORM OF OPINION OF SPECIAL COUNSEL</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PURCHASERS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[DELIVERED TO PURCHASERS ONLY]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4.4(c)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48260</wp:posOffset>
            </wp:positionV>
            <wp:extent cx="5783580" cy="476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363" w:name="page364"/>
    <w:bookmarkEnd w:id="363"/>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398"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Reference is hereby made to the Bond Purchase Agreement dated as of May 29, 2025 (as amended, supplemented or otherwise modified from time to time, the </w:t>
      </w:r>
      <w:r>
        <w:rPr>
          <w:rFonts w:ascii="Times New Roman" w:cs="Times New Roman" w:eastAsia="Times New Roman" w:hAnsi="Times New Roman"/>
          <w:sz w:val="18"/>
          <w:szCs w:val="18"/>
          <w:i w:val="1"/>
          <w:iCs w:val="1"/>
          <w:color w:val="auto"/>
        </w:rPr>
        <w:t>“Bond Purchase Agreement”</w:t>
      </w:r>
      <w:r>
        <w:rPr>
          <w:rFonts w:ascii="Times New Roman" w:cs="Times New Roman" w:eastAsia="Times New Roman" w:hAnsi="Times New Roman"/>
          <w:sz w:val="18"/>
          <w:szCs w:val="18"/>
          <w:color w:val="auto"/>
        </w:rPr>
        <w:t xml:space="preserve">), among Aqua Pennsylvania, Inc., a corporation organized under the laws of the Commonwealth of Pennsylvania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the Purchasers that are signatories thereto.</w:t>
      </w:r>
    </w:p>
    <w:p>
      <w:pPr>
        <w:spacing w:after="0" w:line="48"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Unless otherwise defined herein, capitalized terms defined in the Bond Purchase Agreement and used herein have the meanings given to them in the Bond Purchase Agreement.</w:t>
      </w:r>
    </w:p>
    <w:p>
      <w:pPr>
        <w:spacing w:after="0" w:line="25" w:lineRule="exact"/>
        <w:rPr>
          <w:sz w:val="20"/>
          <w:szCs w:val="20"/>
          <w:color w:val="auto"/>
        </w:rPr>
      </w:pPr>
    </w:p>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Pursuant to the provisions of Section 12.4 (Tax Withholding) of the Bond Purchase Agreement, the undersigned hereby certifies that:</w:t>
      </w:r>
    </w:p>
    <w:p>
      <w:pPr>
        <w:spacing w:after="0" w:line="25" w:lineRule="exact"/>
        <w:rPr>
          <w:sz w:val="20"/>
          <w:szCs w:val="20"/>
          <w:color w:val="auto"/>
        </w:rPr>
      </w:pPr>
    </w:p>
    <w:p>
      <w:pPr>
        <w:ind w:left="1120" w:hanging="564"/>
        <w:spacing w:after="0"/>
        <w:tabs>
          <w:tab w:leader="none" w:pos="11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sole record and beneficial owner of the Bonds in respect of which it is providing this certificate;</w:t>
      </w:r>
    </w:p>
    <w:p>
      <w:pPr>
        <w:spacing w:after="0" w:line="93" w:lineRule="exact"/>
        <w:rPr>
          <w:rFonts w:ascii="Times New Roman" w:cs="Times New Roman" w:eastAsia="Times New Roman" w:hAnsi="Times New Roman"/>
          <w:sz w:val="18"/>
          <w:szCs w:val="18"/>
          <w:color w:val="auto"/>
        </w:rPr>
      </w:pPr>
    </w:p>
    <w:p>
      <w:pPr>
        <w:ind w:left="1100" w:hanging="544"/>
        <w:spacing w:after="0"/>
        <w:tabs>
          <w:tab w:leader="none" w:pos="11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bank within the meaning of Section 881(c)(3)(A) of the Code;</w:t>
      </w:r>
    </w:p>
    <w:p>
      <w:pPr>
        <w:spacing w:after="0" w:line="93" w:lineRule="exact"/>
        <w:rPr>
          <w:rFonts w:ascii="Times New Roman" w:cs="Times New Roman" w:eastAsia="Times New Roman" w:hAnsi="Times New Roman"/>
          <w:sz w:val="18"/>
          <w:szCs w:val="18"/>
          <w:color w:val="auto"/>
        </w:rPr>
      </w:pPr>
    </w:p>
    <w:p>
      <w:pPr>
        <w:ind w:left="1120" w:hanging="564"/>
        <w:spacing w:after="0" w:line="280" w:lineRule="auto"/>
        <w:tabs>
          <w:tab w:leader="none" w:pos="11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the Company within the meaning of Section 871(h)(3)(B) of the Code; and</w:t>
      </w:r>
    </w:p>
    <w:p>
      <w:pPr>
        <w:spacing w:after="0" w:line="25" w:lineRule="exact"/>
        <w:rPr>
          <w:rFonts w:ascii="Times New Roman" w:cs="Times New Roman" w:eastAsia="Times New Roman" w:hAnsi="Times New Roman"/>
          <w:sz w:val="18"/>
          <w:szCs w:val="18"/>
          <w:color w:val="auto"/>
        </w:rPr>
      </w:pPr>
    </w:p>
    <w:p>
      <w:pPr>
        <w:ind w:left="1120" w:hanging="564"/>
        <w:spacing w:after="0" w:line="280" w:lineRule="auto"/>
        <w:tabs>
          <w:tab w:leader="none" w:pos="115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controlled foreign corporation related to the Company as described in Section 881(c)(3)(C) of the Code.</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has furnished the Company with a certificate of its non-U.S. Person status on IRS W-8BEN-E.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[Purchaser Name]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___________________________________</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w:t>
      </w:r>
    </w:p>
    <w:p>
      <w:pPr>
        <w:ind w:left="100"/>
        <w:spacing w:after="0"/>
        <w:rPr>
          <w:sz w:val="20"/>
          <w:szCs w:val="20"/>
          <w:color w:val="auto"/>
        </w:rPr>
      </w:pPr>
      <w:r>
        <w:rPr>
          <w:rFonts w:ascii="Times New Roman" w:cs="Times New Roman" w:eastAsia="Times New Roman" w:hAnsi="Times New Roman"/>
          <w:sz w:val="18"/>
          <w:szCs w:val="18"/>
          <w:color w:val="auto"/>
        </w:rPr>
        <w:t>Title: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20[__]</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12.4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5783580" cy="476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83580" cy="47625"/>
                    </a:xfrm>
                    <a:prstGeom prst="rect">
                      <a:avLst/>
                    </a:prstGeom>
                    <a:noFill/>
                  </pic:spPr>
                </pic:pic>
              </a:graphicData>
            </a:graphic>
          </wp:anchor>
        </w:drawing>
      </w:r>
    </w:p>
    <w:p>
      <w:pPr>
        <w:sectPr>
          <w:pgSz w:w="11900" w:h="16838" w:orient="portrait"/>
          <w:cols w:equalWidth="0" w:num="1">
            <w:col w:w="9040"/>
          </w:cols>
          <w:pgMar w:left="1420" w:top="324" w:right="1439" w:bottom="1440" w:gutter="0" w:footer="0" w:header="0"/>
        </w:sectPr>
      </w:pPr>
    </w:p>
    <w:bookmarkStart w:id="364" w:name="page365"/>
    <w:bookmarkEnd w:id="364"/>
    <w:p>
      <w:pPr>
        <w:ind w:left="92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537845</wp:posOffset>
            </wp:positionH>
            <wp:positionV relativeFrom="page">
              <wp:posOffset>4748530</wp:posOffset>
            </wp:positionV>
            <wp:extent cx="6487795" cy="476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487795" cy="47625"/>
                    </a:xfrm>
                    <a:prstGeom prst="rect">
                      <a:avLst/>
                    </a:prstGeom>
                    <a:noFill/>
                  </pic:spPr>
                </pic:pic>
              </a:graphicData>
            </a:graphic>
          </wp:anchor>
        </w:drawing>
        <w:t>Exhibit 31.1</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CERTIFICATION OF CHIEF EXECUTIVE OFFICER, PURSUANT TO RULE 13A-14(A) UNDER THE SECURITIES AND EXCHANGE ACT</w:t>
      </w:r>
    </w:p>
    <w:p>
      <w:pPr>
        <w:jc w:val="center"/>
        <w:ind w:right="20"/>
        <w:spacing w:after="0"/>
        <w:rPr>
          <w:sz w:val="20"/>
          <w:szCs w:val="20"/>
          <w:color w:val="auto"/>
        </w:rPr>
      </w:pPr>
      <w:r>
        <w:rPr>
          <w:rFonts w:ascii="Times New Roman" w:cs="Times New Roman" w:eastAsia="Times New Roman" w:hAnsi="Times New Roman"/>
          <w:sz w:val="17"/>
          <w:szCs w:val="17"/>
          <w:color w:val="auto"/>
        </w:rPr>
        <w:t>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H. Franklin, certify that:</w:t>
      </w:r>
    </w:p>
    <w:p>
      <w:pPr>
        <w:spacing w:after="0" w:line="147" w:lineRule="exact"/>
        <w:rPr>
          <w:sz w:val="20"/>
          <w:szCs w:val="20"/>
          <w:color w:val="auto"/>
        </w:rPr>
      </w:pPr>
    </w:p>
    <w:p>
      <w:pPr>
        <w:ind w:left="280" w:hanging="273"/>
        <w:spacing w:after="0"/>
        <w:tabs>
          <w:tab w:leader="none" w:pos="28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Essential Utilities, Inc.;</w:t>
      </w:r>
    </w:p>
    <w:p>
      <w:pPr>
        <w:jc w:val="both"/>
        <w:ind w:left="280" w:hanging="273"/>
        <w:spacing w:after="0" w:line="208" w:lineRule="auto"/>
        <w:tabs>
          <w:tab w:leader="none" w:pos="28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80" w:right="220" w:hanging="273"/>
        <w:spacing w:after="0" w:line="205" w:lineRule="auto"/>
        <w:tabs>
          <w:tab w:leader="none" w:pos="28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7"/>
          <w:szCs w:val="17"/>
          <w:color w:val="auto"/>
        </w:rPr>
      </w:pPr>
    </w:p>
    <w:p>
      <w:pPr>
        <w:ind w:left="280" w:hanging="273"/>
        <w:spacing w:after="0" w:line="208" w:lineRule="auto"/>
        <w:tabs>
          <w:tab w:leader="none" w:pos="28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60" w:right="140" w:hanging="276"/>
        <w:spacing w:after="0" w:line="208" w:lineRule="auto"/>
        <w:tabs>
          <w:tab w:leader="none" w:pos="560"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60" w:right="260" w:hanging="276"/>
        <w:spacing w:after="0" w:line="208" w:lineRule="auto"/>
        <w:tabs>
          <w:tab w:leader="none" w:pos="560"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560" w:right="420" w:hanging="276"/>
        <w:spacing w:after="0" w:line="218" w:lineRule="auto"/>
        <w:tabs>
          <w:tab w:leader="none" w:pos="560" w:val="left"/>
        </w:tabs>
        <w:numPr>
          <w:ilvl w:val="1"/>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60" w:right="140" w:hanging="276"/>
        <w:spacing w:after="0" w:line="208" w:lineRule="auto"/>
        <w:tabs>
          <w:tab w:leader="none" w:pos="560"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80" w:right="160" w:hanging="273"/>
        <w:spacing w:after="0" w:line="205" w:lineRule="auto"/>
        <w:tabs>
          <w:tab w:leader="none" w:pos="28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7"/>
          <w:szCs w:val="17"/>
          <w:color w:val="auto"/>
        </w:rPr>
      </w:pPr>
    </w:p>
    <w:p>
      <w:pPr>
        <w:ind w:left="560" w:right="660" w:hanging="276"/>
        <w:spacing w:after="0" w:line="205" w:lineRule="auto"/>
        <w:tabs>
          <w:tab w:leader="none" w:pos="560"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7"/>
          <w:szCs w:val="17"/>
          <w:color w:val="auto"/>
        </w:rPr>
      </w:pPr>
    </w:p>
    <w:p>
      <w:pPr>
        <w:ind w:left="560" w:right="380" w:hanging="276"/>
        <w:spacing w:after="0" w:line="222" w:lineRule="auto"/>
        <w:tabs>
          <w:tab w:leader="none" w:pos="560"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Christopher H. Franklin</w:t>
      </w:r>
    </w:p>
    <w:p>
      <w:pPr>
        <w:ind w:left="100"/>
        <w:spacing w:after="0" w:line="184" w:lineRule="auto"/>
        <w:rPr>
          <w:sz w:val="20"/>
          <w:szCs w:val="20"/>
          <w:color w:val="auto"/>
        </w:rPr>
      </w:pPr>
      <w:r>
        <w:rPr>
          <w:rFonts w:ascii="Times New Roman" w:cs="Times New Roman" w:eastAsia="Times New Roman" w:hAnsi="Times New Roman"/>
          <w:sz w:val="17"/>
          <w:szCs w:val="17"/>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2640965"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40965" cy="7620"/>
                    </a:xfrm>
                    <a:prstGeom prst="rect">
                      <a:avLst/>
                    </a:prstGeom>
                    <a:noFill/>
                  </pic:spPr>
                </pic:pic>
              </a:graphicData>
            </a:graphic>
          </wp:anchor>
        </w:drawing>
      </w:r>
    </w:p>
    <w:p>
      <w:pPr>
        <w:ind w:left="100"/>
        <w:spacing w:after="0" w:line="184" w:lineRule="auto"/>
        <w:rPr>
          <w:sz w:val="20"/>
          <w:szCs w:val="20"/>
          <w:color w:val="auto"/>
        </w:rPr>
      </w:pPr>
      <w:r>
        <w:rPr>
          <w:rFonts w:ascii="Times New Roman" w:cs="Times New Roman" w:eastAsia="Times New Roman" w:hAnsi="Times New Roman"/>
          <w:sz w:val="17"/>
          <w:szCs w:val="17"/>
          <w:color w:val="auto"/>
        </w:rPr>
        <w:t>President and Chief Executive Officer</w:t>
      </w:r>
    </w:p>
    <w:p>
      <w:pPr>
        <w:ind w:left="100"/>
        <w:spacing w:after="0" w:line="185" w:lineRule="auto"/>
        <w:rPr>
          <w:sz w:val="20"/>
          <w:szCs w:val="20"/>
          <w:color w:val="auto"/>
        </w:rPr>
      </w:pPr>
      <w:r>
        <w:rPr>
          <w:rFonts w:ascii="Times New Roman" w:cs="Times New Roman" w:eastAsia="Times New Roman" w:hAnsi="Times New Roman"/>
          <w:sz w:val="17"/>
          <w:szCs w:val="17"/>
          <w:color w:val="auto"/>
        </w:rPr>
        <w:t>August 4, 2025</w:t>
      </w:r>
    </w:p>
    <w:p>
      <w:pPr>
        <w:sectPr>
          <w:pgSz w:w="11900" w:h="16838" w:orient="portrait"/>
          <w:cols w:equalWidth="0" w:num="1">
            <w:col w:w="10140"/>
          </w:cols>
          <w:pgMar w:left="860" w:top="70" w:right="89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 CHIEF FINANCIAL OFFICER, PURSUANT TO RULE 13A-14(A) UNDER THE SECURITIES AND EXCHANGE ACT</w:t>
      </w:r>
    </w:p>
    <w:p>
      <w:pPr>
        <w:jc w:val="center"/>
        <w:ind w:right="80"/>
        <w:spacing w:after="0"/>
        <w:rPr>
          <w:sz w:val="20"/>
          <w:szCs w:val="20"/>
          <w:color w:val="auto"/>
        </w:rPr>
      </w:pPr>
      <w:r>
        <w:rPr>
          <w:rFonts w:ascii="Times New Roman" w:cs="Times New Roman" w:eastAsia="Times New Roman" w:hAnsi="Times New Roman"/>
          <w:sz w:val="17"/>
          <w:szCs w:val="17"/>
          <w:color w:val="auto"/>
        </w:rPr>
        <w:t>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J. Schuller, certify that:</w:t>
      </w:r>
    </w:p>
    <w:p>
      <w:pPr>
        <w:spacing w:after="0" w:line="147" w:lineRule="exact"/>
        <w:rPr>
          <w:sz w:val="20"/>
          <w:szCs w:val="20"/>
          <w:color w:val="auto"/>
        </w:rPr>
      </w:pPr>
    </w:p>
    <w:p>
      <w:pPr>
        <w:ind w:left="280" w:hanging="273"/>
        <w:spacing w:after="0"/>
        <w:tabs>
          <w:tab w:leader="none" w:pos="28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Essential Utilities, Inc.;</w:t>
      </w:r>
    </w:p>
    <w:p>
      <w:pPr>
        <w:jc w:val="both"/>
        <w:ind w:left="280" w:right="20" w:hanging="273"/>
        <w:spacing w:after="0" w:line="208" w:lineRule="auto"/>
        <w:tabs>
          <w:tab w:leader="none" w:pos="28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80" w:right="240" w:hanging="273"/>
        <w:spacing w:after="0" w:line="205" w:lineRule="auto"/>
        <w:tabs>
          <w:tab w:leader="none" w:pos="28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7"/>
          <w:szCs w:val="17"/>
          <w:color w:val="auto"/>
        </w:rPr>
      </w:pPr>
    </w:p>
    <w:p>
      <w:pPr>
        <w:ind w:left="280" w:right="20" w:hanging="273"/>
        <w:spacing w:after="0" w:line="208" w:lineRule="auto"/>
        <w:tabs>
          <w:tab w:leader="none" w:pos="28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60" w:right="160" w:hanging="276"/>
        <w:spacing w:after="0" w:line="208" w:lineRule="auto"/>
        <w:tabs>
          <w:tab w:leader="none" w:pos="560"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60" w:right="280" w:hanging="276"/>
        <w:spacing w:after="0" w:line="208" w:lineRule="auto"/>
        <w:tabs>
          <w:tab w:leader="none" w:pos="560"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560" w:right="440" w:hanging="276"/>
        <w:spacing w:after="0" w:line="218" w:lineRule="auto"/>
        <w:tabs>
          <w:tab w:leader="none" w:pos="560" w:val="left"/>
        </w:tabs>
        <w:numPr>
          <w:ilvl w:val="1"/>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60" w:right="160" w:hanging="276"/>
        <w:spacing w:after="0" w:line="208" w:lineRule="auto"/>
        <w:tabs>
          <w:tab w:leader="none" w:pos="560"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80" w:right="180" w:hanging="273"/>
        <w:spacing w:after="0" w:line="205" w:lineRule="auto"/>
        <w:tabs>
          <w:tab w:leader="none" w:pos="28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7"/>
          <w:szCs w:val="17"/>
          <w:color w:val="auto"/>
        </w:rPr>
      </w:pPr>
    </w:p>
    <w:p>
      <w:pPr>
        <w:ind w:left="560" w:right="680" w:hanging="276"/>
        <w:spacing w:after="0" w:line="205" w:lineRule="auto"/>
        <w:tabs>
          <w:tab w:leader="none" w:pos="560"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7"/>
          <w:szCs w:val="17"/>
          <w:color w:val="auto"/>
        </w:rPr>
      </w:pPr>
    </w:p>
    <w:p>
      <w:pPr>
        <w:ind w:left="560" w:right="400" w:hanging="276"/>
        <w:spacing w:after="0" w:line="222" w:lineRule="auto"/>
        <w:tabs>
          <w:tab w:leader="none" w:pos="560"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Daniel J. Schuller</w:t>
      </w:r>
    </w:p>
    <w:p>
      <w:pPr>
        <w:ind w:left="100"/>
        <w:spacing w:after="0" w:line="200" w:lineRule="auto"/>
        <w:rPr>
          <w:sz w:val="20"/>
          <w:szCs w:val="20"/>
          <w:color w:val="auto"/>
        </w:rPr>
      </w:pPr>
      <w:r>
        <w:rPr>
          <w:rFonts w:ascii="Times New Roman" w:cs="Times New Roman" w:eastAsia="Times New Roman" w:hAnsi="Times New Roman"/>
          <w:sz w:val="18"/>
          <w:szCs w:val="18"/>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283146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31465" cy="7620"/>
                    </a:xfrm>
                    <a:prstGeom prst="rect">
                      <a:avLst/>
                    </a:prstGeom>
                    <a:noFill/>
                  </pic:spPr>
                </pic:pic>
              </a:graphicData>
            </a:graphic>
          </wp:anchor>
        </w:drawing>
      </w:r>
    </w:p>
    <w:p>
      <w:pPr>
        <w:ind w:left="100"/>
        <w:spacing w:after="0" w:line="215"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100"/>
        <w:spacing w:after="0"/>
        <w:rPr>
          <w:sz w:val="20"/>
          <w:szCs w:val="20"/>
          <w:color w:val="auto"/>
        </w:rPr>
      </w:pPr>
      <w:r>
        <w:rPr>
          <w:rFonts w:ascii="Times New Roman" w:cs="Times New Roman" w:eastAsia="Times New Roman" w:hAnsi="Times New Roman"/>
          <w:sz w:val="18"/>
          <w:szCs w:val="18"/>
          <w:color w:val="auto"/>
        </w:rPr>
        <w:t>August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217170</wp:posOffset>
            </wp:positionV>
            <wp:extent cx="6487795" cy="476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487795" cy="47625"/>
                    </a:xfrm>
                    <a:prstGeom prst="rect">
                      <a:avLst/>
                    </a:prstGeom>
                    <a:noFill/>
                  </pic:spPr>
                </pic:pic>
              </a:graphicData>
            </a:graphic>
          </wp:anchor>
        </w:drawing>
      </w:r>
    </w:p>
    <w:p>
      <w:pPr>
        <w:sectPr>
          <w:pgSz w:w="11900" w:h="16838" w:orient="portrait"/>
          <w:cols w:equalWidth="0" w:num="1">
            <w:col w:w="10160"/>
          </w:cols>
          <w:pgMar w:left="860" w:top="104" w:right="879" w:bottom="1440" w:gutter="0" w:footer="0" w:header="0"/>
        </w:sectPr>
      </w:pPr>
    </w:p>
    <w:bookmarkStart w:id="366" w:name="page367"/>
    <w:bookmarkEnd w:id="366"/>
    <w:p>
      <w:pPr>
        <w:ind w:left="9200"/>
        <w:spacing w:after="0"/>
        <w:rPr>
          <w:sz w:val="20"/>
          <w:szCs w:val="20"/>
          <w:color w:val="auto"/>
        </w:rPr>
      </w:pPr>
      <w:r>
        <w:rPr>
          <w:rFonts w:ascii="Times New Roman" w:cs="Times New Roman" w:eastAsia="Times New Roman" w:hAnsi="Times New Roman"/>
          <w:sz w:val="18"/>
          <w:szCs w:val="18"/>
          <w:color w:val="auto"/>
        </w:rPr>
        <w:t>Exhibit 32.1</w:t>
      </w: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p>
      <w:pPr>
        <w:jc w:val="center"/>
        <w:ind w:right="2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0" w:lineRule="exact"/>
        <w:rPr>
          <w:sz w:val="20"/>
          <w:szCs w:val="20"/>
          <w:color w:val="auto"/>
        </w:rPr>
      </w:pPr>
    </w:p>
    <w:p>
      <w:pPr>
        <w:spacing w:after="0" w:line="312" w:lineRule="exact"/>
        <w:rPr>
          <w:sz w:val="20"/>
          <w:szCs w:val="20"/>
          <w:color w:val="auto"/>
        </w:rPr>
      </w:pPr>
    </w:p>
    <w:p>
      <w:pPr>
        <w:spacing w:after="0" w:line="197"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2025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280" w:right="20" w:hanging="273"/>
        <w:spacing w:after="0" w:line="226" w:lineRule="auto"/>
        <w:tabs>
          <w:tab w:leader="none" w:pos="2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Section 78m or Section 78o(d)); and</w:t>
      </w:r>
    </w:p>
    <w:p>
      <w:pPr>
        <w:spacing w:after="0" w:line="60" w:lineRule="exact"/>
        <w:rPr>
          <w:rFonts w:ascii="Times New Roman" w:cs="Times New Roman" w:eastAsia="Times New Roman" w:hAnsi="Times New Roman"/>
          <w:sz w:val="18"/>
          <w:szCs w:val="18"/>
          <w:color w:val="auto"/>
        </w:rPr>
      </w:pPr>
    </w:p>
    <w:p>
      <w:pPr>
        <w:ind w:left="280" w:right="200" w:hanging="273"/>
        <w:spacing w:after="0" w:line="219" w:lineRule="auto"/>
        <w:tabs>
          <w:tab w:leader="none" w:pos="2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Christopher H. Franklin</w:t>
      </w:r>
    </w:p>
    <w:p>
      <w:pPr>
        <w:ind w:left="100"/>
        <w:spacing w:after="0" w:line="184" w:lineRule="auto"/>
        <w:rPr>
          <w:sz w:val="20"/>
          <w:szCs w:val="20"/>
          <w:color w:val="auto"/>
        </w:rPr>
      </w:pPr>
      <w:r>
        <w:rPr>
          <w:rFonts w:ascii="Times New Roman" w:cs="Times New Roman" w:eastAsia="Times New Roman" w:hAnsi="Times New Roman"/>
          <w:sz w:val="17"/>
          <w:szCs w:val="17"/>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253047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30475" cy="7620"/>
                    </a:xfrm>
                    <a:prstGeom prst="rect">
                      <a:avLst/>
                    </a:prstGeom>
                    <a:noFill/>
                  </pic:spPr>
                </pic:pic>
              </a:graphicData>
            </a:graphic>
          </wp:anchor>
        </w:drawing>
      </w:r>
    </w:p>
    <w:p>
      <w:pPr>
        <w:ind w:left="100"/>
        <w:spacing w:after="0" w:line="184"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August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6487795" cy="476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487795" cy="47625"/>
                    </a:xfrm>
                    <a:prstGeom prst="rect">
                      <a:avLst/>
                    </a:prstGeom>
                    <a:noFill/>
                  </pic:spPr>
                </pic:pic>
              </a:graphicData>
            </a:graphic>
          </wp:anchor>
        </w:drawing>
      </w:r>
    </w:p>
    <w:p>
      <w:pPr>
        <w:sectPr>
          <w:pgSz w:w="11900" w:h="16838" w:orient="portrait"/>
          <w:cols w:equalWidth="0" w:num="1">
            <w:col w:w="10140"/>
          </w:cols>
          <w:pgMar w:left="860" w:top="81" w:right="899" w:bottom="1440" w:gutter="0" w:footer="0" w:header="0"/>
        </w:sectPr>
      </w:pPr>
    </w:p>
    <w:bookmarkStart w:id="367" w:name="page368"/>
    <w:bookmarkEnd w:id="367"/>
    <w:p>
      <w:pPr>
        <w:ind w:left="9200"/>
        <w:spacing w:after="0"/>
        <w:rPr>
          <w:sz w:val="20"/>
          <w:szCs w:val="20"/>
          <w:color w:val="auto"/>
        </w:rPr>
      </w:pPr>
      <w:r>
        <w:rPr>
          <w:rFonts w:ascii="Times New Roman" w:cs="Times New Roman" w:eastAsia="Times New Roman" w:hAnsi="Times New Roman"/>
          <w:sz w:val="18"/>
          <w:szCs w:val="18"/>
          <w:color w:val="auto"/>
        </w:rPr>
        <w:t>Exhibit 32.2</w:t>
      </w: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p>
      <w:pPr>
        <w:jc w:val="center"/>
        <w:ind w:right="2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0" w:lineRule="exact"/>
        <w:rPr>
          <w:sz w:val="20"/>
          <w:szCs w:val="20"/>
          <w:color w:val="auto"/>
        </w:rPr>
      </w:pPr>
    </w:p>
    <w:p>
      <w:pPr>
        <w:spacing w:after="0" w:line="312" w:lineRule="exact"/>
        <w:rPr>
          <w:sz w:val="20"/>
          <w:szCs w:val="20"/>
          <w:color w:val="auto"/>
        </w:rPr>
      </w:pPr>
    </w:p>
    <w:p>
      <w:pPr>
        <w:spacing w:after="0" w:line="197"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2025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280" w:right="20" w:hanging="273"/>
        <w:spacing w:after="0" w:line="226" w:lineRule="auto"/>
        <w:tabs>
          <w:tab w:leader="none" w:pos="2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Section 78m or Section 78o(d)); and</w:t>
      </w:r>
    </w:p>
    <w:p>
      <w:pPr>
        <w:spacing w:after="0" w:line="60" w:lineRule="exact"/>
        <w:rPr>
          <w:rFonts w:ascii="Times New Roman" w:cs="Times New Roman" w:eastAsia="Times New Roman" w:hAnsi="Times New Roman"/>
          <w:sz w:val="18"/>
          <w:szCs w:val="18"/>
          <w:color w:val="auto"/>
        </w:rPr>
      </w:pPr>
    </w:p>
    <w:p>
      <w:pPr>
        <w:ind w:left="280" w:right="200" w:hanging="273"/>
        <w:spacing w:after="0" w:line="219" w:lineRule="auto"/>
        <w:tabs>
          <w:tab w:leader="none" w:pos="2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Daniel J. Schuller</w:t>
      </w:r>
    </w:p>
    <w:p>
      <w:pPr>
        <w:ind w:left="100"/>
        <w:spacing w:after="0" w:line="200" w:lineRule="auto"/>
        <w:rPr>
          <w:sz w:val="20"/>
          <w:szCs w:val="20"/>
          <w:color w:val="auto"/>
        </w:rPr>
      </w:pPr>
      <w:r>
        <w:rPr>
          <w:rFonts w:ascii="Times New Roman" w:cs="Times New Roman" w:eastAsia="Times New Roman" w:hAnsi="Times New Roman"/>
          <w:sz w:val="18"/>
          <w:szCs w:val="18"/>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291211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912110" cy="7620"/>
                    </a:xfrm>
                    <a:prstGeom prst="rect">
                      <a:avLst/>
                    </a:prstGeom>
                    <a:noFill/>
                  </pic:spPr>
                </pic:pic>
              </a:graphicData>
            </a:graphic>
          </wp:anchor>
        </w:drawing>
      </w:r>
    </w:p>
    <w:p>
      <w:pPr>
        <w:ind w:left="100"/>
        <w:spacing w:after="0" w:line="215"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100"/>
        <w:spacing w:after="0"/>
        <w:rPr>
          <w:sz w:val="20"/>
          <w:szCs w:val="20"/>
          <w:color w:val="auto"/>
        </w:rPr>
      </w:pPr>
      <w:r>
        <w:rPr>
          <w:rFonts w:ascii="Times New Roman" w:cs="Times New Roman" w:eastAsia="Times New Roman" w:hAnsi="Times New Roman"/>
          <w:sz w:val="18"/>
          <w:szCs w:val="18"/>
          <w:color w:val="auto"/>
        </w:rPr>
        <w:t>August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217170</wp:posOffset>
            </wp:positionV>
            <wp:extent cx="6487795" cy="476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487795" cy="47625"/>
                    </a:xfrm>
                    <a:prstGeom prst="rect">
                      <a:avLst/>
                    </a:prstGeom>
                    <a:noFill/>
                  </pic:spPr>
                </pic:pic>
              </a:graphicData>
            </a:graphic>
          </wp:anchor>
        </w:drawing>
      </w:r>
    </w:p>
    <w:sectPr>
      <w:pgSz w:w="11900" w:h="16838" w:orient="portrait"/>
      <w:cols w:equalWidth="0" w:num="1">
        <w:col w:w="10140"/>
      </w:cols>
      <w:pgMar w:left="860" w:top="8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32AB86"/>
    <w:multiLevelType w:val="hybridMultilevel"/>
    <w:lvl w:ilvl="0">
      <w:lvlJc w:val="left"/>
      <w:lvlText w:val="£"/>
      <w:numFmt w:val="bullet"/>
      <w:start w:val="1"/>
    </w:lvl>
  </w:abstractNum>
  <w:abstractNum w:abstractNumId="1">
    <w:nsid w:val="3F07ACC3"/>
    <w:multiLevelType w:val="hybridMultilevel"/>
    <w:lvl w:ilvl="0">
      <w:lvlJc w:val="left"/>
      <w:lvlText w:val="%1)"/>
      <w:numFmt w:val="lowerRoman"/>
      <w:start w:val="2"/>
    </w:lvl>
  </w:abstractNum>
  <w:abstractNum w:abstractNumId="2">
    <w:nsid w:val="6B47F63E"/>
    <w:multiLevelType w:val="hybridMultilevel"/>
    <w:lvl w:ilvl="0">
      <w:lvlJc w:val="left"/>
      <w:lvlText w:val="(%1)"/>
      <w:numFmt w:val="lowerLetter"/>
      <w:start w:val="1"/>
    </w:lvl>
  </w:abstractNum>
  <w:abstractNum w:abstractNumId="3">
    <w:nsid w:val="5CB44A05"/>
    <w:multiLevelType w:val="hybridMultilevel"/>
    <w:lvl w:ilvl="0">
      <w:lvlJc w:val="left"/>
      <w:lvlText w:val=" "/>
      <w:numFmt w:val="bullet"/>
      <w:start w:val="1"/>
    </w:lvl>
  </w:abstractNum>
  <w:abstractNum w:abstractNumId="4">
    <w:nsid w:val="16CF80F1"/>
    <w:multiLevelType w:val="hybridMultilevel"/>
    <w:lvl w:ilvl="0">
      <w:lvlJc w:val="left"/>
      <w:lvlText w:val=" "/>
      <w:numFmt w:val="bullet"/>
      <w:start w:val="1"/>
    </w:lvl>
  </w:abstractNum>
  <w:abstractNum w:abstractNumId="5">
    <w:nsid w:val="1C695DEC"/>
    <w:multiLevelType w:val="hybridMultilevel"/>
    <w:lvl w:ilvl="0">
      <w:lvlJc w:val="left"/>
      <w:lvlText w:val=" "/>
      <w:numFmt w:val="bullet"/>
      <w:start w:val="1"/>
    </w:lvl>
  </w:abstractNum>
  <w:abstractNum w:abstractNumId="6">
    <w:nsid w:val="3FCFAED9"/>
    <w:multiLevelType w:val="hybridMultilevel"/>
    <w:lvl w:ilvl="0">
      <w:lvlJc w:val="left"/>
      <w:lvlText w:val=" "/>
      <w:numFmt w:val="bullet"/>
      <w:start w:val="1"/>
    </w:lvl>
  </w:abstractNum>
  <w:abstractNum w:abstractNumId="7">
    <w:nsid w:val="F856867"/>
    <w:multiLevelType w:val="hybridMultilevel"/>
    <w:lvl w:ilvl="0">
      <w:lvlJc w:val="left"/>
      <w:lvlText w:val=" "/>
      <w:numFmt w:val="bullet"/>
      <w:start w:val="1"/>
    </w:lvl>
  </w:abstractNum>
  <w:abstractNum w:abstractNumId="8">
    <w:nsid w:val="11B1CC33"/>
    <w:multiLevelType w:val="hybridMultilevel"/>
    <w:lvl w:ilvl="0">
      <w:lvlJc w:val="left"/>
      <w:lvlText w:val=" "/>
      <w:numFmt w:val="bullet"/>
      <w:start w:val="1"/>
    </w:lvl>
  </w:abstractNum>
  <w:abstractNum w:abstractNumId="9">
    <w:nsid w:val="2E22FBB7"/>
    <w:multiLevelType w:val="hybridMultilevel"/>
    <w:lvl w:ilvl="0">
      <w:lvlJc w:val="left"/>
      <w:lvlText w:val=" "/>
      <w:numFmt w:val="bullet"/>
      <w:start w:val="1"/>
    </w:lvl>
  </w:abstractNum>
  <w:abstractNum w:abstractNumId="10">
    <w:nsid w:val="29934699"/>
    <w:multiLevelType w:val="hybridMultilevel"/>
    <w:lvl w:ilvl="0">
      <w:lvlJc w:val="left"/>
      <w:lvlText w:val=" "/>
      <w:numFmt w:val="bullet"/>
      <w:start w:val="1"/>
    </w:lvl>
  </w:abstractNum>
  <w:abstractNum w:abstractNumId="11">
    <w:nsid w:val="77485850"/>
    <w:multiLevelType w:val="hybridMultilevel"/>
    <w:lvl w:ilvl="0">
      <w:lvlJc w:val="left"/>
      <w:lvlText w:val=" "/>
      <w:numFmt w:val="bullet"/>
      <w:start w:val="1"/>
    </w:lvl>
  </w:abstractNum>
  <w:abstractNum w:abstractNumId="12">
    <w:nsid w:val="744939A3"/>
    <w:multiLevelType w:val="hybridMultilevel"/>
    <w:lvl w:ilvl="0">
      <w:lvlJc w:val="left"/>
      <w:lvlText w:val=" "/>
      <w:numFmt w:val="bullet"/>
      <w:start w:val="1"/>
    </w:lvl>
  </w:abstractNum>
  <w:abstractNum w:abstractNumId="13">
    <w:nsid w:val="4FA0D2E3"/>
    <w:multiLevelType w:val="hybridMultilevel"/>
    <w:lvl w:ilvl="0">
      <w:lvlJc w:val="left"/>
      <w:lvlText w:val=" "/>
      <w:numFmt w:val="bullet"/>
      <w:start w:val="1"/>
    </w:lvl>
  </w:abstractNum>
  <w:abstractNum w:abstractNumId="14">
    <w:nsid w:val="6B1D2C14"/>
    <w:multiLevelType w:val="hybridMultilevel"/>
    <w:lvl w:ilvl="0">
      <w:lvlJc w:val="left"/>
      <w:lvlText w:val=" "/>
      <w:numFmt w:val="bullet"/>
      <w:start w:val="1"/>
    </w:lvl>
  </w:abstractNum>
  <w:abstractNum w:abstractNumId="15">
    <w:nsid w:val="68B867D3"/>
    <w:multiLevelType w:val="hybridMultilevel"/>
    <w:lvl w:ilvl="0">
      <w:lvlJc w:val="left"/>
      <w:lvlText w:val="(%1)"/>
      <w:numFmt w:val="lowerLetter"/>
      <w:start w:val="1"/>
    </w:lvl>
  </w:abstractNum>
  <w:abstractNum w:abstractNumId="16">
    <w:nsid w:val="3F7F5DD9"/>
    <w:multiLevelType w:val="hybridMultilevel"/>
    <w:lvl w:ilvl="0">
      <w:lvlJc w:val="left"/>
      <w:lvlText w:val="(%1)"/>
      <w:numFmt w:val="lowerLetter"/>
      <w:start w:val="2"/>
    </w:lvl>
  </w:abstractNum>
  <w:abstractNum w:abstractNumId="17">
    <w:nsid w:val="2AE05A34"/>
    <w:multiLevelType w:val="hybridMultilevel"/>
    <w:lvl w:ilvl="0">
      <w:lvlJc w:val="left"/>
      <w:lvlText w:val="%1."/>
      <w:numFmt w:val="lowerLetter"/>
      <w:start w:val="1"/>
    </w:lvl>
  </w:abstractNum>
  <w:abstractNum w:abstractNumId="18">
    <w:nsid w:val="32794FF7"/>
    <w:multiLevelType w:val="hybridMultilevel"/>
    <w:lvl w:ilvl="0">
      <w:lvlJc w:val="left"/>
      <w:lvlText w:val="%1."/>
      <w:numFmt w:val="upperLetter"/>
      <w:start w:val="1"/>
    </w:lvl>
  </w:abstractNum>
  <w:abstractNum w:abstractNumId="19">
    <w:nsid w:val="5454945E"/>
    <w:multiLevelType w:val="hybridMultilevel"/>
    <w:lvl w:ilvl="0">
      <w:lvlJc w:val="left"/>
      <w:lvlText w:val="(%1)"/>
      <w:numFmt w:val="lowerLetter"/>
      <w:start w:val="2"/>
    </w:lvl>
  </w:abstractNum>
  <w:abstractNum w:abstractNumId="20">
    <w:nsid w:val="4DEFDFA0"/>
    <w:multiLevelType w:val="hybridMultilevel"/>
    <w:lvl w:ilvl="0">
      <w:lvlJc w:val="left"/>
      <w:lvlText w:val="(%1)"/>
      <w:numFmt w:val="lowerLetter"/>
      <w:start w:val="2"/>
    </w:lvl>
  </w:abstractNum>
  <w:abstractNum w:abstractNumId="21">
    <w:nsid w:val="2123D5F2"/>
    <w:multiLevelType w:val="hybridMultilevel"/>
    <w:lvl w:ilvl="0">
      <w:lvlJc w:val="left"/>
      <w:lvlText w:val="(%1)"/>
      <w:numFmt w:val="lowerLetter"/>
      <w:start w:val="1"/>
    </w:lvl>
  </w:abstractNum>
  <w:abstractNum w:abstractNumId="22">
    <w:nsid w:val="135B8110"/>
    <w:multiLevelType w:val="hybridMultilevel"/>
    <w:lvl w:ilvl="0">
      <w:lvlJc w:val="left"/>
      <w:lvlText w:val="(%1)"/>
      <w:numFmt w:val="lowerLetter"/>
      <w:start w:val="2"/>
    </w:lvl>
    <w:lvl w:ilvl="1">
      <w:lvlJc w:val="left"/>
      <w:lvlText w:val="(%2)"/>
      <w:numFmt w:val="lowerRoman"/>
      <w:start w:val="1"/>
    </w:lvl>
  </w:abstractNum>
  <w:abstractNum w:abstractNumId="23">
    <w:nsid w:val="94927A8"/>
    <w:multiLevelType w:val="hybridMultilevel"/>
    <w:lvl w:ilvl="0">
      <w:lvlJc w:val="left"/>
      <w:lvlText w:val="(%1)"/>
      <w:numFmt w:val="lowerLetter"/>
      <w:start w:val="5"/>
    </w:lvl>
  </w:abstractNum>
  <w:abstractNum w:abstractNumId="24">
    <w:nsid w:val="DCDF8F6"/>
    <w:multiLevelType w:val="hybridMultilevel"/>
    <w:lvl w:ilvl="0">
      <w:lvlJc w:val="left"/>
      <w:lvlText w:val="(%1)"/>
      <w:numFmt w:val="lowerLetter"/>
      <w:start w:val="2"/>
    </w:lvl>
  </w:abstractNum>
  <w:abstractNum w:abstractNumId="25">
    <w:nsid w:val="52D7B105"/>
    <w:multiLevelType w:val="hybridMultilevel"/>
    <w:lvl w:ilvl="0">
      <w:lvlJc w:val="left"/>
      <w:lvlText w:val="(%1)"/>
      <w:numFmt w:val="lowerRoman"/>
      <w:start w:val="1"/>
    </w:lvl>
  </w:abstractNum>
  <w:abstractNum w:abstractNumId="26">
    <w:nsid w:val="2E8A6394"/>
    <w:multiLevelType w:val="hybridMultilevel"/>
    <w:lvl w:ilvl="0">
      <w:lvlJc w:val="left"/>
      <w:lvlText w:val="(%1)"/>
      <w:numFmt w:val="lowerRoman"/>
      <w:start w:val="1"/>
    </w:lvl>
  </w:abstractNum>
  <w:abstractNum w:abstractNumId="27">
    <w:nsid w:val="24E60401"/>
    <w:multiLevelType w:val="hybridMultilevel"/>
    <w:lvl w:ilvl="0">
      <w:lvlJc w:val="left"/>
      <w:lvlText w:val="(%1)"/>
      <w:numFmt w:val="lowerLetter"/>
      <w:start w:val="4"/>
    </w:lvl>
  </w:abstractNum>
  <w:abstractNum w:abstractNumId="28">
    <w:nsid w:val="2A6AD9BE"/>
    <w:multiLevelType w:val="hybridMultilevel"/>
    <w:lvl w:ilvl="0">
      <w:lvlJc w:val="left"/>
      <w:lvlText w:val="(%1)"/>
      <w:numFmt w:val="lowerLetter"/>
      <w:start w:val="1"/>
    </w:lvl>
  </w:abstractNum>
  <w:abstractNum w:abstractNumId="29">
    <w:nsid w:val="BAAC1B4"/>
    <w:multiLevelType w:val="hybridMultilevel"/>
    <w:lvl w:ilvl="0">
      <w:lvlJc w:val="left"/>
      <w:lvlText w:val="(%1)"/>
      <w:numFmt w:val="lowerLetter"/>
      <w:start w:val="4"/>
    </w:lvl>
  </w:abstractNum>
  <w:abstractNum w:abstractNumId="30">
    <w:nsid w:val="36B2ACBC"/>
    <w:multiLevelType w:val="hybridMultilevel"/>
    <w:lvl w:ilvl="0">
      <w:lvlJc w:val="left"/>
      <w:lvlText w:val="(%1)"/>
      <w:numFmt w:val="lowerLetter"/>
      <w:start w:val="1"/>
    </w:lvl>
  </w:abstractNum>
  <w:abstractNum w:abstractNumId="31">
    <w:nsid w:val="779D8544"/>
    <w:multiLevelType w:val="hybridMultilevel"/>
    <w:lvl w:ilvl="0">
      <w:lvlJc w:val="left"/>
      <w:lvlText w:val="(%1)"/>
      <w:numFmt w:val="lowerLetter"/>
      <w:start w:val="2"/>
    </w:lvl>
  </w:abstractNum>
  <w:abstractNum w:abstractNumId="32">
    <w:nsid w:val="4AB26E78"/>
    <w:multiLevelType w:val="hybridMultilevel"/>
    <w:lvl w:ilvl="0">
      <w:lvlJc w:val="left"/>
      <w:lvlText w:val="(%1)"/>
      <w:numFmt w:val="lowerLetter"/>
      <w:start w:val="2"/>
    </w:lvl>
  </w:abstractNum>
  <w:abstractNum w:abstractNumId="33">
    <w:nsid w:val="21FAA2FA"/>
    <w:multiLevelType w:val="hybridMultilevel"/>
    <w:lvl w:ilvl="0">
      <w:lvlJc w:val="left"/>
      <w:lvlText w:val="(%1)"/>
      <w:numFmt w:val="lowerLetter"/>
      <w:start w:val="9"/>
    </w:lvl>
    <w:lvl w:ilvl="1">
      <w:lvlJc w:val="left"/>
      <w:lvlText w:val="%2"/>
      <w:numFmt w:val="lowerLetter"/>
      <w:start w:val="1"/>
    </w:lvl>
  </w:abstractNum>
  <w:abstractNum w:abstractNumId="34">
    <w:nsid w:val="5451CF49"/>
    <w:multiLevelType w:val="hybridMultilevel"/>
    <w:lvl w:ilvl="0">
      <w:lvlJc w:val="left"/>
      <w:lvlText w:val="(%1)"/>
      <w:numFmt w:val="lowerLetter"/>
      <w:start w:val="25"/>
    </w:lvl>
    <w:lvl w:ilvl="1">
      <w:lvlJc w:val="left"/>
      <w:lvlText w:val="(%2)"/>
      <w:numFmt w:val="lowerLetter"/>
      <w:start w:val="2"/>
    </w:lvl>
  </w:abstractNum>
  <w:abstractNum w:abstractNumId="35">
    <w:nsid w:val="6181EF69"/>
    <w:multiLevelType w:val="hybridMultilevel"/>
    <w:lvl w:ilvl="0">
      <w:lvlJc w:val="left"/>
      <w:lvlText w:val="(%1)"/>
      <w:numFmt w:val="lowerLetter"/>
      <w:start w:val="3"/>
    </w:lvl>
  </w:abstractNum>
  <w:abstractNum w:abstractNumId="36">
    <w:nsid w:val="3E6400E6"/>
    <w:multiLevelType w:val="hybridMultilevel"/>
    <w:lvl w:ilvl="0">
      <w:lvlJc w:val="left"/>
      <w:lvlText w:val="(%1)"/>
      <w:numFmt w:val="lowerLetter"/>
      <w:start w:val="2"/>
    </w:lvl>
  </w:abstractNum>
  <w:abstractNum w:abstractNumId="37">
    <w:nsid w:val="14217E23"/>
    <w:multiLevelType w:val="hybridMultilevel"/>
    <w:lvl w:ilvl="0">
      <w:lvlJc w:val="left"/>
      <w:lvlText w:val="(%1)"/>
      <w:numFmt w:val="lowerLetter"/>
      <w:start w:val="4"/>
    </w:lvl>
  </w:abstractNum>
  <w:abstractNum w:abstractNumId="38">
    <w:nsid w:val="710757D0"/>
    <w:multiLevelType w:val="hybridMultilevel"/>
    <w:lvl w:ilvl="0">
      <w:lvlJc w:val="left"/>
      <w:lvlText w:val="(%1)"/>
      <w:numFmt w:val="lowerLetter"/>
      <w:start w:val="7"/>
    </w:lvl>
  </w:abstractNum>
  <w:abstractNum w:abstractNumId="39">
    <w:nsid w:val="5015CD1A"/>
    <w:multiLevelType w:val="hybridMultilevel"/>
    <w:lvl w:ilvl="0">
      <w:lvlJc w:val="left"/>
      <w:lvlText w:val="%1"/>
      <w:numFmt w:val="lowerLetter"/>
      <w:start w:val="1"/>
    </w:lvl>
    <w:lvl w:ilvl="1">
      <w:lvlJc w:val="left"/>
      <w:lvlText w:val="(%2)"/>
      <w:numFmt w:val="lowerLetter"/>
      <w:start w:val="2"/>
    </w:lvl>
  </w:abstractNum>
  <w:abstractNum w:abstractNumId="40">
    <w:nsid w:val="424479DA"/>
    <w:multiLevelType w:val="hybridMultilevel"/>
    <w:lvl w:ilvl="0">
      <w:lvlJc w:val="left"/>
      <w:lvlText w:val="(%1)"/>
      <w:numFmt w:val="lowerLetter"/>
      <w:start w:val="9"/>
    </w:lvl>
    <w:lvl w:ilvl="1">
      <w:lvlJc w:val="left"/>
      <w:lvlText w:val="%2"/>
      <w:numFmt w:val="lowerLetter"/>
      <w:start w:val="1"/>
    </w:lvl>
  </w:abstractNum>
  <w:abstractNum w:abstractNumId="41">
    <w:nsid w:val="1A9A9E69"/>
    <w:multiLevelType w:val="hybridMultilevel"/>
    <w:lvl w:ilvl="0">
      <w:lvlJc w:val="left"/>
      <w:lvlText w:val="(%1)"/>
      <w:numFmt w:val="lowerLetter"/>
      <w:start w:val="3"/>
    </w:lvl>
  </w:abstractNum>
  <w:abstractNum w:abstractNumId="42">
    <w:nsid w:val="475E256A"/>
    <w:multiLevelType w:val="hybridMultilevel"/>
    <w:lvl w:ilvl="0">
      <w:lvlJc w:val="left"/>
      <w:lvlText w:val="(%1)"/>
      <w:numFmt w:val="lowerLetter"/>
      <w:start w:val="2"/>
    </w:lvl>
  </w:abstractNum>
  <w:abstractNum w:abstractNumId="43">
    <w:nsid w:val="368DB37E"/>
    <w:multiLevelType w:val="hybridMultilevel"/>
    <w:lvl w:ilvl="0">
      <w:lvlJc w:val="left"/>
      <w:lvlText w:val="(%1)"/>
      <w:numFmt w:val="lowerLetter"/>
      <w:start w:val="2"/>
    </w:lvl>
  </w:abstractNum>
  <w:abstractNum w:abstractNumId="44">
    <w:nsid w:val="6A3B714C"/>
    <w:multiLevelType w:val="hybridMultilevel"/>
    <w:lvl w:ilvl="0">
      <w:lvlJc w:val="left"/>
      <w:lvlText w:val="(%1)"/>
      <w:numFmt w:val="lowerLetter"/>
      <w:start w:val="2"/>
    </w:lvl>
  </w:abstractNum>
  <w:abstractNum w:abstractNumId="45">
    <w:nsid w:val="327B517E"/>
    <w:multiLevelType w:val="hybridMultilevel"/>
    <w:lvl w:ilvl="0">
      <w:lvlJc w:val="left"/>
      <w:lvlText w:val="(%1)"/>
      <w:numFmt w:val="lowerLetter"/>
      <w:start w:val="5"/>
    </w:lvl>
  </w:abstractNum>
  <w:abstractNum w:abstractNumId="46">
    <w:nsid w:val="1F461B51"/>
    <w:multiLevelType w:val="hybridMultilevel"/>
    <w:lvl w:ilvl="0">
      <w:lvlJc w:val="left"/>
      <w:lvlText w:val="(%1)"/>
      <w:numFmt w:val="lowerLetter"/>
      <w:start w:val="2"/>
    </w:lvl>
  </w:abstractNum>
  <w:abstractNum w:abstractNumId="47">
    <w:nsid w:val="29BACF25"/>
    <w:multiLevelType w:val="hybridMultilevel"/>
    <w:lvl w:ilvl="0">
      <w:lvlJc w:val="left"/>
      <w:lvlText w:val="(%1)"/>
      <w:numFmt w:val="lowerLetter"/>
      <w:start w:val="1"/>
    </w:lvl>
    <w:lvl w:ilvl="1">
      <w:lvlJc w:val="left"/>
      <w:lvlText w:val="(%2)"/>
      <w:numFmt w:val="lowerRoman"/>
      <w:start w:val="1"/>
    </w:lvl>
  </w:abstractNum>
  <w:abstractNum w:abstractNumId="48">
    <w:nsid w:val="5D5BABB3"/>
    <w:multiLevelType w:val="hybridMultilevel"/>
    <w:lvl w:ilvl="0">
      <w:lvlJc w:val="left"/>
      <w:lvlText w:val="(%1)"/>
      <w:numFmt w:val="lowerLetter"/>
      <w:start w:val="2"/>
    </w:lvl>
  </w:abstractNum>
  <w:abstractNum w:abstractNumId="49">
    <w:nsid w:val="51BF6B48"/>
    <w:multiLevelType w:val="hybridMultilevel"/>
    <w:lvl w:ilvl="0">
      <w:lvlJc w:val="left"/>
      <w:lvlText w:val="(%1)"/>
      <w:numFmt w:val="lowerLetter"/>
      <w:start w:val="4"/>
    </w:lvl>
    <w:lvl w:ilvl="1">
      <w:lvlJc w:val="left"/>
      <w:lvlText w:val="(%2)"/>
      <w:numFmt w:val="lowerLetter"/>
      <w:start w:val="9"/>
    </w:lvl>
  </w:abstractNum>
  <w:abstractNum w:abstractNumId="50">
    <w:nsid w:val="7E0F6384"/>
    <w:multiLevelType w:val="hybridMultilevel"/>
    <w:lvl w:ilvl="0">
      <w:lvlJc w:val="left"/>
      <w:lvlText w:val="(%1)"/>
      <w:numFmt w:val="lowerRoman"/>
      <w:start w:val="2"/>
    </w:lvl>
  </w:abstractNum>
  <w:abstractNum w:abstractNumId="51">
    <w:nsid w:val="2B4B8B53"/>
    <w:multiLevelType w:val="hybridMultilevel"/>
    <w:lvl w:ilvl="0">
      <w:lvlJc w:val="left"/>
      <w:lvlText w:val="(%1)"/>
      <w:numFmt w:val="lowerRoman"/>
      <w:start w:val="6"/>
    </w:lvl>
  </w:abstractNum>
  <w:abstractNum w:abstractNumId="52">
    <w:nsid w:val="72E3413A"/>
    <w:multiLevelType w:val="hybridMultilevel"/>
    <w:lvl w:ilvl="0">
      <w:lvlJc w:val="left"/>
      <w:lvlText w:val="%1"/>
      <w:numFmt w:val="lowerLetter"/>
      <w:start w:val="1"/>
    </w:lvl>
    <w:lvl w:ilvl="1">
      <w:lvlJc w:val="left"/>
      <w:lvlText w:val="(%2)"/>
      <w:numFmt w:val="decimal"/>
      <w:start w:val="1"/>
    </w:lvl>
  </w:abstractNum>
  <w:abstractNum w:abstractNumId="53">
    <w:nsid w:val="116AE494"/>
    <w:multiLevelType w:val="hybridMultilevel"/>
    <w:lvl w:ilvl="0">
      <w:lvlJc w:val="left"/>
      <w:lvlText w:val="(%1)"/>
      <w:numFmt w:val="lowerLetter"/>
      <w:start w:val="25"/>
    </w:lvl>
    <w:lvl w:ilvl="1">
      <w:lvlJc w:val="left"/>
      <w:lvlText w:val="%2"/>
      <w:numFmt w:val="decimal"/>
      <w:start w:val="1"/>
    </w:lvl>
  </w:abstractNum>
  <w:abstractNum w:abstractNumId="54">
    <w:nsid w:val="3494B2FB"/>
    <w:multiLevelType w:val="hybridMultilevel"/>
    <w:lvl w:ilvl="0">
      <w:lvlJc w:val="left"/>
      <w:lvlText w:val="(%1)"/>
      <w:numFmt w:val="decimal"/>
      <w:start w:val="1"/>
    </w:lvl>
  </w:abstractNum>
  <w:abstractNum w:abstractNumId="55">
    <w:nsid w:val="B13A31"/>
    <w:multiLevelType w:val="hybridMultilevel"/>
    <w:lvl w:ilvl="0">
      <w:lvlJc w:val="left"/>
      <w:lvlText w:val="(%1)"/>
      <w:numFmt w:val="decimal"/>
      <w:start w:val="1"/>
    </w:lvl>
  </w:abstractNum>
  <w:abstractNum w:abstractNumId="56">
    <w:nsid w:val="64429599"/>
    <w:multiLevelType w:val="hybridMultilevel"/>
    <w:lvl w:ilvl="0">
      <w:lvlJc w:val="left"/>
      <w:lvlText w:val="(%1)"/>
      <w:numFmt w:val="decimal"/>
      <w:start w:val="2"/>
    </w:lvl>
  </w:abstractNum>
  <w:abstractNum w:abstractNumId="57">
    <w:nsid w:val="631F1690"/>
    <w:multiLevelType w:val="hybridMultilevel"/>
    <w:lvl w:ilvl="0">
      <w:lvlJc w:val="left"/>
      <w:lvlText w:val="(%1)"/>
      <w:numFmt w:val="lowerRoman"/>
      <w:start w:val="1"/>
    </w:lvl>
  </w:abstractNum>
  <w:abstractNum w:abstractNumId="58">
    <w:nsid w:val="25973E32"/>
    <w:multiLevelType w:val="hybridMultilevel"/>
    <w:lvl w:ilvl="0">
      <w:lvlJc w:val="left"/>
      <w:lvlText w:val="(%1)"/>
      <w:numFmt w:val="lowerLetter"/>
      <w:start w:val="2"/>
    </w:lvl>
  </w:abstractNum>
  <w:abstractNum w:abstractNumId="59">
    <w:nsid w:val="EAD6F57"/>
    <w:multiLevelType w:val="hybridMultilevel"/>
    <w:lvl w:ilvl="0">
      <w:lvlJc w:val="left"/>
      <w:lvlText w:val="(%1)"/>
      <w:numFmt w:val="lowerLetter"/>
      <w:start w:val="9"/>
    </w:lvl>
    <w:lvl w:ilvl="1">
      <w:lvlJc w:val="left"/>
      <w:lvlText w:val="(%2)"/>
      <w:numFmt w:val="lowerLetter"/>
      <w:start w:val="2"/>
    </w:lvl>
  </w:abstractNum>
  <w:abstractNum w:abstractNumId="60">
    <w:nsid w:val="6EC9D844"/>
    <w:multiLevelType w:val="hybridMultilevel"/>
    <w:lvl w:ilvl="0">
      <w:lvlJc w:val="left"/>
      <w:lvlText w:val="(%1)"/>
      <w:numFmt w:val="lowerLetter"/>
      <w:start w:val="6"/>
    </w:lvl>
  </w:abstractNum>
  <w:abstractNum w:abstractNumId="61">
    <w:nsid w:val="5C49EAEE"/>
    <w:multiLevelType w:val="hybridMultilevel"/>
    <w:lvl w:ilvl="0">
      <w:lvlJc w:val="left"/>
      <w:lvlText w:val="(%1)"/>
      <w:numFmt w:val="lowerLetter"/>
      <w:start w:val="7"/>
    </w:lvl>
  </w:abstractNum>
  <w:abstractNum w:abstractNumId="62">
    <w:nsid w:val="64AF49B"/>
    <w:multiLevelType w:val="hybridMultilevel"/>
    <w:lvl w:ilvl="0">
      <w:lvlJc w:val="left"/>
      <w:lvlText w:val="(%1)"/>
      <w:numFmt w:val="lowerLetter"/>
      <w:start w:val="2"/>
    </w:lvl>
  </w:abstractNum>
  <w:abstractNum w:abstractNumId="63">
    <w:nsid w:val="397C46BC"/>
    <w:multiLevelType w:val="hybridMultilevel"/>
    <w:lvl w:ilvl="0">
      <w:lvlJc w:val="left"/>
      <w:lvlText w:val="(%1)"/>
      <w:numFmt w:val="lowerLetter"/>
      <w:start w:val="1"/>
    </w:lvl>
  </w:abstractNum>
  <w:abstractNum w:abstractNumId="64">
    <w:nsid w:val="7E448DE9"/>
    <w:multiLevelType w:val="hybridMultilevel"/>
    <w:lvl w:ilvl="0">
      <w:lvlJc w:val="left"/>
      <w:lvlText w:val="(%1)"/>
      <w:numFmt w:val="lowerLetter"/>
      <w:start w:val="1"/>
    </w:lvl>
    <w:lvl w:ilvl="1">
      <w:lvlJc w:val="left"/>
      <w:lvlText w:val="(%2)"/>
      <w:numFmt w:val="lowerRoman"/>
      <w:start w:val="1"/>
    </w:lvl>
  </w:abstractNum>
  <w:abstractNum w:abstractNumId="65">
    <w:nsid w:val="5A9CC3E5"/>
    <w:multiLevelType w:val="hybridMultilevel"/>
    <w:lvl w:ilvl="0">
      <w:lvlJc w:val="left"/>
      <w:lvlText w:val="(%1)"/>
      <w:numFmt w:val="lowerRoman"/>
      <w:start w:val="5"/>
    </w:lvl>
  </w:abstractNum>
  <w:abstractNum w:abstractNumId="66">
    <w:nsid w:val="1AFE3625"/>
    <w:multiLevelType w:val="hybridMultilevel"/>
    <w:lvl w:ilvl="0">
      <w:lvlJc w:val="left"/>
      <w:lvlText w:val="(%1)"/>
      <w:numFmt w:val="lowerRoman"/>
      <w:start w:val="2"/>
    </w:lvl>
  </w:abstractNum>
  <w:abstractNum w:abstractNumId="67">
    <w:nsid w:val="3CA88ECF"/>
    <w:multiLevelType w:val="hybridMultilevel"/>
    <w:lvl w:ilvl="0">
      <w:lvlJc w:val="left"/>
      <w:lvlText w:val="(%1)"/>
      <w:numFmt w:val="lowerLetter"/>
      <w:start w:val="1"/>
    </w:lvl>
  </w:abstractNum>
  <w:abstractNum w:abstractNumId="68">
    <w:nsid w:val="6EBE4208"/>
    <w:multiLevelType w:val="hybridMultilevel"/>
    <w:lvl w:ilvl="0">
      <w:lvlJc w:val="left"/>
      <w:lvlText w:val="(%1)"/>
      <w:numFmt w:val="lowerLetter"/>
      <w:start w:val="1"/>
    </w:lvl>
  </w:abstractNum>
  <w:abstractNum w:abstractNumId="69">
    <w:nsid w:val="C058DF5"/>
    <w:multiLevelType w:val="hybridMultilevel"/>
    <w:lvl w:ilvl="0">
      <w:lvlJc w:val="left"/>
      <w:lvlText w:val="(%1)"/>
      <w:numFmt w:val="lowerLetter"/>
      <w:start w:val="2"/>
    </w:lvl>
  </w:abstractNum>
  <w:abstractNum w:abstractNumId="70">
    <w:nsid w:val="CBE5BE9"/>
    <w:multiLevelType w:val="hybridMultilevel"/>
    <w:lvl w:ilvl="0">
      <w:lvlJc w:val="left"/>
      <w:lvlText w:val="(%1)"/>
      <w:numFmt w:val="lowerLetter"/>
      <w:start w:val="1"/>
    </w:lvl>
  </w:abstractNum>
  <w:abstractNum w:abstractNumId="71">
    <w:nsid w:val="3102BBE2"/>
    <w:multiLevelType w:val="hybridMultilevel"/>
    <w:lvl w:ilvl="0">
      <w:lvlJc w:val="left"/>
      <w:lvlText w:val="(%1)"/>
      <w:numFmt w:val="lowerLetter"/>
      <w:start w:val="4"/>
    </w:lvl>
  </w:abstractNum>
  <w:abstractNum w:abstractNumId="72">
    <w:nsid w:val="26A02C5E"/>
    <w:multiLevelType w:val="hybridMultilevel"/>
    <w:lvl w:ilvl="0">
      <w:lvlJc w:val="left"/>
      <w:lvlText w:val="(%1)"/>
      <w:numFmt w:val="lowerLetter"/>
      <w:start w:val="9"/>
    </w:lvl>
  </w:abstractNum>
  <w:abstractNum w:abstractNumId="73">
    <w:nsid w:val="541C8153"/>
    <w:multiLevelType w:val="hybridMultilevel"/>
    <w:lvl w:ilvl="0">
      <w:lvlJc w:val="left"/>
      <w:lvlText w:val="(%1)"/>
      <w:numFmt w:val="lowerLetter"/>
      <w:start w:val="14"/>
    </w:lvl>
  </w:abstractNum>
  <w:abstractNum w:abstractNumId="74">
    <w:nsid w:val="67906F60"/>
    <w:multiLevelType w:val="hybridMultilevel"/>
    <w:lvl w:ilvl="0">
      <w:lvlJc w:val="left"/>
      <w:lvlText w:val="(%1)"/>
      <w:numFmt w:val="lowerLetter"/>
      <w:start w:val="1"/>
    </w:lvl>
  </w:abstractNum>
  <w:abstractNum w:abstractNumId="75">
    <w:nsid w:val="10DB9DAA"/>
    <w:multiLevelType w:val="hybridMultilevel"/>
    <w:lvl w:ilvl="0">
      <w:lvlJc w:val="left"/>
      <w:lvlText w:val="(%1)"/>
      <w:numFmt w:val="lowerLetter"/>
      <w:start w:val="1"/>
    </w:lvl>
  </w:abstractNum>
  <w:abstractNum w:abstractNumId="76">
    <w:nsid w:val="697D2D2"/>
    <w:multiLevelType w:val="hybridMultilevel"/>
    <w:lvl w:ilvl="0">
      <w:lvlJc w:val="left"/>
      <w:lvlText w:val="(%1)"/>
      <w:numFmt w:val="lowerLetter"/>
      <w:start w:val="2"/>
    </w:lvl>
  </w:abstractNum>
  <w:abstractNum w:abstractNumId="77">
    <w:nsid w:val="6D68AB2"/>
    <w:multiLevelType w:val="hybridMultilevel"/>
    <w:lvl w:ilvl="0">
      <w:lvlJc w:val="left"/>
      <w:lvlText w:val="(%1)"/>
      <w:numFmt w:val="lowerLetter"/>
      <w:start w:val="1"/>
    </w:lvl>
  </w:abstractNum>
  <w:abstractNum w:abstractNumId="78">
    <w:nsid w:val="3A966CD0"/>
    <w:multiLevelType w:val="hybridMultilevel"/>
    <w:lvl w:ilvl="0">
      <w:lvlJc w:val="left"/>
      <w:lvlText w:val="(%1)"/>
      <w:numFmt w:val="lowerLetter"/>
      <w:start w:val="2"/>
    </w:lvl>
  </w:abstractNum>
  <w:abstractNum w:abstractNumId="79">
    <w:nsid w:val="63F37E85"/>
    <w:multiLevelType w:val="hybridMultilevel"/>
    <w:lvl w:ilvl="0">
      <w:lvlJc w:val="left"/>
      <w:lvlText w:val="(%1)"/>
      <w:numFmt w:val="lowerLetter"/>
      <w:start w:val="2"/>
    </w:lvl>
  </w:abstractNum>
  <w:abstractNum w:abstractNumId="80">
    <w:nsid w:val="5895F5FA"/>
    <w:multiLevelType w:val="hybridMultilevel"/>
    <w:lvl w:ilvl="0">
      <w:lvlJc w:val="left"/>
      <w:lvlText w:val="(%1)"/>
      <w:numFmt w:val="lowerLetter"/>
      <w:start w:val="1"/>
    </w:lvl>
  </w:abstractNum>
  <w:abstractNum w:abstractNumId="81">
    <w:nsid w:val="38A5D054"/>
    <w:multiLevelType w:val="hybridMultilevel"/>
    <w:lvl w:ilvl="0">
      <w:lvlJc w:val="left"/>
      <w:lvlText w:val="(%1)"/>
      <w:numFmt w:val="lowerLetter"/>
      <w:start w:val="5"/>
    </w:lvl>
  </w:abstractNum>
  <w:abstractNum w:abstractNumId="82">
    <w:nsid w:val="F3F09D8"/>
    <w:multiLevelType w:val="hybridMultilevel"/>
    <w:lvl w:ilvl="0">
      <w:lvlJc w:val="left"/>
      <w:lvlText w:val="(%1)"/>
      <w:numFmt w:val="lowerLetter"/>
      <w:start w:val="2"/>
    </w:lvl>
  </w:abstractNum>
  <w:abstractNum w:abstractNumId="83">
    <w:nsid w:val="4B793735"/>
    <w:multiLevelType w:val="hybridMultilevel"/>
    <w:lvl w:ilvl="0">
      <w:lvlJc w:val="left"/>
      <w:lvlText w:val="(%1)"/>
      <w:numFmt w:val="lowerLetter"/>
      <w:start w:val="2"/>
    </w:lvl>
  </w:abstractNum>
  <w:abstractNum w:abstractNumId="84">
    <w:nsid w:val="4A10B4E8"/>
    <w:multiLevelType w:val="hybridMultilevel"/>
    <w:lvl w:ilvl="0">
      <w:lvlJc w:val="left"/>
      <w:lvlText w:val="(%1)"/>
      <w:numFmt w:val="lowerLetter"/>
      <w:start w:val="1"/>
    </w:lvl>
  </w:abstractNum>
  <w:abstractNum w:abstractNumId="85">
    <w:nsid w:val="43D3BCD4"/>
    <w:multiLevelType w:val="hybridMultilevel"/>
    <w:lvl w:ilvl="0">
      <w:lvlJc w:val="left"/>
      <w:lvlText w:val="(%1)"/>
      <w:numFmt w:val="lowerLetter"/>
      <w:start w:val="1"/>
    </w:lvl>
    <w:lvl w:ilvl="1">
      <w:lvlJc w:val="left"/>
      <w:lvlText w:val="(%2)"/>
      <w:numFmt w:val="upperLetter"/>
      <w:start w:val="1"/>
    </w:lvl>
  </w:abstractNum>
  <w:abstractNum w:abstractNumId="86">
    <w:nsid w:val="4C2A7166"/>
    <w:multiLevelType w:val="hybridMultilevel"/>
    <w:lvl w:ilvl="0">
      <w:lvlJc w:val="left"/>
      <w:lvlText w:val="(%1)"/>
      <w:numFmt w:val="lowerLetter"/>
      <w:start w:val="7"/>
    </w:lvl>
  </w:abstractNum>
  <w:abstractNum w:abstractNumId="87">
    <w:nsid w:val="2E534A82"/>
    <w:multiLevelType w:val="hybridMultilevel"/>
    <w:lvl w:ilvl="0">
      <w:lvlJc w:val="left"/>
      <w:lvlText w:val="(%1)"/>
      <w:numFmt w:val="lowerLetter"/>
      <w:start w:val="1"/>
    </w:lvl>
  </w:abstractNum>
  <w:abstractNum w:abstractNumId="88">
    <w:nsid w:val="26F2D364"/>
    <w:multiLevelType w:val="hybridMultilevel"/>
    <w:lvl w:ilvl="0">
      <w:lvlJc w:val="left"/>
      <w:lvlText w:val="(%1)"/>
      <w:numFmt w:val="lowerLetter"/>
      <w:start w:val="2"/>
    </w:lvl>
  </w:abstractNum>
  <w:abstractNum w:abstractNumId="89">
    <w:nsid w:val="71C1AF98"/>
    <w:multiLevelType w:val="hybridMultilevel"/>
    <w:lvl w:ilvl="0">
      <w:lvlJc w:val="left"/>
      <w:lvlText w:val="%1"/>
      <w:numFmt w:val="lowerRoman"/>
      <w:start w:val="1"/>
    </w:lvl>
    <w:lvl w:ilvl="1">
      <w:lvlJc w:val="left"/>
      <w:lvlText w:val="(%2)"/>
      <w:numFmt w:val="lowerRoman"/>
      <w:start w:val="1"/>
    </w:lvl>
  </w:abstractNum>
  <w:abstractNum w:abstractNumId="90">
    <w:nsid w:val="3D00B9D9"/>
    <w:multiLevelType w:val="hybridMultilevel"/>
    <w:lvl w:ilvl="0">
      <w:lvlJc w:val="left"/>
      <w:lvlText w:val="(%1)"/>
      <w:numFmt w:val="lowerRoman"/>
      <w:start w:val="2"/>
    </w:lvl>
    <w:lvl w:ilvl="1">
      <w:lvlJc w:val="left"/>
      <w:lvlText w:val="(%2)"/>
      <w:numFmt w:val="lowerRoman"/>
      <w:start w:val="4"/>
    </w:lvl>
  </w:abstractNum>
  <w:abstractNum w:abstractNumId="91">
    <w:nsid w:val="15BCABA8"/>
    <w:multiLevelType w:val="hybridMultilevel"/>
    <w:lvl w:ilvl="0">
      <w:lvlJc w:val="left"/>
      <w:lvlText w:val="(%1)"/>
      <w:numFmt w:val="lowerLetter"/>
      <w:start w:val="2"/>
    </w:lvl>
  </w:abstractNum>
  <w:abstractNum w:abstractNumId="92">
    <w:nsid w:val="4E0B9A87"/>
    <w:multiLevelType w:val="hybridMultilevel"/>
    <w:lvl w:ilvl="0">
      <w:lvlJc w:val="left"/>
      <w:lvlText w:val="(%1)"/>
      <w:numFmt w:val="lowerLetter"/>
      <w:start w:val="1"/>
    </w:lvl>
  </w:abstractNum>
  <w:abstractNum w:abstractNumId="93">
    <w:nsid w:val="434BAE75"/>
    <w:multiLevelType w:val="hybridMultilevel"/>
    <w:lvl w:ilvl="0">
      <w:lvlJc w:val="left"/>
      <w:lvlText w:val="%1"/>
      <w:numFmt w:val="upperLetter"/>
      <w:start w:val="1"/>
    </w:lvl>
    <w:lvl w:ilvl="1">
      <w:lvlJc w:val="left"/>
      <w:lvlText w:val="(%2)"/>
      <w:numFmt w:val="lowerLetter"/>
      <w:start w:val="5"/>
    </w:lvl>
  </w:abstractNum>
  <w:abstractNum w:abstractNumId="94">
    <w:nsid w:val="4F38F265"/>
    <w:multiLevelType w:val="hybridMultilevel"/>
    <w:lvl w:ilvl="0">
      <w:lvlJc w:val="left"/>
      <w:lvlText w:val="(%1)"/>
      <w:numFmt w:val="upperLetter"/>
      <w:start w:val="1"/>
    </w:lvl>
    <w:lvl w:ilvl="1">
      <w:lvlJc w:val="left"/>
      <w:lvlText w:val="(%2)"/>
      <w:numFmt w:val="lowerLetter"/>
      <w:start w:val="8"/>
    </w:lvl>
  </w:abstractNum>
  <w:abstractNum w:abstractNumId="95">
    <w:nsid w:val="4C502870"/>
    <w:multiLevelType w:val="hybridMultilevel"/>
    <w:lvl w:ilvl="0">
      <w:lvlJc w:val="left"/>
      <w:lvlText w:val="(%1)"/>
      <w:numFmt w:val="lowerLetter"/>
      <w:start w:val="9"/>
    </w:lvl>
  </w:abstractNum>
  <w:abstractNum w:abstractNumId="96">
    <w:nsid w:val="1DE8725A"/>
    <w:multiLevelType w:val="hybridMultilevel"/>
    <w:lvl w:ilvl="0">
      <w:lvlJc w:val="left"/>
      <w:lvlText w:val="(%1)"/>
      <w:numFmt w:val="lowerLetter"/>
      <w:start w:val="13"/>
    </w:lvl>
  </w:abstractNum>
  <w:abstractNum w:abstractNumId="97">
    <w:nsid w:val="6A37288A"/>
    <w:multiLevelType w:val="hybridMultilevel"/>
    <w:lvl w:ilvl="0">
      <w:lvlJc w:val="left"/>
      <w:lvlText w:val="(%1)"/>
      <w:numFmt w:val="lowerLetter"/>
      <w:start w:val="2"/>
    </w:lvl>
    <w:lvl w:ilvl="1">
      <w:lvlJc w:val="left"/>
      <w:lvlText w:val="(%2)"/>
      <w:numFmt w:val="lowerLetter"/>
      <w:start w:val="9"/>
    </w:lvl>
  </w:abstractNum>
  <w:abstractNum w:abstractNumId="98">
    <w:nsid w:val="8F8B73F"/>
    <w:multiLevelType w:val="hybridMultilevel"/>
    <w:lvl w:ilvl="0">
      <w:lvlJc w:val="left"/>
      <w:lvlText w:val="%1"/>
      <w:numFmt w:val="lowerLetter"/>
      <w:start w:val="1"/>
    </w:lvl>
    <w:lvl w:ilvl="1">
      <w:lvlJc w:val="left"/>
      <w:lvlText w:val="(%2)"/>
      <w:numFmt w:val="lowerRoman"/>
      <w:start w:val="2"/>
    </w:lvl>
  </w:abstractNum>
  <w:abstractNum w:abstractNumId="99">
    <w:nsid w:val="CA6B462"/>
    <w:multiLevelType w:val="hybridMultilevel"/>
    <w:lvl w:ilvl="0">
      <w:lvlJc w:val="left"/>
      <w:lvlText w:val="(%1)"/>
      <w:numFmt w:val="lowerLetter"/>
      <w:start w:val="5"/>
    </w:lvl>
    <w:lvl w:ilvl="1">
      <w:lvlJc w:val="left"/>
      <w:lvlText w:val="%2"/>
      <w:numFmt w:val="lowerRoman"/>
      <w:start w:val="1"/>
    </w:lvl>
  </w:abstractNum>
  <w:abstractNum w:abstractNumId="100">
    <w:nsid w:val="763CB680"/>
    <w:multiLevelType w:val="hybridMultilevel"/>
    <w:lvl w:ilvl="0">
      <w:lvlJc w:val="left"/>
      <w:lvlText w:val="%1"/>
      <w:numFmt w:val="lowerLetter"/>
      <w:start w:val="1"/>
    </w:lvl>
    <w:lvl w:ilvl="1">
      <w:lvlJc w:val="left"/>
      <w:lvlText w:val="(%2)"/>
      <w:numFmt w:val="lowerRoman"/>
      <w:start w:val="1"/>
    </w:lvl>
  </w:abstractNum>
  <w:abstractNum w:abstractNumId="101">
    <w:nsid w:val="15B71329"/>
    <w:multiLevelType w:val="hybridMultilevel"/>
    <w:lvl w:ilvl="0">
      <w:lvlJc w:val="left"/>
      <w:lvlText w:val="(%1)"/>
      <w:numFmt w:val="lowerLetter"/>
      <w:start w:val="2"/>
    </w:lvl>
    <w:lvl w:ilvl="1">
      <w:lvlJc w:val="left"/>
      <w:lvlText w:val="%2"/>
      <w:numFmt w:val="lowerRoman"/>
      <w:start w:val="1"/>
    </w:lvl>
  </w:abstractNum>
  <w:abstractNum w:abstractNumId="102">
    <w:nsid w:val="3DA97044"/>
    <w:multiLevelType w:val="hybridMultilevel"/>
    <w:lvl w:ilvl="0">
      <w:lvlJc w:val="left"/>
      <w:lvlText w:val="(%1)"/>
      <w:numFmt w:val="lowerRoman"/>
      <w:start w:val="4"/>
    </w:lvl>
  </w:abstractNum>
  <w:abstractNum w:abstractNumId="103">
    <w:nsid w:val="1CDCE2DE"/>
    <w:multiLevelType w:val="hybridMultilevel"/>
    <w:lvl w:ilvl="0">
      <w:lvlJc w:val="left"/>
      <w:lvlText w:val="(%1)"/>
      <w:numFmt w:val="lowerLetter"/>
      <w:start w:val="1"/>
    </w:lvl>
  </w:abstractNum>
  <w:abstractNum w:abstractNumId="104">
    <w:nsid w:val="69D3947C"/>
    <w:multiLevelType w:val="hybridMultilevel"/>
    <w:lvl w:ilvl="0">
      <w:lvlJc w:val="left"/>
      <w:lvlText w:val="(%1)"/>
      <w:numFmt w:val="lowerLetter"/>
      <w:start w:val="2"/>
    </w:lvl>
  </w:abstractNum>
  <w:abstractNum w:abstractNumId="105">
    <w:nsid w:val="2539DFA5"/>
    <w:multiLevelType w:val="hybridMultilevel"/>
    <w:lvl w:ilvl="0">
      <w:lvlJc w:val="left"/>
      <w:lvlText w:val="(%1)"/>
      <w:numFmt w:val="lowerLetter"/>
      <w:start w:val="2"/>
    </w:lvl>
  </w:abstractNum>
  <w:abstractNum w:abstractNumId="106">
    <w:nsid w:val="2DB88089"/>
    <w:multiLevelType w:val="hybridMultilevel"/>
    <w:lvl w:ilvl="0">
      <w:lvlJc w:val="left"/>
      <w:lvlText w:val="(%1)"/>
      <w:numFmt w:val="lowerRoman"/>
      <w:start w:val="3"/>
    </w:lvl>
  </w:abstractNum>
  <w:abstractNum w:abstractNumId="107">
    <w:nsid w:val="706B674E"/>
    <w:multiLevelType w:val="hybridMultilevel"/>
    <w:lvl w:ilvl="0">
      <w:lvlJc w:val="left"/>
      <w:lvlText w:val="(%1)"/>
      <w:numFmt w:val="lowerLetter"/>
      <w:start w:val="1"/>
    </w:lvl>
    <w:lvl w:ilvl="1">
      <w:lvlJc w:val="left"/>
      <w:lvlText w:val="(%2)"/>
      <w:numFmt w:val="lowerRoman"/>
      <w:start w:val="1"/>
    </w:lvl>
  </w:abstractNum>
  <w:abstractNum w:abstractNumId="108">
    <w:nsid w:val="2C106A57"/>
    <w:multiLevelType w:val="hybridMultilevel"/>
    <w:lvl w:ilvl="0">
      <w:lvlJc w:val="left"/>
      <w:lvlText w:val="(%1)"/>
      <w:numFmt w:val="lowerLetter"/>
      <w:start w:val="2"/>
    </w:lvl>
    <w:lvl w:ilvl="1">
      <w:lvlJc w:val="left"/>
      <w:lvlText w:val="(%2)"/>
      <w:numFmt w:val="lowerRoman"/>
      <w:start w:val="1"/>
    </w:lvl>
  </w:abstractNum>
  <w:abstractNum w:abstractNumId="109">
    <w:nsid w:val="684EED59"/>
    <w:multiLevelType w:val="hybridMultilevel"/>
    <w:lvl w:ilvl="0">
      <w:lvlJc w:val="left"/>
      <w:lvlText w:val="(%1)"/>
      <w:numFmt w:val="lowerRoman"/>
      <w:start w:val="1"/>
    </w:lvl>
  </w:abstractNum>
  <w:abstractNum w:abstractNumId="110">
    <w:nsid w:val="545EE5D3"/>
    <w:multiLevelType w:val="hybridMultilevel"/>
    <w:lvl w:ilvl="0">
      <w:lvlJc w:val="left"/>
      <w:lvlText w:val="(%1)"/>
      <w:numFmt w:val="lowerLetter"/>
      <w:start w:val="1"/>
    </w:lvl>
    <w:lvl w:ilvl="1">
      <w:lvlJc w:val="left"/>
      <w:lvlText w:val="(%2)"/>
      <w:numFmt w:val="lowerRoman"/>
      <w:start w:val="1"/>
    </w:lvl>
  </w:abstractNum>
  <w:abstractNum w:abstractNumId="111">
    <w:nsid w:val="4A66051"/>
    <w:multiLevelType w:val="hybridMultilevel"/>
    <w:lvl w:ilvl="0">
      <w:lvlJc w:val="left"/>
      <w:lvlText w:val="(%1)"/>
      <w:numFmt w:val="lowerLetter"/>
      <w:start w:val="3"/>
    </w:lvl>
  </w:abstractNum>
  <w:abstractNum w:abstractNumId="112">
    <w:nsid w:val="20F4BDAD"/>
    <w:multiLevelType w:val="hybridMultilevel"/>
    <w:lvl w:ilvl="0">
      <w:lvlJc w:val="left"/>
      <w:lvlText w:val="(%1)"/>
      <w:numFmt w:val="lowerLetter"/>
      <w:start w:val="6"/>
    </w:lvl>
  </w:abstractNum>
  <w:abstractNum w:abstractNumId="113">
    <w:nsid w:val="639DEFAC"/>
    <w:multiLevelType w:val="hybridMultilevel"/>
    <w:lvl w:ilvl="0">
      <w:lvlJc w:val="left"/>
      <w:lvlText w:val="(%1)"/>
      <w:numFmt w:val="lowerLetter"/>
      <w:start w:val="1"/>
    </w:lvl>
  </w:abstractNum>
  <w:abstractNum w:abstractNumId="114">
    <w:nsid w:val="501F9786"/>
    <w:multiLevelType w:val="hybridMultilevel"/>
    <w:lvl w:ilvl="0">
      <w:lvlJc w:val="left"/>
      <w:lvlText w:val="(%1)"/>
      <w:numFmt w:val="lowerLetter"/>
      <w:start w:val="2"/>
    </w:lvl>
  </w:abstractNum>
  <w:abstractNum w:abstractNumId="115">
    <w:nsid w:val="6B057295"/>
    <w:multiLevelType w:val="hybridMultilevel"/>
    <w:lvl w:ilvl="0">
      <w:lvlJc w:val="left"/>
      <w:lvlText w:val="(%1)"/>
      <w:numFmt w:val="lowerLetter"/>
      <w:start w:val="3"/>
    </w:lvl>
    <w:lvl w:ilvl="1">
      <w:lvlJc w:val="left"/>
      <w:lvlText w:val="(%2)"/>
      <w:numFmt w:val="lowerRoman"/>
      <w:start w:val="1"/>
    </w:lvl>
  </w:abstractNum>
  <w:abstractNum w:abstractNumId="116">
    <w:nsid w:val="2771AC80"/>
    <w:multiLevelType w:val="hybridMultilevel"/>
    <w:lvl w:ilvl="0">
      <w:lvlJc w:val="left"/>
      <w:lvlText w:val="%1"/>
      <w:numFmt w:val="lowerLetter"/>
      <w:start w:val="1"/>
    </w:lvl>
    <w:lvl w:ilvl="1">
      <w:lvlJc w:val="left"/>
      <w:lvlText w:val="(%2)"/>
      <w:numFmt w:val="lowerLetter"/>
      <w:start w:val="2"/>
    </w:lvl>
  </w:abstractNum>
  <w:abstractNum w:abstractNumId="117">
    <w:nsid w:val="1C4A08EC"/>
    <w:multiLevelType w:val="hybridMultilevel"/>
    <w:lvl w:ilvl="0">
      <w:lvlJc w:val="left"/>
      <w:lvlText w:val="(%1)"/>
      <w:numFmt w:val="lowerLetter"/>
      <w:start w:val="9"/>
    </w:lvl>
    <w:lvl w:ilvl="1">
      <w:lvlJc w:val="left"/>
      <w:lvlText w:val="%2"/>
      <w:numFmt w:val="lowerLetter"/>
      <w:start w:val="1"/>
    </w:lvl>
  </w:abstractNum>
  <w:abstractNum w:abstractNumId="118">
    <w:nsid w:val="1958BD17"/>
    <w:multiLevelType w:val="hybridMultilevel"/>
    <w:lvl w:ilvl="0">
      <w:lvlJc w:val="left"/>
      <w:lvlText w:val="(%1)"/>
      <w:numFmt w:val="lowerLetter"/>
      <w:start w:val="61"/>
    </w:lvl>
    <w:lvl w:ilvl="1">
      <w:lvlJc w:val="left"/>
      <w:lvlText w:val="%2"/>
      <w:numFmt w:val="lowerLetter"/>
      <w:start w:val="1"/>
    </w:lvl>
  </w:abstractNum>
  <w:abstractNum w:abstractNumId="119">
    <w:nsid w:val="4E647FE4"/>
    <w:multiLevelType w:val="hybridMultilevel"/>
    <w:lvl w:ilvl="0">
      <w:lvlJc w:val="left"/>
      <w:lvlText w:val="(%1)"/>
      <w:numFmt w:val="lowerLetter"/>
      <w:start w:val="3"/>
    </w:lvl>
  </w:abstractNum>
  <w:abstractNum w:abstractNumId="120">
    <w:nsid w:val="E0BB885"/>
    <w:multiLevelType w:val="hybridMultilevel"/>
    <w:lvl w:ilvl="0">
      <w:lvlJc w:val="left"/>
      <w:lvlText w:val="(%1)"/>
      <w:numFmt w:val="lowerLetter"/>
      <w:start w:val="7"/>
    </w:lvl>
  </w:abstractNum>
  <w:abstractNum w:abstractNumId="121">
    <w:nsid w:val="565976F1"/>
    <w:multiLevelType w:val="hybridMultilevel"/>
    <w:lvl w:ilvl="0">
      <w:lvlJc w:val="left"/>
      <w:lvlText w:val="(%1)"/>
      <w:numFmt w:val="lowerRoman"/>
      <w:start w:val="1"/>
    </w:lvl>
  </w:abstractNum>
  <w:abstractNum w:abstractNumId="122">
    <w:nsid w:val="64212B8C"/>
    <w:multiLevelType w:val="hybridMultilevel"/>
    <w:lvl w:ilvl="0">
      <w:lvlJc w:val="left"/>
      <w:lvlText w:val="(%1)"/>
      <w:numFmt w:val="lowerLetter"/>
      <w:start w:val="6"/>
    </w:lvl>
  </w:abstractNum>
  <w:abstractNum w:abstractNumId="123">
    <w:nsid w:val="5C17530C"/>
    <w:multiLevelType w:val="hybridMultilevel"/>
    <w:lvl w:ilvl="0">
      <w:lvlJc w:val="left"/>
      <w:lvlText w:val="(%1)"/>
      <w:numFmt w:val="lowerLetter"/>
      <w:start w:val="2"/>
    </w:lvl>
  </w:abstractNum>
  <w:abstractNum w:abstractNumId="124">
    <w:nsid w:val="19A52566"/>
    <w:multiLevelType w:val="hybridMultilevel"/>
    <w:lvl w:ilvl="0">
      <w:lvlJc w:val="left"/>
      <w:lvlText w:val="(%1)"/>
      <w:numFmt w:val="lowerLetter"/>
      <w:start w:val="1"/>
    </w:lvl>
  </w:abstractNum>
  <w:abstractNum w:abstractNumId="125">
    <w:nsid w:val="335A1DF1"/>
    <w:multiLevelType w:val="hybridMultilevel"/>
    <w:lvl w:ilvl="0">
      <w:lvlJc w:val="left"/>
      <w:lvlText w:val="(%1)"/>
      <w:numFmt w:val="lowerLetter"/>
      <w:start w:val="1"/>
    </w:lvl>
  </w:abstractNum>
  <w:abstractNum w:abstractNumId="126">
    <w:nsid w:val="28677B7C"/>
    <w:multiLevelType w:val="hybridMultilevel"/>
    <w:lvl w:ilvl="0">
      <w:lvlJc w:val="left"/>
      <w:lvlText w:val="(%1)"/>
      <w:numFmt w:val="lowerLetter"/>
      <w:start w:val="1"/>
    </w:lvl>
    <w:lvl w:ilvl="1">
      <w:lvlJc w:val="left"/>
      <w:lvlText w:val="(%2)"/>
      <w:numFmt w:val="lowerRoman"/>
      <w:start w:val="1"/>
    </w:lvl>
  </w:abstractNum>
  <w:abstractNum w:abstractNumId="127">
    <w:nsid w:val="378D97C0"/>
    <w:multiLevelType w:val="hybridMultilevel"/>
    <w:lvl w:ilvl="0">
      <w:lvlJc w:val="left"/>
      <w:lvlText w:val="(%1)"/>
      <w:numFmt w:val="lowerRoman"/>
      <w:start w:val="1"/>
    </w:lvl>
  </w:abstractNum>
  <w:abstractNum w:abstractNumId="128">
    <w:nsid w:val="1D91467C"/>
    <w:multiLevelType w:val="hybridMultilevel"/>
    <w:lvl w:ilvl="0">
      <w:lvlJc w:val="left"/>
      <w:lvlText w:val="(%1)"/>
      <w:numFmt w:val="lowerRoman"/>
      <w:start w:val="2"/>
    </w:lvl>
  </w:abstractNum>
  <w:abstractNum w:abstractNumId="129">
    <w:nsid w:val="316032BB"/>
    <w:multiLevelType w:val="hybridMultilevel"/>
    <w:lvl w:ilvl="0">
      <w:lvlJc w:val="left"/>
      <w:lvlText w:val="(%1)"/>
      <w:numFmt w:val="lowerLetter"/>
      <w:start w:val="1"/>
    </w:lvl>
  </w:abstractNum>
  <w:abstractNum w:abstractNumId="130">
    <w:nsid w:val="44344C22"/>
    <w:multiLevelType w:val="hybridMultilevel"/>
    <w:lvl w:ilvl="0">
      <w:lvlJc w:val="left"/>
      <w:lvlText w:val="(%1)"/>
      <w:numFmt w:val="lowerLetter"/>
      <w:start w:val="2"/>
    </w:lvl>
  </w:abstractNum>
  <w:abstractNum w:abstractNumId="131">
    <w:nsid w:val="13CDFCFC"/>
    <w:multiLevelType w:val="hybridMultilevel"/>
    <w:lvl w:ilvl="0">
      <w:lvlJc w:val="left"/>
      <w:lvlText w:val="(%1)"/>
      <w:numFmt w:val="lowerLetter"/>
      <w:start w:val="3"/>
    </w:lvl>
  </w:abstractNum>
  <w:abstractNum w:abstractNumId="132">
    <w:nsid w:val="471745E4"/>
    <w:multiLevelType w:val="hybridMultilevel"/>
    <w:lvl w:ilvl="0">
      <w:lvlJc w:val="left"/>
      <w:lvlText w:val="%1."/>
      <w:numFmt w:val="upperLetter"/>
      <w:start w:val="1"/>
    </w:lvl>
  </w:abstractNum>
  <w:abstractNum w:abstractNumId="133">
    <w:nsid w:val="1DDBC66"/>
    <w:multiLevelType w:val="hybridMultilevel"/>
    <w:lvl w:ilvl="0">
      <w:lvlJc w:val="left"/>
      <w:lvlText w:val="(%1)"/>
      <w:numFmt w:val="upperLetter"/>
      <w:start w:val="1"/>
    </w:lvl>
  </w:abstractNum>
  <w:abstractNum w:abstractNumId="134">
    <w:nsid w:val="30AADFDA"/>
    <w:multiLevelType w:val="hybridMultilevel"/>
    <w:lvl w:ilvl="0">
      <w:lvlJc w:val="left"/>
      <w:lvlText w:val="(%1)"/>
      <w:numFmt w:val="upperLetter"/>
      <w:start w:val="3"/>
    </w:lvl>
  </w:abstractNum>
  <w:abstractNum w:abstractNumId="135">
    <w:nsid w:val="30EADA61"/>
    <w:multiLevelType w:val="hybridMultilevel"/>
    <w:lvl w:ilvl="0">
      <w:lvlJc w:val="left"/>
      <w:lvlText w:val="4"/>
      <w:numFmt w:val="bullet"/>
      <w:start w:val="1"/>
    </w:lvl>
  </w:abstractNum>
  <w:abstractNum w:abstractNumId="136">
    <w:nsid w:val="27179C0B"/>
    <w:multiLevelType w:val="hybridMultilevel"/>
    <w:lvl w:ilvl="0">
      <w:lvlJc w:val="left"/>
      <w:lvlText w:val="5"/>
      <w:numFmt w:val="bullet"/>
      <w:start w:val="1"/>
    </w:lvl>
  </w:abstractNum>
  <w:abstractNum w:abstractNumId="137">
    <w:nsid w:val="5E636063"/>
    <w:multiLevelType w:val="hybridMultilevel"/>
    <w:lvl w:ilvl="0">
      <w:lvlJc w:val="left"/>
      <w:lvlText w:val="%1."/>
      <w:numFmt w:val="decimal"/>
      <w:start w:val="6"/>
    </w:lvl>
  </w:abstractNum>
  <w:abstractNum w:abstractNumId="138">
    <w:nsid w:val="215641AF"/>
    <w:multiLevelType w:val="hybridMultilevel"/>
    <w:lvl w:ilvl="0">
      <w:lvlJc w:val="left"/>
      <w:lvlText w:val="8"/>
      <w:numFmt w:val="bullet"/>
      <w:start w:val="1"/>
    </w:lvl>
  </w:abstractNum>
  <w:abstractNum w:abstractNumId="139">
    <w:nsid w:val="53280662"/>
    <w:multiLevelType w:val="hybridMultilevel"/>
    <w:lvl w:ilvl="0">
      <w:lvlJc w:val="left"/>
      <w:lvlText w:val="%1"/>
      <w:numFmt w:val="decimal"/>
      <w:start w:val="14"/>
    </w:lvl>
  </w:abstractNum>
  <w:abstractNum w:abstractNumId="140">
    <w:nsid w:val="46B24DBC"/>
    <w:multiLevelType w:val="hybridMultilevel"/>
    <w:lvl w:ilvl="0">
      <w:lvlJc w:val="left"/>
      <w:lvlText w:val="%1."/>
      <w:numFmt w:val="decimal"/>
      <w:start w:val="1"/>
    </w:lvl>
  </w:abstractNum>
  <w:abstractNum w:abstractNumId="141">
    <w:nsid w:val="75B52783"/>
    <w:multiLevelType w:val="hybridMultilevel"/>
    <w:lvl w:ilvl="0">
      <w:lvlJc w:val="left"/>
      <w:lvlText w:val="%1."/>
      <w:numFmt w:val="decimal"/>
      <w:start w:val="2"/>
    </w:lvl>
  </w:abstractNum>
  <w:abstractNum w:abstractNumId="142">
    <w:nsid w:val="57CE66B4"/>
    <w:multiLevelType w:val="hybridMultilevel"/>
    <w:lvl w:ilvl="0">
      <w:lvlJc w:val="left"/>
      <w:lvlText w:val="A"/>
      <w:numFmt w:val="bullet"/>
      <w:start w:val="1"/>
    </w:lvl>
  </w:abstractNum>
  <w:abstractNum w:abstractNumId="143">
    <w:nsid w:val="67A70B69"/>
    <w:multiLevelType w:val="hybridMultilevel"/>
    <w:lvl w:ilvl="0">
      <w:lvlJc w:val="left"/>
      <w:lvlText w:val="(%1)"/>
      <w:numFmt w:val="lowerLetter"/>
      <w:start w:val="3"/>
    </w:lvl>
  </w:abstractNum>
  <w:abstractNum w:abstractNumId="144">
    <w:nsid w:val="5953172F"/>
    <w:multiLevelType w:val="hybridMultilevel"/>
    <w:lvl w:ilvl="0">
      <w:lvlJc w:val="left"/>
      <w:lvlText w:val="(%1)"/>
      <w:numFmt w:val="lowerLetter"/>
      <w:start w:val="11"/>
    </w:lvl>
  </w:abstractNum>
  <w:abstractNum w:abstractNumId="145">
    <w:nsid w:val="27EDFE3A"/>
    <w:multiLevelType w:val="hybridMultilevel"/>
    <w:lvl w:ilvl="0">
      <w:lvlJc w:val="left"/>
      <w:lvlText w:val="(%1)"/>
      <w:numFmt w:val="lowerRoman"/>
      <w:start w:val="2"/>
    </w:lvl>
  </w:abstractNum>
  <w:abstractNum w:abstractNumId="146">
    <w:nsid w:val="52AC7DFF"/>
    <w:multiLevelType w:val="hybridMultilevel"/>
    <w:lvl w:ilvl="0">
      <w:lvlJc w:val="left"/>
      <w:lvlText w:val="(%1)"/>
      <w:numFmt w:val="lowerRoman"/>
      <w:start w:val="4"/>
    </w:lvl>
  </w:abstractNum>
  <w:abstractNum w:abstractNumId="147">
    <w:nsid w:val="C4C3AF"/>
    <w:multiLevelType w:val="hybridMultilevel"/>
    <w:lvl w:ilvl="0">
      <w:lvlJc w:val="left"/>
      <w:lvlText w:val="(%1)"/>
      <w:numFmt w:val="lowerRoman"/>
      <w:start w:val="1"/>
    </w:lvl>
  </w:abstractNum>
  <w:abstractNum w:abstractNumId="148">
    <w:nsid w:val="44380727"/>
    <w:multiLevelType w:val="hybridMultilevel"/>
    <w:lvl w:ilvl="0">
      <w:lvlJc w:val="left"/>
      <w:lvlText w:val="(%1)"/>
      <w:numFmt w:val="lowerRoman"/>
      <w:start w:val="3"/>
    </w:lvl>
  </w:abstractNum>
  <w:abstractNum w:abstractNumId="149">
    <w:nsid w:val="6C053B16"/>
    <w:multiLevelType w:val="hybridMultilevel"/>
    <w:lvl w:ilvl="0">
      <w:lvlJc w:val="left"/>
      <w:lvlText w:val="(%1)"/>
      <w:numFmt w:val="lowerLetter"/>
      <w:start w:val="2"/>
    </w:lvl>
  </w:abstractNum>
  <w:abstractNum w:abstractNumId="150">
    <w:nsid w:val="4F294393"/>
    <w:multiLevelType w:val="hybridMultilevel"/>
    <w:lvl w:ilvl="0">
      <w:lvlJc w:val="left"/>
      <w:lvlText w:val="(%1)"/>
      <w:numFmt w:val="lowerLetter"/>
      <w:start w:val="7"/>
    </w:lvl>
  </w:abstractNum>
  <w:abstractNum w:abstractNumId="151">
    <w:nsid w:val="5243BFAC"/>
    <w:multiLevelType w:val="hybridMultilevel"/>
    <w:lvl w:ilvl="0">
      <w:lvlJc w:val="left"/>
      <w:lvlText w:val="(%1)"/>
      <w:numFmt w:val="lowerLetter"/>
      <w:start w:val="4"/>
    </w:lvl>
  </w:abstractNum>
  <w:abstractNum w:abstractNumId="152">
    <w:nsid w:val="425EB207"/>
    <w:multiLevelType w:val="hybridMultilevel"/>
    <w:lvl w:ilvl="0">
      <w:lvlJc w:val="left"/>
      <w:lvlText w:val="(%1)"/>
      <w:numFmt w:val="lowerLetter"/>
      <w:start w:val="25"/>
    </w:lvl>
  </w:abstractNum>
  <w:abstractNum w:abstractNumId="153">
    <w:nsid w:val="334A6F1F"/>
    <w:multiLevelType w:val="hybridMultilevel"/>
    <w:lvl w:ilvl="0">
      <w:lvlJc w:val="left"/>
      <w:lvlText w:val="(%1)"/>
      <w:numFmt w:val="lowerRoman"/>
      <w:start w:val="1"/>
    </w:lvl>
  </w:abstractNum>
  <w:abstractNum w:abstractNumId="154">
    <w:nsid w:val="2E5B12B8"/>
    <w:multiLevelType w:val="hybridMultilevel"/>
    <w:lvl w:ilvl="0">
      <w:lvlJc w:val="left"/>
      <w:lvlText w:val="(%1)"/>
      <w:numFmt w:val="lowerRoman"/>
      <w:start w:val="1"/>
    </w:lvl>
  </w:abstractNum>
  <w:abstractNum w:abstractNumId="155">
    <w:nsid w:val="5C03D76D"/>
    <w:multiLevelType w:val="hybridMultilevel"/>
    <w:lvl w:ilvl="0">
      <w:lvlJc w:val="left"/>
      <w:lvlText w:val="%1"/>
      <w:numFmt w:val="lowerRoman"/>
      <w:start w:val="1"/>
    </w:lvl>
    <w:lvl w:ilvl="1">
      <w:lvlJc w:val="left"/>
      <w:lvlText w:val="(%2)"/>
      <w:numFmt w:val="lowerLetter"/>
      <w:start w:val="1"/>
    </w:lvl>
  </w:abstractNum>
  <w:abstractNum w:abstractNumId="156">
    <w:nsid w:val="66A48D11"/>
    <w:multiLevelType w:val="hybridMultilevel"/>
    <w:lvl w:ilvl="0">
      <w:lvlJc w:val="left"/>
      <w:lvlText w:val="(%1)"/>
      <w:numFmt w:val="lowerRoman"/>
      <w:start w:val="6"/>
    </w:lvl>
    <w:lvl w:ilvl="1">
      <w:lvlJc w:val="left"/>
      <w:lvlText w:val="%2"/>
      <w:numFmt w:val="lowerLetter"/>
      <w:start w:val="1"/>
    </w:lvl>
  </w:abstractNum>
  <w:abstractNum w:abstractNumId="157">
    <w:nsid w:val="56C28E34"/>
    <w:multiLevelType w:val="hybridMultilevel"/>
    <w:lvl w:ilvl="0">
      <w:lvlJc w:val="left"/>
      <w:lvlText w:val="(%1)"/>
      <w:numFmt w:val="lowerLetter"/>
      <w:start w:val="1"/>
    </w:lvl>
  </w:abstractNum>
  <w:abstractNum w:abstractNumId="158">
    <w:nsid w:val="13916F2D"/>
    <w:multiLevelType w:val="hybridMultilevel"/>
    <w:lvl w:ilvl="0">
      <w:lvlJc w:val="left"/>
      <w:lvlText w:val="(%1)"/>
      <w:numFmt w:val="lowerLetter"/>
      <w:start w:val="2"/>
    </w:lvl>
  </w:abstractNum>
  <w:abstractNum w:abstractNumId="159">
    <w:nsid w:val="435D38D"/>
    <w:multiLevelType w:val="hybridMultilevel"/>
    <w:lvl w:ilvl="0">
      <w:lvlJc w:val="left"/>
      <w:lvlText w:val="(%1)"/>
      <w:numFmt w:val="lowerRoman"/>
      <w:start w:val="3"/>
    </w:lvl>
  </w:abstractNum>
  <w:abstractNum w:abstractNumId="160">
    <w:nsid w:val="822C0EF"/>
    <w:multiLevelType w:val="hybridMultilevel"/>
    <w:lvl w:ilvl="0">
      <w:lvlJc w:val="left"/>
      <w:lvlText w:val="(%1)"/>
      <w:numFmt w:val="lowerLetter"/>
      <w:start w:val="1"/>
    </w:lvl>
  </w:abstractNum>
  <w:abstractNum w:abstractNumId="161">
    <w:nsid w:val="57C5BB4F"/>
    <w:multiLevelType w:val="hybridMultilevel"/>
    <w:lvl w:ilvl="0">
      <w:lvlJc w:val="left"/>
      <w:lvlText w:val="(%1)"/>
      <w:numFmt w:val="lowerLetter"/>
      <w:start w:val="1"/>
    </w:lvl>
  </w:abstractNum>
  <w:abstractNum w:abstractNumId="162">
    <w:nsid w:val="1803D089"/>
    <w:multiLevelType w:val="hybridMultilevel"/>
    <w:lvl w:ilvl="0">
      <w:lvlJc w:val="left"/>
      <w:lvlText w:val="(%1)"/>
      <w:numFmt w:val="lowerLetter"/>
      <w:start w:val="1"/>
    </w:lvl>
  </w:abstractNum>
  <w:abstractNum w:abstractNumId="163">
    <w:nsid w:val="4F3A06D4"/>
    <w:multiLevelType w:val="hybridMultilevel"/>
    <w:lvl w:ilvl="0">
      <w:lvlJc w:val="left"/>
      <w:lvlText w:val="(%1)"/>
      <w:numFmt w:val="lowerLetter"/>
      <w:start w:val="1"/>
    </w:lvl>
  </w:abstractNum>
  <w:abstractNum w:abstractNumId="164">
    <w:nsid w:val="59A377B6"/>
    <w:multiLevelType w:val="hybridMultilevel"/>
    <w:lvl w:ilvl="0">
      <w:lvlJc w:val="left"/>
      <w:lvlText w:val="(%1)"/>
      <w:numFmt w:val="lowerLetter"/>
      <w:start w:val="1"/>
    </w:lvl>
  </w:abstractNum>
  <w:abstractNum w:abstractNumId="165">
    <w:nsid w:val="48AEB063"/>
    <w:multiLevelType w:val="hybridMultilevel"/>
    <w:lvl w:ilvl="0">
      <w:lvlJc w:val="left"/>
      <w:lvlText w:val="(%1)"/>
      <w:numFmt w:val="lowerLetter"/>
      <w:start w:val="1"/>
    </w:lvl>
  </w:abstractNum>
  <w:abstractNum w:abstractNumId="166">
    <w:nsid w:val="24E135"/>
    <w:multiLevelType w:val="hybridMultilevel"/>
    <w:lvl w:ilvl="0">
      <w:lvlJc w:val="left"/>
      <w:lvlText w:val="(%1)"/>
      <w:numFmt w:val="lowerLetter"/>
      <w:start w:val="1"/>
    </w:lvl>
  </w:abstractNum>
  <w:abstractNum w:abstractNumId="167">
    <w:nsid w:val="BB13C1"/>
    <w:multiLevelType w:val="hybridMultilevel"/>
    <w:lvl w:ilvl="0">
      <w:lvlJc w:val="left"/>
      <w:lvlText w:val="(%1)"/>
      <w:numFmt w:val="lowerLetter"/>
      <w:start w:val="4"/>
    </w:lvl>
  </w:abstractNum>
  <w:abstractNum w:abstractNumId="168">
    <w:nsid w:val="271210C7"/>
    <w:multiLevelType w:val="hybridMultilevel"/>
    <w:lvl w:ilvl="0">
      <w:lvlJc w:val="left"/>
      <w:lvlText w:val="(%1)"/>
      <w:numFmt w:val="lowerLetter"/>
      <w:start w:val="1"/>
    </w:lvl>
    <w:lvl w:ilvl="1">
      <w:lvlJc w:val="left"/>
      <w:lvlText w:val="(%2)"/>
      <w:numFmt w:val="lowerRoman"/>
      <w:start w:val="1"/>
    </w:lvl>
  </w:abstractNum>
  <w:abstractNum w:abstractNumId="169">
    <w:nsid w:val="217B22E4"/>
    <w:multiLevelType w:val="hybridMultilevel"/>
    <w:lvl w:ilvl="0">
      <w:lvlJc w:val="left"/>
      <w:lvlText w:val="(%1)"/>
      <w:numFmt w:val="lowerRoman"/>
      <w:start w:val="3"/>
    </w:lvl>
  </w:abstractNum>
  <w:abstractNum w:abstractNumId="170">
    <w:nsid w:val="53E31A24"/>
    <w:multiLevelType w:val="hybridMultilevel"/>
    <w:lvl w:ilvl="0">
      <w:lvlJc w:val="left"/>
      <w:lvlText w:val="(%1)"/>
      <w:numFmt w:val="lowerLetter"/>
      <w:start w:val="2"/>
    </w:lvl>
  </w:abstractNum>
  <w:abstractNum w:abstractNumId="171">
    <w:nsid w:val="6DC45E83"/>
    <w:multiLevelType w:val="hybridMultilevel"/>
    <w:lvl w:ilvl="0">
      <w:lvlJc w:val="left"/>
      <w:lvlText w:val="(%1)"/>
      <w:numFmt w:val="lowerLetter"/>
      <w:start w:val="4"/>
    </w:lvl>
  </w:abstractNum>
  <w:abstractNum w:abstractNumId="172">
    <w:nsid w:val="17304A67"/>
    <w:multiLevelType w:val="hybridMultilevel"/>
    <w:lvl w:ilvl="0">
      <w:lvlJc w:val="left"/>
      <w:lvlText w:val="(%1)"/>
      <w:numFmt w:val="lowerLetter"/>
      <w:start w:val="1"/>
    </w:lvl>
  </w:abstractNum>
  <w:abstractNum w:abstractNumId="173">
    <w:nsid w:val="2BB180D8"/>
    <w:multiLevelType w:val="hybridMultilevel"/>
    <w:lvl w:ilvl="0">
      <w:lvlJc w:val="left"/>
      <w:lvlText w:val="(%1)"/>
      <w:numFmt w:val="lowerLetter"/>
      <w:start w:val="5"/>
    </w:lvl>
  </w:abstractNum>
  <w:abstractNum w:abstractNumId="174">
    <w:nsid w:val="556B69ED"/>
    <w:multiLevelType w:val="hybridMultilevel"/>
    <w:lvl w:ilvl="0">
      <w:lvlJc w:val="left"/>
      <w:lvlText w:val="%1"/>
      <w:numFmt w:val="lowerLetter"/>
      <w:start w:val="1"/>
    </w:lvl>
    <w:lvl w:ilvl="1">
      <w:lvlJc w:val="left"/>
      <w:lvlText w:val="(%2)"/>
      <w:numFmt w:val="lowerLetter"/>
      <w:start w:val="6"/>
    </w:lvl>
  </w:abstractNum>
  <w:abstractNum w:abstractNumId="175">
    <w:nsid w:val="70836196"/>
    <w:multiLevelType w:val="hybridMultilevel"/>
    <w:lvl w:ilvl="0">
      <w:lvlJc w:val="left"/>
      <w:lvlText w:val="(%1)"/>
      <w:numFmt w:val="lowerLetter"/>
      <w:start w:val="6"/>
    </w:lvl>
    <w:lvl w:ilvl="1">
      <w:lvlJc w:val="left"/>
      <w:lvlText w:val="(%2)"/>
      <w:numFmt w:val="lowerLetter"/>
      <w:start w:val="7"/>
    </w:lvl>
  </w:abstractNum>
  <w:abstractNum w:abstractNumId="176">
    <w:nsid w:val="539F7F12"/>
    <w:multiLevelType w:val="hybridMultilevel"/>
    <w:lvl w:ilvl="0">
      <w:lvlJc w:val="left"/>
      <w:lvlText w:val="(%1)"/>
      <w:numFmt w:val="lowerLetter"/>
      <w:start w:val="9"/>
    </w:lvl>
  </w:abstractNum>
  <w:abstractNum w:abstractNumId="177">
    <w:nsid w:val="2817E7EC"/>
    <w:multiLevelType w:val="hybridMultilevel"/>
    <w:lvl w:ilvl="0">
      <w:lvlJc w:val="left"/>
      <w:lvlText w:val="(%1)"/>
      <w:numFmt w:val="lowerLetter"/>
      <w:start w:val="1"/>
    </w:lvl>
  </w:abstractNum>
  <w:abstractNum w:abstractNumId="178">
    <w:nsid w:val="71482545"/>
    <w:multiLevelType w:val="hybridMultilevel"/>
    <w:lvl w:ilvl="0">
      <w:lvlJc w:val="left"/>
      <w:lvlText w:val="%1"/>
      <w:numFmt w:val="upperLetter"/>
      <w:start w:val="1"/>
    </w:lvl>
    <w:lvl w:ilvl="1">
      <w:lvlJc w:val="left"/>
      <w:lvlText w:val="(%2)"/>
      <w:numFmt w:val="lowerRoman"/>
      <w:start w:val="1"/>
    </w:lvl>
  </w:abstractNum>
  <w:abstractNum w:abstractNumId="179">
    <w:nsid w:val="17D78639"/>
    <w:multiLevelType w:val="hybridMultilevel"/>
    <w:lvl w:ilvl="0">
      <w:lvlJc w:val="left"/>
      <w:lvlText w:val="(%1)"/>
      <w:numFmt w:val="upperLetter"/>
      <w:start w:val="2"/>
    </w:lvl>
    <w:lvl w:ilvl="1">
      <w:lvlJc w:val="left"/>
      <w:lvlText w:val="%2"/>
      <w:numFmt w:val="lowerRoman"/>
      <w:start w:val="1"/>
    </w:lvl>
  </w:abstractNum>
  <w:abstractNum w:abstractNumId="180">
    <w:nsid w:val="141D2302"/>
    <w:multiLevelType w:val="hybridMultilevel"/>
    <w:lvl w:ilvl="0">
      <w:lvlJc w:val="left"/>
      <w:lvlText w:val="(%1)"/>
      <w:numFmt w:val="lowerRoman"/>
      <w:start w:val="4"/>
    </w:lvl>
  </w:abstractNum>
  <w:abstractNum w:abstractNumId="181">
    <w:nsid w:val="407168D8"/>
    <w:multiLevelType w:val="hybridMultilevel"/>
    <w:lvl w:ilvl="0">
      <w:lvlJc w:val="left"/>
      <w:lvlText w:val="(%1)"/>
      <w:numFmt w:val="decimal"/>
      <w:start w:val="1"/>
    </w:lvl>
  </w:abstractNum>
  <w:abstractNum w:abstractNumId="182">
    <w:nsid w:val="6A1B45E5"/>
    <w:multiLevelType w:val="hybridMultilevel"/>
    <w:lvl w:ilvl="0">
      <w:lvlJc w:val="left"/>
      <w:lvlText w:val="(%1)"/>
      <w:numFmt w:val="decimal"/>
      <w:start w:val="1"/>
    </w:lvl>
  </w:abstractNum>
  <w:abstractNum w:abstractNumId="183">
    <w:nsid w:val="567BD50A"/>
    <w:multiLevelType w:val="hybridMultilevel"/>
    <w:lvl w:ilvl="0">
      <w:lvlJc w:val="left"/>
      <w:lvlText w:val="(%1)"/>
      <w:numFmt w:val="decimal"/>
      <w:start w:val="2"/>
    </w:lvl>
  </w:abstractNum>
  <w:abstractNum w:abstractNumId="184">
    <w:nsid w:val="73BBD7F8"/>
    <w:multiLevelType w:val="hybridMultilevel"/>
    <w:lvl w:ilvl="0">
      <w:lvlJc w:val="left"/>
      <w:lvlText w:val="(%1)"/>
      <w:numFmt w:val="decimal"/>
      <w:start w:val="1"/>
    </w:lvl>
  </w:abstractNum>
  <w:abstractNum w:abstractNumId="185">
    <w:nsid w:val="1876589D"/>
    <w:multiLevelType w:val="hybridMultilevel"/>
    <w:lvl w:ilvl="0">
      <w:lvlJc w:val="left"/>
      <w:lvlText w:val="(%1)"/>
      <w:numFmt w:val="decimal"/>
      <w:start w:val="3"/>
    </w:lvl>
  </w:abstractNum>
  <w:abstractNum w:abstractNumId="186">
    <w:nsid w:val="327FAC77"/>
    <w:multiLevelType w:val="hybridMultilevel"/>
    <w:lvl w:ilvl="0">
      <w:lvlJc w:val="left"/>
      <w:lvlText w:val="(%1)"/>
      <w:numFmt w:val="lowerLetter"/>
      <w:start w:val="1"/>
    </w:lvl>
    <w:lvl w:ilvl="1">
      <w:lvlJc w:val="left"/>
      <w:lvlText w:val="(%2)"/>
      <w:numFmt w:val="lowerRoman"/>
      <w:start w:val="1"/>
    </w:lvl>
  </w:abstractNum>
  <w:abstractNum w:abstractNumId="187">
    <w:nsid w:val="5A606509"/>
    <w:multiLevelType w:val="hybridMultilevel"/>
    <w:lvl w:ilvl="0">
      <w:lvlJc w:val="left"/>
      <w:lvlText w:val="%1"/>
      <w:numFmt w:val="lowerLetter"/>
      <w:start w:val="1"/>
    </w:lvl>
    <w:lvl w:ilvl="1">
      <w:lvlJc w:val="left"/>
      <w:lvlText w:val="(%2)"/>
      <w:numFmt w:val="lowerLetter"/>
      <w:start w:val="1"/>
    </w:lvl>
  </w:abstractNum>
  <w:abstractNum w:abstractNumId="188">
    <w:nsid w:val="6F38E6D1"/>
    <w:multiLevelType w:val="hybridMultilevel"/>
    <w:lvl w:ilvl="0">
      <w:lvlJc w:val="left"/>
      <w:lvlText w:val="(%1)"/>
      <w:numFmt w:val="lowerLetter"/>
      <w:start w:val="61"/>
    </w:lvl>
    <w:lvl w:ilvl="1">
      <w:lvlJc w:val="left"/>
      <w:lvlText w:val="(%2)"/>
      <w:numFmt w:val="lowerLetter"/>
      <w:start w:val="2"/>
    </w:lvl>
  </w:abstractNum>
  <w:abstractNum w:abstractNumId="189">
    <w:nsid w:val="46111BA5"/>
    <w:multiLevelType w:val="hybridMultilevel"/>
    <w:lvl w:ilvl="0">
      <w:lvlJc w:val="left"/>
      <w:lvlText w:val="(%1)"/>
      <w:numFmt w:val="lowerLetter"/>
      <w:start w:val="4"/>
    </w:lvl>
  </w:abstractNum>
  <w:abstractNum w:abstractNumId="190">
    <w:nsid w:val="5E963896"/>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91">
    <w:nsid w:val="775BA7C1"/>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5"/>
    </w:lvl>
  </w:abstractNum>
  <w:abstractNum w:abstractNumId="192">
    <w:nsid w:val="1DD6D6F4"/>
    <w:multiLevelType w:val="hybridMultilevel"/>
    <w:lvl w:ilvl="0">
      <w:lvlJc w:val="left"/>
      <w:lvlText w:val="(%1)"/>
      <w:numFmt w:val="lowerLetter"/>
      <w:start w:val="1"/>
    </w:lvl>
  </w:abstractNum>
  <w:abstractNum w:abstractNumId="193">
    <w:nsid w:val="769A091F"/>
    <w:multiLevelType w:val="hybridMultilevel"/>
    <w:lvl w:ilvl="0">
      <w:lvlJc w:val="left"/>
      <w:lvlText w:val="(%1)"/>
      <w:numFmt w:val="lowerLetter"/>
      <w:start w:val="1"/>
    </w:lvl>
  </w:abstractNum>
  <w:abstractNum w:abstractNumId="194">
    <w:nsid w:val="4695AE95"/>
    <w:multiLevelType w:val="hybridMultilevel"/>
    <w:lvl w:ilvl="0">
      <w:lvlJc w:val="left"/>
      <w:lvlText w:val="(%1)"/>
      <w:numFmt w:val="lowerLetter"/>
      <w:start w:val="2"/>
    </w:lvl>
    <w:lvl w:ilvl="1">
      <w:lvlJc w:val="left"/>
      <w:lvlText w:val="(%2)"/>
      <w:numFmt w:val="lowerRoman"/>
      <w:start w:val="1"/>
    </w:lvl>
  </w:abstractNum>
  <w:abstractNum w:abstractNumId="195">
    <w:nsid w:val="777A4EAA"/>
    <w:multiLevelType w:val="hybridMultilevel"/>
    <w:lvl w:ilvl="0">
      <w:lvlJc w:val="left"/>
      <w:lvlText w:val="(%1)"/>
      <w:numFmt w:val="lowerLetter"/>
      <w:start w:val="5"/>
    </w:lvl>
  </w:abstractNum>
  <w:abstractNum w:abstractNumId="196">
    <w:nsid w:val="3F48B982"/>
    <w:multiLevelType w:val="hybridMultilevel"/>
    <w:lvl w:ilvl="0">
      <w:lvlJc w:val="left"/>
      <w:lvlText w:val="(%1)"/>
      <w:numFmt w:val="lowerLetter"/>
      <w:start w:val="3"/>
    </w:lvl>
  </w:abstractNum>
  <w:abstractNum w:abstractNumId="197">
    <w:nsid w:val="46BA8FCA"/>
    <w:multiLevelType w:val="hybridMultilevel"/>
    <w:lvl w:ilvl="0">
      <w:lvlJc w:val="left"/>
      <w:lvlText w:val="(%1)"/>
      <w:numFmt w:val="lowerLetter"/>
      <w:start w:val="1"/>
    </w:lvl>
  </w:abstractNum>
  <w:abstractNum w:abstractNumId="198">
    <w:nsid w:val="7835626C"/>
    <w:multiLevelType w:val="hybridMultilevel"/>
    <w:lvl w:ilvl="0">
      <w:lvlJc w:val="left"/>
      <w:lvlText w:val="(%1)"/>
      <w:numFmt w:val="lowerLetter"/>
      <w:start w:val="2"/>
    </w:lvl>
  </w:abstractNum>
  <w:abstractNum w:abstractNumId="199">
    <w:nsid w:val="665ACA49"/>
    <w:multiLevelType w:val="hybridMultilevel"/>
    <w:lvl w:ilvl="0">
      <w:lvlJc w:val="left"/>
      <w:lvlText w:val="%1"/>
      <w:numFmt w:val="lowerLetter"/>
      <w:start w:val="1"/>
    </w:lvl>
    <w:lvl w:ilvl="1">
      <w:lvlJc w:val="left"/>
      <w:lvlText w:val="(%2)"/>
      <w:numFmt w:val="lowerLetter"/>
      <w:start w:val="11"/>
    </w:lvl>
  </w:abstractNum>
  <w:abstractNum w:abstractNumId="200">
    <w:nsid w:val="6835B2AE"/>
    <w:multiLevelType w:val="hybridMultilevel"/>
    <w:lvl w:ilvl="0">
      <w:lvlJc w:val="left"/>
      <w:lvlText w:val="(%1)"/>
      <w:numFmt w:val="lowerLetter"/>
      <w:start w:val="9"/>
    </w:lvl>
    <w:lvl w:ilvl="1">
      <w:lvlJc w:val="left"/>
      <w:lvlText w:val="(%2)"/>
      <w:numFmt w:val="lowerLetter"/>
      <w:start w:val="12"/>
    </w:lvl>
  </w:abstractNum>
  <w:abstractNum w:abstractNumId="201">
    <w:nsid w:val="4C187C90"/>
    <w:multiLevelType w:val="hybridMultilevel"/>
    <w:lvl w:ilvl="0">
      <w:lvlJc w:val="left"/>
      <w:lvlText w:val="(%1)"/>
      <w:numFmt w:val="lowerLetter"/>
      <w:start w:val="1"/>
    </w:lvl>
  </w:abstractNum>
  <w:abstractNum w:abstractNumId="202">
    <w:nsid w:val="541F28CD"/>
    <w:multiLevelType w:val="hybridMultilevel"/>
    <w:lvl w:ilvl="0">
      <w:lvlJc w:val="left"/>
      <w:lvlText w:val="(%1)"/>
      <w:numFmt w:val="lowerLetter"/>
      <w:start w:val="2"/>
    </w:lvl>
  </w:abstractNum>
  <w:abstractNum w:abstractNumId="203">
    <w:nsid w:val="7F65FD16"/>
    <w:multiLevelType w:val="hybridMultilevel"/>
    <w:lvl w:ilvl="0">
      <w:lvlJc w:val="left"/>
      <w:lvlText w:val="(%1)"/>
      <w:numFmt w:val="lowerLetter"/>
      <w:start w:val="1"/>
    </w:lvl>
  </w:abstractNum>
  <w:abstractNum w:abstractNumId="204">
    <w:nsid w:val="77C9FD68"/>
    <w:multiLevelType w:val="hybridMultilevel"/>
    <w:lvl w:ilvl="0">
      <w:lvlJc w:val="left"/>
      <w:lvlText w:val="(%1)"/>
      <w:numFmt w:val="lowerLetter"/>
      <w:start w:val="1"/>
    </w:lvl>
  </w:abstractNum>
  <w:abstractNum w:abstractNumId="205">
    <w:nsid w:val="298A92BA"/>
    <w:multiLevelType w:val="hybridMultilevel"/>
    <w:lvl w:ilvl="0">
      <w:lvlJc w:val="left"/>
      <w:lvlText w:val="(%1)"/>
      <w:numFmt w:val="lowerLetter"/>
      <w:start w:val="3"/>
    </w:lvl>
  </w:abstractNum>
  <w:abstractNum w:abstractNumId="206">
    <w:nsid w:val="6FE95EAC"/>
    <w:multiLevelType w:val="hybridMultilevel"/>
    <w:lvl w:ilvl="0">
      <w:lvlJc w:val="left"/>
      <w:lvlText w:val="(%1)"/>
      <w:numFmt w:val="lowerLetter"/>
      <w:start w:val="2"/>
    </w:lvl>
  </w:abstractNum>
  <w:abstractNum w:abstractNumId="207">
    <w:nsid w:val="4B697C7A"/>
    <w:multiLevelType w:val="hybridMultilevel"/>
    <w:lvl w:ilvl="0">
      <w:lvlJc w:val="left"/>
      <w:lvlText w:val="(%1)"/>
      <w:numFmt w:val="lowerLetter"/>
      <w:start w:val="1"/>
    </w:lvl>
  </w:abstractNum>
  <w:abstractNum w:abstractNumId="208">
    <w:nsid w:val="51A27AA6"/>
    <w:multiLevelType w:val="hybridMultilevel"/>
    <w:lvl w:ilvl="0">
      <w:lvlJc w:val="left"/>
      <w:lvlText w:val="(%1)"/>
      <w:numFmt w:val="lowerLetter"/>
      <w:start w:val="1"/>
    </w:lvl>
  </w:abstractNum>
  <w:abstractNum w:abstractNumId="209">
    <w:nsid w:val="613183F2"/>
    <w:multiLevelType w:val="hybridMultilevel"/>
    <w:lvl w:ilvl="0">
      <w:lvlJc w:val="left"/>
      <w:lvlText w:val="(%1)"/>
      <w:numFmt w:val="upperLetter"/>
      <w:start w:val="2"/>
    </w:lvl>
  </w:abstractNum>
  <w:abstractNum w:abstractNumId="210">
    <w:nsid w:val="634102B4"/>
    <w:multiLevelType w:val="hybridMultilevel"/>
    <w:lvl w:ilvl="0">
      <w:lvlJc w:val="left"/>
      <w:lvlText w:val="(%1)"/>
      <w:numFmt w:val="lowerLetter"/>
      <w:start w:val="2"/>
    </w:lvl>
  </w:abstractNum>
  <w:abstractNum w:abstractNumId="211">
    <w:nsid w:val="65BF9DA8"/>
    <w:multiLevelType w:val="hybridMultilevel"/>
    <w:lvl w:ilvl="0">
      <w:lvlJc w:val="left"/>
      <w:lvlText w:val="(%1)"/>
      <w:numFmt w:val="lowerLetter"/>
      <w:start w:val="1"/>
    </w:lvl>
  </w:abstractNum>
  <w:abstractNum w:abstractNumId="212">
    <w:nsid w:val="21A2ECCA"/>
    <w:multiLevelType w:val="hybridMultilevel"/>
    <w:lvl w:ilvl="0">
      <w:lvlJc w:val="left"/>
      <w:lvlText w:val="(%1)"/>
      <w:numFmt w:val="lowerLetter"/>
      <w:start w:val="5"/>
    </w:lvl>
  </w:abstractNum>
  <w:abstractNum w:abstractNumId="213">
    <w:nsid w:val="4D5C4899"/>
    <w:multiLevelType w:val="hybridMultilevel"/>
    <w:lvl w:ilvl="0">
      <w:lvlJc w:val="left"/>
      <w:lvlText w:val="(%1)"/>
      <w:numFmt w:val="lowerLetter"/>
      <w:start w:val="1"/>
    </w:lvl>
  </w:abstractNum>
  <w:abstractNum w:abstractNumId="214">
    <w:nsid w:val="3C3B72B2"/>
    <w:multiLevelType w:val="hybridMultilevel"/>
    <w:lvl w:ilvl="0">
      <w:lvlJc w:val="left"/>
      <w:lvlText w:val="(%1)"/>
      <w:numFmt w:val="lowerLetter"/>
      <w:start w:val="5"/>
    </w:lvl>
  </w:abstractNum>
  <w:abstractNum w:abstractNumId="215">
    <w:nsid w:val="155EC4C2"/>
    <w:multiLevelType w:val="hybridMultilevel"/>
    <w:lvl w:ilvl="0">
      <w:lvlJc w:val="left"/>
      <w:lvlText w:val="(%1)"/>
      <w:numFmt w:val="lowerLetter"/>
      <w:start w:val="1"/>
    </w:lvl>
  </w:abstractNum>
  <w:abstractNum w:abstractNumId="216">
    <w:nsid w:val="65D2A137"/>
    <w:multiLevelType w:val="hybridMultilevel"/>
    <w:lvl w:ilvl="0">
      <w:lvlJc w:val="left"/>
      <w:lvlText w:val="(%1)"/>
      <w:numFmt w:val="lowerLetter"/>
      <w:start w:val="1"/>
    </w:lvl>
  </w:abstractNum>
  <w:abstractNum w:abstractNumId="217">
    <w:nsid w:val="6EBB1F2A"/>
    <w:multiLevelType w:val="hybridMultilevel"/>
    <w:lvl w:ilvl="0">
      <w:lvlJc w:val="left"/>
      <w:lvlText w:val="(%1)"/>
      <w:numFmt w:val="lowerLetter"/>
      <w:start w:val="1"/>
    </w:lvl>
  </w:abstractNum>
  <w:abstractNum w:abstractNumId="218">
    <w:nsid w:val="6FBF29CB"/>
    <w:multiLevelType w:val="hybridMultilevel"/>
    <w:lvl w:ilvl="0">
      <w:lvlJc w:val="left"/>
      <w:lvlText w:val="(%1)"/>
      <w:numFmt w:val="lowerLetter"/>
      <w:start w:val="1"/>
    </w:lvl>
  </w:abstractNum>
  <w:abstractNum w:abstractNumId="219">
    <w:nsid w:val="550B8808"/>
    <w:multiLevelType w:val="hybridMultilevel"/>
    <w:lvl w:ilvl="0">
      <w:lvlJc w:val="left"/>
      <w:lvlText w:val="%1"/>
      <w:numFmt w:val="lowerLetter"/>
      <w:start w:val="1"/>
    </w:lvl>
    <w:lvl w:ilvl="1">
      <w:lvlJc w:val="left"/>
      <w:lvlText w:val="(%2)"/>
      <w:numFmt w:val="lowerLetter"/>
      <w:start w:val="5"/>
    </w:lvl>
  </w:abstractNum>
  <w:abstractNum w:abstractNumId="220">
    <w:nsid w:val="34CC3ACF"/>
    <w:multiLevelType w:val="hybridMultilevel"/>
    <w:lvl w:ilvl="0">
      <w:lvlJc w:val="left"/>
      <w:lvlText w:val="(%1)"/>
      <w:numFmt w:val="lowerLetter"/>
      <w:start w:val="61"/>
    </w:lvl>
    <w:lvl w:ilvl="1">
      <w:lvlJc w:val="left"/>
      <w:lvlText w:val="(%2)"/>
      <w:numFmt w:val="lowerLetter"/>
      <w:start w:val="7"/>
    </w:lvl>
  </w:abstractNum>
  <w:abstractNum w:abstractNumId="221">
    <w:nsid w:val="4E556261"/>
    <w:multiLevelType w:val="hybridMultilevel"/>
    <w:lvl w:ilvl="0">
      <w:lvlJc w:val="left"/>
      <w:lvlText w:val="%1"/>
      <w:numFmt w:val="lowerLetter"/>
      <w:start w:val="1"/>
    </w:lvl>
    <w:lvl w:ilvl="1">
      <w:lvlJc w:val="left"/>
      <w:lvlText w:val="(%2)"/>
      <w:numFmt w:val="lowerLetter"/>
      <w:start w:val="9"/>
    </w:lvl>
  </w:abstractNum>
  <w:abstractNum w:abstractNumId="222">
    <w:nsid w:val="4C672FC9"/>
    <w:multiLevelType w:val="hybridMultilevel"/>
    <w:lvl w:ilvl="0">
      <w:lvlJc w:val="left"/>
      <w:lvlText w:val="(%1)"/>
      <w:numFmt w:val="lowerLetter"/>
      <w:start w:val="24"/>
    </w:lvl>
    <w:lvl w:ilvl="1">
      <w:lvlJc w:val="left"/>
      <w:lvlText w:val="%2"/>
      <w:numFmt w:val="lowerLetter"/>
      <w:start w:val="1"/>
    </w:lvl>
  </w:abstractNum>
  <w:abstractNum w:abstractNumId="223">
    <w:nsid w:val="52A311C3"/>
    <w:multiLevelType w:val="hybridMultilevel"/>
    <w:lvl w:ilvl="0">
      <w:lvlJc w:val="left"/>
      <w:lvlText w:val="(%1)"/>
      <w:numFmt w:val="lowerLetter"/>
      <w:start w:val="61"/>
    </w:lvl>
    <w:lvl w:ilvl="1">
      <w:lvlJc w:val="left"/>
      <w:lvlText w:val="%2"/>
      <w:numFmt w:val="lowerLetter"/>
      <w:start w:val="1"/>
    </w:lvl>
  </w:abstractNum>
  <w:abstractNum w:abstractNumId="224">
    <w:nsid w:val="44EF6B80"/>
    <w:multiLevelType w:val="hybridMultilevel"/>
    <w:lvl w:ilvl="0">
      <w:lvlJc w:val="left"/>
      <w:lvlText w:val="(%1)"/>
      <w:numFmt w:val="lowerLetter"/>
      <w:start w:val="1"/>
    </w:lvl>
    <w:lvl w:ilvl="1">
      <w:lvlJc w:val="left"/>
      <w:lvlText w:val="(%2)"/>
      <w:numFmt w:val="lowerRoman"/>
      <w:start w:val="1"/>
    </w:lvl>
  </w:abstractNum>
  <w:abstractNum w:abstractNumId="225">
    <w:nsid w:val="12FCDE5E"/>
    <w:multiLevelType w:val="hybridMultilevel"/>
    <w:lvl w:ilvl="0">
      <w:lvlJc w:val="left"/>
      <w:lvlText w:val="%1"/>
      <w:numFmt w:val="lowerRoman"/>
      <w:start w:val="1"/>
    </w:lvl>
    <w:lvl w:ilvl="1">
      <w:lvlJc w:val="left"/>
      <w:lvlText w:val="(%2)"/>
      <w:numFmt w:val="lowerLetter"/>
      <w:start w:val="2"/>
    </w:lvl>
  </w:abstractNum>
  <w:abstractNum w:abstractNumId="226">
    <w:nsid w:val="4A1D606E"/>
    <w:multiLevelType w:val="hybridMultilevel"/>
    <w:lvl w:ilvl="0">
      <w:lvlJc w:val="left"/>
      <w:lvlText w:val="(%1)"/>
      <w:numFmt w:val="lowerRoman"/>
      <w:start w:val="1"/>
    </w:lvl>
    <w:lvl w:ilvl="1">
      <w:lvlJc w:val="left"/>
      <w:lvlText w:val="%2"/>
      <w:numFmt w:val="lowerLetter"/>
      <w:start w:val="1"/>
    </w:lvl>
  </w:abstractNum>
  <w:abstractNum w:abstractNumId="227">
    <w:nsid w:val="4382503"/>
    <w:multiLevelType w:val="hybridMultilevel"/>
    <w:lvl w:ilvl="0">
      <w:lvlJc w:val="left"/>
      <w:lvlText w:val="(%1)"/>
      <w:numFmt w:val="lowerLetter"/>
      <w:start w:val="2"/>
    </w:lvl>
  </w:abstractNum>
  <w:abstractNum w:abstractNumId="228">
    <w:nsid w:val="59B76E28"/>
    <w:multiLevelType w:val="hybridMultilevel"/>
    <w:lvl w:ilvl="0">
      <w:lvlJc w:val="left"/>
      <w:lvlText w:val="(%1)"/>
      <w:numFmt w:val="lowerLetter"/>
      <w:start w:val="1"/>
    </w:lvl>
    <w:lvl w:ilvl="1">
      <w:lvlJc w:val="left"/>
      <w:lvlText w:val="(%2)"/>
      <w:numFmt w:val="lowerRoman"/>
      <w:start w:val="1"/>
    </w:lvl>
  </w:abstractNum>
  <w:abstractNum w:abstractNumId="229">
    <w:nsid w:val="4252C2DA"/>
    <w:multiLevelType w:val="hybridMultilevel"/>
    <w:lvl w:ilvl="0">
      <w:lvlJc w:val="left"/>
      <w:lvlText w:val="(%1)"/>
      <w:numFmt w:val="lowerLetter"/>
      <w:start w:val="1"/>
    </w:lvl>
  </w:abstractNum>
  <w:abstractNum w:abstractNumId="230">
    <w:nsid w:val="6A92EF4C"/>
    <w:multiLevelType w:val="hybridMultilevel"/>
    <w:lvl w:ilvl="0">
      <w:lvlJc w:val="left"/>
      <w:lvlText w:val="%1"/>
      <w:numFmt w:val="lowerLetter"/>
      <w:start w:val="1"/>
    </w:lvl>
    <w:lvl w:ilvl="1">
      <w:lvlJc w:val="left"/>
      <w:lvlText w:val="(%2)"/>
      <w:numFmt w:val="lowerRoman"/>
      <w:start w:val="1"/>
    </w:lvl>
  </w:abstractNum>
  <w:abstractNum w:abstractNumId="231">
    <w:nsid w:val="41ED20D7"/>
    <w:multiLevelType w:val="hybridMultilevel"/>
    <w:lvl w:ilvl="0">
      <w:lvlJc w:val="left"/>
      <w:lvlText w:val="(%1)"/>
      <w:numFmt w:val="lowerLetter"/>
      <w:start w:val="3"/>
    </w:lvl>
    <w:lvl w:ilvl="1">
      <w:lvlJc w:val="left"/>
      <w:lvlText w:val="%2"/>
      <w:numFmt w:val="lowerRoman"/>
      <w:start w:val="1"/>
    </w:lvl>
  </w:abstractNum>
  <w:abstractNum w:abstractNumId="232">
    <w:nsid w:val="E6B3F6A"/>
    <w:multiLevelType w:val="hybridMultilevel"/>
    <w:lvl w:ilvl="0">
      <w:lvlJc w:val="left"/>
      <w:lvlText w:val="(%1)"/>
      <w:numFmt w:val="lowerLetter"/>
      <w:start w:val="5"/>
    </w:lvl>
  </w:abstractNum>
  <w:abstractNum w:abstractNumId="233">
    <w:nsid w:val="3EB21819"/>
    <w:multiLevelType w:val="hybridMultilevel"/>
    <w:lvl w:ilvl="0">
      <w:lvlJc w:val="left"/>
      <w:lvlText w:val="(%1)"/>
      <w:numFmt w:val="lowerLetter"/>
      <w:start w:val="1"/>
    </w:lvl>
  </w:abstractNum>
  <w:abstractNum w:abstractNumId="234">
    <w:nsid w:val="41531DED"/>
    <w:multiLevelType w:val="hybridMultilevel"/>
    <w:lvl w:ilvl="0">
      <w:lvlJc w:val="left"/>
      <w:lvlText w:val="(%1)"/>
      <w:numFmt w:val="lowerRoman"/>
      <w:start w:val="1"/>
    </w:lvl>
  </w:abstractNum>
  <w:abstractNum w:abstractNumId="235">
    <w:nsid w:val="6353CD2"/>
    <w:multiLevelType w:val="hybridMultilevel"/>
    <w:lvl w:ilvl="0">
      <w:lvlJc w:val="left"/>
      <w:lvlText w:val="(%1)"/>
      <w:numFmt w:val="lowerLetter"/>
      <w:start w:val="2"/>
    </w:lvl>
  </w:abstractNum>
  <w:abstractNum w:abstractNumId="236">
    <w:nsid w:val="683CAAD3"/>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237">
    <w:nsid w:val="313C7C99"/>
    <w:multiLevelType w:val="hybridMultilevel"/>
    <w:lvl w:ilvl="0">
      <w:lvlJc w:val="left"/>
      <w:lvlText w:val="(%1)"/>
      <w:numFmt w:val="lowerRoman"/>
      <w:start w:val="2"/>
    </w:lvl>
  </w:abstractNum>
  <w:abstractNum w:abstractNumId="238">
    <w:nsid w:val="519EB94C"/>
    <w:multiLevelType w:val="hybridMultilevel"/>
    <w:lvl w:ilvl="0">
      <w:lvlJc w:val="left"/>
      <w:lvlText w:val="(%1)"/>
      <w:numFmt w:val="lowerLetter"/>
      <w:start w:val="1"/>
    </w:lvl>
  </w:abstractNum>
  <w:abstractNum w:abstractNumId="239">
    <w:nsid w:val="39DF2579"/>
    <w:multiLevelType w:val="hybridMultilevel"/>
    <w:lvl w:ilvl="0">
      <w:lvlJc w:val="left"/>
      <w:lvlText w:val="(%1)"/>
      <w:numFmt w:val="lowerLetter"/>
      <w:start w:val="2"/>
    </w:lvl>
  </w:abstractNum>
  <w:abstractNum w:abstractNumId="240">
    <w:nsid w:val="126E008B"/>
    <w:multiLevelType w:val="hybridMultilevel"/>
    <w:lvl w:ilvl="0">
      <w:lvlJc w:val="left"/>
      <w:lvlText w:val="(%1)"/>
      <w:numFmt w:val="lowerLetter"/>
      <w:start w:val="1"/>
    </w:lvl>
    <w:lvl w:ilvl="1">
      <w:lvlJc w:val="left"/>
      <w:lvlText w:val="(%2)"/>
      <w:numFmt w:val="upperLetter"/>
      <w:start w:val="1"/>
    </w:lvl>
  </w:abstractNum>
  <w:abstractNum w:abstractNumId="241">
    <w:nsid w:val="34DFBC00"/>
    <w:multiLevelType w:val="hybridMultilevel"/>
    <w:lvl w:ilvl="0">
      <w:lvlJc w:val="left"/>
      <w:lvlText w:val="(%1)"/>
      <w:numFmt w:val="lowerRoman"/>
      <w:start w:val="2"/>
    </w:lvl>
    <w:lvl w:ilvl="1">
      <w:lvlJc w:val="left"/>
      <w:lvlText w:val="(%2)"/>
      <w:numFmt w:val="upperLetter"/>
      <w:start w:val="1"/>
    </w:lvl>
  </w:abstractNum>
  <w:abstractNum w:abstractNumId="242">
    <w:nsid w:val="1F9EC322"/>
    <w:multiLevelType w:val="hybridMultilevel"/>
    <w:lvl w:ilvl="0">
      <w:lvlJc w:val="left"/>
      <w:lvlText w:val="(%1)"/>
      <w:numFmt w:val="lowerRoman"/>
      <w:start w:val="3"/>
    </w:lvl>
  </w:abstractNum>
  <w:abstractNum w:abstractNumId="243">
    <w:nsid w:val="3410ED5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44">
    <w:nsid w:val="23C049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45">
    <w:nsid w:val="5BDA35D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46">
    <w:nsid w:val="496FB218"/>
    <w:multiLevelType w:val="hybridMultilevel"/>
    <w:lvl w:ilvl="0">
      <w:lvlJc w:val="left"/>
      <w:lvlText w:val="%1"/>
      <w:numFmt w:val="lowerLetter"/>
      <w:start w:val="1"/>
    </w:lvl>
    <w:lvl w:ilvl="1">
      <w:lvlJc w:val="left"/>
      <w:lvlText w:val="(%2)"/>
      <w:numFmt w:val="lowerLetter"/>
      <w:start w:val="35"/>
    </w:lvl>
  </w:abstractNum>
  <w:abstractNum w:abstractNumId="247">
    <w:nsid w:val="680EA5D1"/>
    <w:multiLevelType w:val="hybridMultilevel"/>
    <w:lvl w:ilvl="0">
      <w:lvlJc w:val="left"/>
      <w:lvlText w:val="(%1)"/>
      <w:numFmt w:val="lowerLetter"/>
      <w:start w:val="4"/>
    </w:lvl>
    <w:lvl w:ilvl="1">
      <w:lvlJc w:val="left"/>
      <w:lvlText w:val="%2"/>
      <w:numFmt w:val="lowerLetter"/>
      <w:start w:val="1"/>
    </w:lvl>
  </w:abstractNum>
  <w:abstractNum w:abstractNumId="248">
    <w:nsid w:val="4A9554FE"/>
    <w:multiLevelType w:val="hybridMultilevel"/>
    <w:lvl w:ilvl="0">
      <w:lvlJc w:val="left"/>
      <w:lvlText w:val="(%1)"/>
      <w:numFmt w:val="lowerLetter"/>
      <w:start w:val="1"/>
    </w:lvl>
  </w:abstractNum>
  <w:abstractNum w:abstractNumId="249">
    <w:nsid w:val="392EDBE4"/>
    <w:multiLevelType w:val="hybridMultilevel"/>
    <w:lvl w:ilvl="0">
      <w:lvlJc w:val="left"/>
      <w:lvlText w:val="(%1)"/>
      <w:numFmt w:val="lowerLetter"/>
      <w:start w:val="2"/>
    </w:lvl>
  </w:abstractNum>
  <w:abstractNum w:abstractNumId="250">
    <w:nsid w:val="3D1A2DD9"/>
    <w:multiLevelType w:val="hybridMultilevel"/>
    <w:lvl w:ilvl="0">
      <w:lvlJc w:val="left"/>
      <w:lvlText w:val="(%1)"/>
      <w:numFmt w:val="lowerLetter"/>
      <w:start w:val="1"/>
    </w:lvl>
  </w:abstractNum>
  <w:abstractNum w:abstractNumId="251">
    <w:nsid w:val="7F618FCD"/>
    <w:multiLevelType w:val="hybridMultilevel"/>
    <w:lvl w:ilvl="0">
      <w:lvlJc w:val="left"/>
      <w:lvlText w:val="(%1)"/>
      <w:numFmt w:val="lowerLetter"/>
      <w:start w:val="1"/>
    </w:lvl>
  </w:abstractNum>
  <w:abstractNum w:abstractNumId="252">
    <w:nsid w:val="7843E45"/>
    <w:multiLevelType w:val="hybridMultilevel"/>
    <w:lvl w:ilvl="0">
      <w:lvlJc w:val="left"/>
      <w:lvlText w:val="(%1)"/>
      <w:numFmt w:val="lowerLetter"/>
      <w:start w:val="5"/>
    </w:lvl>
  </w:abstractNum>
  <w:abstractNum w:abstractNumId="253">
    <w:nsid w:val="9815DA3"/>
    <w:multiLevelType w:val="hybridMultilevel"/>
    <w:lvl w:ilvl="0">
      <w:lvlJc w:val="left"/>
      <w:lvlText w:val="(%1)"/>
      <w:numFmt w:val="lowerLetter"/>
      <w:start w:val="1"/>
    </w:lvl>
  </w:abstractNum>
  <w:abstractNum w:abstractNumId="254">
    <w:nsid w:val="5204A191"/>
    <w:multiLevelType w:val="hybridMultilevel"/>
    <w:lvl w:ilvl="0">
      <w:lvlJc w:val="left"/>
      <w:lvlText w:val="(%1)"/>
      <w:numFmt w:val="lowerLetter"/>
      <w:start w:val="1"/>
    </w:lvl>
  </w:abstractNum>
  <w:abstractNum w:abstractNumId="255">
    <w:nsid w:val="4C73A9C6"/>
    <w:multiLevelType w:val="hybridMultilevel"/>
    <w:lvl w:ilvl="0">
      <w:lvlJc w:val="left"/>
      <w:lvlText w:val="(%1)"/>
      <w:numFmt w:val="lowerLetter"/>
      <w:start w:val="2"/>
    </w:lvl>
  </w:abstractNum>
  <w:abstractNum w:abstractNumId="256">
    <w:nsid w:val="1C7E3C01"/>
    <w:multiLevelType w:val="hybridMultilevel"/>
    <w:lvl w:ilvl="0">
      <w:lvlJc w:val="left"/>
      <w:lvlText w:val="(%1)"/>
      <w:numFmt w:val="lowerLetter"/>
      <w:start w:val="1"/>
    </w:lvl>
    <w:lvl w:ilvl="1">
      <w:lvlJc w:val="left"/>
      <w:lvlText w:val="(%2)"/>
      <w:numFmt w:val="lowerLetter"/>
      <w:start w:val="9"/>
    </w:lvl>
  </w:abstractNum>
  <w:abstractNum w:abstractNumId="257">
    <w:nsid w:val="1C2201FF"/>
    <w:multiLevelType w:val="hybridMultilevel"/>
    <w:lvl w:ilvl="0">
      <w:lvlJc w:val="left"/>
      <w:lvlText w:val="(%1)"/>
      <w:numFmt w:val="lowerRoman"/>
      <w:start w:val="2"/>
    </w:lvl>
  </w:abstractNum>
  <w:abstractNum w:abstractNumId="258">
    <w:nsid w:val="50ABCEC9"/>
    <w:multiLevelType w:val="hybridMultilevel"/>
    <w:lvl w:ilvl="0">
      <w:lvlJc w:val="left"/>
      <w:lvlText w:val="(%1)"/>
      <w:numFmt w:val="lowerLetter"/>
      <w:start w:val="2"/>
    </w:lvl>
  </w:abstractNum>
  <w:abstractNum w:abstractNumId="259">
    <w:nsid w:val="7635AA2A"/>
    <w:multiLevelType w:val="hybridMultilevel"/>
    <w:lvl w:ilvl="0">
      <w:lvlJc w:val="left"/>
      <w:lvlText w:val="%1."/>
      <w:numFmt w:val="decimal"/>
      <w:start w:val="1"/>
    </w:lvl>
  </w:abstractNum>
  <w:abstractNum w:abstractNumId="260">
    <w:nsid w:val="5E74C4D9"/>
    <w:multiLevelType w:val="hybridMultilevel"/>
    <w:lvl w:ilvl="0">
      <w:lvlJc w:val="left"/>
      <w:lvlText w:val="%1."/>
      <w:numFmt w:val="decimal"/>
      <w:start w:val="1"/>
    </w:lvl>
  </w:abstractNum>
  <w:abstractNum w:abstractNumId="261">
    <w:nsid w:val="3B3EBE15"/>
    <w:multiLevelType w:val="hybridMultilevel"/>
    <w:lvl w:ilvl="0">
      <w:lvlJc w:val="left"/>
      <w:lvlText w:val="%1."/>
      <w:numFmt w:val="decimal"/>
      <w:start w:val="1"/>
    </w:lvl>
  </w:abstractNum>
  <w:abstractNum w:abstractNumId="262">
    <w:nsid w:val="3822CB01"/>
    <w:multiLevelType w:val="hybridMultilevel"/>
    <w:lvl w:ilvl="0">
      <w:lvlJc w:val="left"/>
      <w:lvlText w:val="%1."/>
      <w:numFmt w:val="decimal"/>
      <w:start w:val="6"/>
    </w:lvl>
  </w:abstractNum>
  <w:abstractNum w:abstractNumId="263">
    <w:nsid w:val="6CE00443"/>
    <w:multiLevelType w:val="hybridMultilevel"/>
    <w:lvl w:ilvl="0">
      <w:lvlJc w:val="left"/>
      <w:lvlText w:val="6"/>
      <w:numFmt w:val="bullet"/>
      <w:start w:val="1"/>
    </w:lvl>
  </w:abstractNum>
  <w:abstractNum w:abstractNumId="264">
    <w:nsid w:val="79F0D62F"/>
    <w:multiLevelType w:val="hybridMultilevel"/>
    <w:lvl w:ilvl="0">
      <w:lvlJc w:val="left"/>
      <w:lvlText w:val="%1"/>
      <w:numFmt w:val="decimal"/>
      <w:start w:val="15"/>
    </w:lvl>
  </w:abstractNum>
  <w:abstractNum w:abstractNumId="265">
    <w:nsid w:val="7975E8EE"/>
    <w:multiLevelType w:val="hybridMultilevel"/>
    <w:lvl w:ilvl="0">
      <w:lvlJc w:val="left"/>
      <w:lvlText w:val="%1."/>
      <w:numFmt w:val="decimal"/>
      <w:start w:val="1"/>
    </w:lvl>
  </w:abstractNum>
  <w:abstractNum w:abstractNumId="266">
    <w:nsid w:val="73154115"/>
    <w:multiLevelType w:val="hybridMultilevel"/>
    <w:lvl w:ilvl="0">
      <w:lvlJc w:val="left"/>
      <w:lvlText w:val="%1."/>
      <w:numFmt w:val="decimal"/>
      <w:start w:val="2"/>
    </w:lvl>
  </w:abstractNum>
  <w:abstractNum w:abstractNumId="267">
    <w:nsid w:val="622D8102"/>
    <w:multiLevelType w:val="hybridMultilevel"/>
    <w:lvl w:ilvl="0">
      <w:lvlJc w:val="left"/>
      <w:lvlText w:val="(%1)"/>
      <w:numFmt w:val="lowerRoman"/>
      <w:start w:val="4"/>
    </w:lvl>
  </w:abstractNum>
  <w:abstractNum w:abstractNumId="268">
    <w:nsid w:val="2AB26587"/>
    <w:multiLevelType w:val="hybridMultilevel"/>
    <w:lvl w:ilvl="0">
      <w:lvlJc w:val="left"/>
      <w:lvlText w:val="(%1)"/>
      <w:numFmt w:val="decimal"/>
      <w:start w:val="2"/>
    </w:lvl>
  </w:abstractNum>
  <w:abstractNum w:abstractNumId="269">
    <w:nsid w:val="44B3FA61"/>
    <w:multiLevelType w:val="hybridMultilevel"/>
    <w:lvl w:ilvl="0">
      <w:lvlJc w:val="left"/>
      <w:lvlText w:val="(%1)"/>
      <w:numFmt w:val="lowerRoman"/>
      <w:start w:val="4"/>
    </w:lvl>
  </w:abstractNum>
  <w:abstractNum w:abstractNumId="270">
    <w:nsid w:val="1C0CA67C"/>
    <w:multiLevelType w:val="hybridMultilevel"/>
    <w:lvl w:ilvl="0">
      <w:lvlJc w:val="left"/>
      <w:lvlText w:val="%1."/>
      <w:numFmt w:val="decimal"/>
      <w:start w:val="1"/>
    </w:lvl>
  </w:abstractNum>
  <w:abstractNum w:abstractNumId="271">
    <w:nsid w:val="3D206613"/>
    <w:multiLevelType w:val="hybridMultilevel"/>
    <w:lvl w:ilvl="0">
      <w:lvlJc w:val="left"/>
      <w:lvlText w:val="%1"/>
      <w:numFmt w:val="decimal"/>
      <w:start w:val="16"/>
    </w:lvl>
  </w:abstractNum>
  <w:abstractNum w:abstractNumId="272">
    <w:nsid w:val="7993B662"/>
    <w:multiLevelType w:val="hybridMultilevel"/>
    <w:lvl w:ilvl="0">
      <w:lvlJc w:val="left"/>
      <w:lvlText w:val="%1."/>
      <w:numFmt w:val="decimal"/>
      <w:start w:val="4"/>
    </w:lvl>
    <w:lvl w:ilvl="1">
      <w:lvlJc w:val="left"/>
      <w:lvlText w:val="☐"/>
      <w:numFmt w:val="bullet"/>
      <w:start w:val="1"/>
    </w:lvl>
  </w:abstractNum>
  <w:abstractNum w:abstractNumId="273">
    <w:nsid w:val="3BAB699E"/>
    <w:multiLevelType w:val="hybridMultilevel"/>
    <w:lvl w:ilvl="0">
      <w:lvlJc w:val="left"/>
      <w:lvlText w:val="%1"/>
      <w:numFmt w:val="decimal"/>
      <w:start w:val="19"/>
    </w:lvl>
  </w:abstractNum>
  <w:abstractNum w:abstractNumId="274">
    <w:nsid w:val="71315369"/>
    <w:multiLevelType w:val="hybridMultilevel"/>
    <w:lvl w:ilvl="0">
      <w:lvlJc w:val="left"/>
      <w:lvlText w:val="%1."/>
      <w:numFmt w:val="decimal"/>
      <w:start w:val="1"/>
    </w:lvl>
  </w:abstractNum>
  <w:abstractNum w:abstractNumId="275">
    <w:nsid w:val="7BCFBAFC"/>
    <w:multiLevelType w:val="hybridMultilevel"/>
    <w:lvl w:ilvl="0">
      <w:lvlJc w:val="left"/>
      <w:lvlText w:val="%1"/>
      <w:numFmt w:val="decimal"/>
      <w:start w:val="21"/>
    </w:lvl>
  </w:abstractNum>
  <w:abstractNum w:abstractNumId="276">
    <w:nsid w:val="17859F72"/>
    <w:multiLevelType w:val="hybridMultilevel"/>
    <w:lvl w:ilvl="0">
      <w:lvlJc w:val="left"/>
      <w:lvlText w:val="%1."/>
      <w:numFmt w:val="decimal"/>
      <w:start w:val="2"/>
    </w:lvl>
  </w:abstractNum>
  <w:abstractNum w:abstractNumId="277">
    <w:nsid w:val="3AA10581"/>
    <w:multiLevelType w:val="hybridMultilevel"/>
    <w:lvl w:ilvl="0">
      <w:lvlJc w:val="left"/>
      <w:lvlText w:val="%1"/>
      <w:numFmt w:val="decimal"/>
      <w:start w:val="22"/>
    </w:lvl>
  </w:abstractNum>
  <w:abstractNum w:abstractNumId="278">
    <w:nsid w:val="63DE60CD"/>
    <w:multiLevelType w:val="hybridMultilevel"/>
    <w:lvl w:ilvl="0">
      <w:lvlJc w:val="left"/>
      <w:lvlText w:val="(%1)"/>
      <w:numFmt w:val="lowerLetter"/>
      <w:start w:val="1"/>
    </w:lvl>
  </w:abstractNum>
  <w:abstractNum w:abstractNumId="279">
    <w:nsid w:val="621AF471"/>
    <w:multiLevelType w:val="hybridMultilevel"/>
    <w:lvl w:ilvl="0">
      <w:lvlJc w:val="left"/>
      <w:lvlText w:val="(%1)"/>
      <w:numFmt w:val="lowerRoman"/>
      <w:start w:val="1"/>
    </w:lvl>
  </w:abstractNum>
  <w:abstractNum w:abstractNumId="280">
    <w:nsid w:val="73CFE165"/>
    <w:multiLevelType w:val="hybridMultilevel"/>
    <w:lvl w:ilvl="0">
      <w:lvlJc w:val="left"/>
      <w:lvlText w:val="(%1)"/>
      <w:numFmt w:val="lowerLetter"/>
      <w:start w:val="2"/>
    </w:lvl>
  </w:abstractNum>
  <w:abstractNum w:abstractNumId="281">
    <w:nsid w:val="20F88EA6"/>
    <w:multiLevelType w:val="hybridMultilevel"/>
    <w:lvl w:ilvl="0">
      <w:lvlJc w:val="left"/>
      <w:lvlText w:val="(%1)"/>
      <w:numFmt w:val="lowerLetter"/>
      <w:start w:val="1"/>
    </w:lvl>
  </w:abstractNum>
  <w:abstractNum w:abstractNumId="282">
    <w:nsid w:val="617C843E"/>
    <w:multiLevelType w:val="hybridMultilevel"/>
    <w:lvl w:ilvl="0">
      <w:lvlJc w:val="left"/>
      <w:lvlText w:val="(%1)"/>
      <w:numFmt w:val="lowerLetter"/>
      <w:start w:val="2"/>
    </w:lvl>
  </w:abstractNum>
  <w:abstractNum w:abstractNumId="283">
    <w:nsid w:val="7B541FAB"/>
    <w:multiLevelType w:val="hybridMultilevel"/>
    <w:lvl w:ilvl="0">
      <w:lvlJc w:val="left"/>
      <w:lvlText w:val="(%1)"/>
      <w:numFmt w:val="lowerLetter"/>
      <w:start w:val="2"/>
    </w:lvl>
  </w:abstractNum>
  <w:abstractNum w:abstractNumId="284">
    <w:nsid w:val="2A79EC49"/>
    <w:multiLevelType w:val="hybridMultilevel"/>
    <w:lvl w:ilvl="0">
      <w:lvlJc w:val="left"/>
      <w:lvlText w:val="(%1)"/>
      <w:numFmt w:val="lowerLetter"/>
      <w:start w:val="2"/>
    </w:lvl>
  </w:abstractNum>
  <w:abstractNum w:abstractNumId="285">
    <w:nsid w:val="338125C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86">
    <w:nsid w:val="47C7C971"/>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2"/>
    </w:lvl>
  </w:abstractNum>
  <w:abstractNum w:abstractNumId="287">
    <w:nsid w:val="46F8284B"/>
    <w:multiLevelType w:val="hybridMultilevel"/>
    <w:lvl w:ilvl="0">
      <w:lvlJc w:val="left"/>
      <w:lvlText w:val="(%1)"/>
      <w:numFmt w:val="lowerLetter"/>
      <w:start w:val="1"/>
    </w:lvl>
  </w:abstractNum>
  <w:abstractNum w:abstractNumId="288">
    <w:nsid w:val="4FA327CE"/>
    <w:multiLevelType w:val="hybridMultilevel"/>
    <w:lvl w:ilvl="0">
      <w:lvlJc w:val="left"/>
      <w:lvlText w:val="(%1)"/>
      <w:numFmt w:val="lowerLetter"/>
      <w:start w:val="1"/>
    </w:lvl>
  </w:abstractNum>
  <w:abstractNum w:abstractNumId="289">
    <w:nsid w:val="1873983A"/>
    <w:multiLevelType w:val="hybridMultilevel"/>
    <w:lvl w:ilvl="0">
      <w:lvlJc w:val="left"/>
      <w:lvlText w:val="(%1)"/>
      <w:numFmt w:val="lowerLetter"/>
      <w:start w:val="5"/>
    </w:lvl>
    <w:lvl w:ilvl="1">
      <w:lvlJc w:val="left"/>
      <w:lvlText w:val="(%2)"/>
      <w:numFmt w:val="lowerLetter"/>
      <w:start w:val="7"/>
    </w:lvl>
    <w:lvl w:ilvl="2">
      <w:lvlJc w:val="left"/>
      <w:lvlText w:val="(%3)"/>
      <w:numFmt w:val="lowerLetter"/>
      <w:start w:val="8"/>
    </w:lvl>
  </w:abstractNum>
  <w:abstractNum w:abstractNumId="290">
    <w:nsid w:val="3D2DD275"/>
    <w:multiLevelType w:val="hybridMultilevel"/>
    <w:lvl w:ilvl="0">
      <w:lvlJc w:val="left"/>
      <w:lvlText w:val="(%1)"/>
      <w:numFmt w:val="lowerRoman"/>
      <w:start w:val="1"/>
    </w:lvl>
  </w:abstractNum>
  <w:abstractNum w:abstractNumId="291">
    <w:nsid w:val="2E17ECA7"/>
    <w:multiLevelType w:val="hybridMultilevel"/>
    <w:lvl w:ilvl="0">
      <w:lvlJc w:val="left"/>
      <w:lvlText w:val="(%1)"/>
      <w:numFmt w:val="lowerLetter"/>
      <w:start w:val="1"/>
    </w:lvl>
    <w:lvl w:ilvl="1">
      <w:lvlJc w:val="left"/>
      <w:lvlText w:val="(%2)"/>
      <w:numFmt w:val="lowerRoman"/>
      <w:start w:val="1"/>
    </w:lvl>
  </w:abstractNum>
  <w:abstractNum w:abstractNumId="292">
    <w:nsid w:val="53B2564F"/>
    <w:multiLevelType w:val="hybridMultilevel"/>
    <w:lvl w:ilvl="0">
      <w:lvlJc w:val="left"/>
      <w:lvlText w:val="(%1)"/>
      <w:numFmt w:val="lowerLetter"/>
      <w:start w:val="2"/>
    </w:lvl>
    <w:lvl w:ilvl="1">
      <w:lvlJc w:val="left"/>
      <w:lvlText w:val="(%2)"/>
      <w:numFmt w:val="lowerRoman"/>
      <w:start w:val="1"/>
    </w:lvl>
  </w:abstractNum>
  <w:abstractNum w:abstractNumId="293">
    <w:nsid w:val="75509D76"/>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94">
    <w:nsid w:val="1AF7F0EA"/>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295">
    <w:nsid w:val="4DA32C7E"/>
    <w:multiLevelType w:val="hybridMultilevel"/>
    <w:lvl w:ilvl="0">
      <w:lvlJc w:val="left"/>
      <w:lvlText w:val="(%1)"/>
      <w:numFmt w:val="lowerLetter"/>
      <w:start w:val="7"/>
    </w:lvl>
  </w:abstractNum>
  <w:abstractNum w:abstractNumId="296">
    <w:nsid w:val="6EC68664"/>
    <w:multiLevelType w:val="hybridMultilevel"/>
    <w:lvl w:ilvl="0">
      <w:lvlJc w:val="left"/>
      <w:lvlText w:val="(%1)"/>
      <w:numFmt w:val="lowerLetter"/>
      <w:start w:val="1"/>
    </w:lvl>
  </w:abstractNum>
  <w:abstractNum w:abstractNumId="297">
    <w:nsid w:val="E0D31FF"/>
    <w:multiLevelType w:val="hybridMultilevel"/>
    <w:lvl w:ilvl="0">
      <w:lvlJc w:val="left"/>
      <w:lvlText w:val="(%1)"/>
      <w:numFmt w:val="lowerLetter"/>
      <w:start w:val="1"/>
    </w:lvl>
  </w:abstractNum>
  <w:abstractNum w:abstractNumId="298">
    <w:nsid w:val="2FD0AD81"/>
    <w:multiLevelType w:val="hybridMultilevel"/>
    <w:lvl w:ilvl="0">
      <w:lvlJc w:val="left"/>
      <w:lvlText w:val="(%1)"/>
      <w:numFmt w:val="lowerLetter"/>
      <w:start w:val="1"/>
    </w:lvl>
  </w:abstractNum>
  <w:abstractNum w:abstractNumId="299">
    <w:nsid w:val="1978EBEB"/>
    <w:multiLevelType w:val="hybridMultilevel"/>
    <w:lvl w:ilvl="0">
      <w:lvlJc w:val="left"/>
      <w:lvlText w:val="(%1)"/>
      <w:numFmt w:val="lowerLetter"/>
      <w:start w:val="2"/>
    </w:lvl>
  </w:abstractNum>
  <w:abstractNum w:abstractNumId="300">
    <w:nsid w:val="52C12C61"/>
    <w:multiLevelType w:val="hybridMultilevel"/>
    <w:lvl w:ilvl="0">
      <w:lvlJc w:val="left"/>
      <w:lvlText w:val="(%1)"/>
      <w:numFmt w:val="lowerRoman"/>
      <w:start w:val="1"/>
    </w:lvl>
  </w:abstractNum>
  <w:abstractNum w:abstractNumId="301">
    <w:nsid w:val="4BDD53FD"/>
    <w:multiLevelType w:val="hybridMultilevel"/>
    <w:lvl w:ilvl="0">
      <w:lvlJc w:val="left"/>
      <w:lvlText w:val="(%1)"/>
      <w:numFmt w:val="lowerRoman"/>
      <w:start w:val="2"/>
    </w:lvl>
  </w:abstractNum>
  <w:abstractNum w:abstractNumId="302">
    <w:nsid w:val="569951FE"/>
    <w:multiLevelType w:val="hybridMultilevel"/>
    <w:lvl w:ilvl="0">
      <w:lvlJc w:val="left"/>
      <w:lvlText w:val="(%1)"/>
      <w:numFmt w:val="lowerRoman"/>
      <w:start w:val="3"/>
    </w:lvl>
  </w:abstractNum>
  <w:abstractNum w:abstractNumId="303">
    <w:nsid w:val="4C54E2C3"/>
    <w:multiLevelType w:val="hybridMultilevel"/>
    <w:lvl w:ilvl="0">
      <w:lvlJc w:val="left"/>
      <w:lvlText w:val="(%1)"/>
      <w:numFmt w:val="lowerRoman"/>
      <w:start w:val="10"/>
    </w:lvl>
  </w:abstractNum>
  <w:abstractNum w:abstractNumId="304">
    <w:nsid w:val="788BD9B"/>
    <w:multiLevelType w:val="hybridMultilevel"/>
    <w:lvl w:ilvl="0">
      <w:lvlJc w:val="left"/>
      <w:lvlText w:val="(%1)"/>
      <w:numFmt w:val="lowerLetter"/>
      <w:start w:val="2"/>
    </w:lvl>
  </w:abstractNum>
  <w:abstractNum w:abstractNumId="305">
    <w:nsid w:val="47CAA567"/>
    <w:multiLevelType w:val="hybridMultilevel"/>
    <w:lvl w:ilvl="0">
      <w:lvlJc w:val="left"/>
      <w:lvlText w:val="(%1)"/>
      <w:numFmt w:val="lowerLetter"/>
      <w:start w:val="2"/>
    </w:lvl>
  </w:abstractNum>
  <w:abstractNum w:abstractNumId="306">
    <w:nsid w:val="48249DBF"/>
    <w:multiLevelType w:val="hybridMultilevel"/>
    <w:lvl w:ilvl="0">
      <w:lvlJc w:val="left"/>
      <w:lvlText w:val="(%1)"/>
      <w:numFmt w:val="lowerLetter"/>
      <w:start w:val="1"/>
    </w:lvl>
  </w:abstractNum>
  <w:abstractNum w:abstractNumId="307">
    <w:nsid w:val="1F0E5D0D"/>
    <w:multiLevelType w:val="hybridMultilevel"/>
    <w:lvl w:ilvl="0">
      <w:lvlJc w:val="left"/>
      <w:lvlText w:val="(%1)"/>
      <w:numFmt w:val="lowerLetter"/>
      <w:start w:val="1"/>
    </w:lvl>
  </w:abstractNum>
  <w:abstractNum w:abstractNumId="308">
    <w:nsid w:val="26BAAE9"/>
    <w:multiLevelType w:val="hybridMultilevel"/>
    <w:lvl w:ilvl="0">
      <w:lvlJc w:val="left"/>
      <w:lvlText w:val="(%1)"/>
      <w:numFmt w:val="lowerRoman"/>
      <w:start w:val="1"/>
    </w:lvl>
  </w:abstractNum>
  <w:abstractNum w:abstractNumId="309">
    <w:nsid w:val="2C02FE8C"/>
    <w:multiLevelType w:val="hybridMultilevel"/>
    <w:lvl w:ilvl="0">
      <w:lvlJc w:val="left"/>
      <w:lvlText w:val="(%1)"/>
      <w:numFmt w:val="lowerLetter"/>
      <w:start w:val="2"/>
    </w:lvl>
  </w:abstractNum>
  <w:abstractNum w:abstractNumId="310">
    <w:nsid w:val="129517E"/>
    <w:multiLevelType w:val="hybridMultilevel"/>
    <w:lvl w:ilvl="0">
      <w:lvlJc w:val="left"/>
      <w:lvlText w:val="(%1)"/>
      <w:numFmt w:val="lowerLetter"/>
      <w:start w:val="1"/>
    </w:lvl>
  </w:abstractNum>
  <w:abstractNum w:abstractNumId="311">
    <w:nsid w:val="763B8C4E"/>
    <w:multiLevelType w:val="hybridMultilevel"/>
    <w:lvl w:ilvl="0">
      <w:lvlJc w:val="left"/>
      <w:lvlText w:val="%1."/>
      <w:numFmt w:val="decimal"/>
      <w:start w:val="1"/>
    </w:lvl>
  </w:abstractNum>
  <w:abstractNum w:abstractNumId="312">
    <w:nsid w:val="4CFB8D32"/>
    <w:multiLevelType w:val="hybridMultilevel"/>
    <w:lvl w:ilvl="0">
      <w:lvlJc w:val="left"/>
      <w:lvlText w:val="(%1)"/>
      <w:numFmt w:val="lowerRoman"/>
      <w:start w:val="1"/>
    </w:lvl>
  </w:abstractNum>
  <w:abstractNum w:abstractNumId="313">
    <w:nsid w:val="62A5D5BD"/>
    <w:multiLevelType w:val="hybridMultilevel"/>
    <w:lvl w:ilvl="0">
      <w:lvlJc w:val="left"/>
      <w:lvlText w:val=" "/>
      <w:numFmt w:val="bullet"/>
      <w:start w:val="1"/>
    </w:lvl>
  </w:abstractNum>
  <w:abstractNum w:abstractNumId="314">
    <w:nsid w:val="718FABF9"/>
    <w:multiLevelType w:val="hybridMultilevel"/>
    <w:lvl w:ilvl="0">
      <w:lvlJc w:val="left"/>
      <w:lvlText w:val="%1."/>
      <w:numFmt w:val="decimal"/>
      <w:start w:val="1"/>
    </w:lvl>
    <w:lvl w:ilvl="1">
      <w:lvlJc w:val="left"/>
      <w:lvlText w:val="%2."/>
      <w:numFmt w:val="lowerLetter"/>
      <w:start w:val="1"/>
    </w:lvl>
  </w:abstractNum>
  <w:abstractNum w:abstractNumId="315">
    <w:nsid w:val="7775797C"/>
    <w:multiLevelType w:val="hybridMultilevel"/>
    <w:lvl w:ilvl="0">
      <w:lvlJc w:val="left"/>
      <w:lvlText w:val="%1."/>
      <w:numFmt w:val="decimal"/>
      <w:start w:val="1"/>
    </w:lvl>
    <w:lvl w:ilvl="1">
      <w:lvlJc w:val="left"/>
      <w:lvlText w:val="%2."/>
      <w:numFmt w:val="lowerLetter"/>
      <w:start w:val="1"/>
    </w:lvl>
  </w:abstractNum>
  <w:abstractNum w:abstractNumId="316">
    <w:nsid w:val="1626FB8C"/>
    <w:multiLevelType w:val="hybridMultilevel"/>
    <w:lvl w:ilvl="0">
      <w:lvlJc w:val="left"/>
      <w:lvlText w:val="(%1)"/>
      <w:numFmt w:val="decimal"/>
      <w:start w:val="1"/>
    </w:lvl>
  </w:abstractNum>
  <w:abstractNum w:abstractNumId="317">
    <w:nsid w:val="3957756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2025-08-04T09:52:12Z</dcterms:created>
  <dcterms:modified xsi:type="dcterms:W3CDTF">2025-08-04T09:52:12Z</dcterms:modified>
</cp:coreProperties>
</file>