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0" w:lineRule="exact"/>
        <w:rPr>
          <w:sz w:val="24"/>
          <w:szCs w:val="24"/>
          <w:color w:val="auto"/>
        </w:rPr>
      </w:pPr>
    </w:p>
    <w:p>
      <w:pPr>
        <w:jc w:val="center"/>
        <w:ind w:right="-3"/>
        <w:spacing w:after="0"/>
        <w:rPr>
          <w:sz w:val="20"/>
          <w:szCs w:val="20"/>
          <w:color w:val="auto"/>
        </w:rPr>
      </w:pPr>
      <w:r>
        <w:rPr>
          <w:rFonts w:ascii="Arial" w:cs="Arial" w:eastAsia="Arial" w:hAnsi="Arial"/>
          <w:sz w:val="20"/>
          <w:szCs w:val="20"/>
          <w:b w:val="1"/>
          <w:bCs w:val="1"/>
          <w:color w:val="auto"/>
        </w:rPr>
        <w:t>UNITED STATES</w:t>
      </w:r>
    </w:p>
    <w:p>
      <w:pPr>
        <w:jc w:val="center"/>
        <w:ind w:right="-3"/>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
        <w:spacing w:after="0"/>
        <w:rPr>
          <w:sz w:val="20"/>
          <w:szCs w:val="20"/>
          <w:color w:val="auto"/>
        </w:rPr>
      </w:pPr>
      <w:r>
        <w:rPr>
          <w:rFonts w:ascii="Arial" w:cs="Arial" w:eastAsia="Arial" w:hAnsi="Arial"/>
          <w:sz w:val="20"/>
          <w:szCs w:val="20"/>
          <w:b w:val="1"/>
          <w:bCs w:val="1"/>
          <w:color w:val="auto"/>
        </w:rPr>
        <w:t>WASHINGTON DC 20549</w:t>
      </w:r>
    </w:p>
    <w:p>
      <w:pPr>
        <w:spacing w:after="0" w:line="134" w:lineRule="exact"/>
        <w:rPr>
          <w:sz w:val="24"/>
          <w:szCs w:val="24"/>
          <w:color w:val="auto"/>
        </w:rPr>
      </w:pPr>
    </w:p>
    <w:p>
      <w:pPr>
        <w:jc w:val="center"/>
        <w:ind w:right="-3"/>
        <w:spacing w:after="0"/>
        <w:rPr>
          <w:sz w:val="20"/>
          <w:szCs w:val="20"/>
          <w:color w:val="auto"/>
        </w:rPr>
      </w:pPr>
      <w:r>
        <w:rPr>
          <w:rFonts w:ascii="Arial" w:cs="Arial" w:eastAsia="Arial" w:hAnsi="Arial"/>
          <w:sz w:val="20"/>
          <w:szCs w:val="20"/>
          <w:b w:val="1"/>
          <w:bCs w:val="1"/>
          <w:color w:val="auto"/>
        </w:rPr>
        <w:t>FORM 10-Q</w:t>
      </w:r>
    </w:p>
    <w:p>
      <w:pPr>
        <w:ind w:left="4"/>
        <w:spacing w:after="0" w:line="203" w:lineRule="auto"/>
        <w:rPr>
          <w:sz w:val="20"/>
          <w:szCs w:val="20"/>
          <w:color w:val="auto"/>
        </w:rPr>
      </w:pPr>
      <w:r>
        <w:rPr>
          <w:rFonts w:ascii="Arial" w:cs="Arial" w:eastAsia="Arial" w:hAnsi="Arial"/>
          <w:sz w:val="20"/>
          <w:szCs w:val="20"/>
          <w:color w:val="auto"/>
        </w:rPr>
        <w:t>(Mark One)</w:t>
      </w:r>
    </w:p>
    <w:p>
      <w:pPr>
        <w:spacing w:after="0" w:line="1" w:lineRule="exact"/>
        <w:rPr>
          <w:sz w:val="24"/>
          <w:szCs w:val="24"/>
          <w:color w:val="auto"/>
        </w:rPr>
      </w:pPr>
    </w:p>
    <w:p>
      <w:pPr>
        <w:ind w:left="224" w:hanging="224"/>
        <w:spacing w:after="0"/>
        <w:tabs>
          <w:tab w:leader="none" w:pos="224"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9"/>
          <w:szCs w:val="19"/>
          <w:color w:val="auto"/>
        </w:rPr>
        <w:t>QUARTERLY REPORT PURSUANT TO SECTION 13 or 15 (d) OF THE SECURITIES EXCHANGE ACT OF 1934.</w:t>
      </w:r>
    </w:p>
    <w:p>
      <w:pPr>
        <w:spacing w:after="0" w:line="18" w:lineRule="exact"/>
        <w:rPr>
          <w:rFonts w:ascii="MS PGothic" w:cs="MS PGothic" w:eastAsia="MS PGothic" w:hAnsi="MS PGothic"/>
          <w:sz w:val="19"/>
          <w:szCs w:val="19"/>
          <w:color w:val="auto"/>
          <w:highlight w:val="black"/>
        </w:rPr>
      </w:pPr>
    </w:p>
    <w:p>
      <w:pPr>
        <w:ind w:left="3184"/>
        <w:spacing w:after="0"/>
        <w:rPr>
          <w:rFonts w:ascii="MS PGothic" w:cs="MS PGothic" w:eastAsia="MS PGothic" w:hAnsi="MS PGothic"/>
          <w:sz w:val="19"/>
          <w:szCs w:val="19"/>
          <w:color w:val="auto"/>
          <w:highlight w:val="black"/>
        </w:rPr>
      </w:pPr>
      <w:r>
        <w:rPr>
          <w:rFonts w:ascii="Arial" w:cs="Arial" w:eastAsia="Arial" w:hAnsi="Arial"/>
          <w:sz w:val="20"/>
          <w:szCs w:val="20"/>
          <w:color w:val="auto"/>
        </w:rPr>
        <w:t>For the quarterly period ended March 31, 2018</w:t>
      </w:r>
    </w:p>
    <w:p>
      <w:pPr>
        <w:spacing w:after="0" w:line="105" w:lineRule="exact"/>
        <w:rPr>
          <w:sz w:val="24"/>
          <w:szCs w:val="24"/>
          <w:color w:val="auto"/>
        </w:rPr>
      </w:pPr>
    </w:p>
    <w:p>
      <w:pPr>
        <w:ind w:left="224" w:hanging="224"/>
        <w:spacing w:after="0"/>
        <w:tabs>
          <w:tab w:leader="none" w:pos="224"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color w:val="auto"/>
        </w:rPr>
        <w:t>TRANSITION REPORT PURSUANT TO SECTION 13 OR 15(d) OF THE SECURITIES EXCHANGE ACT OF 1934.</w:t>
      </w:r>
    </w:p>
    <w:p>
      <w:pPr>
        <w:spacing w:after="0" w:line="27" w:lineRule="exact"/>
        <w:rPr>
          <w:rFonts w:ascii="MS PGothic" w:cs="MS PGothic" w:eastAsia="MS PGothic" w:hAnsi="MS PGothic"/>
          <w:sz w:val="19"/>
          <w:szCs w:val="19"/>
          <w:color w:val="auto"/>
          <w:highlight w:val="black"/>
        </w:rPr>
      </w:pPr>
    </w:p>
    <w:p>
      <w:pPr>
        <w:ind w:left="2264"/>
        <w:spacing w:after="0"/>
        <w:rPr>
          <w:rFonts w:ascii="MS PGothic" w:cs="MS PGothic" w:eastAsia="MS PGothic" w:hAnsi="MS PGothic"/>
          <w:sz w:val="19"/>
          <w:szCs w:val="19"/>
          <w:color w:val="auto"/>
          <w:highlight w:val="black"/>
        </w:rPr>
      </w:pPr>
      <w:r>
        <w:rPr>
          <w:rFonts w:ascii="Arial" w:cs="Arial" w:eastAsia="Arial" w:hAnsi="Arial"/>
          <w:sz w:val="20"/>
          <w:szCs w:val="20"/>
          <w:color w:val="auto"/>
        </w:rPr>
        <w:t>For the transition period from_______________ to _______________</w:t>
      </w:r>
    </w:p>
    <w:p>
      <w:pPr>
        <w:spacing w:after="0" w:line="92" w:lineRule="exact"/>
        <w:rPr>
          <w:sz w:val="24"/>
          <w:szCs w:val="24"/>
          <w:color w:val="auto"/>
        </w:rPr>
      </w:pPr>
    </w:p>
    <w:p>
      <w:pPr>
        <w:ind w:left="3704"/>
        <w:spacing w:after="0"/>
        <w:rPr>
          <w:sz w:val="20"/>
          <w:szCs w:val="20"/>
          <w:color w:val="auto"/>
        </w:rPr>
      </w:pPr>
      <w:r>
        <w:rPr>
          <w:rFonts w:ascii="Arial" w:cs="Arial" w:eastAsia="Arial" w:hAnsi="Arial"/>
          <w:sz w:val="20"/>
          <w:szCs w:val="20"/>
          <w:color w:val="auto"/>
        </w:rPr>
        <w:t>Commission File Number 1-6659</w:t>
      </w:r>
    </w:p>
    <w:p>
      <w:pPr>
        <w:spacing w:after="0" w:line="183" w:lineRule="exact"/>
        <w:rPr>
          <w:sz w:val="24"/>
          <w:szCs w:val="24"/>
          <w:color w:val="auto"/>
        </w:rPr>
      </w:pPr>
    </w:p>
    <w:p>
      <w:pPr>
        <w:ind w:left="3984"/>
        <w:spacing w:after="0"/>
        <w:rPr>
          <w:sz w:val="20"/>
          <w:szCs w:val="20"/>
          <w:color w:val="auto"/>
        </w:rPr>
      </w:pPr>
      <w:r>
        <w:rPr>
          <w:rFonts w:ascii="Arial" w:cs="Arial" w:eastAsia="Arial" w:hAnsi="Arial"/>
          <w:sz w:val="20"/>
          <w:szCs w:val="20"/>
          <w:b w:val="1"/>
          <w:bCs w:val="1"/>
          <w:u w:val="single" w:color="auto"/>
          <w:color w:val="auto"/>
        </w:rPr>
        <w:t>AQUA AMERICA, INC.</w:t>
      </w:r>
    </w:p>
    <w:p>
      <w:pPr>
        <w:spacing w:after="0" w:line="22" w:lineRule="exact"/>
        <w:rPr>
          <w:sz w:val="24"/>
          <w:szCs w:val="24"/>
          <w:color w:val="auto"/>
        </w:rPr>
      </w:pPr>
    </w:p>
    <w:p>
      <w:pPr>
        <w:jc w:val="center"/>
        <w:ind w:right="36"/>
        <w:spacing w:after="0"/>
        <w:rPr>
          <w:sz w:val="20"/>
          <w:szCs w:val="20"/>
          <w:color w:val="auto"/>
        </w:rPr>
      </w:pPr>
      <w:r>
        <w:rPr>
          <w:rFonts w:ascii="Arial" w:cs="Arial" w:eastAsia="Arial" w:hAnsi="Arial"/>
          <w:sz w:val="20"/>
          <w:szCs w:val="20"/>
          <w:color w:val="auto"/>
        </w:rPr>
        <w:t>(Exact name of registrant as specified in its charter)</w:t>
      </w:r>
    </w:p>
    <w:p>
      <w:pPr>
        <w:spacing w:after="0" w:line="243" w:lineRule="exact"/>
        <w:rPr>
          <w:sz w:val="24"/>
          <w:szCs w:val="24"/>
          <w:color w:val="auto"/>
        </w:rPr>
      </w:pPr>
    </w:p>
    <w:tbl>
      <w:tblPr>
        <w:tblLayout w:type="fixed"/>
        <w:tblInd w:w="364" w:type="dxa"/>
        <w:tblCellMar>
          <w:top w:w="0" w:type="dxa"/>
          <w:left w:w="0" w:type="dxa"/>
          <w:bottom w:w="0" w:type="dxa"/>
          <w:right w:w="0" w:type="dxa"/>
        </w:tblCellMar>
      </w:tblPr>
      <w:tr>
        <w:trPr>
          <w:trHeight w:val="230"/>
        </w:trPr>
        <w:tc>
          <w:tcPr>
            <w:tcW w:w="15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Pennsylvania</w:t>
            </w:r>
          </w:p>
        </w:tc>
        <w:tc>
          <w:tcPr>
            <w:tcW w:w="268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20"/>
                <w:szCs w:val="20"/>
                <w:color w:val="auto"/>
                <w:w w:val="88"/>
              </w:rPr>
              <w:t>23-1702594</w:t>
            </w:r>
          </w:p>
        </w:tc>
        <w:tc>
          <w:tcPr>
            <w:tcW w:w="240" w:type="dxa"/>
            <w:vAlign w:val="bottom"/>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3"/>
        </w:trPr>
        <w:tc>
          <w:tcPr>
            <w:tcW w:w="5320" w:type="dxa"/>
            <w:vAlign w:val="bottom"/>
            <w:gridSpan w:val="4"/>
          </w:tcPr>
          <w:p>
            <w:pPr>
              <w:jc w:val="center"/>
              <w:ind w:right="1100"/>
              <w:spacing w:after="0"/>
              <w:rPr>
                <w:sz w:val="20"/>
                <w:szCs w:val="20"/>
                <w:color w:val="auto"/>
              </w:rPr>
            </w:pPr>
            <w:r>
              <w:rPr>
                <w:rFonts w:ascii="Arial" w:cs="Arial" w:eastAsia="Arial" w:hAnsi="Arial"/>
                <w:sz w:val="20"/>
                <w:szCs w:val="20"/>
                <w:color w:val="auto"/>
                <w:w w:val="91"/>
              </w:rPr>
              <w:t>(State or other jurisdiction of</w:t>
            </w:r>
          </w:p>
        </w:tc>
        <w:tc>
          <w:tcPr>
            <w:tcW w:w="2580" w:type="dxa"/>
            <w:vAlign w:val="bottom"/>
            <w:gridSpan w:val="5"/>
          </w:tcPr>
          <w:p>
            <w:pPr>
              <w:jc w:val="center"/>
              <w:ind w:left="1001"/>
              <w:spacing w:after="0"/>
              <w:rPr>
                <w:sz w:val="20"/>
                <w:szCs w:val="20"/>
                <w:color w:val="auto"/>
              </w:rPr>
            </w:pPr>
            <w:r>
              <w:rPr>
                <w:rFonts w:ascii="Arial" w:cs="Arial" w:eastAsia="Arial" w:hAnsi="Arial"/>
                <w:sz w:val="20"/>
                <w:szCs w:val="20"/>
                <w:color w:val="auto"/>
                <w:w w:val="92"/>
              </w:rPr>
              <w:t>(I.R.S. Employer</w:t>
            </w:r>
          </w:p>
        </w:tc>
      </w:tr>
      <w:tr>
        <w:trPr>
          <w:trHeight w:val="250"/>
        </w:trPr>
        <w:tc>
          <w:tcPr>
            <w:tcW w:w="5320" w:type="dxa"/>
            <w:vAlign w:val="bottom"/>
            <w:gridSpan w:val="4"/>
          </w:tcPr>
          <w:p>
            <w:pPr>
              <w:jc w:val="center"/>
              <w:ind w:right="1100"/>
              <w:spacing w:after="0"/>
              <w:rPr>
                <w:sz w:val="20"/>
                <w:szCs w:val="20"/>
                <w:color w:val="auto"/>
              </w:rPr>
            </w:pPr>
            <w:r>
              <w:rPr>
                <w:rFonts w:ascii="Arial" w:cs="Arial" w:eastAsia="Arial" w:hAnsi="Arial"/>
                <w:sz w:val="20"/>
                <w:szCs w:val="20"/>
                <w:color w:val="auto"/>
                <w:w w:val="91"/>
              </w:rPr>
              <w:t>incorporation or organization)</w:t>
            </w:r>
          </w:p>
        </w:tc>
        <w:tc>
          <w:tcPr>
            <w:tcW w:w="2580" w:type="dxa"/>
            <w:vAlign w:val="bottom"/>
            <w:gridSpan w:val="5"/>
          </w:tcPr>
          <w:p>
            <w:pPr>
              <w:jc w:val="center"/>
              <w:ind w:left="1001"/>
              <w:spacing w:after="0"/>
              <w:rPr>
                <w:sz w:val="20"/>
                <w:szCs w:val="20"/>
                <w:color w:val="auto"/>
              </w:rPr>
            </w:pPr>
            <w:r>
              <w:rPr>
                <w:rFonts w:ascii="Arial" w:cs="Arial" w:eastAsia="Arial" w:hAnsi="Arial"/>
                <w:sz w:val="20"/>
                <w:szCs w:val="20"/>
                <w:color w:val="auto"/>
                <w:w w:val="95"/>
              </w:rPr>
              <w:t>Identification No.)</w:t>
            </w:r>
          </w:p>
        </w:tc>
      </w:tr>
      <w:tr>
        <w:trPr>
          <w:trHeight w:val="415"/>
        </w:trPr>
        <w:tc>
          <w:tcPr>
            <w:tcW w:w="5320" w:type="dxa"/>
            <w:vAlign w:val="bottom"/>
            <w:gridSpan w:val="4"/>
          </w:tcPr>
          <w:p>
            <w:pPr>
              <w:jc w:val="center"/>
              <w:ind w:right="1120"/>
              <w:spacing w:after="0"/>
              <w:rPr>
                <w:sz w:val="20"/>
                <w:szCs w:val="20"/>
                <w:color w:val="auto"/>
              </w:rPr>
            </w:pPr>
            <w:r>
              <w:rPr>
                <w:rFonts w:ascii="Arial" w:cs="Arial" w:eastAsia="Arial" w:hAnsi="Arial"/>
                <w:sz w:val="20"/>
                <w:szCs w:val="20"/>
                <w:color w:val="auto"/>
                <w:w w:val="89"/>
              </w:rPr>
              <w:t>762 W. Lancaster Avenue, Bryn Mawr, Pennsylvania</w:t>
            </w:r>
          </w:p>
        </w:tc>
        <w:tc>
          <w:tcPr>
            <w:tcW w:w="2580" w:type="dxa"/>
            <w:vAlign w:val="bottom"/>
            <w:gridSpan w:val="5"/>
          </w:tcPr>
          <w:p>
            <w:pPr>
              <w:jc w:val="right"/>
              <w:ind w:right="240"/>
              <w:spacing w:after="0"/>
              <w:rPr>
                <w:sz w:val="20"/>
                <w:szCs w:val="20"/>
                <w:color w:val="auto"/>
              </w:rPr>
            </w:pPr>
            <w:r>
              <w:rPr>
                <w:rFonts w:ascii="Arial" w:cs="Arial" w:eastAsia="Arial" w:hAnsi="Arial"/>
                <w:sz w:val="20"/>
                <w:szCs w:val="20"/>
                <w:color w:val="auto"/>
              </w:rPr>
              <w:t>19010 -3489</w:t>
            </w:r>
          </w:p>
        </w:tc>
      </w:tr>
      <w:tr>
        <w:trPr>
          <w:trHeight w:val="254"/>
        </w:trPr>
        <w:tc>
          <w:tcPr>
            <w:tcW w:w="4200" w:type="dxa"/>
            <w:vAlign w:val="bottom"/>
            <w:tcBorders>
              <w:top w:val="single" w:sz="8" w:color="auto"/>
            </w:tcBorders>
            <w:gridSpan w:val="3"/>
          </w:tcPr>
          <w:p>
            <w:pPr>
              <w:jc w:val="center"/>
              <w:spacing w:after="0"/>
              <w:rPr>
                <w:sz w:val="20"/>
                <w:szCs w:val="20"/>
                <w:color w:val="auto"/>
              </w:rPr>
            </w:pPr>
            <w:r>
              <w:rPr>
                <w:rFonts w:ascii="Arial" w:cs="Arial" w:eastAsia="Arial" w:hAnsi="Arial"/>
                <w:sz w:val="20"/>
                <w:szCs w:val="20"/>
                <w:color w:val="auto"/>
                <w:w w:val="91"/>
              </w:rPr>
              <w:t>(Address of principal executive offices)</w:t>
            </w:r>
          </w:p>
        </w:tc>
        <w:tc>
          <w:tcPr>
            <w:tcW w:w="1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93"/>
              </w:rPr>
              <w:t>(Zip Code)</w:t>
            </w:r>
          </w:p>
        </w:tc>
        <w:tc>
          <w:tcPr>
            <w:tcW w:w="240" w:type="dxa"/>
            <w:vAlign w:val="bottom"/>
          </w:tcPr>
          <w:p>
            <w:pPr>
              <w:spacing w:after="0"/>
              <w:rPr>
                <w:sz w:val="22"/>
                <w:szCs w:val="22"/>
                <w:color w:val="auto"/>
              </w:rPr>
            </w:pPr>
          </w:p>
        </w:tc>
      </w:tr>
    </w:tbl>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0"/>
          <w:szCs w:val="20"/>
          <w:u w:val="single" w:color="auto"/>
          <w:color w:val="auto"/>
        </w:rPr>
        <w:t>(610) 527-8000</w:t>
      </w:r>
    </w:p>
    <w:p>
      <w:pPr>
        <w:spacing w:after="0" w:line="16" w:lineRule="exact"/>
        <w:rPr>
          <w:sz w:val="24"/>
          <w:szCs w:val="24"/>
          <w:color w:val="auto"/>
        </w:rPr>
      </w:pPr>
    </w:p>
    <w:p>
      <w:pPr>
        <w:jc w:val="center"/>
        <w:ind w:right="-3"/>
        <w:spacing w:after="0"/>
        <w:rPr>
          <w:sz w:val="20"/>
          <w:szCs w:val="20"/>
          <w:color w:val="auto"/>
        </w:rPr>
      </w:pPr>
      <w:r>
        <w:rPr>
          <w:rFonts w:ascii="Arial" w:cs="Arial" w:eastAsia="Arial" w:hAnsi="Arial"/>
          <w:sz w:val="20"/>
          <w:szCs w:val="20"/>
          <w:color w:val="auto"/>
        </w:rPr>
        <w:t>(Registrant’s telephone number, including area code)</w:t>
      </w:r>
    </w:p>
    <w:p>
      <w:pPr>
        <w:spacing w:after="0" w:line="213" w:lineRule="exact"/>
        <w:rPr>
          <w:sz w:val="24"/>
          <w:szCs w:val="24"/>
          <w:color w:val="auto"/>
        </w:rPr>
      </w:pPr>
    </w:p>
    <w:p>
      <w:pPr>
        <w:jc w:val="center"/>
        <w:ind w:right="-123"/>
        <w:spacing w:after="0"/>
        <w:rPr>
          <w:sz w:val="20"/>
          <w:szCs w:val="20"/>
          <w:color w:val="auto"/>
        </w:rPr>
      </w:pPr>
      <w:r>
        <w:rPr>
          <w:rFonts w:ascii="Arial" w:cs="Arial" w:eastAsia="Arial" w:hAnsi="Arial"/>
          <w:sz w:val="20"/>
          <w:szCs w:val="20"/>
          <w:color w:val="auto"/>
        </w:rPr>
        <w:t>(Former Name, former address and former fiscal year, if changed since last report.)</w:t>
      </w:r>
    </w:p>
    <w:p>
      <w:pPr>
        <w:spacing w:after="0" w:line="229" w:lineRule="exact"/>
        <w:rPr>
          <w:sz w:val="24"/>
          <w:szCs w:val="24"/>
          <w:color w:val="auto"/>
        </w:rPr>
      </w:pPr>
    </w:p>
    <w:p>
      <w:pPr>
        <w:ind w:left="4" w:right="100"/>
        <w:spacing w:after="0" w:line="248" w:lineRule="exact"/>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highlight w:val="black"/>
        </w:rPr>
        <w:t>☒</w:t>
      </w:r>
      <w:r>
        <w:rPr>
          <w:rFonts w:ascii="Arial" w:cs="Arial" w:eastAsia="Arial" w:hAnsi="Arial"/>
          <w:sz w:val="19"/>
          <w:szCs w:val="19"/>
          <w:color w:val="auto"/>
        </w:rPr>
        <w:t xml:space="preserve"> No </w:t>
      </w:r>
      <w:r>
        <w:rPr>
          <w:rFonts w:ascii="MS PGothic" w:cs="MS PGothic" w:eastAsia="MS PGothic" w:hAnsi="MS PGothic"/>
          <w:sz w:val="19"/>
          <w:szCs w:val="19"/>
          <w:color w:val="auto"/>
          <w:highlight w:val="black"/>
        </w:rPr>
        <w:t>☐</w:t>
      </w:r>
    </w:p>
    <w:p>
      <w:pPr>
        <w:spacing w:after="0" w:line="189" w:lineRule="exact"/>
        <w:rPr>
          <w:sz w:val="24"/>
          <w:szCs w:val="24"/>
          <w:color w:val="auto"/>
        </w:rPr>
      </w:pPr>
    </w:p>
    <w:p>
      <w:pPr>
        <w:jc w:val="both"/>
        <w:ind w:left="4"/>
        <w:spacing w:after="0" w:line="244" w:lineRule="exact"/>
        <w:rPr>
          <w:sz w:val="20"/>
          <w:szCs w:val="20"/>
          <w:color w:val="auto"/>
        </w:rPr>
      </w:pPr>
      <w:r>
        <w:rPr>
          <w:rFonts w:ascii="Arial" w:cs="Arial" w:eastAsia="Arial" w:hAnsi="Arial"/>
          <w:sz w:val="20"/>
          <w:szCs w:val="20"/>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0"/>
          <w:szCs w:val="20"/>
          <w:color w:val="auto"/>
          <w:highlight w:val="black"/>
        </w:rPr>
        <w:t>☒</w:t>
      </w:r>
      <w:r>
        <w:rPr>
          <w:rFonts w:ascii="Arial" w:cs="Arial" w:eastAsia="Arial" w:hAnsi="Arial"/>
          <w:sz w:val="20"/>
          <w:szCs w:val="20"/>
          <w:color w:val="auto"/>
        </w:rPr>
        <w:t xml:space="preserve"> No </w:t>
      </w:r>
      <w:r>
        <w:rPr>
          <w:rFonts w:ascii="MS PGothic" w:cs="MS PGothic" w:eastAsia="MS PGothic" w:hAnsi="MS PGothic"/>
          <w:sz w:val="20"/>
          <w:szCs w:val="20"/>
          <w:color w:val="auto"/>
          <w:highlight w:val="black"/>
        </w:rPr>
        <w:t>☐</w:t>
      </w:r>
    </w:p>
    <w:p>
      <w:pPr>
        <w:spacing w:after="0" w:line="188" w:lineRule="exact"/>
        <w:rPr>
          <w:sz w:val="24"/>
          <w:szCs w:val="24"/>
          <w:color w:val="auto"/>
        </w:rPr>
      </w:pPr>
    </w:p>
    <w:p>
      <w:pPr>
        <w:jc w:val="both"/>
        <w:ind w:left="4"/>
        <w:spacing w:after="0" w:line="259"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4"/>
        <w:spacing w:after="0" w:line="230" w:lineRule="exact"/>
        <w:tabs>
          <w:tab w:leader="none" w:pos="6683" w:val="left"/>
        </w:tabs>
        <w:rPr>
          <w:sz w:val="20"/>
          <w:szCs w:val="20"/>
          <w:color w:val="auto"/>
        </w:rPr>
      </w:pPr>
      <w:r>
        <w:rPr>
          <w:rFonts w:ascii="Arial" w:cs="Arial" w:eastAsia="Arial" w:hAnsi="Arial"/>
          <w:sz w:val="20"/>
          <w:szCs w:val="20"/>
          <w:color w:val="auto"/>
        </w:rPr>
        <w:t xml:space="preserve">Large accelerated filer </w:t>
      </w:r>
      <w:r>
        <w:rPr>
          <w:rFonts w:ascii="MS PGothic" w:cs="MS PGothic" w:eastAsia="MS PGothic" w:hAnsi="MS PGothic"/>
          <w:sz w:val="20"/>
          <w:szCs w:val="20"/>
          <w:color w:val="auto"/>
          <w:highlight w:val="black"/>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highlight w:val="black"/>
        </w:rPr>
        <w:t>☐</w:t>
      </w:r>
    </w:p>
    <w:p>
      <w:pPr>
        <w:spacing w:after="0" w:line="35" w:lineRule="exact"/>
        <w:rPr>
          <w:sz w:val="24"/>
          <w:szCs w:val="24"/>
          <w:color w:val="auto"/>
        </w:rPr>
      </w:pPr>
    </w:p>
    <w:p>
      <w:pPr>
        <w:ind w:left="4"/>
        <w:spacing w:after="0" w:line="230" w:lineRule="exact"/>
        <w:tabs>
          <w:tab w:leader="none" w:pos="6683" w:val="left"/>
        </w:tabs>
        <w:rPr>
          <w:sz w:val="20"/>
          <w:szCs w:val="20"/>
          <w:color w:val="auto"/>
        </w:rPr>
      </w:pPr>
      <w:r>
        <w:rPr>
          <w:rFonts w:ascii="Arial" w:cs="Arial" w:eastAsia="Arial" w:hAnsi="Arial"/>
          <w:sz w:val="20"/>
          <w:szCs w:val="20"/>
          <w:color w:val="auto"/>
        </w:rPr>
        <w:t xml:space="preserve">Non-accelerated filer </w:t>
      </w:r>
      <w:r>
        <w:rPr>
          <w:rFonts w:ascii="MS PGothic" w:cs="MS PGothic" w:eastAsia="MS PGothic" w:hAnsi="MS PGothic"/>
          <w:sz w:val="20"/>
          <w:szCs w:val="20"/>
          <w:color w:val="auto"/>
          <w:highlight w:val="black"/>
        </w:rPr>
        <w:t>☐</w:t>
      </w:r>
      <w:r>
        <w:rPr>
          <w:rFonts w:ascii="Arial" w:cs="Arial" w:eastAsia="Arial" w:hAnsi="Arial"/>
          <w:sz w:val="20"/>
          <w:szCs w:val="20"/>
          <w:color w:val="auto"/>
        </w:rPr>
        <w:t xml:space="preserve"> (do not check if a smaller reporting company)</w:t>
      </w:r>
      <w:r>
        <w:rPr>
          <w:sz w:val="20"/>
          <w:szCs w:val="20"/>
          <w:color w:val="auto"/>
        </w:rPr>
        <w:tab/>
      </w: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highlight w:val="black"/>
        </w:rPr>
        <w:t>☐</w:t>
      </w:r>
    </w:p>
    <w:p>
      <w:pPr>
        <w:spacing w:after="0" w:line="13" w:lineRule="exact"/>
        <w:rPr>
          <w:sz w:val="24"/>
          <w:szCs w:val="24"/>
          <w:color w:val="auto"/>
        </w:rPr>
      </w:pPr>
    </w:p>
    <w:p>
      <w:pPr>
        <w:ind w:left="4"/>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highlight w:val="black"/>
        </w:rPr>
        <w:t>☐</w:t>
      </w:r>
    </w:p>
    <w:p>
      <w:pPr>
        <w:spacing w:after="0" w:line="213" w:lineRule="exact"/>
        <w:rPr>
          <w:sz w:val="24"/>
          <w:szCs w:val="24"/>
          <w:color w:val="auto"/>
        </w:rPr>
      </w:pPr>
    </w:p>
    <w:p>
      <w:pPr>
        <w:ind w:left="4" w:right="220"/>
        <w:spacing w:after="0" w:line="249" w:lineRule="exact"/>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highlight w:val="black"/>
        </w:rPr>
        <w:t>☐</w:t>
      </w:r>
    </w:p>
    <w:p>
      <w:pPr>
        <w:sectPr>
          <w:pgSz w:w="11900" w:h="16838" w:orient="portrait"/>
          <w:cols w:equalWidth="0" w:num="1">
            <w:col w:w="10104"/>
          </w:cols>
          <w:pgMar w:left="896" w:top="226" w:right="899" w:bottom="1440" w:gutter="0" w:footer="0" w:header="0"/>
        </w:sectPr>
      </w:pPr>
    </w:p>
    <w:p>
      <w:pPr>
        <w:spacing w:after="0" w:line="187" w:lineRule="exact"/>
        <w:rPr>
          <w:sz w:val="24"/>
          <w:szCs w:val="24"/>
          <w:color w:val="auto"/>
        </w:rPr>
      </w:pPr>
    </w:p>
    <w:p>
      <w:pPr>
        <w:ind w:left="4"/>
        <w:spacing w:after="0"/>
        <w:rPr>
          <w:sz w:val="20"/>
          <w:szCs w:val="20"/>
          <w:color w:val="auto"/>
        </w:rPr>
      </w:pPr>
      <w:r>
        <w:rPr>
          <w:rFonts w:ascii="Arial" w:cs="Arial" w:eastAsia="Arial" w:hAnsi="Arial"/>
          <w:sz w:val="18"/>
          <w:szCs w:val="18"/>
          <w:color w:val="auto"/>
        </w:rPr>
        <w:t>Indicate  by  check</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whether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the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is</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  shell</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(as</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defined</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in</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Rule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12b-2</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of</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the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Exchange</w:t>
      </w:r>
    </w:p>
    <w:p>
      <w:pPr>
        <w:spacing w:after="0" w:line="65" w:lineRule="exact"/>
        <w:rPr>
          <w:sz w:val="24"/>
          <w:szCs w:val="24"/>
          <w:color w:val="auto"/>
        </w:rPr>
      </w:pPr>
    </w:p>
    <w:p>
      <w:pPr>
        <w:sectPr>
          <w:pgSz w:w="11900" w:h="16838" w:orient="portrait"/>
          <w:cols w:equalWidth="0" w:num="16">
            <w:col w:w="1564" w:space="140"/>
            <w:col w:w="400" w:space="140"/>
            <w:col w:w="640" w:space="140"/>
            <w:col w:w="240" w:space="140"/>
            <w:col w:w="740" w:space="140"/>
            <w:col w:w="140" w:space="140"/>
            <w:col w:w="580" w:space="140"/>
            <w:col w:w="740" w:space="120"/>
            <w:col w:w="240" w:space="140"/>
            <w:col w:w="580" w:space="140"/>
            <w:col w:w="160" w:space="140"/>
            <w:col w:w="360" w:space="140"/>
            <w:col w:w="460" w:space="140"/>
            <w:col w:w="160" w:space="140"/>
            <w:col w:w="240" w:space="140"/>
            <w:col w:w="780"/>
          </w:cols>
          <w:pgMar w:left="896" w:top="226" w:right="899" w:bottom="1440" w:gutter="0" w:footer="0" w:header="0"/>
          <w:type w:val="continuous"/>
        </w:sectPr>
      </w:pPr>
    </w:p>
    <w:p>
      <w:pPr>
        <w:ind w:left="4"/>
        <w:spacing w:after="0" w:line="219" w:lineRule="exact"/>
        <w:rPr>
          <w:sz w:val="20"/>
          <w:szCs w:val="20"/>
          <w:color w:val="auto"/>
        </w:rPr>
      </w:pPr>
      <w:r>
        <w:rPr>
          <w:rFonts w:ascii="Arial" w:cs="Arial" w:eastAsia="Arial" w:hAnsi="Arial"/>
          <w:sz w:val="19"/>
          <w:szCs w:val="19"/>
          <w:color w:val="auto"/>
        </w:rPr>
        <w:t xml:space="preserve">Act). Yes </w:t>
      </w:r>
      <w:r>
        <w:rPr>
          <w:rFonts w:ascii="MS PGothic" w:cs="MS PGothic" w:eastAsia="MS PGothic" w:hAnsi="MS PGothic"/>
          <w:sz w:val="19"/>
          <w:szCs w:val="19"/>
          <w:color w:val="auto"/>
          <w:highlight w:val="black"/>
        </w:rPr>
        <w:t>☐</w:t>
      </w:r>
      <w:r>
        <w:rPr>
          <w:rFonts w:ascii="Arial" w:cs="Arial" w:eastAsia="Arial" w:hAnsi="Arial"/>
          <w:sz w:val="19"/>
          <w:szCs w:val="19"/>
          <w:color w:val="auto"/>
        </w:rPr>
        <w:t xml:space="preserve"> No </w:t>
      </w:r>
      <w:r>
        <w:rPr>
          <w:rFonts w:ascii="MS PGothic" w:cs="MS PGothic" w:eastAsia="MS PGothic" w:hAnsi="MS PGothic"/>
          <w:sz w:val="19"/>
          <w:szCs w:val="19"/>
          <w:color w:val="auto"/>
          <w:highlight w:val="black"/>
        </w:rPr>
        <w:t>☒</w:t>
      </w:r>
    </w:p>
    <w:p>
      <w:pPr>
        <w:sectPr>
          <w:pgSz w:w="11900" w:h="16838" w:orient="portrait"/>
          <w:cols w:equalWidth="0" w:num="1">
            <w:col w:w="10104"/>
          </w:cols>
          <w:pgMar w:left="896" w:top="226" w:right="899" w:bottom="1440" w:gutter="0" w:footer="0" w:header="0"/>
          <w:type w:val="continuous"/>
        </w:sectPr>
      </w:pPr>
    </w:p>
    <w:p>
      <w:pPr>
        <w:spacing w:after="0" w:line="233" w:lineRule="exact"/>
        <w:rPr>
          <w:sz w:val="24"/>
          <w:szCs w:val="24"/>
          <w:color w:val="auto"/>
        </w:rPr>
      </w:pPr>
    </w:p>
    <w:p>
      <w:pPr>
        <w:ind w:left="4" w:right="2540"/>
        <w:spacing w:after="0" w:line="260" w:lineRule="auto"/>
        <w:rPr>
          <w:sz w:val="20"/>
          <w:szCs w:val="20"/>
          <w:color w:val="auto"/>
        </w:rPr>
      </w:pPr>
      <w:r>
        <w:rPr>
          <w:rFonts w:ascii="Arial" w:cs="Arial" w:eastAsia="Arial" w:hAnsi="Arial"/>
          <w:sz w:val="20"/>
          <w:szCs w:val="20"/>
          <w:color w:val="auto"/>
        </w:rPr>
        <w:t>Indicate the number of shares outstanding of each of the issuer's classes of common stock, as of April 30, 2018: 177,897,654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wp:posOffset>
            </wp:positionH>
            <wp:positionV relativeFrom="paragraph">
              <wp:posOffset>487680</wp:posOffset>
            </wp:positionV>
            <wp:extent cx="615696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10104"/>
          </w:cols>
          <w:pgMar w:left="896" w:top="226" w:right="89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AQUA AMERICA, INC. AND SUBSIDIARIES</w:t>
      </w:r>
    </w:p>
    <w:p>
      <w:pPr>
        <w:spacing w:after="0" w:line="229"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TABLE OF CONTENTS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20"/>
                <w:szCs w:val="20"/>
                <w:color w:val="auto"/>
                <w:w w:val="76"/>
              </w:rPr>
              <w:t>Page</w:t>
            </w:r>
          </w:p>
        </w:tc>
      </w:tr>
      <w:tr>
        <w:trPr>
          <w:trHeight w:val="21"/>
        </w:trPr>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40" w:type="dxa"/>
            <w:vAlign w:val="bottom"/>
            <w:gridSpan w:val="18"/>
            <w:shd w:val="clear" w:color="auto" w:fill="CCEEFF"/>
          </w:tcPr>
          <w:p>
            <w:pPr>
              <w:jc w:val="center"/>
              <w:ind w:right="3160"/>
              <w:spacing w:after="0" w:line="189" w:lineRule="exact"/>
              <w:rPr>
                <w:rFonts w:ascii="Arial" w:cs="Arial" w:eastAsia="Arial" w:hAnsi="Arial"/>
                <w:sz w:val="20"/>
                <w:szCs w:val="20"/>
                <w:color w:val="0000EE"/>
                <w:w w:val="92"/>
              </w:rPr>
            </w:pPr>
            <w:hyperlink w:anchor="page3">
              <w:r>
                <w:rPr>
                  <w:rFonts w:ascii="Arial" w:cs="Arial" w:eastAsia="Arial" w:hAnsi="Arial"/>
                  <w:sz w:val="20"/>
                  <w:szCs w:val="20"/>
                  <w:color w:val="0000EE"/>
                  <w:w w:val="92"/>
                </w:rPr>
                <w:t>Part I – Financial Information</w:t>
              </w:r>
            </w:hyperlink>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23"/>
        </w:trPr>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line="203" w:lineRule="exact"/>
              <w:rPr>
                <w:rFonts w:ascii="Arial" w:cs="Arial" w:eastAsia="Arial" w:hAnsi="Arial"/>
                <w:sz w:val="20"/>
                <w:szCs w:val="20"/>
                <w:color w:val="0000EE"/>
                <w:w w:val="94"/>
              </w:rPr>
            </w:pPr>
            <w:hyperlink w:anchor="page3">
              <w:r>
                <w:rPr>
                  <w:rFonts w:ascii="Arial" w:cs="Arial" w:eastAsia="Arial" w:hAnsi="Arial"/>
                  <w:sz w:val="20"/>
                  <w:szCs w:val="20"/>
                  <w:color w:val="0000EE"/>
                  <w:w w:val="94"/>
                </w:rPr>
                <w:t>Item 1.</w:t>
              </w:r>
            </w:hyperlink>
          </w:p>
        </w:tc>
        <w:tc>
          <w:tcPr>
            <w:tcW w:w="60" w:type="dxa"/>
            <w:vAlign w:val="bottom"/>
            <w:shd w:val="clear" w:color="auto" w:fill="CCEEFF"/>
          </w:tcPr>
          <w:p>
            <w:pPr>
              <w:spacing w:after="0"/>
              <w:rPr>
                <w:sz w:val="19"/>
                <w:szCs w:val="19"/>
                <w:color w:val="auto"/>
              </w:rPr>
            </w:pPr>
          </w:p>
        </w:tc>
        <w:tc>
          <w:tcPr>
            <w:tcW w:w="8720" w:type="dxa"/>
            <w:vAlign w:val="bottom"/>
            <w:gridSpan w:val="27"/>
            <w:shd w:val="clear" w:color="auto" w:fill="CCEEFF"/>
          </w:tcPr>
          <w:p>
            <w:pPr>
              <w:spacing w:after="0" w:line="203" w:lineRule="exact"/>
              <w:rPr>
                <w:rFonts w:ascii="Arial" w:cs="Arial" w:eastAsia="Arial" w:hAnsi="Arial"/>
                <w:sz w:val="20"/>
                <w:szCs w:val="20"/>
                <w:color w:val="0000EE"/>
              </w:rPr>
            </w:pPr>
            <w:hyperlink w:anchor="page3">
              <w:r>
                <w:rPr>
                  <w:rFonts w:ascii="Arial" w:cs="Arial" w:eastAsia="Arial" w:hAnsi="Arial"/>
                  <w:sz w:val="20"/>
                  <w:szCs w:val="20"/>
                  <w:color w:val="0000EE"/>
                </w:rPr>
                <w:t>Financial Statements:</w:t>
              </w:r>
            </w:hyperlink>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780" w:type="dxa"/>
            <w:vAlign w:val="bottom"/>
            <w:gridSpan w:val="28"/>
            <w:shd w:val="clear" w:color="auto" w:fill="CCEEFF"/>
          </w:tcPr>
          <w:p>
            <w:pPr>
              <w:ind w:left="60"/>
              <w:spacing w:after="0" w:line="189" w:lineRule="exact"/>
              <w:rPr>
                <w:rFonts w:ascii="Arial" w:cs="Arial" w:eastAsia="Arial" w:hAnsi="Arial"/>
                <w:sz w:val="20"/>
                <w:szCs w:val="20"/>
                <w:color w:val="0000EE"/>
              </w:rPr>
            </w:pPr>
            <w:hyperlink w:anchor="page3">
              <w:r>
                <w:rPr>
                  <w:rFonts w:ascii="Arial" w:cs="Arial" w:eastAsia="Arial" w:hAnsi="Arial"/>
                  <w:sz w:val="20"/>
                  <w:szCs w:val="20"/>
                  <w:color w:val="0000EE"/>
                </w:rPr>
                <w:t>Consolidated Balance Sheets (unaudited) – March 31, 2018 and December 31, 2017</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2</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780" w:type="dxa"/>
            <w:vAlign w:val="bottom"/>
            <w:gridSpan w:val="28"/>
            <w:shd w:val="clear" w:color="auto" w:fill="CCEEFF"/>
          </w:tcPr>
          <w:p>
            <w:pPr>
              <w:ind w:left="60"/>
              <w:spacing w:after="0" w:line="189" w:lineRule="exact"/>
              <w:rPr>
                <w:rFonts w:ascii="Arial" w:cs="Arial" w:eastAsia="Arial" w:hAnsi="Arial"/>
                <w:sz w:val="20"/>
                <w:szCs w:val="20"/>
                <w:color w:val="0000EE"/>
              </w:rPr>
            </w:pPr>
            <w:hyperlink w:anchor="page4">
              <w:r>
                <w:rPr>
                  <w:rFonts w:ascii="Arial" w:cs="Arial" w:eastAsia="Arial" w:hAnsi="Arial"/>
                  <w:sz w:val="20"/>
                  <w:szCs w:val="20"/>
                  <w:color w:val="0000EE"/>
                </w:rPr>
                <w:t>Consolidated Statements of Net Income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3940" w:type="dxa"/>
            <w:vAlign w:val="bottom"/>
            <w:tcBorders>
              <w:top w:val="single" w:sz="8" w:color="0000EE"/>
            </w:tcBorders>
            <w:gridSpan w:val="16"/>
            <w:shd w:val="clear" w:color="auto" w:fill="CCEEFF"/>
          </w:tcPr>
          <w:p>
            <w:pPr>
              <w:spacing w:after="0" w:line="209" w:lineRule="exact"/>
              <w:rPr>
                <w:rFonts w:ascii="Arial" w:cs="Arial" w:eastAsia="Arial" w:hAnsi="Arial"/>
                <w:sz w:val="20"/>
                <w:szCs w:val="20"/>
                <w:color w:val="0000EE"/>
                <w:w w:val="93"/>
              </w:rPr>
            </w:pPr>
            <w:hyperlink w:anchor="page4">
              <w:r>
                <w:rPr>
                  <w:rFonts w:ascii="Arial" w:cs="Arial" w:eastAsia="Arial" w:hAnsi="Arial"/>
                  <w:sz w:val="20"/>
                  <w:szCs w:val="20"/>
                  <w:color w:val="0000EE"/>
                  <w:w w:val="93"/>
                </w:rPr>
                <w:t>Three Months Ended March 31, 2018 and 2017</w:t>
              </w:r>
            </w:hyperlink>
          </w:p>
        </w:tc>
        <w:tc>
          <w:tcPr>
            <w:tcW w:w="4460" w:type="dxa"/>
            <w:vAlign w:val="bottom"/>
            <w:tcBorders>
              <w:top w:val="single" w:sz="8" w:color="CCEEFF"/>
            </w:tcBorders>
            <w:gridSpan w:val="9"/>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3</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780" w:type="dxa"/>
            <w:vAlign w:val="bottom"/>
            <w:gridSpan w:val="28"/>
            <w:shd w:val="clear" w:color="auto" w:fill="CCEEFF"/>
          </w:tcPr>
          <w:p>
            <w:pPr>
              <w:ind w:left="60"/>
              <w:spacing w:after="0" w:line="189" w:lineRule="exact"/>
              <w:rPr>
                <w:rFonts w:ascii="Arial" w:cs="Arial" w:eastAsia="Arial" w:hAnsi="Arial"/>
                <w:sz w:val="20"/>
                <w:szCs w:val="20"/>
                <w:color w:val="0000EE"/>
              </w:rPr>
            </w:pPr>
            <w:hyperlink w:anchor="page5">
              <w:r>
                <w:rPr>
                  <w:rFonts w:ascii="Arial" w:cs="Arial" w:eastAsia="Arial" w:hAnsi="Arial"/>
                  <w:sz w:val="20"/>
                  <w:szCs w:val="20"/>
                  <w:color w:val="0000EE"/>
                </w:rPr>
                <w:t>Consolidated Statements of Comprehensive Income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4900" w:type="dxa"/>
            <w:vAlign w:val="bottom"/>
            <w:tcBorders>
              <w:top w:val="single" w:sz="8" w:color="0000EE"/>
            </w:tcBorders>
            <w:gridSpan w:val="21"/>
            <w:shd w:val="clear" w:color="auto" w:fill="CCEEFF"/>
          </w:tcPr>
          <w:p>
            <w:pPr>
              <w:spacing w:after="0" w:line="209" w:lineRule="exact"/>
              <w:rPr>
                <w:rFonts w:ascii="Arial" w:cs="Arial" w:eastAsia="Arial" w:hAnsi="Arial"/>
                <w:sz w:val="20"/>
                <w:szCs w:val="20"/>
                <w:color w:val="0000EE"/>
              </w:rPr>
            </w:pPr>
            <w:hyperlink w:anchor="page5">
              <w:r>
                <w:rPr>
                  <w:rFonts w:ascii="Arial" w:cs="Arial" w:eastAsia="Arial" w:hAnsi="Arial"/>
                  <w:sz w:val="20"/>
                  <w:szCs w:val="20"/>
                  <w:color w:val="0000EE"/>
                </w:rPr>
                <w:t>Three Months Ended March 31, 2018 and 2017</w:t>
              </w:r>
            </w:hyperlink>
          </w:p>
        </w:tc>
        <w:tc>
          <w:tcPr>
            <w:tcW w:w="3500" w:type="dxa"/>
            <w:vAlign w:val="bottom"/>
            <w:tcBorders>
              <w:top w:val="single" w:sz="8" w:color="CCEEFF"/>
            </w:tcBorders>
            <w:gridSpan w:val="4"/>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4</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780" w:type="dxa"/>
            <w:vAlign w:val="bottom"/>
            <w:gridSpan w:val="28"/>
            <w:shd w:val="clear" w:color="auto" w:fill="CCEEFF"/>
          </w:tcPr>
          <w:p>
            <w:pPr>
              <w:ind w:left="60"/>
              <w:spacing w:after="0" w:line="189" w:lineRule="exact"/>
              <w:rPr>
                <w:rFonts w:ascii="Arial" w:cs="Arial" w:eastAsia="Arial" w:hAnsi="Arial"/>
                <w:sz w:val="20"/>
                <w:szCs w:val="20"/>
                <w:color w:val="0000EE"/>
              </w:rPr>
            </w:pPr>
            <w:hyperlink w:anchor="page6">
              <w:r>
                <w:rPr>
                  <w:rFonts w:ascii="Arial" w:cs="Arial" w:eastAsia="Arial" w:hAnsi="Arial"/>
                  <w:sz w:val="20"/>
                  <w:szCs w:val="20"/>
                  <w:color w:val="0000EE"/>
                </w:rPr>
                <w:t>Consolidated Statements of Capitalization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4120" w:type="dxa"/>
            <w:vAlign w:val="bottom"/>
            <w:tcBorders>
              <w:top w:val="single" w:sz="8" w:color="0000EE"/>
            </w:tcBorders>
            <w:gridSpan w:val="18"/>
            <w:shd w:val="clear" w:color="auto" w:fill="CCEEFF"/>
          </w:tcPr>
          <w:p>
            <w:pPr>
              <w:spacing w:after="0" w:line="209" w:lineRule="exact"/>
              <w:rPr>
                <w:rFonts w:ascii="Arial" w:cs="Arial" w:eastAsia="Arial" w:hAnsi="Arial"/>
                <w:sz w:val="20"/>
                <w:szCs w:val="20"/>
                <w:color w:val="0000EE"/>
              </w:rPr>
            </w:pPr>
            <w:hyperlink w:anchor="page6">
              <w:r>
                <w:rPr>
                  <w:rFonts w:ascii="Arial" w:cs="Arial" w:eastAsia="Arial" w:hAnsi="Arial"/>
                  <w:sz w:val="20"/>
                  <w:szCs w:val="20"/>
                  <w:color w:val="0000EE"/>
                </w:rPr>
                <w:t>March 31, 2018 and December 31, 2017</w:t>
              </w:r>
            </w:hyperlink>
          </w:p>
        </w:tc>
        <w:tc>
          <w:tcPr>
            <w:tcW w:w="4280" w:type="dxa"/>
            <w:vAlign w:val="bottom"/>
            <w:tcBorders>
              <w:top w:val="single" w:sz="8" w:color="CCEEFF"/>
            </w:tcBorders>
            <w:gridSpan w:val="7"/>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5</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780" w:type="dxa"/>
            <w:vAlign w:val="bottom"/>
            <w:gridSpan w:val="28"/>
            <w:shd w:val="clear" w:color="auto" w:fill="CCEEFF"/>
          </w:tcPr>
          <w:p>
            <w:pPr>
              <w:ind w:left="60"/>
              <w:spacing w:after="0" w:line="189" w:lineRule="exact"/>
              <w:rPr>
                <w:rFonts w:ascii="Arial" w:cs="Arial" w:eastAsia="Arial" w:hAnsi="Arial"/>
                <w:sz w:val="20"/>
                <w:szCs w:val="20"/>
                <w:color w:val="0000EE"/>
              </w:rPr>
            </w:pPr>
            <w:hyperlink w:anchor="page7">
              <w:r>
                <w:rPr>
                  <w:rFonts w:ascii="Arial" w:cs="Arial" w:eastAsia="Arial" w:hAnsi="Arial"/>
                  <w:sz w:val="20"/>
                  <w:szCs w:val="20"/>
                  <w:color w:val="0000EE"/>
                </w:rPr>
                <w:t>Consolidated Statement of Equity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3460" w:type="dxa"/>
            <w:vAlign w:val="bottom"/>
            <w:tcBorders>
              <w:top w:val="single" w:sz="8" w:color="0000EE"/>
            </w:tcBorders>
            <w:gridSpan w:val="12"/>
            <w:shd w:val="clear" w:color="auto" w:fill="CCEEFF"/>
          </w:tcPr>
          <w:p>
            <w:pPr>
              <w:spacing w:after="0" w:line="209" w:lineRule="exact"/>
              <w:rPr>
                <w:rFonts w:ascii="Arial" w:cs="Arial" w:eastAsia="Arial" w:hAnsi="Arial"/>
                <w:sz w:val="20"/>
                <w:szCs w:val="20"/>
                <w:color w:val="0000EE"/>
              </w:rPr>
            </w:pPr>
            <w:hyperlink w:anchor="page7">
              <w:r>
                <w:rPr>
                  <w:rFonts w:ascii="Arial" w:cs="Arial" w:eastAsia="Arial" w:hAnsi="Arial"/>
                  <w:sz w:val="20"/>
                  <w:szCs w:val="20"/>
                  <w:color w:val="0000EE"/>
                </w:rPr>
                <w:t>Three Months Ended March 31, 2018</w:t>
              </w:r>
            </w:hyperlink>
          </w:p>
        </w:tc>
        <w:tc>
          <w:tcPr>
            <w:tcW w:w="4940" w:type="dxa"/>
            <w:vAlign w:val="bottom"/>
            <w:tcBorders>
              <w:top w:val="single" w:sz="8" w:color="CCEEFF"/>
            </w:tcBorders>
            <w:gridSpan w:val="13"/>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6</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780" w:type="dxa"/>
            <w:vAlign w:val="bottom"/>
            <w:gridSpan w:val="28"/>
            <w:shd w:val="clear" w:color="auto" w:fill="CCEEFF"/>
          </w:tcPr>
          <w:p>
            <w:pPr>
              <w:ind w:left="60"/>
              <w:spacing w:after="0" w:line="189" w:lineRule="exact"/>
              <w:rPr>
                <w:rFonts w:ascii="Arial" w:cs="Arial" w:eastAsia="Arial" w:hAnsi="Arial"/>
                <w:sz w:val="20"/>
                <w:szCs w:val="20"/>
                <w:color w:val="0000EE"/>
              </w:rPr>
            </w:pPr>
            <w:hyperlink w:anchor="page8">
              <w:r>
                <w:rPr>
                  <w:rFonts w:ascii="Arial" w:cs="Arial" w:eastAsia="Arial" w:hAnsi="Arial"/>
                  <w:sz w:val="20"/>
                  <w:szCs w:val="20"/>
                  <w:color w:val="0000EE"/>
                </w:rPr>
                <w:t>Consolidated Statements of Cash Flow (unaudited) –</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3860" w:type="dxa"/>
            <w:vAlign w:val="bottom"/>
            <w:tcBorders>
              <w:top w:val="single" w:sz="8" w:color="0000EE"/>
            </w:tcBorders>
            <w:gridSpan w:val="15"/>
            <w:shd w:val="clear" w:color="auto" w:fill="CCEEFF"/>
          </w:tcPr>
          <w:p>
            <w:pPr>
              <w:spacing w:after="0" w:line="209" w:lineRule="exact"/>
              <w:rPr>
                <w:rFonts w:ascii="Arial" w:cs="Arial" w:eastAsia="Arial" w:hAnsi="Arial"/>
                <w:sz w:val="20"/>
                <w:szCs w:val="20"/>
                <w:color w:val="0000EE"/>
                <w:w w:val="91"/>
              </w:rPr>
            </w:pPr>
            <w:hyperlink w:anchor="page8">
              <w:r>
                <w:rPr>
                  <w:rFonts w:ascii="Arial" w:cs="Arial" w:eastAsia="Arial" w:hAnsi="Arial"/>
                  <w:sz w:val="20"/>
                  <w:szCs w:val="20"/>
                  <w:color w:val="0000EE"/>
                  <w:w w:val="91"/>
                </w:rPr>
                <w:t>Three Months Ended March 31, 2018 and 2017</w:t>
              </w:r>
            </w:hyperlink>
          </w:p>
        </w:tc>
        <w:tc>
          <w:tcPr>
            <w:tcW w:w="4540" w:type="dxa"/>
            <w:vAlign w:val="bottom"/>
            <w:tcBorders>
              <w:top w:val="single" w:sz="8" w:color="CCEEFF"/>
            </w:tcBorders>
            <w:gridSpan w:val="10"/>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7</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780" w:type="dxa"/>
            <w:vAlign w:val="bottom"/>
            <w:gridSpan w:val="28"/>
            <w:shd w:val="clear" w:color="auto" w:fill="CCEEFF"/>
          </w:tcPr>
          <w:p>
            <w:pPr>
              <w:ind w:left="60"/>
              <w:spacing w:after="0" w:line="189" w:lineRule="exact"/>
              <w:rPr>
                <w:rFonts w:ascii="Arial" w:cs="Arial" w:eastAsia="Arial" w:hAnsi="Arial"/>
                <w:sz w:val="20"/>
                <w:szCs w:val="20"/>
                <w:color w:val="0000EE"/>
              </w:rPr>
            </w:pPr>
            <w:hyperlink w:anchor="page8">
              <w:r>
                <w:rPr>
                  <w:rFonts w:ascii="Arial" w:cs="Arial" w:eastAsia="Arial" w:hAnsi="Arial"/>
                  <w:sz w:val="20"/>
                  <w:szCs w:val="20"/>
                  <w:color w:val="0000EE"/>
                </w:rPr>
                <w:t>Notes to Consolidated Financial Statements (unaudited)</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8</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gridSpan w:val="2"/>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9380" w:type="dxa"/>
            <w:vAlign w:val="bottom"/>
            <w:gridSpan w:val="29"/>
            <w:shd w:val="clear" w:color="auto" w:fill="CCEEFF"/>
          </w:tcPr>
          <w:p>
            <w:pPr>
              <w:spacing w:after="0" w:line="189" w:lineRule="exact"/>
              <w:rPr>
                <w:rFonts w:ascii="Arial" w:cs="Arial" w:eastAsia="Arial" w:hAnsi="Arial"/>
                <w:sz w:val="20"/>
                <w:szCs w:val="20"/>
                <w:color w:val="0000EE"/>
              </w:rPr>
            </w:pPr>
            <w:hyperlink w:anchor="page25">
              <w:r>
                <w:rPr>
                  <w:rFonts w:ascii="Arial" w:cs="Arial" w:eastAsia="Arial" w:hAnsi="Arial"/>
                  <w:sz w:val="20"/>
                  <w:szCs w:val="20"/>
                  <w:color w:val="0000EE"/>
                </w:rPr>
                <w:t>Item 2. Management’s Discussion and Analysis of Financial</w:t>
              </w:r>
            </w:hyperlink>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0000EE"/>
            </w:tcBorders>
            <w:shd w:val="clear" w:color="auto" w:fill="CCEEFF"/>
          </w:tcPr>
          <w:p>
            <w:pPr>
              <w:spacing w:after="0"/>
              <w:rPr>
                <w:sz w:val="20"/>
                <w:szCs w:val="20"/>
                <w:color w:val="auto"/>
              </w:rPr>
            </w:pPr>
          </w:p>
        </w:tc>
        <w:tc>
          <w:tcPr>
            <w:tcW w:w="4220" w:type="dxa"/>
            <w:vAlign w:val="bottom"/>
            <w:tcBorders>
              <w:top w:val="single" w:sz="8" w:color="0000EE"/>
            </w:tcBorders>
            <w:gridSpan w:val="17"/>
            <w:shd w:val="clear" w:color="auto" w:fill="CCEEFF"/>
          </w:tcPr>
          <w:p>
            <w:pPr>
              <w:ind w:left="60"/>
              <w:spacing w:after="0" w:line="209" w:lineRule="exact"/>
              <w:rPr>
                <w:rFonts w:ascii="Arial" w:cs="Arial" w:eastAsia="Arial" w:hAnsi="Arial"/>
                <w:sz w:val="20"/>
                <w:szCs w:val="20"/>
                <w:color w:val="0000EE"/>
              </w:rPr>
            </w:pPr>
            <w:hyperlink w:anchor="page25">
              <w:r>
                <w:rPr>
                  <w:rFonts w:ascii="Arial" w:cs="Arial" w:eastAsia="Arial" w:hAnsi="Arial"/>
                  <w:sz w:val="20"/>
                  <w:szCs w:val="20"/>
                  <w:color w:val="0000EE"/>
                </w:rPr>
                <w:t>Condition and Results of Operations</w:t>
              </w:r>
            </w:hyperlink>
          </w:p>
        </w:tc>
        <w:tc>
          <w:tcPr>
            <w:tcW w:w="4560" w:type="dxa"/>
            <w:vAlign w:val="bottom"/>
            <w:tcBorders>
              <w:top w:val="single" w:sz="8" w:color="CCEEFF"/>
            </w:tcBorders>
            <w:gridSpan w:val="11"/>
            <w:shd w:val="clear" w:color="auto" w:fill="CCEEFF"/>
          </w:tcPr>
          <w:p>
            <w:pPr>
              <w:spacing w:after="0"/>
              <w:rPr>
                <w:sz w:val="20"/>
                <w:szCs w:val="20"/>
                <w:color w:val="auto"/>
              </w:rPr>
            </w:pPr>
          </w:p>
        </w:tc>
        <w:tc>
          <w:tcPr>
            <w:tcW w:w="500" w:type="dxa"/>
            <w:vAlign w:val="bottom"/>
            <w:tcBorders>
              <w:top w:val="single" w:sz="8" w:color="CCEEFF"/>
            </w:tcBorders>
            <w:gridSpan w:val="2"/>
            <w:shd w:val="clear" w:color="auto" w:fill="CCEEFF"/>
          </w:tcPr>
          <w:p>
            <w:pPr>
              <w:jc w:val="right"/>
              <w:ind w:right="40"/>
              <w:spacing w:after="0" w:line="209" w:lineRule="exact"/>
              <w:rPr>
                <w:sz w:val="20"/>
                <w:szCs w:val="20"/>
                <w:color w:val="auto"/>
              </w:rPr>
            </w:pPr>
            <w:r>
              <w:rPr>
                <w:rFonts w:ascii="Arial" w:cs="Arial" w:eastAsia="Arial" w:hAnsi="Arial"/>
                <w:sz w:val="20"/>
                <w:szCs w:val="20"/>
                <w:color w:val="auto"/>
              </w:rPr>
              <w:t>25</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line="189" w:lineRule="exact"/>
              <w:rPr>
                <w:rFonts w:ascii="Arial" w:cs="Arial" w:eastAsia="Arial" w:hAnsi="Arial"/>
                <w:sz w:val="20"/>
                <w:szCs w:val="20"/>
                <w:color w:val="0000EE"/>
                <w:w w:val="94"/>
              </w:rPr>
            </w:pPr>
            <w:hyperlink w:anchor="page30">
              <w:r>
                <w:rPr>
                  <w:rFonts w:ascii="Arial" w:cs="Arial" w:eastAsia="Arial" w:hAnsi="Arial"/>
                  <w:sz w:val="20"/>
                  <w:szCs w:val="20"/>
                  <w:color w:val="0000EE"/>
                  <w:w w:val="94"/>
                </w:rPr>
                <w:t>Item 3.</w:t>
              </w:r>
            </w:hyperlink>
          </w:p>
        </w:tc>
        <w:tc>
          <w:tcPr>
            <w:tcW w:w="60" w:type="dxa"/>
            <w:vAlign w:val="bottom"/>
            <w:shd w:val="clear" w:color="auto" w:fill="CCEEFF"/>
          </w:tcPr>
          <w:p>
            <w:pPr>
              <w:spacing w:after="0"/>
              <w:rPr>
                <w:sz w:val="18"/>
                <w:szCs w:val="18"/>
                <w:color w:val="auto"/>
              </w:rPr>
            </w:pPr>
          </w:p>
        </w:tc>
        <w:tc>
          <w:tcPr>
            <w:tcW w:w="8720" w:type="dxa"/>
            <w:vAlign w:val="bottom"/>
            <w:gridSpan w:val="27"/>
            <w:shd w:val="clear" w:color="auto" w:fill="CCEEFF"/>
          </w:tcPr>
          <w:p>
            <w:pPr>
              <w:spacing w:after="0" w:line="189" w:lineRule="exact"/>
              <w:rPr>
                <w:rFonts w:ascii="Arial" w:cs="Arial" w:eastAsia="Arial" w:hAnsi="Arial"/>
                <w:sz w:val="20"/>
                <w:szCs w:val="20"/>
                <w:color w:val="0000EE"/>
              </w:rPr>
            </w:pPr>
            <w:hyperlink w:anchor="page30">
              <w:r>
                <w:rPr>
                  <w:rFonts w:ascii="Arial" w:cs="Arial" w:eastAsia="Arial" w:hAnsi="Arial"/>
                  <w:sz w:val="20"/>
                  <w:szCs w:val="20"/>
                  <w:color w:val="0000EE"/>
                </w:rPr>
                <w:t>Quantitative and Qualitative Disclosures About Market Risk</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29</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line="189" w:lineRule="exact"/>
              <w:rPr>
                <w:rFonts w:ascii="Arial" w:cs="Arial" w:eastAsia="Arial" w:hAnsi="Arial"/>
                <w:sz w:val="20"/>
                <w:szCs w:val="20"/>
                <w:color w:val="0000EE"/>
                <w:w w:val="94"/>
              </w:rPr>
            </w:pPr>
            <w:hyperlink w:anchor="page30">
              <w:r>
                <w:rPr>
                  <w:rFonts w:ascii="Arial" w:cs="Arial" w:eastAsia="Arial" w:hAnsi="Arial"/>
                  <w:sz w:val="20"/>
                  <w:szCs w:val="20"/>
                  <w:color w:val="0000EE"/>
                  <w:w w:val="94"/>
                </w:rPr>
                <w:t>Item 4.</w:t>
              </w:r>
            </w:hyperlink>
          </w:p>
        </w:tc>
        <w:tc>
          <w:tcPr>
            <w:tcW w:w="60" w:type="dxa"/>
            <w:vAlign w:val="bottom"/>
            <w:shd w:val="clear" w:color="auto" w:fill="CCEEFF"/>
          </w:tcPr>
          <w:p>
            <w:pPr>
              <w:spacing w:after="0"/>
              <w:rPr>
                <w:sz w:val="18"/>
                <w:szCs w:val="18"/>
                <w:color w:val="auto"/>
              </w:rPr>
            </w:pPr>
          </w:p>
        </w:tc>
        <w:tc>
          <w:tcPr>
            <w:tcW w:w="8720" w:type="dxa"/>
            <w:vAlign w:val="bottom"/>
            <w:gridSpan w:val="27"/>
            <w:shd w:val="clear" w:color="auto" w:fill="CCEEFF"/>
          </w:tcPr>
          <w:p>
            <w:pPr>
              <w:spacing w:after="0" w:line="189" w:lineRule="exact"/>
              <w:rPr>
                <w:rFonts w:ascii="Arial" w:cs="Arial" w:eastAsia="Arial" w:hAnsi="Arial"/>
                <w:sz w:val="20"/>
                <w:szCs w:val="20"/>
                <w:color w:val="0000EE"/>
              </w:rPr>
            </w:pPr>
            <w:hyperlink w:anchor="page30">
              <w:r>
                <w:rPr>
                  <w:rFonts w:ascii="Arial" w:cs="Arial" w:eastAsia="Arial" w:hAnsi="Arial"/>
                  <w:sz w:val="20"/>
                  <w:szCs w:val="20"/>
                  <w:color w:val="0000EE"/>
                </w:rPr>
                <w:t>Controls and Procedures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29</w:t>
            </w:r>
          </w:p>
        </w:tc>
      </w:tr>
      <w:tr>
        <w:trPr>
          <w:trHeight w:val="230"/>
        </w:trPr>
        <w:tc>
          <w:tcPr>
            <w:tcW w:w="10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r>
      <w:tr>
        <w:trPr>
          <w:trHeight w:val="210"/>
        </w:trPr>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80" w:type="dxa"/>
            <w:vAlign w:val="bottom"/>
            <w:gridSpan w:val="17"/>
            <w:shd w:val="clear" w:color="auto" w:fill="CCEEFF"/>
          </w:tcPr>
          <w:p>
            <w:pPr>
              <w:jc w:val="center"/>
              <w:ind w:right="3300"/>
              <w:spacing w:after="0" w:line="189" w:lineRule="exact"/>
              <w:rPr>
                <w:rFonts w:ascii="Arial" w:cs="Arial" w:eastAsia="Arial" w:hAnsi="Arial"/>
                <w:sz w:val="20"/>
                <w:szCs w:val="20"/>
                <w:color w:val="0000EE"/>
                <w:w w:val="92"/>
              </w:rPr>
            </w:pPr>
            <w:hyperlink w:anchor="page30">
              <w:r>
                <w:rPr>
                  <w:rFonts w:ascii="Arial" w:cs="Arial" w:eastAsia="Arial" w:hAnsi="Arial"/>
                  <w:sz w:val="20"/>
                  <w:szCs w:val="20"/>
                  <w:color w:val="0000EE"/>
                  <w:w w:val="92"/>
                </w:rPr>
                <w:t>Part II – Other Information</w:t>
              </w:r>
            </w:hyperlink>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line="189" w:lineRule="exact"/>
              <w:rPr>
                <w:rFonts w:ascii="Arial" w:cs="Arial" w:eastAsia="Arial" w:hAnsi="Arial"/>
                <w:sz w:val="20"/>
                <w:szCs w:val="20"/>
                <w:color w:val="0000EE"/>
                <w:w w:val="94"/>
              </w:rPr>
            </w:pPr>
            <w:hyperlink w:anchor="page30">
              <w:r>
                <w:rPr>
                  <w:rFonts w:ascii="Arial" w:cs="Arial" w:eastAsia="Arial" w:hAnsi="Arial"/>
                  <w:sz w:val="20"/>
                  <w:szCs w:val="20"/>
                  <w:color w:val="0000EE"/>
                  <w:w w:val="94"/>
                </w:rPr>
                <w:t>Item 1.</w:t>
              </w:r>
            </w:hyperlink>
          </w:p>
        </w:tc>
        <w:tc>
          <w:tcPr>
            <w:tcW w:w="60" w:type="dxa"/>
            <w:vAlign w:val="bottom"/>
            <w:shd w:val="clear" w:color="auto" w:fill="CCEEFF"/>
          </w:tcPr>
          <w:p>
            <w:pPr>
              <w:spacing w:after="0"/>
              <w:rPr>
                <w:sz w:val="18"/>
                <w:szCs w:val="18"/>
                <w:color w:val="auto"/>
              </w:rPr>
            </w:pPr>
          </w:p>
        </w:tc>
        <w:tc>
          <w:tcPr>
            <w:tcW w:w="8720" w:type="dxa"/>
            <w:vAlign w:val="bottom"/>
            <w:gridSpan w:val="27"/>
            <w:shd w:val="clear" w:color="auto" w:fill="CCEEFF"/>
          </w:tcPr>
          <w:p>
            <w:pPr>
              <w:spacing w:after="0" w:line="189" w:lineRule="exact"/>
              <w:rPr>
                <w:rFonts w:ascii="Arial" w:cs="Arial" w:eastAsia="Arial" w:hAnsi="Arial"/>
                <w:sz w:val="20"/>
                <w:szCs w:val="20"/>
                <w:color w:val="0000EE"/>
              </w:rPr>
            </w:pPr>
            <w:hyperlink w:anchor="page30">
              <w:r>
                <w:rPr>
                  <w:rFonts w:ascii="Arial" w:cs="Arial" w:eastAsia="Arial" w:hAnsi="Arial"/>
                  <w:sz w:val="20"/>
                  <w:szCs w:val="20"/>
                  <w:color w:val="0000EE"/>
                </w:rPr>
                <w:t>Legal Proceedings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29</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gridSpan w:val="2"/>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9380" w:type="dxa"/>
            <w:vAlign w:val="bottom"/>
            <w:gridSpan w:val="29"/>
            <w:shd w:val="clear" w:color="auto" w:fill="CCEEFF"/>
          </w:tcPr>
          <w:p>
            <w:pPr>
              <w:spacing w:after="0" w:line="189" w:lineRule="exact"/>
              <w:rPr>
                <w:rFonts w:ascii="Arial" w:cs="Arial" w:eastAsia="Arial" w:hAnsi="Arial"/>
                <w:sz w:val="20"/>
                <w:szCs w:val="20"/>
                <w:color w:val="0000EE"/>
              </w:rPr>
            </w:pPr>
            <w:hyperlink w:anchor="page30">
              <w:r>
                <w:rPr>
                  <w:rFonts w:ascii="Arial" w:cs="Arial" w:eastAsia="Arial" w:hAnsi="Arial"/>
                  <w:sz w:val="20"/>
                  <w:szCs w:val="20"/>
                  <w:color w:val="0000EE"/>
                </w:rPr>
                <w:t>Item 1A. Risk Factors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29</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line="189" w:lineRule="exact"/>
              <w:rPr>
                <w:rFonts w:ascii="Arial" w:cs="Arial" w:eastAsia="Arial" w:hAnsi="Arial"/>
                <w:sz w:val="20"/>
                <w:szCs w:val="20"/>
                <w:color w:val="0000EE"/>
                <w:w w:val="94"/>
              </w:rPr>
            </w:pPr>
            <w:hyperlink w:anchor="page31">
              <w:r>
                <w:rPr>
                  <w:rFonts w:ascii="Arial" w:cs="Arial" w:eastAsia="Arial" w:hAnsi="Arial"/>
                  <w:sz w:val="20"/>
                  <w:szCs w:val="20"/>
                  <w:color w:val="0000EE"/>
                  <w:w w:val="94"/>
                </w:rPr>
                <w:t>Item 2.</w:t>
              </w:r>
            </w:hyperlink>
          </w:p>
        </w:tc>
        <w:tc>
          <w:tcPr>
            <w:tcW w:w="60" w:type="dxa"/>
            <w:vAlign w:val="bottom"/>
            <w:shd w:val="clear" w:color="auto" w:fill="CCEEFF"/>
          </w:tcPr>
          <w:p>
            <w:pPr>
              <w:spacing w:after="0"/>
              <w:rPr>
                <w:sz w:val="18"/>
                <w:szCs w:val="18"/>
                <w:color w:val="auto"/>
              </w:rPr>
            </w:pPr>
          </w:p>
        </w:tc>
        <w:tc>
          <w:tcPr>
            <w:tcW w:w="8720" w:type="dxa"/>
            <w:vAlign w:val="bottom"/>
            <w:gridSpan w:val="27"/>
            <w:shd w:val="clear" w:color="auto" w:fill="CCEEFF"/>
          </w:tcPr>
          <w:p>
            <w:pPr>
              <w:spacing w:after="0" w:line="189" w:lineRule="exact"/>
              <w:rPr>
                <w:rFonts w:ascii="Arial" w:cs="Arial" w:eastAsia="Arial" w:hAnsi="Arial"/>
                <w:sz w:val="20"/>
                <w:szCs w:val="20"/>
                <w:color w:val="0000EE"/>
              </w:rPr>
            </w:pPr>
            <w:hyperlink w:anchor="page31">
              <w:r>
                <w:rPr>
                  <w:rFonts w:ascii="Arial" w:cs="Arial" w:eastAsia="Arial" w:hAnsi="Arial"/>
                  <w:sz w:val="20"/>
                  <w:szCs w:val="20"/>
                  <w:color w:val="0000EE"/>
                </w:rPr>
                <w:t>Unregistered Sales of Equity Securities and Use of Proceeds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30</w:t>
            </w:r>
          </w:p>
        </w:tc>
      </w:tr>
      <w:tr>
        <w:trPr>
          <w:trHeight w:val="243"/>
        </w:trPr>
        <w:tc>
          <w:tcPr>
            <w:tcW w:w="100" w:type="dxa"/>
            <w:vAlign w:val="bottom"/>
            <w:tcBorders>
              <w:top w:val="single" w:sz="8" w:color="CCEEFF"/>
            </w:tcBorders>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line="189" w:lineRule="exact"/>
              <w:rPr>
                <w:rFonts w:ascii="Arial" w:cs="Arial" w:eastAsia="Arial" w:hAnsi="Arial"/>
                <w:sz w:val="20"/>
                <w:szCs w:val="20"/>
                <w:color w:val="0000EE"/>
                <w:w w:val="94"/>
              </w:rPr>
            </w:pPr>
            <w:hyperlink w:anchor="page31">
              <w:r>
                <w:rPr>
                  <w:rFonts w:ascii="Arial" w:cs="Arial" w:eastAsia="Arial" w:hAnsi="Arial"/>
                  <w:sz w:val="20"/>
                  <w:szCs w:val="20"/>
                  <w:color w:val="0000EE"/>
                  <w:w w:val="94"/>
                </w:rPr>
                <w:t>Item 6.</w:t>
              </w:r>
            </w:hyperlink>
          </w:p>
        </w:tc>
        <w:tc>
          <w:tcPr>
            <w:tcW w:w="60" w:type="dxa"/>
            <w:vAlign w:val="bottom"/>
            <w:shd w:val="clear" w:color="auto" w:fill="CCEEFF"/>
          </w:tcPr>
          <w:p>
            <w:pPr>
              <w:spacing w:after="0"/>
              <w:rPr>
                <w:sz w:val="18"/>
                <w:szCs w:val="18"/>
                <w:color w:val="auto"/>
              </w:rPr>
            </w:pPr>
          </w:p>
        </w:tc>
        <w:tc>
          <w:tcPr>
            <w:tcW w:w="8720" w:type="dxa"/>
            <w:vAlign w:val="bottom"/>
            <w:gridSpan w:val="27"/>
            <w:shd w:val="clear" w:color="auto" w:fill="CCEEFF"/>
          </w:tcPr>
          <w:p>
            <w:pPr>
              <w:spacing w:after="0" w:line="189" w:lineRule="exact"/>
              <w:rPr>
                <w:rFonts w:ascii="Arial" w:cs="Arial" w:eastAsia="Arial" w:hAnsi="Arial"/>
                <w:sz w:val="20"/>
                <w:szCs w:val="20"/>
                <w:color w:val="0000EE"/>
              </w:rPr>
            </w:pPr>
            <w:hyperlink w:anchor="page31">
              <w:r>
                <w:rPr>
                  <w:rFonts w:ascii="Arial" w:cs="Arial" w:eastAsia="Arial" w:hAnsi="Arial"/>
                  <w:sz w:val="20"/>
                  <w:szCs w:val="20"/>
                  <w:color w:val="0000EE"/>
                </w:rPr>
                <w:t>Exhibits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30</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gridSpan w:val="2"/>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10"/>
        </w:trPr>
        <w:tc>
          <w:tcPr>
            <w:tcW w:w="100" w:type="dxa"/>
            <w:vAlign w:val="bottom"/>
            <w:shd w:val="clear" w:color="auto" w:fill="CCEEFF"/>
          </w:tcPr>
          <w:p>
            <w:pPr>
              <w:spacing w:after="0"/>
              <w:rPr>
                <w:sz w:val="18"/>
                <w:szCs w:val="18"/>
                <w:color w:val="auto"/>
              </w:rPr>
            </w:pPr>
          </w:p>
        </w:tc>
        <w:tc>
          <w:tcPr>
            <w:tcW w:w="9380" w:type="dxa"/>
            <w:vAlign w:val="bottom"/>
            <w:gridSpan w:val="29"/>
            <w:shd w:val="clear" w:color="auto" w:fill="CCEEFF"/>
          </w:tcPr>
          <w:p>
            <w:pPr>
              <w:spacing w:after="0" w:line="189" w:lineRule="exact"/>
              <w:rPr>
                <w:rFonts w:ascii="Arial" w:cs="Arial" w:eastAsia="Arial" w:hAnsi="Arial"/>
                <w:sz w:val="20"/>
                <w:szCs w:val="20"/>
                <w:color w:val="0000EE"/>
              </w:rPr>
            </w:pPr>
            <w:hyperlink w:anchor="page32">
              <w:r>
                <w:rPr>
                  <w:rFonts w:ascii="Arial" w:cs="Arial" w:eastAsia="Arial" w:hAnsi="Arial"/>
                  <w:sz w:val="20"/>
                  <w:szCs w:val="20"/>
                  <w:color w:val="0000EE"/>
                </w:rPr>
                <w:t>Exhibit Index</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31</w:t>
            </w:r>
          </w:p>
        </w:tc>
      </w:tr>
      <w:tr>
        <w:trPr>
          <w:trHeight w:val="243"/>
        </w:trPr>
        <w:tc>
          <w:tcPr>
            <w:tcW w:w="100" w:type="dxa"/>
            <w:vAlign w:val="bottom"/>
            <w:tcBorders>
              <w:top w:val="single" w:sz="8" w:color="CCEEFF"/>
            </w:tcBorders>
          </w:tcPr>
          <w:p>
            <w:pPr>
              <w:spacing w:after="0"/>
              <w:rPr>
                <w:sz w:val="21"/>
                <w:szCs w:val="21"/>
                <w:color w:val="auto"/>
              </w:rPr>
            </w:pPr>
          </w:p>
        </w:tc>
        <w:tc>
          <w:tcPr>
            <w:tcW w:w="660" w:type="dxa"/>
            <w:vAlign w:val="bottom"/>
            <w:tcBorders>
              <w:top w:val="single" w:sz="8" w:color="0000EE"/>
            </w:tcBorders>
            <w:gridSpan w:val="2"/>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208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189"/>
        </w:trPr>
        <w:tc>
          <w:tcPr>
            <w:tcW w:w="100" w:type="dxa"/>
            <w:vAlign w:val="bottom"/>
            <w:shd w:val="clear" w:color="auto" w:fill="CCEEFF"/>
          </w:tcPr>
          <w:p>
            <w:pPr>
              <w:spacing w:after="0"/>
              <w:rPr>
                <w:sz w:val="16"/>
                <w:szCs w:val="16"/>
                <w:color w:val="auto"/>
              </w:rPr>
            </w:pPr>
          </w:p>
        </w:tc>
        <w:tc>
          <w:tcPr>
            <w:tcW w:w="9380" w:type="dxa"/>
            <w:vAlign w:val="bottom"/>
            <w:gridSpan w:val="29"/>
            <w:shd w:val="clear" w:color="auto" w:fill="CCEEFF"/>
          </w:tcPr>
          <w:p>
            <w:pPr>
              <w:spacing w:after="0" w:line="189" w:lineRule="exact"/>
              <w:rPr>
                <w:rFonts w:ascii="Arial" w:cs="Arial" w:eastAsia="Arial" w:hAnsi="Arial"/>
                <w:sz w:val="20"/>
                <w:szCs w:val="20"/>
                <w:color w:val="0000EE"/>
              </w:rPr>
            </w:pPr>
            <w:hyperlink w:anchor="page33">
              <w:r>
                <w:rPr>
                  <w:rFonts w:ascii="Arial" w:cs="Arial" w:eastAsia="Arial" w:hAnsi="Arial"/>
                  <w:sz w:val="20"/>
                  <w:szCs w:val="20"/>
                  <w:color w:val="0000EE"/>
                </w:rPr>
                <w:t>Signatures</w:t>
              </w:r>
            </w:hyperlink>
          </w:p>
        </w:tc>
        <w:tc>
          <w:tcPr>
            <w:tcW w:w="5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20"/>
                <w:szCs w:val="20"/>
                <w:color w:val="auto"/>
              </w:rPr>
              <w:t>32</w:t>
            </w:r>
          </w:p>
        </w:tc>
      </w:tr>
      <w:tr>
        <w:trPr>
          <w:trHeight w:val="21"/>
        </w:trPr>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15696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10000"/>
          </w:cols>
          <w:pgMar w:left="1140" w:top="118" w:right="75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CONSOLIDATED BALANCE SHEETS</w:t>
      </w:r>
    </w:p>
    <w:p>
      <w:pPr>
        <w:jc w:val="center"/>
        <w:ind w:right="32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ind w:right="280"/>
        <w:spacing w:after="0"/>
        <w:rPr>
          <w:sz w:val="20"/>
          <w:szCs w:val="20"/>
          <w:color w:val="auto"/>
        </w:rPr>
      </w:pPr>
      <w:r>
        <w:rPr>
          <w:rFonts w:ascii="Arial" w:cs="Arial" w:eastAsia="Arial" w:hAnsi="Arial"/>
          <w:sz w:val="22"/>
          <w:szCs w:val="22"/>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3"/>
                <w:szCs w:val="13"/>
                <w:color w:val="auto"/>
              </w:rPr>
              <w:t>March 31,</w:t>
            </w:r>
          </w:p>
        </w:tc>
        <w:tc>
          <w:tcPr>
            <w:tcW w:w="160" w:type="dxa"/>
            <w:vAlign w:val="bottom"/>
          </w:tcPr>
          <w:p>
            <w:pPr>
              <w:spacing w:after="0"/>
              <w:rPr>
                <w:sz w:val="13"/>
                <w:szCs w:val="13"/>
                <w:color w:val="auto"/>
              </w:rPr>
            </w:pPr>
          </w:p>
        </w:tc>
        <w:tc>
          <w:tcPr>
            <w:tcW w:w="1040" w:type="dxa"/>
            <w:vAlign w:val="bottom"/>
          </w:tcPr>
          <w:p>
            <w:pPr>
              <w:jc w:val="right"/>
              <w:ind w:right="197"/>
              <w:spacing w:after="0"/>
              <w:rPr>
                <w:sz w:val="20"/>
                <w:szCs w:val="20"/>
                <w:color w:val="auto"/>
              </w:rPr>
            </w:pPr>
            <w:r>
              <w:rPr>
                <w:rFonts w:ascii="Arial" w:cs="Arial" w:eastAsia="Arial" w:hAnsi="Arial"/>
                <w:sz w:val="13"/>
                <w:szCs w:val="13"/>
                <w:color w:val="auto"/>
                <w:w w:val="93"/>
              </w:rPr>
              <w:t>December 31,</w:t>
            </w:r>
          </w:p>
        </w:tc>
      </w:tr>
      <w:tr>
        <w:trPr>
          <w:trHeight w:val="192"/>
        </w:trPr>
        <w:tc>
          <w:tcPr>
            <w:tcW w:w="20" w:type="dxa"/>
            <w:vAlign w:val="bottom"/>
          </w:tcPr>
          <w:p>
            <w:pPr>
              <w:spacing w:after="0"/>
              <w:rPr>
                <w:sz w:val="16"/>
                <w:szCs w:val="16"/>
                <w:color w:val="auto"/>
              </w:rPr>
            </w:pPr>
          </w:p>
        </w:tc>
        <w:tc>
          <w:tcPr>
            <w:tcW w:w="7320" w:type="dxa"/>
            <w:vAlign w:val="bottom"/>
            <w:tcBorders>
              <w:bottom w:val="single" w:sz="8" w:color="CCEEFF"/>
            </w:tcBorders>
          </w:tcPr>
          <w:p>
            <w:pPr>
              <w:ind w:left="3360"/>
              <w:spacing w:after="0"/>
              <w:rPr>
                <w:sz w:val="20"/>
                <w:szCs w:val="20"/>
                <w:color w:val="auto"/>
              </w:rPr>
            </w:pPr>
            <w:r>
              <w:rPr>
                <w:rFonts w:ascii="Arial" w:cs="Arial" w:eastAsia="Arial" w:hAnsi="Arial"/>
                <w:sz w:val="13"/>
                <w:szCs w:val="13"/>
                <w:color w:val="auto"/>
              </w:rPr>
              <w:t>Assets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2018</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2017</w:t>
            </w:r>
          </w:p>
        </w:tc>
      </w:tr>
      <w:tr>
        <w:trPr>
          <w:trHeight w:val="156"/>
        </w:trPr>
        <w:tc>
          <w:tcPr>
            <w:tcW w:w="20" w:type="dxa"/>
            <w:vAlign w:val="bottom"/>
          </w:tcPr>
          <w:p>
            <w:pPr>
              <w:spacing w:after="0"/>
              <w:rPr>
                <w:sz w:val="13"/>
                <w:szCs w:val="13"/>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at cost</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7,088,016</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7,003,993</w:t>
            </w:r>
          </w:p>
        </w:tc>
      </w:tr>
      <w:tr>
        <w:trPr>
          <w:trHeight w:val="176"/>
        </w:trPr>
        <w:tc>
          <w:tcPr>
            <w:tcW w:w="7340" w:type="dxa"/>
            <w:vAlign w:val="bottom"/>
            <w:gridSpan w:val="2"/>
          </w:tcPr>
          <w:p>
            <w:pPr>
              <w:spacing w:after="0"/>
              <w:rPr>
                <w:sz w:val="20"/>
                <w:szCs w:val="20"/>
                <w:color w:val="auto"/>
              </w:rPr>
            </w:pPr>
            <w:r>
              <w:rPr>
                <w:rFonts w:ascii="Arial" w:cs="Arial" w:eastAsia="Arial" w:hAnsi="Arial"/>
                <w:sz w:val="13"/>
                <w:szCs w:val="13"/>
                <w:color w:val="auto"/>
              </w:rPr>
              <w:t>Less: accumulated depreciation</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1,627,797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1,604,133</w:t>
            </w:r>
          </w:p>
        </w:tc>
      </w:tr>
      <w:tr>
        <w:trPr>
          <w:trHeight w:val="156"/>
        </w:trPr>
        <w:tc>
          <w:tcPr>
            <w:tcW w:w="20" w:type="dxa"/>
            <w:vAlign w:val="bottom"/>
          </w:tcPr>
          <w:p>
            <w:pPr>
              <w:spacing w:after="0"/>
              <w:rPr>
                <w:sz w:val="13"/>
                <w:szCs w:val="13"/>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property, plant and equipment</w:t>
            </w: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5,460,219</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5,399,860</w:t>
            </w:r>
          </w:p>
        </w:tc>
      </w:tr>
      <w:tr>
        <w:trPr>
          <w:trHeight w:val="156"/>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Cash and cash equivalents</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3,202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4,204</w:t>
            </w: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receivable and unbilled revenues, net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91,818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98,596</w:t>
            </w:r>
          </w:p>
        </w:tc>
      </w:tr>
      <w:tr>
        <w:trPr>
          <w:trHeight w:val="203"/>
        </w:trPr>
        <w:tc>
          <w:tcPr>
            <w:tcW w:w="20" w:type="dxa"/>
            <w:vAlign w:val="bottom"/>
          </w:tcPr>
          <w:p>
            <w:pPr>
              <w:spacing w:after="0"/>
              <w:rPr>
                <w:sz w:val="17"/>
                <w:szCs w:val="17"/>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Inventory, materials and supplies</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15,290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14,361</w:t>
            </w:r>
          </w:p>
        </w:tc>
      </w:tr>
      <w:tr>
        <w:trPr>
          <w:trHeight w:val="176"/>
        </w:trPr>
        <w:tc>
          <w:tcPr>
            <w:tcW w:w="20" w:type="dxa"/>
            <w:vAlign w:val="bottom"/>
          </w:tcPr>
          <w:p>
            <w:pPr>
              <w:spacing w:after="0"/>
              <w:rPr>
                <w:sz w:val="15"/>
                <w:szCs w:val="15"/>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Prepayments and other current assets</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12,542</w:t>
            </w: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Assets held for sale</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1,558</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1,543</w:t>
            </w:r>
          </w:p>
        </w:tc>
      </w:tr>
      <w:tr>
        <w:trPr>
          <w:trHeight w:val="156"/>
        </w:trPr>
        <w:tc>
          <w:tcPr>
            <w:tcW w:w="20" w:type="dxa"/>
            <w:vAlign w:val="bottom"/>
          </w:tcPr>
          <w:p>
            <w:pPr>
              <w:spacing w:after="0"/>
              <w:rPr>
                <w:sz w:val="13"/>
                <w:szCs w:val="13"/>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Total current assets</w:t>
            </w:r>
          </w:p>
        </w:tc>
        <w:tc>
          <w:tcPr>
            <w:tcW w:w="2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124,142</w:t>
            </w:r>
          </w:p>
        </w:tc>
        <w:tc>
          <w:tcPr>
            <w:tcW w:w="1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131,246</w:t>
            </w:r>
          </w:p>
        </w:tc>
      </w:tr>
      <w:tr>
        <w:trPr>
          <w:trHeight w:val="156"/>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Regulatory assets</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731,417</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713,971</w:t>
            </w:r>
          </w:p>
        </w:tc>
      </w:tr>
      <w:tr>
        <w:trPr>
          <w:trHeight w:val="203"/>
        </w:trPr>
        <w:tc>
          <w:tcPr>
            <w:tcW w:w="7340" w:type="dxa"/>
            <w:vAlign w:val="bottom"/>
            <w:gridSpan w:val="2"/>
          </w:tcPr>
          <w:p>
            <w:pPr>
              <w:spacing w:after="0"/>
              <w:rPr>
                <w:sz w:val="20"/>
                <w:szCs w:val="20"/>
                <w:color w:val="auto"/>
              </w:rPr>
            </w:pPr>
            <w:r>
              <w:rPr>
                <w:rFonts w:ascii="Arial" w:cs="Arial" w:eastAsia="Arial" w:hAnsi="Arial"/>
                <w:sz w:val="13"/>
                <w:szCs w:val="13"/>
                <w:color w:val="auto"/>
              </w:rPr>
              <w:t>Deferred charges and other assets, net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38,696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38,485</w:t>
            </w: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Investment in joint venture</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6,671</w:t>
            </w:r>
          </w:p>
        </w:tc>
      </w:tr>
      <w:tr>
        <w:trPr>
          <w:trHeight w:val="203"/>
        </w:trPr>
        <w:tc>
          <w:tcPr>
            <w:tcW w:w="7340" w:type="dxa"/>
            <w:vAlign w:val="bottom"/>
            <w:gridSpan w:val="2"/>
          </w:tcPr>
          <w:p>
            <w:pPr>
              <w:spacing w:after="0"/>
              <w:rPr>
                <w:sz w:val="20"/>
                <w:szCs w:val="20"/>
                <w:color w:val="auto"/>
              </w:rPr>
            </w:pPr>
            <w:r>
              <w:rPr>
                <w:rFonts w:ascii="Arial" w:cs="Arial" w:eastAsia="Arial" w:hAnsi="Arial"/>
                <w:sz w:val="13"/>
                <w:szCs w:val="13"/>
                <w:color w:val="auto"/>
              </w:rPr>
              <w:t>Goodwill</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42,230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42,230</w:t>
            </w:r>
          </w:p>
        </w:tc>
      </w:tr>
      <w:tr>
        <w:trPr>
          <w:trHeight w:val="149"/>
        </w:trPr>
        <w:tc>
          <w:tcPr>
            <w:tcW w:w="20" w:type="dxa"/>
            <w:vAlign w:val="bottom"/>
          </w:tcPr>
          <w:p>
            <w:pPr>
              <w:spacing w:after="0"/>
              <w:rPr>
                <w:sz w:val="12"/>
                <w:szCs w:val="12"/>
                <w:color w:val="auto"/>
              </w:rPr>
            </w:pPr>
          </w:p>
        </w:tc>
        <w:tc>
          <w:tcPr>
            <w:tcW w:w="73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Total assets</w:t>
            </w:r>
          </w:p>
        </w:tc>
        <w:tc>
          <w:tcPr>
            <w:tcW w:w="240" w:type="dxa"/>
            <w:vAlign w:val="bottom"/>
            <w:tcBorders>
              <w:top w:val="single" w:sz="8" w:color="auto"/>
              <w:bottom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6,403,708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6,332,463</w:t>
            </w:r>
          </w:p>
        </w:tc>
      </w:tr>
      <w:tr>
        <w:trPr>
          <w:trHeight w:val="160"/>
        </w:trPr>
        <w:tc>
          <w:tcPr>
            <w:tcW w:w="20" w:type="dxa"/>
            <w:vAlign w:val="bottom"/>
          </w:tcPr>
          <w:p>
            <w:pPr>
              <w:spacing w:after="0"/>
              <w:rPr>
                <w:sz w:val="13"/>
                <w:szCs w:val="13"/>
                <w:color w:val="auto"/>
              </w:rPr>
            </w:pPr>
          </w:p>
        </w:tc>
        <w:tc>
          <w:tcPr>
            <w:tcW w:w="7320" w:type="dxa"/>
            <w:vAlign w:val="bottom"/>
          </w:tcPr>
          <w:p>
            <w:pPr>
              <w:ind w:left="2980"/>
              <w:spacing w:after="0"/>
              <w:rPr>
                <w:sz w:val="20"/>
                <w:szCs w:val="20"/>
                <w:color w:val="auto"/>
              </w:rPr>
            </w:pPr>
            <w:r>
              <w:rPr>
                <w:rFonts w:ascii="Arial" w:cs="Arial" w:eastAsia="Arial" w:hAnsi="Arial"/>
                <w:sz w:val="13"/>
                <w:szCs w:val="13"/>
                <w:color w:val="auto"/>
              </w:rPr>
              <w:t>Liabilities and Equity</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2"/>
        </w:trPr>
        <w:tc>
          <w:tcPr>
            <w:tcW w:w="7340" w:type="dxa"/>
            <w:vAlign w:val="bottom"/>
            <w:gridSpan w:val="2"/>
          </w:tcPr>
          <w:p>
            <w:pPr>
              <w:spacing w:after="0"/>
              <w:rPr>
                <w:sz w:val="20"/>
                <w:szCs w:val="20"/>
                <w:color w:val="auto"/>
              </w:rPr>
            </w:pPr>
            <w:r>
              <w:rPr>
                <w:rFonts w:ascii="Arial" w:cs="Arial" w:eastAsia="Arial" w:hAnsi="Arial"/>
                <w:sz w:val="13"/>
                <w:szCs w:val="13"/>
                <w:color w:val="auto"/>
              </w:rPr>
              <w:t>Stockholders' equity:</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21"/>
        </w:trPr>
        <w:tc>
          <w:tcPr>
            <w:tcW w:w="20" w:type="dxa"/>
            <w:vAlign w:val="bottom"/>
          </w:tcPr>
          <w:p>
            <w:pPr>
              <w:spacing w:after="0"/>
              <w:rPr>
                <w:sz w:val="10"/>
                <w:szCs w:val="10"/>
                <w:color w:val="auto"/>
              </w:rPr>
            </w:pPr>
          </w:p>
        </w:tc>
        <w:tc>
          <w:tcPr>
            <w:tcW w:w="73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6"/>
              </w:rPr>
              <w:t>Common stock at $.50 par value, authorized 300,000,000 shares, issued 180,955,861 and 180,700,251 as of March 31, 2018 and</w:t>
            </w: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December 31, 2017</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90,478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90,350</w:t>
            </w:r>
          </w:p>
        </w:tc>
      </w:tr>
      <w:tr>
        <w:trPr>
          <w:trHeight w:val="203"/>
        </w:trPr>
        <w:tc>
          <w:tcPr>
            <w:tcW w:w="20" w:type="dxa"/>
            <w:vAlign w:val="bottom"/>
          </w:tcPr>
          <w:p>
            <w:pPr>
              <w:spacing w:after="0"/>
              <w:rPr>
                <w:sz w:val="17"/>
                <w:szCs w:val="17"/>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Capital in excess of par value</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809,624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807,135</w:t>
            </w: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Retained earnings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1,147,828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1,132,556</w:t>
            </w:r>
          </w:p>
        </w:tc>
      </w:tr>
      <w:tr>
        <w:trPr>
          <w:trHeight w:val="176"/>
        </w:trPr>
        <w:tc>
          <w:tcPr>
            <w:tcW w:w="20" w:type="dxa"/>
            <w:vAlign w:val="bottom"/>
          </w:tcPr>
          <w:p>
            <w:pPr>
              <w:spacing w:after="0"/>
              <w:rPr>
                <w:sz w:val="15"/>
                <w:szCs w:val="15"/>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Treasury stock, at cost, 3,058,248 and 2,986,308 shares as of March 31, 2018 and December 31, 2017</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(75,771)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(73,280)</w:t>
            </w: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Accumulated other comprehensive income</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860</w:t>
            </w:r>
          </w:p>
        </w:tc>
      </w:tr>
      <w:tr>
        <w:trPr>
          <w:trHeight w:val="156"/>
        </w:trPr>
        <w:tc>
          <w:tcPr>
            <w:tcW w:w="7340" w:type="dxa"/>
            <w:vAlign w:val="bottom"/>
            <w:gridSpan w:val="2"/>
          </w:tcPr>
          <w:p>
            <w:pPr>
              <w:spacing w:after="0"/>
              <w:rPr>
                <w:sz w:val="20"/>
                <w:szCs w:val="20"/>
                <w:color w:val="auto"/>
              </w:rPr>
            </w:pPr>
            <w:r>
              <w:rPr>
                <w:rFonts w:ascii="Arial" w:cs="Arial" w:eastAsia="Arial" w:hAnsi="Arial"/>
                <w:sz w:val="13"/>
                <w:szCs w:val="13"/>
                <w:color w:val="auto"/>
              </w:rPr>
              <w:t>Total stockholders' equity</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1,972,159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1,957,621</w:t>
            </w:r>
          </w:p>
        </w:tc>
      </w:tr>
      <w:tr>
        <w:trPr>
          <w:trHeight w:val="156"/>
        </w:trPr>
        <w:tc>
          <w:tcPr>
            <w:tcW w:w="20" w:type="dxa"/>
            <w:vAlign w:val="bottom"/>
          </w:tcPr>
          <w:p>
            <w:pPr>
              <w:spacing w:after="0"/>
              <w:rPr>
                <w:sz w:val="13"/>
                <w:szCs w:val="13"/>
                <w:color w:val="auto"/>
              </w:rPr>
            </w:pPr>
          </w:p>
        </w:tc>
        <w:tc>
          <w:tcPr>
            <w:tcW w:w="73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76"/>
        </w:trPr>
        <w:tc>
          <w:tcPr>
            <w:tcW w:w="7340" w:type="dxa"/>
            <w:vAlign w:val="bottom"/>
            <w:gridSpan w:val="2"/>
          </w:tcPr>
          <w:p>
            <w:pPr>
              <w:spacing w:after="0"/>
              <w:rPr>
                <w:sz w:val="20"/>
                <w:szCs w:val="20"/>
                <w:color w:val="auto"/>
              </w:rPr>
            </w:pPr>
            <w:r>
              <w:rPr>
                <w:rFonts w:ascii="Arial" w:cs="Arial" w:eastAsia="Arial" w:hAnsi="Arial"/>
                <w:sz w:val="13"/>
                <w:szCs w:val="13"/>
                <w:color w:val="auto"/>
              </w:rPr>
              <w:t>Long-term debt, excluding current portion</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2,084,283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2,029,358</w:t>
            </w: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Less: debt issuance costs</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21,217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21,605</w:t>
            </w:r>
          </w:p>
        </w:tc>
      </w:tr>
      <w:tr>
        <w:trPr>
          <w:trHeight w:val="156"/>
        </w:trPr>
        <w:tc>
          <w:tcPr>
            <w:tcW w:w="7340" w:type="dxa"/>
            <w:vAlign w:val="bottom"/>
            <w:gridSpan w:val="2"/>
          </w:tcPr>
          <w:p>
            <w:pPr>
              <w:spacing w:after="0"/>
              <w:rPr>
                <w:sz w:val="20"/>
                <w:szCs w:val="20"/>
                <w:color w:val="auto"/>
              </w:rPr>
            </w:pPr>
            <w:r>
              <w:rPr>
                <w:rFonts w:ascii="Arial" w:cs="Arial" w:eastAsia="Arial" w:hAnsi="Arial"/>
                <w:sz w:val="13"/>
                <w:szCs w:val="13"/>
                <w:color w:val="auto"/>
              </w:rPr>
              <w:t>Long-term debt, excluding current portion, net of debt issuance costs</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2,063,066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2,007,753</w:t>
            </w:r>
          </w:p>
        </w:tc>
      </w:tr>
      <w:tr>
        <w:trPr>
          <w:trHeight w:val="156"/>
        </w:trPr>
        <w:tc>
          <w:tcPr>
            <w:tcW w:w="20" w:type="dxa"/>
            <w:vAlign w:val="bottom"/>
          </w:tcPr>
          <w:p>
            <w:pPr>
              <w:spacing w:after="0"/>
              <w:rPr>
                <w:sz w:val="13"/>
                <w:szCs w:val="13"/>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Commitments and contingencies (See Note 14)</w:t>
            </w: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76"/>
        </w:trPr>
        <w:tc>
          <w:tcPr>
            <w:tcW w:w="73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Current portion of long-term debt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103,832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113,769</w:t>
            </w:r>
          </w:p>
        </w:tc>
      </w:tr>
      <w:tr>
        <w:trPr>
          <w:trHeight w:val="176"/>
        </w:trPr>
        <w:tc>
          <w:tcPr>
            <w:tcW w:w="20" w:type="dxa"/>
            <w:vAlign w:val="bottom"/>
          </w:tcPr>
          <w:p>
            <w:pPr>
              <w:spacing w:after="0"/>
              <w:rPr>
                <w:sz w:val="15"/>
                <w:szCs w:val="15"/>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Loans payable</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20,342</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3,650</w:t>
            </w:r>
          </w:p>
        </w:tc>
      </w:tr>
      <w:tr>
        <w:trPr>
          <w:trHeight w:val="203"/>
        </w:trPr>
        <w:tc>
          <w:tcPr>
            <w:tcW w:w="20" w:type="dxa"/>
            <w:vAlign w:val="bottom"/>
          </w:tcPr>
          <w:p>
            <w:pPr>
              <w:spacing w:after="0"/>
              <w:rPr>
                <w:sz w:val="17"/>
                <w:szCs w:val="17"/>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Accounts payable</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40,211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59,165</w:t>
            </w: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Book overdraft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12,685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21,629</w:t>
            </w:r>
          </w:p>
        </w:tc>
      </w:tr>
      <w:tr>
        <w:trPr>
          <w:trHeight w:val="203"/>
        </w:trPr>
        <w:tc>
          <w:tcPr>
            <w:tcW w:w="20" w:type="dxa"/>
            <w:vAlign w:val="bottom"/>
          </w:tcPr>
          <w:p>
            <w:pPr>
              <w:spacing w:after="0"/>
              <w:rPr>
                <w:sz w:val="17"/>
                <w:szCs w:val="17"/>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Accrued interest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24,624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21,359</w:t>
            </w:r>
          </w:p>
        </w:tc>
      </w:tr>
      <w:tr>
        <w:trPr>
          <w:trHeight w:val="176"/>
        </w:trPr>
        <w:tc>
          <w:tcPr>
            <w:tcW w:w="20" w:type="dxa"/>
            <w:vAlign w:val="bottom"/>
          </w:tcPr>
          <w:p>
            <w:pPr>
              <w:spacing w:after="0"/>
              <w:rPr>
                <w:sz w:val="15"/>
                <w:szCs w:val="15"/>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taxes</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22,971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23,764</w:t>
            </w: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accrued liabilities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34,470</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41,152</w:t>
            </w:r>
          </w:p>
        </w:tc>
      </w:tr>
      <w:tr>
        <w:trPr>
          <w:trHeight w:val="156"/>
        </w:trPr>
        <w:tc>
          <w:tcPr>
            <w:tcW w:w="20" w:type="dxa"/>
            <w:vAlign w:val="bottom"/>
          </w:tcPr>
          <w:p>
            <w:pPr>
              <w:spacing w:after="0"/>
              <w:rPr>
                <w:sz w:val="13"/>
                <w:szCs w:val="13"/>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Total current liabilities</w:t>
            </w:r>
          </w:p>
        </w:tc>
        <w:tc>
          <w:tcPr>
            <w:tcW w:w="2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259,135</w:t>
            </w:r>
          </w:p>
        </w:tc>
        <w:tc>
          <w:tcPr>
            <w:tcW w:w="1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284,488</w:t>
            </w:r>
          </w:p>
        </w:tc>
      </w:tr>
      <w:tr>
        <w:trPr>
          <w:trHeight w:val="156"/>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Deferred credits and other liabilities:</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Deferred income taxes and investment tax credits</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786,014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769,073</w:t>
            </w:r>
          </w:p>
        </w:tc>
      </w:tr>
      <w:tr>
        <w:trPr>
          <w:trHeight w:val="203"/>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Customers' advances for construction</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90,599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93,186</w:t>
            </w:r>
          </w:p>
        </w:tc>
      </w:tr>
      <w:tr>
        <w:trPr>
          <w:trHeight w:val="203"/>
        </w:trPr>
        <w:tc>
          <w:tcPr>
            <w:tcW w:w="20" w:type="dxa"/>
            <w:vAlign w:val="bottom"/>
          </w:tcPr>
          <w:p>
            <w:pPr>
              <w:spacing w:after="0"/>
              <w:rPr>
                <w:sz w:val="17"/>
                <w:szCs w:val="17"/>
                <w:color w:val="auto"/>
              </w:rPr>
            </w:pPr>
          </w:p>
        </w:tc>
        <w:tc>
          <w:tcPr>
            <w:tcW w:w="7320" w:type="dxa"/>
            <w:vAlign w:val="bottom"/>
          </w:tcPr>
          <w:p>
            <w:pPr>
              <w:ind w:left="100"/>
              <w:spacing w:after="0"/>
              <w:rPr>
                <w:sz w:val="20"/>
                <w:szCs w:val="20"/>
                <w:color w:val="auto"/>
              </w:rPr>
            </w:pPr>
            <w:r>
              <w:rPr>
                <w:rFonts w:ascii="Arial" w:cs="Arial" w:eastAsia="Arial" w:hAnsi="Arial"/>
                <w:sz w:val="13"/>
                <w:szCs w:val="13"/>
                <w:color w:val="auto"/>
              </w:rPr>
              <w:t>Regulatory liabilities</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543,449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541,910</w:t>
            </w:r>
          </w:p>
        </w:tc>
      </w:tr>
      <w:tr>
        <w:trPr>
          <w:trHeight w:val="176"/>
        </w:trPr>
        <w:tc>
          <w:tcPr>
            <w:tcW w:w="20" w:type="dxa"/>
            <w:vAlign w:val="bottom"/>
          </w:tcPr>
          <w:p>
            <w:pPr>
              <w:spacing w:after="0"/>
              <w:rPr>
                <w:sz w:val="15"/>
                <w:szCs w:val="15"/>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w:t>
            </w:r>
          </w:p>
        </w:tc>
        <w:tc>
          <w:tcPr>
            <w:tcW w:w="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107,746</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107,341</w:t>
            </w:r>
          </w:p>
        </w:tc>
      </w:tr>
      <w:tr>
        <w:trPr>
          <w:trHeight w:val="156"/>
        </w:trPr>
        <w:tc>
          <w:tcPr>
            <w:tcW w:w="7340" w:type="dxa"/>
            <w:vAlign w:val="bottom"/>
            <w:gridSpan w:val="2"/>
          </w:tcPr>
          <w:p>
            <w:pPr>
              <w:spacing w:after="0"/>
              <w:rPr>
                <w:sz w:val="20"/>
                <w:szCs w:val="20"/>
                <w:color w:val="auto"/>
              </w:rPr>
            </w:pPr>
            <w:r>
              <w:rPr>
                <w:rFonts w:ascii="Arial" w:cs="Arial" w:eastAsia="Arial" w:hAnsi="Arial"/>
                <w:sz w:val="13"/>
                <w:szCs w:val="13"/>
                <w:color w:val="auto"/>
              </w:rPr>
              <w:t>Total deferred credits and other liabilities</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1,527,808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1,511,510</w:t>
            </w:r>
          </w:p>
        </w:tc>
      </w:tr>
      <w:tr>
        <w:trPr>
          <w:trHeight w:val="156"/>
        </w:trPr>
        <w:tc>
          <w:tcPr>
            <w:tcW w:w="20" w:type="dxa"/>
            <w:vAlign w:val="bottom"/>
          </w:tcPr>
          <w:p>
            <w:pPr>
              <w:spacing w:after="0"/>
              <w:rPr>
                <w:sz w:val="13"/>
                <w:szCs w:val="13"/>
                <w:color w:val="auto"/>
              </w:rPr>
            </w:pPr>
          </w:p>
        </w:tc>
        <w:tc>
          <w:tcPr>
            <w:tcW w:w="73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76"/>
        </w:trPr>
        <w:tc>
          <w:tcPr>
            <w:tcW w:w="7340" w:type="dxa"/>
            <w:vAlign w:val="bottom"/>
            <w:gridSpan w:val="2"/>
          </w:tcPr>
          <w:p>
            <w:pPr>
              <w:spacing w:after="0"/>
              <w:rPr>
                <w:sz w:val="20"/>
                <w:szCs w:val="20"/>
                <w:color w:val="auto"/>
              </w:rPr>
            </w:pPr>
            <w:r>
              <w:rPr>
                <w:rFonts w:ascii="Arial" w:cs="Arial" w:eastAsia="Arial" w:hAnsi="Arial"/>
                <w:sz w:val="13"/>
                <w:szCs w:val="13"/>
                <w:color w:val="auto"/>
              </w:rPr>
              <w:t>Contributions in aid of construction</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581,540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571,091</w:t>
            </w:r>
          </w:p>
        </w:tc>
      </w:tr>
      <w:tr>
        <w:trPr>
          <w:trHeight w:val="149"/>
        </w:trPr>
        <w:tc>
          <w:tcPr>
            <w:tcW w:w="20" w:type="dxa"/>
            <w:vAlign w:val="bottom"/>
          </w:tcPr>
          <w:p>
            <w:pPr>
              <w:spacing w:after="0"/>
              <w:rPr>
                <w:sz w:val="12"/>
                <w:szCs w:val="12"/>
                <w:color w:val="auto"/>
              </w:rPr>
            </w:pPr>
          </w:p>
        </w:tc>
        <w:tc>
          <w:tcPr>
            <w:tcW w:w="732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Total liabilities and equity</w:t>
            </w:r>
          </w:p>
        </w:tc>
        <w:tc>
          <w:tcPr>
            <w:tcW w:w="240" w:type="dxa"/>
            <w:vAlign w:val="bottom"/>
            <w:tcBorders>
              <w:top w:val="single" w:sz="8" w:color="auto"/>
              <w:bottom w:val="single" w:sz="8" w:color="auto"/>
            </w:tcBorders>
            <w:shd w:val="clear" w:color="auto" w:fill="CCEEFF"/>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6,403,708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6,332,463</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See notes to consolidated financial statements beginning on page 8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15696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920"/>
          </w:cols>
          <w:pgMar w:left="1140" w:top="118" w:right="8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w:t>
      </w:r>
    </w:p>
    <w:p>
      <w:pPr>
        <w:spacing w:after="0" w:line="215"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CONSOLIDATED STATEMENTS OF NET INCOME</w:t>
      </w:r>
    </w:p>
    <w:p>
      <w:pPr>
        <w:ind w:left="3180"/>
        <w:spacing w:after="0" w:line="238" w:lineRule="auto"/>
        <w:rPr>
          <w:sz w:val="20"/>
          <w:szCs w:val="20"/>
          <w:color w:val="auto"/>
        </w:rPr>
      </w:pPr>
      <w:r>
        <w:rPr>
          <w:rFonts w:ascii="Arial" w:cs="Arial" w:eastAsia="Arial" w:hAnsi="Arial"/>
          <w:sz w:val="22"/>
          <w:szCs w:val="22"/>
          <w:color w:val="auto"/>
        </w:rPr>
        <w:t>(In thousands, except per share amounts)</w:t>
      </w:r>
    </w:p>
    <w:p>
      <w:pPr>
        <w:ind w:left="4120"/>
        <w:spacing w:after="0"/>
        <w:rPr>
          <w:sz w:val="20"/>
          <w:szCs w:val="20"/>
          <w:color w:val="auto"/>
        </w:rPr>
      </w:pPr>
      <w:r>
        <w:rPr>
          <w:rFonts w:ascii="Arial" w:cs="Arial" w:eastAsia="Arial" w:hAnsi="Arial"/>
          <w:sz w:val="22"/>
          <w:szCs w:val="22"/>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740" w:type="dxa"/>
            <w:vAlign w:val="bottom"/>
            <w:gridSpan w:val="4"/>
          </w:tcPr>
          <w:p>
            <w:pPr>
              <w:jc w:val="right"/>
              <w:ind w:right="512"/>
              <w:spacing w:after="0"/>
              <w:rPr>
                <w:sz w:val="20"/>
                <w:szCs w:val="20"/>
                <w:color w:val="auto"/>
              </w:rPr>
            </w:pPr>
            <w:r>
              <w:rPr>
                <w:rFonts w:ascii="Arial" w:cs="Arial" w:eastAsia="Arial" w:hAnsi="Arial"/>
                <w:sz w:val="22"/>
                <w:szCs w:val="22"/>
                <w:color w:val="auto"/>
              </w:rPr>
              <w:t>Three Months Ended</w:t>
            </w:r>
          </w:p>
        </w:tc>
      </w:tr>
      <w:tr>
        <w:trPr>
          <w:trHeight w:val="274"/>
        </w:trPr>
        <w:tc>
          <w:tcPr>
            <w:tcW w:w="2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March 31,</w:t>
            </w:r>
          </w:p>
        </w:tc>
        <w:tc>
          <w:tcPr>
            <w:tcW w:w="1000" w:type="dxa"/>
            <w:vAlign w:val="bottom"/>
            <w:tcBorders>
              <w:bottom w:val="single" w:sz="8" w:color="auto"/>
            </w:tcBorders>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65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2018</w:t>
            </w:r>
          </w:p>
        </w:tc>
        <w:tc>
          <w:tcPr>
            <w:tcW w:w="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2017</w:t>
            </w:r>
          </w:p>
        </w:tc>
      </w:tr>
      <w:tr>
        <w:trPr>
          <w:trHeight w:val="264"/>
        </w:trPr>
        <w:tc>
          <w:tcPr>
            <w:tcW w:w="20" w:type="dxa"/>
            <w:vAlign w:val="bottom"/>
          </w:tcPr>
          <w:p>
            <w:pPr>
              <w:spacing w:after="0"/>
              <w:rPr>
                <w:sz w:val="22"/>
                <w:szCs w:val="22"/>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22"/>
                <w:szCs w:val="22"/>
                <w:color w:val="auto"/>
              </w:rPr>
              <w:t>Operating revenues</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194,347</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187,787</w:t>
            </w:r>
          </w:p>
        </w:tc>
      </w:tr>
      <w:tr>
        <w:trPr>
          <w:trHeight w:val="284"/>
        </w:trPr>
        <w:tc>
          <w:tcPr>
            <w:tcW w:w="65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22"/>
                <w:szCs w:val="22"/>
                <w:color w:val="auto"/>
              </w:rPr>
              <w:t>Operating expenses: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540" w:type="dxa"/>
            <w:vAlign w:val="bottom"/>
          </w:tcPr>
          <w:p>
            <w:pPr>
              <w:ind w:left="100"/>
              <w:spacing w:after="0"/>
              <w:rPr>
                <w:sz w:val="20"/>
                <w:szCs w:val="20"/>
                <w:color w:val="auto"/>
              </w:rPr>
            </w:pPr>
            <w:r>
              <w:rPr>
                <w:rFonts w:ascii="Arial" w:cs="Arial" w:eastAsia="Arial" w:hAnsi="Arial"/>
                <w:sz w:val="22"/>
                <w:szCs w:val="22"/>
                <w:color w:val="auto"/>
              </w:rPr>
              <w:t>Operations and maintenance</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73,946</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67,890</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Depreciation</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35,967</w:t>
            </w: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33,837</w:t>
            </w:r>
          </w:p>
        </w:tc>
      </w:tr>
      <w:tr>
        <w:trPr>
          <w:trHeight w:val="284"/>
        </w:trPr>
        <w:tc>
          <w:tcPr>
            <w:tcW w:w="20" w:type="dxa"/>
            <w:vAlign w:val="bottom"/>
          </w:tcPr>
          <w:p>
            <w:pPr>
              <w:spacing w:after="0"/>
              <w:rPr>
                <w:sz w:val="24"/>
                <w:szCs w:val="24"/>
                <w:color w:val="auto"/>
              </w:rPr>
            </w:pPr>
          </w:p>
        </w:tc>
        <w:tc>
          <w:tcPr>
            <w:tcW w:w="6540" w:type="dxa"/>
            <w:vAlign w:val="bottom"/>
          </w:tcPr>
          <w:p>
            <w:pPr>
              <w:ind w:left="100"/>
              <w:spacing w:after="0"/>
              <w:rPr>
                <w:sz w:val="20"/>
                <w:szCs w:val="20"/>
                <w:color w:val="auto"/>
              </w:rPr>
            </w:pPr>
            <w:r>
              <w:rPr>
                <w:rFonts w:ascii="Arial" w:cs="Arial" w:eastAsia="Arial" w:hAnsi="Arial"/>
                <w:sz w:val="22"/>
                <w:szCs w:val="22"/>
                <w:color w:val="auto"/>
              </w:rPr>
              <w:t>Amortization</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130</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189</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Taxes other than income taxes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14,967</w:t>
            </w:r>
          </w:p>
        </w:tc>
        <w:tc>
          <w:tcPr>
            <w:tcW w:w="2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14,737</w:t>
            </w:r>
          </w:p>
        </w:tc>
      </w:tr>
      <w:tr>
        <w:trPr>
          <w:trHeight w:val="264"/>
        </w:trPr>
        <w:tc>
          <w:tcPr>
            <w:tcW w:w="20" w:type="dxa"/>
            <w:vAlign w:val="bottom"/>
          </w:tcPr>
          <w:p>
            <w:pPr>
              <w:spacing w:after="0"/>
              <w:rPr>
                <w:sz w:val="22"/>
                <w:szCs w:val="22"/>
                <w:color w:val="auto"/>
              </w:rPr>
            </w:pPr>
          </w:p>
        </w:tc>
        <w:tc>
          <w:tcPr>
            <w:tcW w:w="6540" w:type="dxa"/>
            <w:vAlign w:val="bottom"/>
            <w:tcBorders>
              <w:bottom w:val="single" w:sz="8" w:color="CCEEFF"/>
            </w:tcBorders>
          </w:tcPr>
          <w:p>
            <w:pPr>
              <w:ind w:left="100"/>
              <w:spacing w:after="0"/>
              <w:rPr>
                <w:sz w:val="20"/>
                <w:szCs w:val="20"/>
                <w:color w:val="auto"/>
              </w:rPr>
            </w:pPr>
            <w:r>
              <w:rPr>
                <w:rFonts w:ascii="Arial" w:cs="Arial" w:eastAsia="Arial" w:hAnsi="Arial"/>
                <w:sz w:val="22"/>
                <w:szCs w:val="22"/>
                <w:color w:val="auto"/>
              </w:rPr>
              <w:t>Total operating expenses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125,010</w:t>
            </w:r>
          </w:p>
        </w:tc>
        <w:tc>
          <w:tcPr>
            <w:tcW w:w="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116,653</w:t>
            </w:r>
          </w:p>
        </w:tc>
      </w:tr>
      <w:tr>
        <w:trPr>
          <w:trHeight w:val="264"/>
        </w:trPr>
        <w:tc>
          <w:tcPr>
            <w:tcW w:w="20" w:type="dxa"/>
            <w:vAlign w:val="bottom"/>
          </w:tcPr>
          <w:p>
            <w:pPr>
              <w:spacing w:after="0"/>
              <w:rPr>
                <w:sz w:val="22"/>
                <w:szCs w:val="22"/>
                <w:color w:val="auto"/>
              </w:rPr>
            </w:pPr>
          </w:p>
        </w:tc>
        <w:tc>
          <w:tcPr>
            <w:tcW w:w="65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84"/>
        </w:trPr>
        <w:tc>
          <w:tcPr>
            <w:tcW w:w="6560" w:type="dxa"/>
            <w:vAlign w:val="bottom"/>
            <w:gridSpan w:val="2"/>
          </w:tcPr>
          <w:p>
            <w:pPr>
              <w:spacing w:after="0"/>
              <w:rPr>
                <w:sz w:val="20"/>
                <w:szCs w:val="20"/>
                <w:color w:val="auto"/>
              </w:rPr>
            </w:pPr>
            <w:r>
              <w:rPr>
                <w:rFonts w:ascii="Arial" w:cs="Arial" w:eastAsia="Arial" w:hAnsi="Arial"/>
                <w:sz w:val="22"/>
                <w:szCs w:val="22"/>
                <w:color w:val="auto"/>
              </w:rPr>
              <w:t>Operating income</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69,337</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71,134</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84"/>
        </w:trPr>
        <w:tc>
          <w:tcPr>
            <w:tcW w:w="6560" w:type="dxa"/>
            <w:vAlign w:val="bottom"/>
            <w:gridSpan w:val="2"/>
          </w:tcPr>
          <w:p>
            <w:pPr>
              <w:spacing w:after="0"/>
              <w:rPr>
                <w:sz w:val="20"/>
                <w:szCs w:val="20"/>
                <w:color w:val="auto"/>
              </w:rPr>
            </w:pPr>
            <w:r>
              <w:rPr>
                <w:rFonts w:ascii="Arial" w:cs="Arial" w:eastAsia="Arial" w:hAnsi="Arial"/>
                <w:sz w:val="22"/>
                <w:szCs w:val="22"/>
                <w:color w:val="auto"/>
              </w:rPr>
              <w:t>Other expense (income):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Interest expense, net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23,471</w:t>
            </w: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21,326</w:t>
            </w:r>
          </w:p>
        </w:tc>
      </w:tr>
      <w:tr>
        <w:trPr>
          <w:trHeight w:val="284"/>
        </w:trPr>
        <w:tc>
          <w:tcPr>
            <w:tcW w:w="20" w:type="dxa"/>
            <w:vAlign w:val="bottom"/>
          </w:tcPr>
          <w:p>
            <w:pPr>
              <w:spacing w:after="0"/>
              <w:rPr>
                <w:sz w:val="24"/>
                <w:szCs w:val="24"/>
                <w:color w:val="auto"/>
              </w:rPr>
            </w:pPr>
          </w:p>
        </w:tc>
        <w:tc>
          <w:tcPr>
            <w:tcW w:w="6540" w:type="dxa"/>
            <w:vAlign w:val="bottom"/>
          </w:tcPr>
          <w:p>
            <w:pPr>
              <w:ind w:left="100"/>
              <w:spacing w:after="0"/>
              <w:rPr>
                <w:sz w:val="20"/>
                <w:szCs w:val="20"/>
                <w:color w:val="auto"/>
              </w:rPr>
            </w:pPr>
            <w:r>
              <w:rPr>
                <w:rFonts w:ascii="Arial" w:cs="Arial" w:eastAsia="Arial" w:hAnsi="Arial"/>
                <w:sz w:val="22"/>
                <w:szCs w:val="22"/>
                <w:color w:val="auto"/>
              </w:rPr>
              <w:t>Allowance for funds used during construction</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(2,867)</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(3,193)</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Gain on sale of other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(196)</w:t>
            </w: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(269)</w:t>
            </w:r>
          </w:p>
        </w:tc>
      </w:tr>
      <w:tr>
        <w:trPr>
          <w:trHeight w:val="284"/>
        </w:trPr>
        <w:tc>
          <w:tcPr>
            <w:tcW w:w="20" w:type="dxa"/>
            <w:vAlign w:val="bottom"/>
          </w:tcPr>
          <w:p>
            <w:pPr>
              <w:spacing w:after="0"/>
              <w:rPr>
                <w:sz w:val="24"/>
                <w:szCs w:val="24"/>
                <w:color w:val="auto"/>
              </w:rPr>
            </w:pPr>
          </w:p>
        </w:tc>
        <w:tc>
          <w:tcPr>
            <w:tcW w:w="6540" w:type="dxa"/>
            <w:vAlign w:val="bottom"/>
          </w:tcPr>
          <w:p>
            <w:pPr>
              <w:ind w:left="100"/>
              <w:spacing w:after="0"/>
              <w:rPr>
                <w:sz w:val="20"/>
                <w:szCs w:val="20"/>
                <w:color w:val="auto"/>
              </w:rPr>
            </w:pPr>
            <w:r>
              <w:rPr>
                <w:rFonts w:ascii="Arial" w:cs="Arial" w:eastAsia="Arial" w:hAnsi="Arial"/>
                <w:sz w:val="22"/>
                <w:szCs w:val="22"/>
                <w:color w:val="auto"/>
              </w:rPr>
              <w:t>Equity (earnings) loss in joint venture</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(382)</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Other</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603</w:t>
            </w:r>
          </w:p>
        </w:tc>
        <w:tc>
          <w:tcPr>
            <w:tcW w:w="2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1,238</w:t>
            </w:r>
          </w:p>
        </w:tc>
      </w:tr>
      <w:tr>
        <w:trPr>
          <w:trHeight w:val="264"/>
        </w:trPr>
        <w:tc>
          <w:tcPr>
            <w:tcW w:w="6560" w:type="dxa"/>
            <w:vAlign w:val="bottom"/>
            <w:gridSpan w:val="2"/>
          </w:tcPr>
          <w:p>
            <w:pPr>
              <w:spacing w:after="0"/>
              <w:rPr>
                <w:sz w:val="20"/>
                <w:szCs w:val="20"/>
                <w:color w:val="auto"/>
              </w:rPr>
            </w:pPr>
            <w:r>
              <w:rPr>
                <w:rFonts w:ascii="Arial" w:cs="Arial" w:eastAsia="Arial" w:hAnsi="Arial"/>
                <w:sz w:val="22"/>
                <w:szCs w:val="22"/>
                <w:color w:val="auto"/>
              </w:rPr>
              <w:t>Income before income taxes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48,708</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52,002</w:t>
            </w:r>
          </w:p>
        </w:tc>
      </w:tr>
      <w:tr>
        <w:trPr>
          <w:trHeight w:val="284"/>
        </w:trPr>
        <w:tc>
          <w:tcPr>
            <w:tcW w:w="20" w:type="dxa"/>
            <w:vAlign w:val="bottom"/>
          </w:tcPr>
          <w:p>
            <w:pPr>
              <w:spacing w:after="0"/>
              <w:rPr>
                <w:sz w:val="24"/>
                <w:szCs w:val="2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22"/>
                <w:szCs w:val="22"/>
                <w:color w:val="auto"/>
              </w:rPr>
              <w:t>Provision for income tax (benefit) expense</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(2,131)</w:t>
            </w:r>
          </w:p>
        </w:tc>
        <w:tc>
          <w:tcPr>
            <w:tcW w:w="2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2,930</w:t>
            </w:r>
          </w:p>
        </w:tc>
      </w:tr>
      <w:tr>
        <w:trPr>
          <w:trHeight w:val="257"/>
        </w:trPr>
        <w:tc>
          <w:tcPr>
            <w:tcW w:w="6560" w:type="dxa"/>
            <w:vAlign w:val="bottom"/>
            <w:gridSpan w:val="2"/>
          </w:tcPr>
          <w:p>
            <w:pPr>
              <w:spacing w:after="0" w:line="250" w:lineRule="exact"/>
              <w:rPr>
                <w:sz w:val="20"/>
                <w:szCs w:val="20"/>
                <w:color w:val="auto"/>
              </w:rPr>
            </w:pPr>
            <w:r>
              <w:rPr>
                <w:rFonts w:ascii="Arial" w:cs="Arial" w:eastAsia="Arial" w:hAnsi="Arial"/>
                <w:sz w:val="22"/>
                <w:szCs w:val="22"/>
                <w:color w:val="auto"/>
              </w:rPr>
              <w:t>Net income</w:t>
            </w:r>
          </w:p>
        </w:tc>
        <w:tc>
          <w:tcPr>
            <w:tcW w:w="340" w:type="dxa"/>
            <w:vAlign w:val="bottom"/>
          </w:tcPr>
          <w:p>
            <w:pPr>
              <w:jc w:val="right"/>
              <w:ind w:right="72"/>
              <w:spacing w:after="0" w:line="250" w:lineRule="exact"/>
              <w:rPr>
                <w:sz w:val="20"/>
                <w:szCs w:val="20"/>
                <w:color w:val="auto"/>
              </w:rPr>
            </w:pPr>
            <w:r>
              <w:rPr>
                <w:rFonts w:ascii="Arial" w:cs="Arial" w:eastAsia="Arial" w:hAnsi="Arial"/>
                <w:sz w:val="22"/>
                <w:szCs w:val="22"/>
                <w:color w:val="auto"/>
              </w:rPr>
              <w:t>$</w:t>
            </w:r>
          </w:p>
        </w:tc>
        <w:tc>
          <w:tcPr>
            <w:tcW w:w="1160" w:type="dxa"/>
            <w:vAlign w:val="bottom"/>
          </w:tcPr>
          <w:p>
            <w:pPr>
              <w:jc w:val="right"/>
              <w:spacing w:after="0" w:line="250" w:lineRule="exact"/>
              <w:rPr>
                <w:sz w:val="20"/>
                <w:szCs w:val="20"/>
                <w:color w:val="auto"/>
              </w:rPr>
            </w:pPr>
            <w:r>
              <w:rPr>
                <w:rFonts w:ascii="Arial" w:cs="Arial" w:eastAsia="Arial" w:hAnsi="Arial"/>
                <w:sz w:val="22"/>
                <w:szCs w:val="22"/>
                <w:color w:val="auto"/>
              </w:rPr>
              <w:t>50,839</w:t>
            </w:r>
          </w:p>
        </w:tc>
        <w:tc>
          <w:tcPr>
            <w:tcW w:w="200" w:type="dxa"/>
            <w:vAlign w:val="bottom"/>
          </w:tcPr>
          <w:p>
            <w:pPr>
              <w:spacing w:after="0"/>
              <w:rPr>
                <w:sz w:val="22"/>
                <w:szCs w:val="22"/>
                <w:color w:val="auto"/>
              </w:rPr>
            </w:pPr>
          </w:p>
        </w:tc>
        <w:tc>
          <w:tcPr>
            <w:tcW w:w="380" w:type="dxa"/>
            <w:vAlign w:val="bottom"/>
          </w:tcPr>
          <w:p>
            <w:pPr>
              <w:jc w:val="right"/>
              <w:ind w:right="132"/>
              <w:spacing w:after="0" w:line="250" w:lineRule="exact"/>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49,072</w:t>
            </w:r>
          </w:p>
        </w:tc>
      </w:tr>
      <w:tr>
        <w:trPr>
          <w:trHeight w:val="270"/>
        </w:trPr>
        <w:tc>
          <w:tcPr>
            <w:tcW w:w="20" w:type="dxa"/>
            <w:vAlign w:val="bottom"/>
          </w:tcPr>
          <w:p>
            <w:pPr>
              <w:spacing w:after="0"/>
              <w:rPr>
                <w:sz w:val="23"/>
                <w:szCs w:val="23"/>
                <w:color w:val="auto"/>
              </w:rPr>
            </w:pPr>
          </w:p>
        </w:tc>
        <w:tc>
          <w:tcPr>
            <w:tcW w:w="654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84"/>
        </w:trPr>
        <w:tc>
          <w:tcPr>
            <w:tcW w:w="6560" w:type="dxa"/>
            <w:vAlign w:val="bottom"/>
            <w:gridSpan w:val="2"/>
          </w:tcPr>
          <w:p>
            <w:pPr>
              <w:spacing w:after="0"/>
              <w:rPr>
                <w:sz w:val="20"/>
                <w:szCs w:val="20"/>
                <w:color w:val="auto"/>
              </w:rPr>
            </w:pPr>
            <w:r>
              <w:rPr>
                <w:rFonts w:ascii="Arial" w:cs="Arial" w:eastAsia="Arial" w:hAnsi="Arial"/>
                <w:sz w:val="22"/>
                <w:szCs w:val="22"/>
                <w:color w:val="auto"/>
              </w:rPr>
              <w:t>Net income per common share: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6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22"/>
                <w:szCs w:val="22"/>
                <w:color w:val="auto"/>
              </w:rPr>
              <w:t>Basic</w:t>
            </w:r>
          </w:p>
        </w:tc>
        <w:tc>
          <w:tcPr>
            <w:tcW w:w="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0.29</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0.28</w:t>
            </w:r>
          </w:p>
        </w:tc>
      </w:tr>
      <w:tr>
        <w:trPr>
          <w:trHeight w:val="251"/>
        </w:trPr>
        <w:tc>
          <w:tcPr>
            <w:tcW w:w="20" w:type="dxa"/>
            <w:vAlign w:val="bottom"/>
          </w:tcPr>
          <w:p>
            <w:pPr>
              <w:spacing w:after="0"/>
              <w:rPr>
                <w:sz w:val="21"/>
                <w:szCs w:val="21"/>
                <w:color w:val="auto"/>
              </w:rPr>
            </w:pPr>
          </w:p>
        </w:tc>
        <w:tc>
          <w:tcPr>
            <w:tcW w:w="6540" w:type="dxa"/>
            <w:vAlign w:val="bottom"/>
            <w:tcBorders>
              <w:bottom w:val="single" w:sz="8" w:color="CCEEFF"/>
            </w:tcBorders>
          </w:tcPr>
          <w:p>
            <w:pPr>
              <w:ind w:left="100"/>
              <w:spacing w:after="0" w:line="244" w:lineRule="exact"/>
              <w:rPr>
                <w:sz w:val="20"/>
                <w:szCs w:val="20"/>
                <w:color w:val="auto"/>
              </w:rPr>
            </w:pPr>
            <w:r>
              <w:rPr>
                <w:rFonts w:ascii="Arial" w:cs="Arial" w:eastAsia="Arial" w:hAnsi="Arial"/>
                <w:sz w:val="22"/>
                <w:szCs w:val="22"/>
                <w:color w:val="auto"/>
              </w:rPr>
              <w:t>Diluted</w:t>
            </w:r>
          </w:p>
        </w:tc>
        <w:tc>
          <w:tcPr>
            <w:tcW w:w="340" w:type="dxa"/>
            <w:vAlign w:val="bottom"/>
            <w:tcBorders>
              <w:bottom w:val="single" w:sz="8" w:color="auto"/>
            </w:tcBorders>
          </w:tcPr>
          <w:p>
            <w:pPr>
              <w:jc w:val="right"/>
              <w:ind w:right="72"/>
              <w:spacing w:after="0" w:line="244" w:lineRule="exact"/>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spacing w:after="0" w:line="244" w:lineRule="exact"/>
              <w:rPr>
                <w:sz w:val="20"/>
                <w:szCs w:val="20"/>
                <w:color w:val="auto"/>
              </w:rPr>
            </w:pPr>
            <w:r>
              <w:rPr>
                <w:rFonts w:ascii="Arial" w:cs="Arial" w:eastAsia="Arial" w:hAnsi="Arial"/>
                <w:sz w:val="22"/>
                <w:szCs w:val="22"/>
                <w:color w:val="auto"/>
              </w:rPr>
              <w:t>0.29</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32"/>
              <w:spacing w:after="0" w:line="244" w:lineRule="exact"/>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spacing w:after="0" w:line="244" w:lineRule="exact"/>
              <w:rPr>
                <w:sz w:val="20"/>
                <w:szCs w:val="20"/>
                <w:color w:val="auto"/>
              </w:rPr>
            </w:pPr>
            <w:r>
              <w:rPr>
                <w:rFonts w:ascii="Arial" w:cs="Arial" w:eastAsia="Arial" w:hAnsi="Arial"/>
                <w:sz w:val="22"/>
                <w:szCs w:val="22"/>
                <w:color w:val="auto"/>
              </w:rPr>
              <w:t>0.28</w:t>
            </w:r>
          </w:p>
        </w:tc>
      </w:tr>
      <w:tr>
        <w:trPr>
          <w:trHeight w:val="270"/>
        </w:trPr>
        <w:tc>
          <w:tcPr>
            <w:tcW w:w="20" w:type="dxa"/>
            <w:vAlign w:val="bottom"/>
          </w:tcPr>
          <w:p>
            <w:pPr>
              <w:spacing w:after="0"/>
              <w:rPr>
                <w:sz w:val="23"/>
                <w:szCs w:val="23"/>
                <w:color w:val="auto"/>
              </w:rPr>
            </w:pPr>
          </w:p>
        </w:tc>
        <w:tc>
          <w:tcPr>
            <w:tcW w:w="65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84"/>
        </w:trPr>
        <w:tc>
          <w:tcPr>
            <w:tcW w:w="6560" w:type="dxa"/>
            <w:vAlign w:val="bottom"/>
            <w:gridSpan w:val="2"/>
          </w:tcPr>
          <w:p>
            <w:pPr>
              <w:spacing w:after="0"/>
              <w:rPr>
                <w:sz w:val="20"/>
                <w:szCs w:val="20"/>
                <w:color w:val="auto"/>
              </w:rPr>
            </w:pPr>
            <w:r>
              <w:rPr>
                <w:rFonts w:ascii="Arial" w:cs="Arial" w:eastAsia="Arial" w:hAnsi="Arial"/>
                <w:sz w:val="22"/>
                <w:szCs w:val="22"/>
                <w:color w:val="auto"/>
              </w:rPr>
              <w:t>Average common shares outstanding during the period:</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6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22"/>
                <w:szCs w:val="22"/>
                <w:color w:val="auto"/>
              </w:rPr>
              <w:t>Basic</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177,801</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177,479</w:t>
            </w:r>
          </w:p>
        </w:tc>
      </w:tr>
      <w:tr>
        <w:trPr>
          <w:trHeight w:val="251"/>
        </w:trPr>
        <w:tc>
          <w:tcPr>
            <w:tcW w:w="20" w:type="dxa"/>
            <w:vAlign w:val="bottom"/>
          </w:tcPr>
          <w:p>
            <w:pPr>
              <w:spacing w:after="0"/>
              <w:rPr>
                <w:sz w:val="21"/>
                <w:szCs w:val="21"/>
                <w:color w:val="auto"/>
              </w:rPr>
            </w:pPr>
          </w:p>
        </w:tc>
        <w:tc>
          <w:tcPr>
            <w:tcW w:w="6540" w:type="dxa"/>
            <w:vAlign w:val="bottom"/>
            <w:tcBorders>
              <w:bottom w:val="single" w:sz="8" w:color="CCEEFF"/>
            </w:tcBorders>
          </w:tcPr>
          <w:p>
            <w:pPr>
              <w:ind w:left="100"/>
              <w:spacing w:after="0" w:line="244" w:lineRule="exact"/>
              <w:rPr>
                <w:sz w:val="20"/>
                <w:szCs w:val="20"/>
                <w:color w:val="auto"/>
              </w:rPr>
            </w:pPr>
            <w:r>
              <w:rPr>
                <w:rFonts w:ascii="Arial" w:cs="Arial" w:eastAsia="Arial" w:hAnsi="Arial"/>
                <w:sz w:val="22"/>
                <w:szCs w:val="22"/>
                <w:color w:val="auto"/>
              </w:rPr>
              <w:t>Diluted</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line="244" w:lineRule="exact"/>
              <w:rPr>
                <w:sz w:val="20"/>
                <w:szCs w:val="20"/>
                <w:color w:val="auto"/>
              </w:rPr>
            </w:pPr>
            <w:r>
              <w:rPr>
                <w:rFonts w:ascii="Arial" w:cs="Arial" w:eastAsia="Arial" w:hAnsi="Arial"/>
                <w:sz w:val="22"/>
                <w:szCs w:val="22"/>
                <w:color w:val="auto"/>
              </w:rPr>
              <w:t>178,238</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line="244" w:lineRule="exact"/>
              <w:rPr>
                <w:sz w:val="20"/>
                <w:szCs w:val="20"/>
                <w:color w:val="auto"/>
              </w:rPr>
            </w:pPr>
            <w:r>
              <w:rPr>
                <w:rFonts w:ascii="Arial" w:cs="Arial" w:eastAsia="Arial" w:hAnsi="Arial"/>
                <w:sz w:val="22"/>
                <w:szCs w:val="22"/>
                <w:color w:val="auto"/>
              </w:rPr>
              <w:t>177,969</w:t>
            </w:r>
          </w:p>
        </w:tc>
      </w:tr>
      <w:tr>
        <w:trPr>
          <w:trHeight w:val="270"/>
        </w:trPr>
        <w:tc>
          <w:tcPr>
            <w:tcW w:w="20" w:type="dxa"/>
            <w:vAlign w:val="bottom"/>
          </w:tcPr>
          <w:p>
            <w:pPr>
              <w:spacing w:after="0"/>
              <w:rPr>
                <w:sz w:val="23"/>
                <w:szCs w:val="23"/>
                <w:color w:val="auto"/>
              </w:rPr>
            </w:pPr>
          </w:p>
        </w:tc>
        <w:tc>
          <w:tcPr>
            <w:tcW w:w="65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77"/>
        </w:trPr>
        <w:tc>
          <w:tcPr>
            <w:tcW w:w="6560" w:type="dxa"/>
            <w:vAlign w:val="bottom"/>
            <w:gridSpan w:val="2"/>
          </w:tcPr>
          <w:p>
            <w:pPr>
              <w:spacing w:after="0"/>
              <w:rPr>
                <w:sz w:val="20"/>
                <w:szCs w:val="20"/>
                <w:color w:val="auto"/>
              </w:rPr>
            </w:pPr>
            <w:r>
              <w:rPr>
                <w:rFonts w:ascii="Arial" w:cs="Arial" w:eastAsia="Arial" w:hAnsi="Arial"/>
                <w:sz w:val="22"/>
                <w:szCs w:val="22"/>
                <w:color w:val="auto"/>
              </w:rPr>
              <w:t>Cash dividends declared per common share</w:t>
            </w: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0.2047</w:t>
            </w:r>
          </w:p>
        </w:tc>
        <w:tc>
          <w:tcPr>
            <w:tcW w:w="200" w:type="dxa"/>
            <w:vAlign w:val="bottom"/>
          </w:tcPr>
          <w:p>
            <w:pPr>
              <w:spacing w:after="0"/>
              <w:rPr>
                <w:sz w:val="24"/>
                <w:szCs w:val="24"/>
                <w:color w:val="auto"/>
              </w:rPr>
            </w:pPr>
          </w:p>
        </w:tc>
        <w:tc>
          <w:tcPr>
            <w:tcW w:w="3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0.1913</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 beginning on page 8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63500</wp:posOffset>
            </wp:positionV>
            <wp:extent cx="6311265"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11265" cy="51435"/>
                    </a:xfrm>
                    <a:prstGeom prst="rect">
                      <a:avLst/>
                    </a:prstGeom>
                    <a:noFill/>
                  </pic:spPr>
                </pic:pic>
              </a:graphicData>
            </a:graphic>
          </wp:anchor>
        </w:drawing>
      </w:r>
    </w:p>
    <w:p>
      <w:pPr>
        <w:sectPr>
          <w:pgSz w:w="11900" w:h="16838" w:orient="portrait"/>
          <w:cols w:equalWidth="0" w:num="1">
            <w:col w:w="9640"/>
          </w:cols>
          <w:pgMar w:left="1140" w:top="118" w:right="111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CONSOLIDATED STATEMENTS OF COMPREHENSIVE INCOME</w:t>
      </w:r>
    </w:p>
    <w:p>
      <w:pPr>
        <w:ind w:left="3840"/>
        <w:spacing w:after="0" w:line="192" w:lineRule="auto"/>
        <w:rPr>
          <w:sz w:val="20"/>
          <w:szCs w:val="20"/>
          <w:color w:val="auto"/>
        </w:rPr>
      </w:pPr>
      <w:r>
        <w:rPr>
          <w:rFonts w:ascii="Arial" w:cs="Arial" w:eastAsia="Arial" w:hAnsi="Arial"/>
          <w:sz w:val="22"/>
          <w:szCs w:val="22"/>
          <w:color w:val="auto"/>
        </w:rPr>
        <w:t>(In thousands of dollars)</w:t>
      </w:r>
    </w:p>
    <w:p>
      <w:pPr>
        <w:ind w:left="422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4"/>
          </w:tcPr>
          <w:p>
            <w:pPr>
              <w:jc w:val="right"/>
              <w:ind w:right="192"/>
              <w:spacing w:after="0"/>
              <w:rPr>
                <w:sz w:val="20"/>
                <w:szCs w:val="20"/>
                <w:color w:val="auto"/>
              </w:rPr>
            </w:pPr>
            <w:r>
              <w:rPr>
                <w:rFonts w:ascii="Arial" w:cs="Arial" w:eastAsia="Arial" w:hAnsi="Arial"/>
                <w:sz w:val="22"/>
                <w:szCs w:val="22"/>
                <w:color w:val="auto"/>
                <w:w w:val="91"/>
              </w:rPr>
              <w:t>Three Months Ended</w:t>
            </w:r>
          </w:p>
        </w:tc>
      </w:tr>
      <w:tr>
        <w:trPr>
          <w:trHeight w:val="265"/>
        </w:trPr>
        <w:tc>
          <w:tcPr>
            <w:tcW w:w="74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22"/>
                <w:szCs w:val="22"/>
                <w:color w:val="auto"/>
              </w:rPr>
              <w:t>March 31,</w:t>
            </w:r>
          </w:p>
        </w:tc>
      </w:tr>
      <w:tr>
        <w:trPr>
          <w:trHeight w:val="237"/>
        </w:trPr>
        <w:tc>
          <w:tcPr>
            <w:tcW w:w="74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2"/>
              <w:spacing w:after="0" w:line="237" w:lineRule="exact"/>
              <w:rPr>
                <w:sz w:val="20"/>
                <w:szCs w:val="20"/>
                <w:color w:val="auto"/>
              </w:rPr>
            </w:pPr>
            <w:r>
              <w:rPr>
                <w:rFonts w:ascii="Arial" w:cs="Arial" w:eastAsia="Arial" w:hAnsi="Arial"/>
                <w:sz w:val="22"/>
                <w:szCs w:val="22"/>
                <w:color w:val="auto"/>
              </w:rPr>
              <w:t>2018</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2"/>
              <w:spacing w:after="0" w:line="237" w:lineRule="exact"/>
              <w:rPr>
                <w:sz w:val="20"/>
                <w:szCs w:val="20"/>
                <w:color w:val="auto"/>
              </w:rPr>
            </w:pPr>
            <w:r>
              <w:rPr>
                <w:rFonts w:ascii="Arial" w:cs="Arial" w:eastAsia="Arial" w:hAnsi="Arial"/>
                <w:sz w:val="22"/>
                <w:szCs w:val="22"/>
                <w:color w:val="auto"/>
              </w:rPr>
              <w:t>2017</w:t>
            </w:r>
          </w:p>
        </w:tc>
      </w:tr>
      <w:tr>
        <w:trPr>
          <w:trHeight w:val="237"/>
        </w:trPr>
        <w:tc>
          <w:tcPr>
            <w:tcW w:w="742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Net income</w:t>
            </w:r>
          </w:p>
        </w:tc>
        <w:tc>
          <w:tcPr>
            <w:tcW w:w="24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86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50,839</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92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49,072</w:t>
            </w:r>
          </w:p>
        </w:tc>
      </w:tr>
      <w:tr>
        <w:trPr>
          <w:trHeight w:val="243"/>
        </w:trPr>
        <w:tc>
          <w:tcPr>
            <w:tcW w:w="7420" w:type="dxa"/>
            <w:vAlign w:val="bottom"/>
          </w:tcPr>
          <w:p>
            <w:pPr>
              <w:spacing w:after="0" w:line="243" w:lineRule="exact"/>
              <w:rPr>
                <w:sz w:val="20"/>
                <w:szCs w:val="20"/>
                <w:color w:val="auto"/>
              </w:rPr>
            </w:pPr>
            <w:r>
              <w:rPr>
                <w:rFonts w:ascii="Arial" w:cs="Arial" w:eastAsia="Arial" w:hAnsi="Arial"/>
                <w:sz w:val="22"/>
                <w:szCs w:val="22"/>
                <w:color w:val="auto"/>
              </w:rPr>
              <w:t>Other comprehensive income, net of tax:</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2"/>
        </w:trPr>
        <w:tc>
          <w:tcPr>
            <w:tcW w:w="7420" w:type="dxa"/>
            <w:vAlign w:val="bottom"/>
            <w:shd w:val="clear" w:color="auto" w:fill="CCEEFF"/>
          </w:tcPr>
          <w:p>
            <w:pPr>
              <w:ind w:left="120"/>
              <w:spacing w:after="0" w:line="222" w:lineRule="exact"/>
              <w:rPr>
                <w:sz w:val="20"/>
                <w:szCs w:val="20"/>
                <w:color w:val="auto"/>
              </w:rPr>
            </w:pPr>
            <w:r>
              <w:rPr>
                <w:rFonts w:ascii="Arial" w:cs="Arial" w:eastAsia="Arial" w:hAnsi="Arial"/>
                <w:sz w:val="22"/>
                <w:szCs w:val="22"/>
                <w:color w:val="auto"/>
                <w:w w:val="94"/>
              </w:rPr>
              <w:t>Unrealized holding gain on investments, net of tax expense of $31 for the three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65"/>
        </w:trPr>
        <w:tc>
          <w:tcPr>
            <w:tcW w:w="7420" w:type="dxa"/>
            <w:vAlign w:val="bottom"/>
            <w:shd w:val="clear" w:color="auto" w:fill="CCEEFF"/>
          </w:tcPr>
          <w:p>
            <w:pPr>
              <w:ind w:left="120"/>
              <w:spacing w:after="0"/>
              <w:rPr>
                <w:sz w:val="20"/>
                <w:szCs w:val="20"/>
                <w:color w:val="auto"/>
              </w:rPr>
            </w:pPr>
            <w:r>
              <w:rPr>
                <w:rFonts w:ascii="Arial" w:cs="Arial" w:eastAsia="Arial" w:hAnsi="Arial"/>
                <w:sz w:val="22"/>
                <w:szCs w:val="22"/>
                <w:color w:val="auto"/>
              </w:rPr>
              <w:t>months ended March 31, 2017</w:t>
            </w: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58</w:t>
            </w:r>
          </w:p>
        </w:tc>
      </w:tr>
      <w:tr>
        <w:trPr>
          <w:trHeight w:val="244"/>
        </w:trPr>
        <w:tc>
          <w:tcPr>
            <w:tcW w:w="7420" w:type="dxa"/>
            <w:vAlign w:val="bottom"/>
          </w:tcPr>
          <w:p>
            <w:pPr>
              <w:spacing w:after="0" w:line="237" w:lineRule="exact"/>
              <w:rPr>
                <w:sz w:val="20"/>
                <w:szCs w:val="20"/>
                <w:color w:val="auto"/>
              </w:rPr>
            </w:pPr>
            <w:r>
              <w:rPr>
                <w:rFonts w:ascii="Arial" w:cs="Arial" w:eastAsia="Arial" w:hAnsi="Arial"/>
                <w:sz w:val="22"/>
                <w:szCs w:val="22"/>
                <w:color w:val="auto"/>
              </w:rPr>
              <w:t>Comprehensive income</w:t>
            </w:r>
          </w:p>
        </w:tc>
        <w:tc>
          <w:tcPr>
            <w:tcW w:w="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8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50,839</w:t>
            </w:r>
          </w:p>
        </w:tc>
        <w:tc>
          <w:tcPr>
            <w:tcW w:w="140" w:type="dxa"/>
            <w:vAlign w:val="bottom"/>
          </w:tcPr>
          <w:p>
            <w:pPr>
              <w:spacing w:after="0"/>
              <w:rPr>
                <w:sz w:val="21"/>
                <w:szCs w:val="21"/>
                <w:color w:val="auto"/>
              </w:rPr>
            </w:pPr>
          </w:p>
        </w:tc>
        <w:tc>
          <w:tcPr>
            <w:tcW w:w="2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49,130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consolidated financial statements beginning on page 8 of this report.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63500</wp:posOffset>
            </wp:positionV>
            <wp:extent cx="615696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860"/>
          </w:cols>
          <w:pgMar w:left="1020" w:top="118" w:right="101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CONSOLIDATED STATEMENTS OF CAPITALIZATION</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257"/>
        </w:trPr>
        <w:tc>
          <w:tcPr>
            <w:tcW w:w="4580" w:type="dxa"/>
            <w:vAlign w:val="bottom"/>
            <w:gridSpan w:val="4"/>
            <w:vMerge w:val="restart"/>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6"/>
        </w:trPr>
        <w:tc>
          <w:tcPr>
            <w:tcW w:w="458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Common stock, $.50 par value</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90,478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60"/>
              <w:spacing w:after="0"/>
              <w:rPr>
                <w:sz w:val="20"/>
                <w:szCs w:val="20"/>
                <w:color w:val="auto"/>
              </w:rPr>
            </w:pPr>
            <w:r>
              <w:rPr>
                <w:rFonts w:ascii="Arial" w:cs="Arial" w:eastAsia="Arial" w:hAnsi="Arial"/>
                <w:sz w:val="18"/>
                <w:szCs w:val="18"/>
                <w:color w:val="auto"/>
              </w:rPr>
              <w:t>Capital in excess of par value</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809,624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1,147,828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60"/>
              <w:spacing w:after="0"/>
              <w:rPr>
                <w:sz w:val="20"/>
                <w:szCs w:val="20"/>
                <w:color w:val="auto"/>
              </w:rPr>
            </w:pPr>
            <w:r>
              <w:rPr>
                <w:rFonts w:ascii="Arial" w:cs="Arial" w:eastAsia="Arial" w:hAnsi="Arial"/>
                <w:sz w:val="18"/>
                <w:szCs w:val="18"/>
                <w:color w:val="auto"/>
              </w:rPr>
              <w:t>Treasury stock, at cost</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(75,771)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1,972,159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1,957,621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6"/>
          </w:tcPr>
          <w:p>
            <w:pPr>
              <w:spacing w:after="0"/>
              <w:rPr>
                <w:sz w:val="20"/>
                <w:szCs w:val="20"/>
                <w:color w:val="auto"/>
              </w:rPr>
            </w:pPr>
            <w:r>
              <w:rPr>
                <w:rFonts w:ascii="Arial" w:cs="Arial" w:eastAsia="Arial" w:hAnsi="Arial"/>
                <w:sz w:val="18"/>
                <w:szCs w:val="18"/>
                <w:color w:val="auto"/>
              </w:rPr>
              <w:t>Long-term debt of subsidiaries (substantially collateralized by utility plant):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Interest Rate Range</w:t>
            </w:r>
          </w:p>
        </w:tc>
        <w:tc>
          <w:tcPr>
            <w:tcW w:w="1740" w:type="dxa"/>
            <w:vAlign w:val="bottom"/>
            <w:shd w:val="clear" w:color="auto" w:fill="CCEEFF"/>
          </w:tcPr>
          <w:p>
            <w:pPr>
              <w:spacing w:after="0"/>
              <w:rPr>
                <w:sz w:val="17"/>
                <w:szCs w:val="17"/>
                <w:color w:val="auto"/>
              </w:rPr>
            </w:pPr>
          </w:p>
        </w:tc>
        <w:tc>
          <w:tcPr>
            <w:tcW w:w="2220" w:type="dxa"/>
            <w:vAlign w:val="bottom"/>
            <w:gridSpan w:val="3"/>
            <w:shd w:val="clear" w:color="auto" w:fill="CCEEFF"/>
          </w:tcPr>
          <w:p>
            <w:pPr>
              <w:jc w:val="center"/>
              <w:ind w:right="540"/>
              <w:spacing w:after="0" w:line="176" w:lineRule="exact"/>
              <w:rPr>
                <w:sz w:val="20"/>
                <w:szCs w:val="20"/>
                <w:color w:val="auto"/>
              </w:rPr>
            </w:pPr>
            <w:r>
              <w:rPr>
                <w:rFonts w:ascii="Arial" w:cs="Arial" w:eastAsia="Arial" w:hAnsi="Arial"/>
                <w:sz w:val="18"/>
                <w:szCs w:val="18"/>
                <w:color w:val="auto"/>
                <w:w w:val="92"/>
              </w:rPr>
              <w:t>Maturity Date Range</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0.00% to 0.99%</w:t>
            </w:r>
          </w:p>
        </w:tc>
        <w:tc>
          <w:tcPr>
            <w:tcW w:w="1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2023 to 2033</w:t>
            </w:r>
          </w:p>
        </w:tc>
        <w:tc>
          <w:tcPr>
            <w:tcW w:w="6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4,148</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1.00% to 1.99%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2019 to 2035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Arial" w:cs="Arial" w:eastAsia="Arial" w:hAnsi="Arial"/>
                <w:sz w:val="18"/>
                <w:szCs w:val="18"/>
                <w:color w:val="auto"/>
                <w:w w:val="95"/>
              </w:rPr>
              <w:t>2.00% to 2.99%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2019 to 2033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3.00% to 3.99%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2019 to 2056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Arial" w:cs="Arial" w:eastAsia="Arial" w:hAnsi="Arial"/>
                <w:sz w:val="18"/>
                <w:szCs w:val="18"/>
                <w:color w:val="auto"/>
                <w:w w:val="95"/>
              </w:rPr>
              <w:t>4.00% to 4.99%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2020 to 2057</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631,513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5.00% to 5.99%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2019 to 2043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Arial" w:cs="Arial" w:eastAsia="Arial" w:hAnsi="Arial"/>
                <w:sz w:val="18"/>
                <w:szCs w:val="18"/>
                <w:color w:val="auto"/>
                <w:w w:val="95"/>
              </w:rPr>
              <w:t>6.00% to 6.99%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2018 to 2036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7.00% to 7.99%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2022 to 2027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160" w:type="dxa"/>
            <w:vAlign w:val="bottom"/>
            <w:gridSpan w:val="2"/>
          </w:tcPr>
          <w:p>
            <w:pPr>
              <w:jc w:val="center"/>
              <w:ind w:right="1740"/>
              <w:spacing w:after="0"/>
              <w:rPr>
                <w:sz w:val="20"/>
                <w:szCs w:val="20"/>
                <w:color w:val="auto"/>
              </w:rPr>
            </w:pPr>
            <w:r>
              <w:rPr>
                <w:rFonts w:ascii="Arial" w:cs="Arial" w:eastAsia="Arial" w:hAnsi="Arial"/>
                <w:sz w:val="18"/>
                <w:szCs w:val="18"/>
                <w:color w:val="auto"/>
                <w:w w:val="95"/>
              </w:rPr>
              <w:t>8.00% to 8.99%</w:t>
            </w:r>
          </w:p>
        </w:tc>
        <w:tc>
          <w:tcPr>
            <w:tcW w:w="80" w:type="dxa"/>
            <w:vAlign w:val="bottom"/>
          </w:tcPr>
          <w:p>
            <w:pPr>
              <w:spacing w:after="0"/>
              <w:rPr>
                <w:sz w:val="18"/>
                <w:szCs w:val="18"/>
                <w:color w:val="auto"/>
              </w:rPr>
            </w:pPr>
          </w:p>
        </w:tc>
        <w:tc>
          <w:tcPr>
            <w:tcW w:w="21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2021 to 2025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1740"/>
              <w:spacing w:after="0"/>
              <w:rPr>
                <w:sz w:val="20"/>
                <w:szCs w:val="20"/>
                <w:color w:val="auto"/>
              </w:rPr>
            </w:pPr>
            <w:r>
              <w:rPr>
                <w:rFonts w:ascii="Arial" w:cs="Arial" w:eastAsia="Arial" w:hAnsi="Arial"/>
                <w:sz w:val="18"/>
                <w:szCs w:val="18"/>
                <w:color w:val="auto"/>
                <w:w w:val="95"/>
              </w:rPr>
              <w:t>9.00% to 9.99%</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2018 to 2026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3160" w:type="dxa"/>
            <w:vAlign w:val="bottom"/>
            <w:tcBorders>
              <w:bottom w:val="single" w:sz="8" w:color="CCEEFF"/>
            </w:tcBorders>
            <w:gridSpan w:val="2"/>
          </w:tcPr>
          <w:p>
            <w:pPr>
              <w:jc w:val="center"/>
              <w:ind w:right="1740"/>
              <w:spacing w:after="0"/>
              <w:rPr>
                <w:sz w:val="20"/>
                <w:szCs w:val="20"/>
                <w:color w:val="auto"/>
              </w:rPr>
            </w:pPr>
            <w:r>
              <w:rPr>
                <w:rFonts w:ascii="Arial" w:cs="Arial" w:eastAsia="Arial" w:hAnsi="Arial"/>
                <w:sz w:val="18"/>
                <w:szCs w:val="18"/>
                <w:color w:val="auto"/>
                <w:w w:val="91"/>
              </w:rPr>
              <w:t>10.00% to 10.99%</w:t>
            </w:r>
          </w:p>
        </w:tc>
        <w:tc>
          <w:tcPr>
            <w:tcW w:w="16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89"/>
              </w:rPr>
              <w:t>2018</w:t>
            </w:r>
          </w:p>
        </w:tc>
        <w:tc>
          <w:tcPr>
            <w:tcW w:w="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1,460,888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1,462,900</w:t>
            </w:r>
          </w:p>
        </w:tc>
        <w:tc>
          <w:tcPr>
            <w:tcW w:w="0" w:type="dxa"/>
            <w:vAlign w:val="bottom"/>
          </w:tcPr>
          <w:p>
            <w:pPr>
              <w:spacing w:after="0"/>
              <w:rPr>
                <w:sz w:val="1"/>
                <w:szCs w:val="1"/>
                <w:color w:val="auto"/>
              </w:rPr>
            </w:pPr>
          </w:p>
        </w:tc>
      </w:tr>
      <w:tr>
        <w:trPr>
          <w:trHeight w:val="108"/>
        </w:trPr>
        <w:tc>
          <w:tcPr>
            <w:tcW w:w="1420" w:type="dxa"/>
            <w:vAlign w:val="bottom"/>
            <w:gridSpan w:val="2"/>
          </w:tcPr>
          <w:p>
            <w:pPr>
              <w:spacing w:after="0"/>
              <w:rPr>
                <w:sz w:val="9"/>
                <w:szCs w:val="9"/>
                <w:color w:val="auto"/>
              </w:rPr>
            </w:pPr>
          </w:p>
        </w:tc>
        <w:tc>
          <w:tcPr>
            <w:tcW w:w="1420" w:type="dxa"/>
            <w:vAlign w:val="bottom"/>
          </w:tcPr>
          <w:p>
            <w:pPr>
              <w:spacing w:after="0"/>
              <w:rPr>
                <w:sz w:val="9"/>
                <w:szCs w:val="9"/>
                <w:color w:val="auto"/>
              </w:rPr>
            </w:pPr>
          </w:p>
        </w:tc>
        <w:tc>
          <w:tcPr>
            <w:tcW w:w="1820" w:type="dxa"/>
            <w:vAlign w:val="bottom"/>
            <w:gridSpan w:val="2"/>
          </w:tcPr>
          <w:p>
            <w:pPr>
              <w:spacing w:after="0"/>
              <w:rPr>
                <w:sz w:val="9"/>
                <w:szCs w:val="9"/>
                <w:color w:val="auto"/>
              </w:rPr>
            </w:pPr>
          </w:p>
        </w:tc>
        <w:tc>
          <w:tcPr>
            <w:tcW w:w="1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Notes payable to bank under revolving credit agreement, variable rate, due 2021</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117,000</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Unsecured notes payable:</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Bank notes at 1.975% and 2.48% due 2018 and 2019</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Notes at 3.01% and 3.59% due 2027 and 2041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2"/>
              </w:rPr>
              <w:t>Notes ranging from 4.62% to 4.87%, due 2018 through 2024</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w w:val="92"/>
              </w:rPr>
              <w:t>Notes ranging from 5.20% to 5.95%, due 2018 through 2037</w:t>
            </w:r>
          </w:p>
        </w:tc>
        <w:tc>
          <w:tcPr>
            <w:tcW w:w="8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142,427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2,188,115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2,143,127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103,832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Long-term debt, excluding current portion</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2,084,283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2,029,358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debt issuance costs</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gridSpan w:val="6"/>
          </w:tcPr>
          <w:p>
            <w:pPr>
              <w:spacing w:after="0"/>
              <w:rPr>
                <w:sz w:val="20"/>
                <w:szCs w:val="20"/>
                <w:color w:val="auto"/>
              </w:rPr>
            </w:pPr>
            <w:r>
              <w:rPr>
                <w:rFonts w:ascii="Arial" w:cs="Arial" w:eastAsia="Arial" w:hAnsi="Arial"/>
                <w:sz w:val="18"/>
                <w:szCs w:val="18"/>
                <w:color w:val="auto"/>
              </w:rPr>
              <w:t>Long-term debt, excluding current portion, net of debt issuance costs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2,063,066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2,007,753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580" w:type="dxa"/>
            <w:vAlign w:val="bottom"/>
            <w:gridSpan w:val="4"/>
          </w:tcPr>
          <w:p>
            <w:pPr>
              <w:spacing w:after="0"/>
              <w:rPr>
                <w:sz w:val="20"/>
                <w:szCs w:val="20"/>
                <w:color w:val="auto"/>
              </w:rPr>
            </w:pPr>
            <w:r>
              <w:rPr>
                <w:rFonts w:ascii="Arial" w:cs="Arial" w:eastAsia="Arial" w:hAnsi="Arial"/>
                <w:sz w:val="18"/>
                <w:szCs w:val="18"/>
                <w:color w:val="auto"/>
              </w:rPr>
              <w:t>Total capitalization</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4,035,225</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3,965,374</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beginning on page 8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63500</wp:posOffset>
            </wp:positionV>
            <wp:extent cx="618299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2995" cy="51435"/>
                    </a:xfrm>
                    <a:prstGeom prst="rect">
                      <a:avLst/>
                    </a:prstGeom>
                    <a:noFill/>
                  </pic:spPr>
                </pic:pic>
              </a:graphicData>
            </a:graphic>
          </wp:anchor>
        </w:drawing>
      </w:r>
    </w:p>
    <w:p>
      <w:pPr>
        <w:sectPr>
          <w:pgSz w:w="11900" w:h="16838" w:orient="portrait"/>
          <w:cols w:equalWidth="0" w:num="1">
            <w:col w:w="9640"/>
          </w:cols>
          <w:pgMar w:left="1140" w:top="118" w:right="111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CONSOLIDATED STATEMENT OF EQUITY</w:t>
      </w:r>
    </w:p>
    <w:p>
      <w:pPr>
        <w:jc w:val="center"/>
        <w:ind w:right="-19"/>
        <w:spacing w:after="0" w:line="192" w:lineRule="auto"/>
        <w:rPr>
          <w:sz w:val="20"/>
          <w:szCs w:val="20"/>
          <w:color w:val="auto"/>
        </w:rPr>
      </w:pPr>
      <w:r>
        <w:rPr>
          <w:rFonts w:ascii="Arial" w:cs="Arial" w:eastAsia="Arial" w:hAnsi="Arial"/>
          <w:sz w:val="22"/>
          <w:szCs w:val="22"/>
          <w:color w:val="auto"/>
        </w:rPr>
        <w:t>(In thousands of dollars)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tcPr>
          <w:p>
            <w:pPr>
              <w:jc w:val="center"/>
              <w:ind w:right="40"/>
              <w:spacing w:after="0"/>
              <w:rPr>
                <w:sz w:val="20"/>
                <w:szCs w:val="20"/>
                <w:color w:val="auto"/>
              </w:rPr>
            </w:pPr>
            <w:r>
              <w:rPr>
                <w:rFonts w:ascii="Arial" w:cs="Arial" w:eastAsia="Arial" w:hAnsi="Arial"/>
                <w:sz w:val="20"/>
                <w:szCs w:val="20"/>
                <w:color w:val="auto"/>
                <w:w w:val="89"/>
              </w:rPr>
              <w:t>Accumulated</w:t>
            </w:r>
          </w:p>
        </w:tc>
        <w:tc>
          <w:tcPr>
            <w:tcW w:w="980" w:type="dxa"/>
            <w:vAlign w:val="bottom"/>
          </w:tcPr>
          <w:p>
            <w:pPr>
              <w:spacing w:after="0"/>
              <w:rPr>
                <w:sz w:val="21"/>
                <w:szCs w:val="21"/>
                <w:color w:val="auto"/>
              </w:rPr>
            </w:pPr>
          </w:p>
        </w:tc>
      </w:tr>
      <w:tr>
        <w:trPr>
          <w:trHeight w:val="243"/>
        </w:trPr>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20"/>
                <w:szCs w:val="20"/>
                <w:color w:val="auto"/>
                <w:w w:val="98"/>
              </w:rPr>
              <w:t>Capital in</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20"/>
                <w:szCs w:val="20"/>
                <w:color w:val="auto"/>
                <w:w w:val="87"/>
              </w:rPr>
              <w:t>Other</w:t>
            </w:r>
          </w:p>
        </w:tc>
        <w:tc>
          <w:tcPr>
            <w:tcW w:w="980" w:type="dxa"/>
            <w:vAlign w:val="bottom"/>
          </w:tcPr>
          <w:p>
            <w:pPr>
              <w:spacing w:after="0"/>
              <w:rPr>
                <w:sz w:val="21"/>
                <w:szCs w:val="21"/>
                <w:color w:val="auto"/>
              </w:rPr>
            </w:pPr>
          </w:p>
        </w:tc>
      </w:tr>
      <w:tr>
        <w:trPr>
          <w:trHeight w:val="243"/>
        </w:trPr>
        <w:tc>
          <w:tcPr>
            <w:tcW w:w="3480" w:type="dxa"/>
            <w:vAlign w:val="bottom"/>
          </w:tcPr>
          <w:p>
            <w:pPr>
              <w:spacing w:after="0"/>
              <w:rPr>
                <w:sz w:val="21"/>
                <w:szCs w:val="21"/>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20"/>
                <w:szCs w:val="20"/>
                <w:color w:val="auto"/>
              </w:rPr>
              <w:t>Common</w:t>
            </w:r>
          </w:p>
        </w:tc>
        <w:tc>
          <w:tcPr>
            <w:tcW w:w="960" w:type="dxa"/>
            <w:vAlign w:val="bottom"/>
            <w:gridSpan w:val="2"/>
          </w:tcPr>
          <w:p>
            <w:pPr>
              <w:jc w:val="right"/>
              <w:ind w:right="120"/>
              <w:spacing w:after="0"/>
              <w:rPr>
                <w:sz w:val="20"/>
                <w:szCs w:val="20"/>
                <w:color w:val="auto"/>
              </w:rPr>
            </w:pPr>
            <w:r>
              <w:rPr>
                <w:rFonts w:ascii="Arial" w:cs="Arial" w:eastAsia="Arial" w:hAnsi="Arial"/>
                <w:sz w:val="20"/>
                <w:szCs w:val="20"/>
                <w:color w:val="auto"/>
                <w:w w:val="94"/>
              </w:rPr>
              <w:t>Excess of</w:t>
            </w:r>
          </w:p>
        </w:tc>
        <w:tc>
          <w:tcPr>
            <w:tcW w:w="1020" w:type="dxa"/>
            <w:vAlign w:val="bottom"/>
            <w:gridSpan w:val="2"/>
          </w:tcPr>
          <w:p>
            <w:pPr>
              <w:jc w:val="right"/>
              <w:ind w:right="180"/>
              <w:spacing w:after="0"/>
              <w:rPr>
                <w:sz w:val="20"/>
                <w:szCs w:val="20"/>
                <w:color w:val="auto"/>
              </w:rPr>
            </w:pPr>
            <w:r>
              <w:rPr>
                <w:rFonts w:ascii="Arial" w:cs="Arial" w:eastAsia="Arial" w:hAnsi="Arial"/>
                <w:sz w:val="20"/>
                <w:szCs w:val="20"/>
                <w:color w:val="auto"/>
              </w:rPr>
              <w:t>Retained</w:t>
            </w:r>
          </w:p>
        </w:tc>
        <w:tc>
          <w:tcPr>
            <w:tcW w:w="960" w:type="dxa"/>
            <w:vAlign w:val="bottom"/>
            <w:gridSpan w:val="3"/>
          </w:tcPr>
          <w:p>
            <w:pPr>
              <w:jc w:val="right"/>
              <w:ind w:right="160"/>
              <w:spacing w:after="0"/>
              <w:rPr>
                <w:sz w:val="20"/>
                <w:szCs w:val="20"/>
                <w:color w:val="auto"/>
              </w:rPr>
            </w:pPr>
            <w:r>
              <w:rPr>
                <w:rFonts w:ascii="Arial" w:cs="Arial" w:eastAsia="Arial" w:hAnsi="Arial"/>
                <w:sz w:val="20"/>
                <w:szCs w:val="20"/>
                <w:color w:val="auto"/>
                <w:w w:val="98"/>
              </w:rPr>
              <w:t>Treasury</w:t>
            </w:r>
          </w:p>
        </w:tc>
        <w:tc>
          <w:tcPr>
            <w:tcW w:w="1280" w:type="dxa"/>
            <w:vAlign w:val="bottom"/>
            <w:gridSpan w:val="3"/>
          </w:tcPr>
          <w:p>
            <w:pPr>
              <w:jc w:val="center"/>
              <w:ind w:right="40"/>
              <w:spacing w:after="0"/>
              <w:rPr>
                <w:sz w:val="20"/>
                <w:szCs w:val="20"/>
                <w:color w:val="auto"/>
              </w:rPr>
            </w:pPr>
            <w:r>
              <w:rPr>
                <w:rFonts w:ascii="Arial" w:cs="Arial" w:eastAsia="Arial" w:hAnsi="Arial"/>
                <w:sz w:val="20"/>
                <w:szCs w:val="20"/>
                <w:color w:val="auto"/>
                <w:w w:val="88"/>
              </w:rPr>
              <w:t>Comprehensive</w:t>
            </w:r>
          </w:p>
        </w:tc>
        <w:tc>
          <w:tcPr>
            <w:tcW w:w="980" w:type="dxa"/>
            <w:vAlign w:val="bottom"/>
          </w:tcPr>
          <w:p>
            <w:pPr>
              <w:spacing w:after="0"/>
              <w:rPr>
                <w:sz w:val="21"/>
                <w:szCs w:val="21"/>
                <w:color w:val="auto"/>
              </w:rPr>
            </w:pPr>
          </w:p>
        </w:tc>
      </w:tr>
      <w:tr>
        <w:trPr>
          <w:trHeight w:val="246"/>
        </w:trPr>
        <w:tc>
          <w:tcPr>
            <w:tcW w:w="3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20"/>
                <w:szCs w:val="20"/>
                <w:color w:val="auto"/>
                <w:w w:val="95"/>
              </w:rPr>
              <w:t>Stock</w:t>
            </w:r>
          </w:p>
        </w:tc>
        <w:tc>
          <w:tcPr>
            <w:tcW w:w="960" w:type="dxa"/>
            <w:vAlign w:val="bottom"/>
            <w:gridSpan w:val="2"/>
          </w:tcPr>
          <w:p>
            <w:pPr>
              <w:jc w:val="right"/>
              <w:ind w:right="120"/>
              <w:spacing w:after="0"/>
              <w:rPr>
                <w:sz w:val="20"/>
                <w:szCs w:val="20"/>
                <w:color w:val="auto"/>
              </w:rPr>
            </w:pPr>
            <w:r>
              <w:rPr>
                <w:rFonts w:ascii="Arial" w:cs="Arial" w:eastAsia="Arial" w:hAnsi="Arial"/>
                <w:sz w:val="20"/>
                <w:szCs w:val="20"/>
                <w:color w:val="auto"/>
                <w:w w:val="93"/>
              </w:rPr>
              <w:t>Par Value</w:t>
            </w:r>
          </w:p>
        </w:tc>
        <w:tc>
          <w:tcPr>
            <w:tcW w:w="1020" w:type="dxa"/>
            <w:vAlign w:val="bottom"/>
            <w:gridSpan w:val="2"/>
          </w:tcPr>
          <w:p>
            <w:pPr>
              <w:jc w:val="right"/>
              <w:ind w:right="180"/>
              <w:spacing w:after="0"/>
              <w:rPr>
                <w:sz w:val="20"/>
                <w:szCs w:val="20"/>
                <w:color w:val="auto"/>
              </w:rPr>
            </w:pPr>
            <w:r>
              <w:rPr>
                <w:rFonts w:ascii="Arial" w:cs="Arial" w:eastAsia="Arial" w:hAnsi="Arial"/>
                <w:sz w:val="20"/>
                <w:szCs w:val="20"/>
                <w:color w:val="auto"/>
              </w:rPr>
              <w:t>Earnings</w:t>
            </w:r>
          </w:p>
        </w:tc>
        <w:tc>
          <w:tcPr>
            <w:tcW w:w="18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20"/>
                <w:szCs w:val="20"/>
                <w:color w:val="auto"/>
                <w:w w:val="95"/>
              </w:rPr>
              <w:t>Stock</w:t>
            </w:r>
          </w:p>
        </w:tc>
        <w:tc>
          <w:tcPr>
            <w:tcW w:w="22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Income</w:t>
            </w:r>
          </w:p>
        </w:tc>
        <w:tc>
          <w:tcPr>
            <w:tcW w:w="980" w:type="dxa"/>
            <w:vAlign w:val="bottom"/>
          </w:tcPr>
          <w:p>
            <w:pPr>
              <w:jc w:val="right"/>
              <w:ind w:right="181"/>
              <w:spacing w:after="0"/>
              <w:rPr>
                <w:sz w:val="20"/>
                <w:szCs w:val="20"/>
                <w:color w:val="auto"/>
              </w:rPr>
            </w:pPr>
            <w:r>
              <w:rPr>
                <w:rFonts w:ascii="Arial" w:cs="Arial" w:eastAsia="Arial" w:hAnsi="Arial"/>
                <w:sz w:val="20"/>
                <w:szCs w:val="20"/>
                <w:color w:val="auto"/>
              </w:rPr>
              <w:t>Total</w:t>
            </w:r>
          </w:p>
        </w:tc>
      </w:tr>
      <w:tr>
        <w:trPr>
          <w:trHeight w:val="223"/>
        </w:trPr>
        <w:tc>
          <w:tcPr>
            <w:tcW w:w="348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Balance at December 31, 2017</w:t>
            </w:r>
          </w:p>
        </w:tc>
        <w:tc>
          <w:tcPr>
            <w:tcW w:w="2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7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90,350</w:t>
            </w:r>
          </w:p>
        </w:tc>
        <w:tc>
          <w:tcPr>
            <w:tcW w:w="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4"/>
              </w:rPr>
              <w:t>$ 807,135</w:t>
            </w:r>
          </w:p>
        </w:tc>
        <w:tc>
          <w:tcPr>
            <w:tcW w:w="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$1,132,556</w:t>
            </w: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w:t>
            </w:r>
          </w:p>
        </w:tc>
        <w:tc>
          <w:tcPr>
            <w:tcW w:w="7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3"/>
              </w:rPr>
              <w:t>(73,280)</w:t>
            </w: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860</w:t>
            </w:r>
          </w:p>
        </w:tc>
        <w:tc>
          <w:tcPr>
            <w:tcW w:w="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$1,957,621</w:t>
            </w:r>
          </w:p>
        </w:tc>
      </w:tr>
      <w:tr>
        <w:trPr>
          <w:trHeight w:val="243"/>
        </w:trPr>
        <w:tc>
          <w:tcPr>
            <w:tcW w:w="3480" w:type="dxa"/>
            <w:vAlign w:val="bottom"/>
          </w:tcPr>
          <w:p>
            <w:pPr>
              <w:spacing w:after="0"/>
              <w:rPr>
                <w:sz w:val="20"/>
                <w:szCs w:val="20"/>
                <w:color w:val="auto"/>
              </w:rPr>
            </w:pPr>
            <w:r>
              <w:rPr>
                <w:rFonts w:ascii="Arial" w:cs="Arial" w:eastAsia="Arial" w:hAnsi="Arial"/>
                <w:sz w:val="20"/>
                <w:szCs w:val="20"/>
                <w:color w:val="auto"/>
              </w:rPr>
              <w:t>Net income</w:t>
            </w:r>
          </w:p>
        </w:tc>
        <w:tc>
          <w:tcPr>
            <w:tcW w:w="2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50,839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50,839</w:t>
            </w:r>
          </w:p>
        </w:tc>
      </w:tr>
      <w:tr>
        <w:trPr>
          <w:trHeight w:val="243"/>
        </w:trPr>
        <w:tc>
          <w:tcPr>
            <w:tcW w:w="3480" w:type="dxa"/>
            <w:vAlign w:val="bottom"/>
            <w:shd w:val="clear" w:color="auto" w:fill="CCEEFF"/>
          </w:tcPr>
          <w:p>
            <w:pPr>
              <w:spacing w:after="0"/>
              <w:rPr>
                <w:sz w:val="20"/>
                <w:szCs w:val="20"/>
                <w:color w:val="auto"/>
              </w:rPr>
            </w:pPr>
            <w:r>
              <w:rPr>
                <w:rFonts w:ascii="Arial" w:cs="Arial" w:eastAsia="Arial" w:hAnsi="Arial"/>
                <w:sz w:val="20"/>
                <w:szCs w:val="20"/>
                <w:color w:val="auto"/>
              </w:rPr>
              <w:t>Dividends</w:t>
            </w: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(36,386)</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(36,386)</w:t>
            </w:r>
          </w:p>
        </w:tc>
      </w:tr>
      <w:tr>
        <w:trPr>
          <w:trHeight w:val="243"/>
        </w:trPr>
        <w:tc>
          <w:tcPr>
            <w:tcW w:w="3480" w:type="dxa"/>
            <w:vAlign w:val="bottom"/>
          </w:tcPr>
          <w:p>
            <w:pPr>
              <w:spacing w:after="0"/>
              <w:rPr>
                <w:sz w:val="20"/>
                <w:szCs w:val="20"/>
                <w:color w:val="auto"/>
              </w:rPr>
            </w:pPr>
            <w:r>
              <w:rPr>
                <w:rFonts w:ascii="Arial" w:cs="Arial" w:eastAsia="Arial" w:hAnsi="Arial"/>
                <w:sz w:val="20"/>
                <w:szCs w:val="20"/>
                <w:color w:val="auto"/>
              </w:rPr>
              <w:t>Sale of stock (11,252 shares)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355</w:t>
            </w:r>
          </w:p>
        </w:tc>
        <w:tc>
          <w:tcPr>
            <w:tcW w:w="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361</w:t>
            </w:r>
          </w:p>
        </w:tc>
      </w:tr>
      <w:tr>
        <w:trPr>
          <w:trHeight w:val="243"/>
        </w:trPr>
        <w:tc>
          <w:tcPr>
            <w:tcW w:w="3480" w:type="dxa"/>
            <w:vAlign w:val="bottom"/>
            <w:shd w:val="clear" w:color="auto" w:fill="CCEEFF"/>
          </w:tcPr>
          <w:p>
            <w:pPr>
              <w:spacing w:after="0"/>
              <w:rPr>
                <w:sz w:val="20"/>
                <w:szCs w:val="20"/>
                <w:color w:val="auto"/>
              </w:rPr>
            </w:pPr>
            <w:r>
              <w:rPr>
                <w:rFonts w:ascii="Arial" w:cs="Arial" w:eastAsia="Arial" w:hAnsi="Arial"/>
                <w:sz w:val="20"/>
                <w:szCs w:val="20"/>
                <w:color w:val="auto"/>
              </w:rPr>
              <w:t>Repurchase of stock (71,940 shares)</w:t>
            </w: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(2,491)</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(2,491)</w:t>
            </w:r>
          </w:p>
        </w:tc>
      </w:tr>
      <w:tr>
        <w:trPr>
          <w:trHeight w:val="213"/>
        </w:trPr>
        <w:tc>
          <w:tcPr>
            <w:tcW w:w="3480" w:type="dxa"/>
            <w:vAlign w:val="bottom"/>
          </w:tcPr>
          <w:p>
            <w:pPr>
              <w:spacing w:after="0" w:line="213" w:lineRule="exact"/>
              <w:rPr>
                <w:sz w:val="20"/>
                <w:szCs w:val="20"/>
                <w:color w:val="auto"/>
              </w:rPr>
            </w:pPr>
            <w:r>
              <w:rPr>
                <w:rFonts w:ascii="Arial" w:cs="Arial" w:eastAsia="Arial" w:hAnsi="Arial"/>
                <w:sz w:val="20"/>
                <w:szCs w:val="20"/>
                <w:color w:val="auto"/>
              </w:rPr>
              <w:t>Equity compensation plan (181,670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6"/>
        </w:trPr>
        <w:tc>
          <w:tcPr>
            <w:tcW w:w="3480" w:type="dxa"/>
            <w:vAlign w:val="bottom"/>
          </w:tcPr>
          <w:p>
            <w:pPr>
              <w:spacing w:after="0"/>
              <w:rPr>
                <w:sz w:val="20"/>
                <w:szCs w:val="20"/>
                <w:color w:val="auto"/>
              </w:rPr>
            </w:pPr>
            <w:r>
              <w:rPr>
                <w:rFonts w:ascii="Arial" w:cs="Arial" w:eastAsia="Arial" w:hAnsi="Arial"/>
                <w:sz w:val="20"/>
                <w:szCs w:val="20"/>
                <w:color w:val="auto"/>
              </w:rPr>
              <w:t>shares)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91</w:t>
            </w:r>
          </w:p>
        </w:tc>
        <w:tc>
          <w:tcPr>
            <w:tcW w:w="6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20"/>
                <w:szCs w:val="20"/>
                <w:color w:val="auto"/>
              </w:rPr>
              <w:t>(91)</w:t>
            </w: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3480" w:type="dxa"/>
            <w:vAlign w:val="bottom"/>
            <w:shd w:val="clear" w:color="auto" w:fill="CCEEFF"/>
          </w:tcPr>
          <w:p>
            <w:pPr>
              <w:spacing w:after="0"/>
              <w:rPr>
                <w:sz w:val="20"/>
                <w:szCs w:val="20"/>
                <w:color w:val="auto"/>
              </w:rPr>
            </w:pPr>
            <w:r>
              <w:rPr>
                <w:rFonts w:ascii="Arial" w:cs="Arial" w:eastAsia="Arial" w:hAnsi="Arial"/>
                <w:sz w:val="20"/>
                <w:szCs w:val="20"/>
                <w:color w:val="auto"/>
                <w:w w:val="94"/>
              </w:rPr>
              <w:t>Exercise of stock options (62,688 shares)</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w:t>
            </w:r>
          </w:p>
        </w:tc>
        <w:tc>
          <w:tcPr>
            <w:tcW w:w="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979</w:t>
            </w:r>
          </w:p>
        </w:tc>
        <w:tc>
          <w:tcPr>
            <w:tcW w:w="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1,010</w:t>
            </w:r>
          </w:p>
        </w:tc>
      </w:tr>
      <w:tr>
        <w:trPr>
          <w:trHeight w:val="243"/>
        </w:trPr>
        <w:tc>
          <w:tcPr>
            <w:tcW w:w="3480" w:type="dxa"/>
            <w:vAlign w:val="bottom"/>
          </w:tcPr>
          <w:p>
            <w:pPr>
              <w:spacing w:after="0"/>
              <w:rPr>
                <w:sz w:val="20"/>
                <w:szCs w:val="20"/>
                <w:color w:val="auto"/>
              </w:rPr>
            </w:pPr>
            <w:r>
              <w:rPr>
                <w:rFonts w:ascii="Arial" w:cs="Arial" w:eastAsia="Arial" w:hAnsi="Arial"/>
                <w:sz w:val="20"/>
                <w:szCs w:val="20"/>
                <w:color w:val="auto"/>
              </w:rPr>
              <w:t>Stock-based compensation</w:t>
            </w:r>
          </w:p>
        </w:tc>
        <w:tc>
          <w:tcPr>
            <w:tcW w:w="2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1,443</w:t>
            </w:r>
          </w:p>
        </w:tc>
        <w:tc>
          <w:tcPr>
            <w:tcW w:w="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(41)</w:t>
            </w: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1,402</w:t>
            </w:r>
          </w:p>
        </w:tc>
      </w:tr>
      <w:tr>
        <w:trPr>
          <w:trHeight w:val="213"/>
        </w:trPr>
        <w:tc>
          <w:tcPr>
            <w:tcW w:w="3480" w:type="dxa"/>
            <w:vAlign w:val="bottom"/>
            <w:shd w:val="clear" w:color="auto" w:fill="CCEEFF"/>
          </w:tcPr>
          <w:p>
            <w:pPr>
              <w:spacing w:after="0" w:line="213" w:lineRule="exact"/>
              <w:rPr>
                <w:sz w:val="20"/>
                <w:szCs w:val="20"/>
                <w:color w:val="auto"/>
              </w:rPr>
            </w:pPr>
            <w:r>
              <w:rPr>
                <w:rFonts w:ascii="Arial" w:cs="Arial" w:eastAsia="Arial" w:hAnsi="Arial"/>
                <w:sz w:val="20"/>
                <w:szCs w:val="20"/>
                <w:color w:val="auto"/>
                <w:w w:val="93"/>
              </w:rPr>
              <w:t>Cumulative effect of change in accounting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6"/>
        </w:trPr>
        <w:tc>
          <w:tcPr>
            <w:tcW w:w="3480" w:type="dxa"/>
            <w:vAlign w:val="bottom"/>
            <w:shd w:val="clear" w:color="auto" w:fill="CCEEFF"/>
          </w:tcPr>
          <w:p>
            <w:pPr>
              <w:spacing w:after="0"/>
              <w:rPr>
                <w:sz w:val="20"/>
                <w:szCs w:val="20"/>
                <w:color w:val="auto"/>
              </w:rPr>
            </w:pPr>
            <w:r>
              <w:rPr>
                <w:rFonts w:ascii="Arial" w:cs="Arial" w:eastAsia="Arial" w:hAnsi="Arial"/>
                <w:sz w:val="20"/>
                <w:szCs w:val="20"/>
                <w:color w:val="auto"/>
              </w:rPr>
              <w:t>principle - financial instruments</w:t>
            </w:r>
          </w:p>
        </w:tc>
        <w:tc>
          <w:tcPr>
            <w:tcW w:w="2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860</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(860)</w:t>
            </w: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3480" w:type="dxa"/>
            <w:vAlign w:val="bottom"/>
          </w:tcPr>
          <w:p>
            <w:pPr>
              <w:spacing w:after="0"/>
              <w:rPr>
                <w:sz w:val="20"/>
                <w:szCs w:val="20"/>
                <w:color w:val="auto"/>
              </w:rPr>
            </w:pPr>
            <w:r>
              <w:rPr>
                <w:rFonts w:ascii="Arial" w:cs="Arial" w:eastAsia="Arial" w:hAnsi="Arial"/>
                <w:sz w:val="20"/>
                <w:szCs w:val="20"/>
                <w:color w:val="auto"/>
              </w:rPr>
              <w:t>Other</w:t>
            </w:r>
          </w:p>
        </w:tc>
        <w:tc>
          <w:tcPr>
            <w:tcW w:w="2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20"/>
                <w:szCs w:val="20"/>
                <w:color w:val="auto"/>
              </w:rPr>
              <w:t>(197)</w:t>
            </w:r>
          </w:p>
        </w:tc>
        <w:tc>
          <w:tcPr>
            <w:tcW w:w="102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(197)</w:t>
            </w:r>
          </w:p>
        </w:tc>
      </w:tr>
      <w:tr>
        <w:trPr>
          <w:trHeight w:val="230"/>
        </w:trPr>
        <w:tc>
          <w:tcPr>
            <w:tcW w:w="348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Balance at March 31, 2018</w:t>
            </w:r>
          </w:p>
        </w:tc>
        <w:tc>
          <w:tcPr>
            <w:tcW w:w="2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7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90,478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4"/>
              </w:rPr>
              <w:t>$ 809,624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u w:val="single" w:color="auto"/>
                <w:color w:val="auto"/>
                <w:w w:val="89"/>
              </w:rPr>
              <w:t>$</w:t>
            </w:r>
            <w:r>
              <w:rPr>
                <w:rFonts w:ascii="Arial" w:cs="Arial" w:eastAsia="Arial" w:hAnsi="Arial"/>
                <w:sz w:val="20"/>
                <w:szCs w:val="20"/>
                <w:color w:val="auto"/>
                <w:w w:val="89"/>
              </w:rPr>
              <w:t>1,147,828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w:t>
            </w:r>
          </w:p>
        </w:tc>
        <w:tc>
          <w:tcPr>
            <w:tcW w:w="7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3"/>
              </w:rPr>
              <w:t>(75,771)</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u w:val="single" w:color="auto"/>
                <w:color w:val="auto"/>
                <w:w w:val="89"/>
              </w:rPr>
              <w:t>$</w:t>
            </w:r>
            <w:r>
              <w:rPr>
                <w:rFonts w:ascii="Arial" w:cs="Arial" w:eastAsia="Arial" w:hAnsi="Arial"/>
                <w:sz w:val="20"/>
                <w:szCs w:val="20"/>
                <w:color w:val="auto"/>
                <w:w w:val="89"/>
              </w:rPr>
              <w:t>1,972,159</w:t>
            </w:r>
          </w:p>
        </w:tc>
      </w:tr>
    </w:tbl>
    <w:p>
      <w:pPr>
        <w:spacing w:after="0" w:line="199"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auto"/>
        </w:rPr>
        <w:t xml:space="preserve">Refer to Note 15 - </w:t>
      </w:r>
      <w:r>
        <w:rPr>
          <w:rFonts w:ascii="Arial" w:cs="Arial" w:eastAsia="Arial" w:hAnsi="Arial"/>
          <w:sz w:val="20"/>
          <w:szCs w:val="20"/>
          <w:i w:val="1"/>
          <w:iCs w:val="1"/>
          <w:color w:val="auto"/>
        </w:rPr>
        <w:t>Recent Accounting Pronouncements</w:t>
      </w:r>
      <w:r>
        <w:rPr>
          <w:rFonts w:ascii="Arial" w:cs="Arial" w:eastAsia="Arial" w:hAnsi="Arial"/>
          <w:sz w:val="20"/>
          <w:szCs w:val="20"/>
          <w:color w:val="auto"/>
        </w:rPr>
        <w:t xml:space="preserve"> for a discussion of the cumulative effect of change in accounting principle - financial instruments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consolidated financial statements beginning on page 8 of this report.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63500</wp:posOffset>
            </wp:positionV>
            <wp:extent cx="615696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56960" cy="51435"/>
                    </a:xfrm>
                    <a:prstGeom prst="rect">
                      <a:avLst/>
                    </a:prstGeom>
                    <a:noFill/>
                  </pic:spPr>
                </pic:pic>
              </a:graphicData>
            </a:graphic>
          </wp:anchor>
        </w:drawing>
      </w:r>
    </w:p>
    <w:p>
      <w:pPr>
        <w:sectPr>
          <w:pgSz w:w="11900" w:h="16838" w:orient="portrait"/>
          <w:cols w:equalWidth="0" w:num="1">
            <w:col w:w="9660"/>
          </w:cols>
          <w:pgMar w:left="1020" w:top="118" w:right="121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AQUA AMERICA, INC. AND SUBSIDIARIES</w:t>
      </w:r>
    </w:p>
    <w:p>
      <w:pPr>
        <w:spacing w:after="0" w:line="10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CONSOLIDATED STATEMENTS OF CASH FLOW</w:t>
      </w:r>
    </w:p>
    <w:p>
      <w:pPr>
        <w:ind w:left="3860"/>
        <w:spacing w:after="0" w:line="187" w:lineRule="auto"/>
        <w:rPr>
          <w:sz w:val="20"/>
          <w:szCs w:val="20"/>
          <w:color w:val="auto"/>
        </w:rPr>
      </w:pPr>
      <w:r>
        <w:rPr>
          <w:rFonts w:ascii="Arial" w:cs="Arial" w:eastAsia="Arial" w:hAnsi="Arial"/>
          <w:sz w:val="18"/>
          <w:szCs w:val="18"/>
          <w:color w:val="auto"/>
        </w:rPr>
        <w:t>(In thousands of dollars)</w:t>
      </w:r>
    </w:p>
    <w:p>
      <w:pPr>
        <w:spacing w:after="0" w:line="1"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4"/>
          </w:tcPr>
          <w:p>
            <w:pPr>
              <w:jc w:val="right"/>
              <w:ind w:right="299"/>
              <w:spacing w:after="0"/>
              <w:rPr>
                <w:sz w:val="20"/>
                <w:szCs w:val="20"/>
                <w:color w:val="auto"/>
              </w:rPr>
            </w:pPr>
            <w:r>
              <w:rPr>
                <w:rFonts w:ascii="Arial" w:cs="Arial" w:eastAsia="Arial" w:hAnsi="Arial"/>
                <w:sz w:val="16"/>
                <w:szCs w:val="16"/>
                <w:color w:val="auto"/>
                <w:w w:val="99"/>
              </w:rPr>
              <w:t>Three Months Ended</w:t>
            </w:r>
          </w:p>
        </w:tc>
      </w:tr>
      <w:tr>
        <w:trPr>
          <w:trHeight w:val="219"/>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March 31,</w:t>
            </w:r>
          </w:p>
        </w:tc>
        <w:tc>
          <w:tcPr>
            <w:tcW w:w="700" w:type="dxa"/>
            <w:vAlign w:val="bottom"/>
            <w:tcBorders>
              <w:bottom w:val="single" w:sz="8" w:color="auto"/>
            </w:tcBorders>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5"/>
              </w:rPr>
              <w:t>2017</w:t>
            </w:r>
          </w:p>
        </w:tc>
      </w:tr>
      <w:tr>
        <w:trPr>
          <w:trHeight w:val="193"/>
        </w:trPr>
        <w:tc>
          <w:tcPr>
            <w:tcW w:w="7540" w:type="dxa"/>
            <w:vAlign w:val="bottom"/>
            <w:gridSpan w:val="2"/>
          </w:tcPr>
          <w:p>
            <w:pPr>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50,839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49,072</w:t>
            </w:r>
          </w:p>
        </w:tc>
      </w:tr>
      <w:tr>
        <w:trPr>
          <w:trHeight w:val="213"/>
        </w:trPr>
        <w:tc>
          <w:tcPr>
            <w:tcW w:w="7540" w:type="dxa"/>
            <w:vAlign w:val="bottom"/>
            <w:gridSpan w:val="2"/>
          </w:tcPr>
          <w:p>
            <w:pPr>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34,026</w:t>
            </w:r>
          </w:p>
        </w:tc>
      </w:tr>
      <w:tr>
        <w:trPr>
          <w:trHeight w:val="213"/>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(2,849)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2,681</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doubtful accounts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r>
      <w:tr>
        <w:trPr>
          <w:trHeight w:val="213"/>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1,444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1,312</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sale of market-based business unit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13"/>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6"/>
                <w:szCs w:val="16"/>
                <w:color w:val="auto"/>
              </w:rPr>
              <w:t>Gain on sale of other assets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receivables, inventory and prepayments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5,729</w:t>
            </w:r>
          </w:p>
        </w:tc>
      </w:tr>
      <w:tr>
        <w:trPr>
          <w:trHeight w:val="213"/>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6"/>
                <w:szCs w:val="16"/>
                <w:color w:val="auto"/>
              </w:rPr>
              <w:t>Net change in payables, accrued interest, accrued taxes and other accrued liabilities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(4,519)</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Pension and other postretirement benefits contributions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(7,711)</w:t>
            </w:r>
          </w:p>
        </w:tc>
      </w:tr>
      <w:tr>
        <w:trPr>
          <w:trHeight w:val="213"/>
        </w:trPr>
        <w:tc>
          <w:tcPr>
            <w:tcW w:w="20" w:type="dxa"/>
            <w:vAlign w:val="bottom"/>
          </w:tcPr>
          <w:p>
            <w:pPr>
              <w:spacing w:after="0"/>
              <w:rPr>
                <w:sz w:val="18"/>
                <w:szCs w:val="18"/>
                <w:color w:val="auto"/>
              </w:rPr>
            </w:pPr>
          </w:p>
        </w:tc>
        <w:tc>
          <w:tcPr>
            <w:tcW w:w="75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w:t>
            </w:r>
          </w:p>
        </w:tc>
      </w:tr>
      <w:tr>
        <w:trPr>
          <w:trHeight w:val="199"/>
        </w:trPr>
        <w:tc>
          <w:tcPr>
            <w:tcW w:w="20" w:type="dxa"/>
            <w:vAlign w:val="bottom"/>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from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88,354</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81,203</w:t>
            </w:r>
          </w:p>
        </w:tc>
      </w:tr>
      <w:tr>
        <w:trPr>
          <w:trHeight w:val="193"/>
        </w:trPr>
        <w:tc>
          <w:tcPr>
            <w:tcW w:w="754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8"/>
              </w:rPr>
              <w:t>Property, plant and equipment additions, including the debt component of allowance for funds used during</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construction of $782 and $721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(105,136)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(94,562)</w:t>
            </w:r>
          </w:p>
        </w:tc>
      </w:tr>
      <w:tr>
        <w:trPr>
          <w:trHeight w:val="213"/>
        </w:trPr>
        <w:tc>
          <w:tcPr>
            <w:tcW w:w="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Arial" w:cs="Arial" w:eastAsia="Arial" w:hAnsi="Arial"/>
                <w:sz w:val="16"/>
                <w:szCs w:val="16"/>
                <w:color w:val="auto"/>
              </w:rPr>
              <w:t>Acquisitions of utility systems and other, net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proceeds from the sale of market-based business unit and other assets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w:t>
            </w:r>
          </w:p>
        </w:tc>
      </w:tr>
      <w:tr>
        <w:trPr>
          <w:trHeight w:val="213"/>
        </w:trPr>
        <w:tc>
          <w:tcPr>
            <w:tcW w:w="20" w:type="dxa"/>
            <w:vAlign w:val="bottom"/>
          </w:tcPr>
          <w:p>
            <w:pPr>
              <w:spacing w:after="0"/>
              <w:rPr>
                <w:sz w:val="18"/>
                <w:szCs w:val="18"/>
                <w:color w:val="auto"/>
              </w:rPr>
            </w:pPr>
          </w:p>
        </w:tc>
        <w:tc>
          <w:tcPr>
            <w:tcW w:w="75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r>
      <w:tr>
        <w:trPr>
          <w:trHeight w:val="199"/>
        </w:trPr>
        <w:tc>
          <w:tcPr>
            <w:tcW w:w="20" w:type="dxa"/>
            <w:vAlign w:val="bottom"/>
          </w:tcPr>
          <w:p>
            <w:pPr>
              <w:spacing w:after="0"/>
              <w:rPr>
                <w:sz w:val="17"/>
                <w:szCs w:val="17"/>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Net cash flows used in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(105,227)</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(94,314)</w:t>
            </w:r>
          </w:p>
        </w:tc>
      </w:tr>
      <w:tr>
        <w:trPr>
          <w:trHeight w:val="193"/>
        </w:trPr>
        <w:tc>
          <w:tcPr>
            <w:tcW w:w="754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Customers' advances and contributions in aid of construction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r>
      <w:tr>
        <w:trPr>
          <w:trHeight w:val="213"/>
        </w:trPr>
        <w:tc>
          <w:tcPr>
            <w:tcW w:w="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Arial" w:cs="Arial" w:eastAsia="Arial" w:hAnsi="Arial"/>
                <w:sz w:val="16"/>
                <w:szCs w:val="16"/>
                <w:color w:val="auto"/>
              </w:rPr>
              <w:t>Repayments of customers' advances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(511)</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proceeds of short-term debt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21,197</w:t>
            </w:r>
          </w:p>
        </w:tc>
      </w:tr>
      <w:tr>
        <w:trPr>
          <w:trHeight w:val="213"/>
        </w:trPr>
        <w:tc>
          <w:tcPr>
            <w:tcW w:w="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Arial" w:cs="Arial" w:eastAsia="Arial" w:hAnsi="Arial"/>
                <w:sz w:val="16"/>
                <w:szCs w:val="16"/>
                <w:color w:val="auto"/>
              </w:rPr>
              <w:t>Proceeds from long-term debt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66,996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117,879</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of long-term debt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(89,666)</w:t>
            </w:r>
          </w:p>
        </w:tc>
      </w:tr>
      <w:tr>
        <w:trPr>
          <w:trHeight w:val="213"/>
        </w:trPr>
        <w:tc>
          <w:tcPr>
            <w:tcW w:w="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Arial" w:cs="Arial" w:eastAsia="Arial" w:hAnsi="Arial"/>
                <w:sz w:val="16"/>
                <w:szCs w:val="16"/>
                <w:color w:val="auto"/>
              </w:rPr>
              <w:t>Change in cash overdraft position</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(8,944)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(2,403)</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issuing common stock</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r>
      <w:tr>
        <w:trPr>
          <w:trHeight w:val="213"/>
        </w:trPr>
        <w:tc>
          <w:tcPr>
            <w:tcW w:w="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Arial" w:cs="Arial" w:eastAsia="Arial" w:hAnsi="Arial"/>
                <w:sz w:val="16"/>
                <w:szCs w:val="16"/>
                <w:color w:val="auto"/>
              </w:rPr>
              <w:t>Proceeds from exercised stock options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1,536</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Repurchase of common stock</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w:t>
            </w:r>
          </w:p>
        </w:tc>
      </w:tr>
      <w:tr>
        <w:trPr>
          <w:trHeight w:val="213"/>
        </w:trPr>
        <w:tc>
          <w:tcPr>
            <w:tcW w:w="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Arial" w:cs="Arial" w:eastAsia="Arial" w:hAnsi="Arial"/>
                <w:sz w:val="16"/>
                <w:szCs w:val="16"/>
                <w:color w:val="auto"/>
              </w:rPr>
              <w:t>Dividends paid on common stock</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(36,386)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(33,945)</w:t>
            </w: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196"/>
        </w:trPr>
        <w:tc>
          <w:tcPr>
            <w:tcW w:w="7540" w:type="dxa"/>
            <w:vAlign w:val="bottom"/>
            <w:gridSpan w:val="2"/>
          </w:tcPr>
          <w:p>
            <w:pPr>
              <w:spacing w:after="0"/>
              <w:rPr>
                <w:sz w:val="20"/>
                <w:szCs w:val="20"/>
                <w:color w:val="auto"/>
              </w:rPr>
            </w:pPr>
            <w:r>
              <w:rPr>
                <w:rFonts w:ascii="Arial" w:cs="Arial" w:eastAsia="Arial" w:hAnsi="Arial"/>
                <w:sz w:val="16"/>
                <w:szCs w:val="16"/>
                <w:color w:val="auto"/>
              </w:rPr>
              <w:t>Net cash flows from financing activities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15,871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13,773</w:t>
            </w:r>
          </w:p>
        </w:tc>
      </w:tr>
      <w:tr>
        <w:trPr>
          <w:trHeight w:val="196"/>
        </w:trPr>
        <w:tc>
          <w:tcPr>
            <w:tcW w:w="20" w:type="dxa"/>
            <w:vAlign w:val="bottom"/>
          </w:tcPr>
          <w:p>
            <w:pPr>
              <w:spacing w:after="0"/>
              <w:rPr>
                <w:sz w:val="17"/>
                <w:szCs w:val="17"/>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r>
      <w:tr>
        <w:trPr>
          <w:trHeight w:val="213"/>
        </w:trPr>
        <w:tc>
          <w:tcPr>
            <w:tcW w:w="7540" w:type="dxa"/>
            <w:vAlign w:val="bottom"/>
            <w:gridSpan w:val="2"/>
          </w:tcPr>
          <w:p>
            <w:pPr>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4,204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3,763</w:t>
            </w:r>
          </w:p>
        </w:tc>
      </w:tr>
      <w:tr>
        <w:trPr>
          <w:trHeight w:val="219"/>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4,425</w:t>
            </w:r>
          </w:p>
        </w:tc>
      </w:tr>
      <w:tr>
        <w:trPr>
          <w:trHeight w:val="403"/>
        </w:trPr>
        <w:tc>
          <w:tcPr>
            <w:tcW w:w="7540" w:type="dxa"/>
            <w:vAlign w:val="bottom"/>
            <w:gridSpan w:val="2"/>
          </w:tcPr>
          <w:p>
            <w:pPr>
              <w:spacing w:after="0"/>
              <w:rPr>
                <w:sz w:val="20"/>
                <w:szCs w:val="20"/>
                <w:color w:val="auto"/>
              </w:rPr>
            </w:pPr>
            <w:r>
              <w:rPr>
                <w:rFonts w:ascii="Arial" w:cs="Arial" w:eastAsia="Arial" w:hAnsi="Arial"/>
                <w:sz w:val="16"/>
                <w:szCs w:val="16"/>
                <w:color w:val="auto"/>
              </w:rPr>
              <w:t>Non-cash investing activities: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Property, plant and equipment additions purchased at the period end, but not yet paid for</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27,084</w:t>
            </w:r>
          </w:p>
        </w:tc>
      </w:tr>
      <w:tr>
        <w:trPr>
          <w:trHeight w:val="210"/>
        </w:trPr>
        <w:tc>
          <w:tcPr>
            <w:tcW w:w="20" w:type="dxa"/>
            <w:vAlign w:val="bottom"/>
          </w:tcPr>
          <w:p>
            <w:pPr>
              <w:spacing w:after="0"/>
              <w:rPr>
                <w:sz w:val="18"/>
                <w:szCs w:val="18"/>
                <w:color w:val="auto"/>
              </w:rPr>
            </w:pPr>
          </w:p>
        </w:tc>
        <w:tc>
          <w:tcPr>
            <w:tcW w:w="7520" w:type="dxa"/>
            <w:vAlign w:val="bottom"/>
          </w:tcPr>
          <w:p>
            <w:pPr>
              <w:ind w:left="100"/>
              <w:spacing w:after="0"/>
              <w:rPr>
                <w:sz w:val="20"/>
                <w:szCs w:val="20"/>
                <w:color w:val="auto"/>
              </w:rPr>
            </w:pPr>
            <w:r>
              <w:rPr>
                <w:rFonts w:ascii="Arial" w:cs="Arial" w:eastAsia="Arial" w:hAnsi="Arial"/>
                <w:sz w:val="16"/>
                <w:szCs w:val="16"/>
                <w:color w:val="auto"/>
              </w:rPr>
              <w:t>Non-cash customer advances and contributions in aid of construction</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4,979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4,282</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 beginning on page 8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63500</wp:posOffset>
            </wp:positionV>
            <wp:extent cx="611441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640"/>
          </w:cols>
          <w:pgMar w:left="1140" w:top="118" w:right="111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jc w:val="center"/>
        <w:ind w:right="-59"/>
        <w:spacing w:after="0" w:line="238" w:lineRule="auto"/>
        <w:rPr>
          <w:sz w:val="20"/>
          <w:szCs w:val="20"/>
          <w:color w:val="auto"/>
        </w:rPr>
      </w:pPr>
      <w:r>
        <w:rPr>
          <w:rFonts w:ascii="Arial" w:cs="Arial" w:eastAsia="Arial" w:hAnsi="Arial"/>
          <w:sz w:val="22"/>
          <w:szCs w:val="22"/>
          <w:color w:val="auto"/>
        </w:rPr>
        <w:t>AQUA AMERICA, INC. AND SUBSIDIARIES</w:t>
      </w:r>
    </w:p>
    <w:p>
      <w:pPr>
        <w:jc w:val="center"/>
        <w:ind w:right="-119"/>
        <w:spacing w:after="0" w:line="231" w:lineRule="auto"/>
        <w:rPr>
          <w:sz w:val="20"/>
          <w:szCs w:val="20"/>
          <w:color w:val="auto"/>
        </w:rPr>
      </w:pPr>
      <w:r>
        <w:rPr>
          <w:rFonts w:ascii="Arial" w:cs="Arial" w:eastAsia="Arial" w:hAnsi="Arial"/>
          <w:sz w:val="22"/>
          <w:szCs w:val="22"/>
          <w:color w:val="auto"/>
        </w:rPr>
        <w:t>NOTES TO CONSOLIDATED FINANCIAL STATEMENTS</w:t>
      </w:r>
    </w:p>
    <w:p>
      <w:pPr>
        <w:jc w:val="center"/>
        <w:ind w:right="-119"/>
        <w:spacing w:after="0" w:line="231" w:lineRule="auto"/>
        <w:rPr>
          <w:sz w:val="20"/>
          <w:szCs w:val="20"/>
          <w:color w:val="auto"/>
        </w:rPr>
      </w:pPr>
      <w:r>
        <w:rPr>
          <w:rFonts w:ascii="Arial" w:cs="Arial" w:eastAsia="Arial" w:hAnsi="Arial"/>
          <w:sz w:val="22"/>
          <w:szCs w:val="22"/>
          <w:color w:val="auto"/>
        </w:rPr>
        <w:t>(In thousands of dollars, except per share amounts)</w:t>
      </w:r>
    </w:p>
    <w:p>
      <w:pPr>
        <w:jc w:val="center"/>
        <w:ind w:right="-119"/>
        <w:spacing w:after="0"/>
        <w:rPr>
          <w:sz w:val="20"/>
          <w:szCs w:val="20"/>
          <w:color w:val="auto"/>
        </w:rPr>
      </w:pPr>
      <w:r>
        <w:rPr>
          <w:rFonts w:ascii="Arial" w:cs="Arial" w:eastAsia="Arial" w:hAnsi="Arial"/>
          <w:sz w:val="22"/>
          <w:szCs w:val="22"/>
          <w:color w:val="auto"/>
        </w:rPr>
        <w:t>(UNAUDITED)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 </w:t>
      </w:r>
      <w:r>
        <w:rPr>
          <w:rFonts w:ascii="Arial" w:cs="Arial" w:eastAsia="Arial" w:hAnsi="Arial"/>
          <w:sz w:val="22"/>
          <w:szCs w:val="22"/>
          <w:b w:val="1"/>
          <w:bCs w:val="1"/>
          <w:i w:val="1"/>
          <w:iCs w:val="1"/>
          <w:color w:val="auto"/>
        </w:rPr>
        <w:t>Basis of Presentation</w:t>
      </w:r>
    </w:p>
    <w:p>
      <w:pPr>
        <w:spacing w:after="0" w:line="118"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The accompanying consolidated balance sheets and statements of capitalization of Aqua America, Inc. and subsidiaries (the “Company”) at March 31, 2018, the consolidated statements of net income and comprehensive income for the three months ended March 31, 2018 and 2017 the consolidated statements of cash flow for the three months ended March 31, 2018 and 2017, and the consolidated statement of equity for the three months ended March 31, 2018 are unaudited, but reflect all adjustments, consisting of only normal recurring accruals, which are, in the opinion of management, necessary to present a fair statement of</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 xml:space="preserve">its consolidated financial position, consolidated changes in equity, consolidated results of operations, and consolidated cash flow for the periods presented.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2017. The results of operations for interim periods may not be indicative of the results that may be expected for the entire year. The December 31, 2017 consolidated balance sheet data presented herein was derived from the Company’s December 31, 2017 audited consolidated financial statements, but does not include all disclosures and notes normally provided in annual financial statements. Certain prior period amounts have been reclassified to conform to the current period presentation in the consolidated statements of net income as a result of the adoption, in the first quarter of 2018, of the Financial Accounting Standards Board’s (“FASB”) accounting guidance on the presentation of net periodic pension and postretirement benefit cost (refer to Note 15 – </w:t>
      </w:r>
      <w:r>
        <w:rPr>
          <w:rFonts w:ascii="Arial" w:cs="Arial" w:eastAsia="Arial" w:hAnsi="Arial"/>
          <w:sz w:val="19"/>
          <w:szCs w:val="19"/>
          <w:i w:val="1"/>
          <w:iCs w:val="1"/>
          <w:color w:val="auto"/>
        </w:rPr>
        <w:t>Recent Accounting Pronouncements</w:t>
      </w:r>
      <w:r>
        <w:rPr>
          <w:rFonts w:ascii="Arial" w:cs="Arial" w:eastAsia="Arial" w:hAnsi="Arial"/>
          <w:sz w:val="19"/>
          <w:szCs w:val="19"/>
          <w:color w:val="auto"/>
        </w:rPr>
        <w:t>).</w:t>
      </w:r>
    </w:p>
    <w:p>
      <w:pPr>
        <w:spacing w:after="0" w:line="193"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The preparation of financial statements often requires the selection of specific accounting methods and policies. Further, significant estimates and judgments may be required in selecting and applying those methods and policies in the recognition of the assets and liabilities in its consolidated balance sheets, the revenues and expenses in its consolidated statements of net income,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the Company includes currently in its consolidated financial statements, summary of significant accounting policies, and notes.</w:t>
      </w:r>
    </w:p>
    <w:p>
      <w:pPr>
        <w:spacing w:after="0" w:line="186" w:lineRule="exact"/>
        <w:rPr>
          <w:sz w:val="20"/>
          <w:szCs w:val="20"/>
          <w:color w:val="auto"/>
        </w:rPr>
      </w:pPr>
    </w:p>
    <w:p>
      <w:pPr>
        <w:jc w:val="both"/>
        <w:ind w:right="320"/>
        <w:spacing w:after="0" w:line="238" w:lineRule="auto"/>
        <w:rPr>
          <w:sz w:val="20"/>
          <w:szCs w:val="20"/>
          <w:color w:val="auto"/>
        </w:rPr>
      </w:pPr>
      <w:r>
        <w:rPr>
          <w:rFonts w:ascii="Arial" w:cs="Arial" w:eastAsia="Arial" w:hAnsi="Arial"/>
          <w:sz w:val="22"/>
          <w:szCs w:val="22"/>
          <w:color w:val="auto"/>
        </w:rPr>
        <w:t xml:space="preserve">There have been no changes to the summary of significant accounting policies, other than as described in Note 2 – </w:t>
      </w:r>
      <w:r>
        <w:rPr>
          <w:rFonts w:ascii="Arial" w:cs="Arial" w:eastAsia="Arial" w:hAnsi="Arial"/>
          <w:sz w:val="22"/>
          <w:szCs w:val="22"/>
          <w:i w:val="1"/>
          <w:iCs w:val="1"/>
          <w:color w:val="auto"/>
        </w:rPr>
        <w:t>Revenue Recognition</w:t>
      </w:r>
      <w:r>
        <w:rPr>
          <w:rFonts w:ascii="Arial" w:cs="Arial" w:eastAsia="Arial" w:hAnsi="Arial"/>
          <w:sz w:val="22"/>
          <w:szCs w:val="22"/>
          <w:color w:val="auto"/>
        </w:rPr>
        <w:t xml:space="preserve"> as a result of the adoption of a new accounting pronouncement adopted on January 1, 2018, previously identified in the Company’s Annual Report on Form 10-K for the year ended December 31, 2017.</w:t>
      </w: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440"/>
          </w:cols>
          <w:pgMar w:left="1220" w:top="118" w:right="1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w:t>
      </w:r>
      <w:r>
        <w:rPr>
          <w:rFonts w:ascii="Arial" w:cs="Arial" w:eastAsia="Arial" w:hAnsi="Arial"/>
          <w:sz w:val="22"/>
          <w:szCs w:val="22"/>
          <w:b w:val="1"/>
          <w:bCs w:val="1"/>
          <w:i w:val="1"/>
          <w:iCs w:val="1"/>
          <w:color w:val="auto"/>
        </w:rPr>
        <w:t>Revenue Recognition</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 recognizes revenue as water and wastewater services are provided to our customers, which happens over time as the service is delivered and the performance obligation is satisfied. The Company’s utility revenues recognized in an accounting period include amounts billed to customers on a cycle basis and unbilled amounts based on estimated usage from the last billing to the end of the accounting period. Unbilled amounts are calculated by deriving estimates based on average usage of the prior month. The Company’s actual results could differ from these estimates, which would result in operating revenues being adjusted in the period that the revision to our estimates is determined. Unbilled amounts are included in accounts receivable and unbilled revenues, net on the consolidated balance sheet.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Generally, payment is due within 30 days once a bill is issued to a customer. Sales tax and other taxes we collect on behalf of government authorities, concurrent with our revenue-producing activities, are primarily excluded from revenue. The Company has determined that its revenue recognition is not materially different under the FASB’s new accounting standard for revenue from contracts with customer, and has not made any changes to our accounting policy. The Company’s revenues are being reported identical to how they were reported under the FASB’s former accounting standard for revenue recognition. The following table presents our revenues disaggregated by major source and customer class: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8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60" w:type="dxa"/>
            <w:vAlign w:val="bottom"/>
            <w:gridSpan w:val="3"/>
          </w:tcPr>
          <w:p>
            <w:pPr>
              <w:jc w:val="right"/>
              <w:ind w:right="212"/>
              <w:spacing w:after="0"/>
              <w:rPr>
                <w:sz w:val="20"/>
                <w:szCs w:val="20"/>
                <w:color w:val="auto"/>
              </w:rPr>
            </w:pPr>
            <w:r>
              <w:rPr>
                <w:rFonts w:ascii="Arial" w:cs="Arial" w:eastAsia="Arial" w:hAnsi="Arial"/>
                <w:sz w:val="22"/>
                <w:szCs w:val="22"/>
                <w:color w:val="auto"/>
              </w:rPr>
              <w:t>Three Months Ended</w:t>
            </w: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4"/>
        </w:trPr>
        <w:tc>
          <w:tcPr>
            <w:tcW w:w="384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22"/>
                <w:szCs w:val="22"/>
                <w:color w:val="auto"/>
              </w:rPr>
              <w:t>March 31,2018</w:t>
            </w:r>
          </w:p>
        </w:tc>
        <w:tc>
          <w:tcPr>
            <w:tcW w:w="7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r>
      <w:tr>
        <w:trPr>
          <w:trHeight w:val="723"/>
        </w:trPr>
        <w:tc>
          <w:tcPr>
            <w:tcW w:w="3840" w:type="dxa"/>
            <w:vAlign w:val="bottom"/>
          </w:tcPr>
          <w:p>
            <w:pPr>
              <w:spacing w:after="0"/>
              <w:rPr>
                <w:sz w:val="24"/>
                <w:szCs w:val="24"/>
                <w:color w:val="auto"/>
              </w:rPr>
            </w:pPr>
          </w:p>
        </w:tc>
        <w:tc>
          <w:tcPr>
            <w:tcW w:w="202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22"/>
                <w:szCs w:val="22"/>
                <w:color w:val="auto"/>
              </w:rPr>
              <w:t>Water Revenues</w:t>
            </w:r>
          </w:p>
        </w:tc>
        <w:tc>
          <w:tcPr>
            <w:tcW w:w="20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22"/>
                <w:szCs w:val="22"/>
                <w:color w:val="auto"/>
                <w:w w:val="86"/>
              </w:rPr>
              <w:t>Wastewater Revenues</w:t>
            </w:r>
          </w:p>
        </w:tc>
        <w:tc>
          <w:tcPr>
            <w:tcW w:w="16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22"/>
                <w:szCs w:val="22"/>
                <w:color w:val="auto"/>
                <w:w w:val="91"/>
              </w:rPr>
              <w:t>Other Revenues</w:t>
            </w:r>
          </w:p>
        </w:tc>
      </w:tr>
      <w:tr>
        <w:trPr>
          <w:trHeight w:val="264"/>
        </w:trPr>
        <w:tc>
          <w:tcPr>
            <w:tcW w:w="3840" w:type="dxa"/>
            <w:vAlign w:val="bottom"/>
          </w:tcPr>
          <w:p>
            <w:pPr>
              <w:spacing w:after="0"/>
              <w:rPr>
                <w:sz w:val="20"/>
                <w:szCs w:val="20"/>
                <w:color w:val="auto"/>
              </w:rPr>
            </w:pPr>
            <w:r>
              <w:rPr>
                <w:rFonts w:ascii="Arial" w:cs="Arial" w:eastAsia="Arial" w:hAnsi="Arial"/>
                <w:sz w:val="22"/>
                <w:szCs w:val="22"/>
                <w:color w:val="auto"/>
              </w:rPr>
              <w:t>Regulated:</w:t>
            </w:r>
          </w:p>
        </w:tc>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4"/>
        </w:trPr>
        <w:tc>
          <w:tcPr>
            <w:tcW w:w="38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Residential</w:t>
            </w:r>
          </w:p>
        </w:tc>
        <w:tc>
          <w:tcPr>
            <w:tcW w:w="820" w:type="dxa"/>
            <w:vAlign w:val="bottom"/>
            <w:shd w:val="clear" w:color="auto" w:fill="CCEEFF"/>
          </w:tcPr>
          <w:p>
            <w:pPr>
              <w:jc w:val="right"/>
              <w:ind w:right="332"/>
              <w:spacing w:after="0"/>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113,837</w:t>
            </w:r>
          </w:p>
        </w:tc>
        <w:tc>
          <w:tcPr>
            <w:tcW w:w="860" w:type="dxa"/>
            <w:vAlign w:val="bottom"/>
            <w:shd w:val="clear" w:color="auto" w:fill="CCEEFF"/>
          </w:tcPr>
          <w:p>
            <w:pPr>
              <w:jc w:val="right"/>
              <w:ind w:right="372"/>
              <w:spacing w:after="0"/>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17,532</w:t>
            </w:r>
          </w:p>
        </w:tc>
        <w:tc>
          <w:tcPr>
            <w:tcW w:w="700" w:type="dxa"/>
            <w:vAlign w:val="bottom"/>
            <w:shd w:val="clear" w:color="auto" w:fill="CCEEFF"/>
          </w:tcPr>
          <w:p>
            <w:pPr>
              <w:jc w:val="right"/>
              <w:ind w:right="272"/>
              <w:spacing w:after="0"/>
              <w:rPr>
                <w:sz w:val="20"/>
                <w:szCs w:val="20"/>
                <w:color w:val="auto"/>
              </w:rPr>
            </w:pPr>
            <w:r>
              <w:rPr>
                <w:rFonts w:ascii="Arial" w:cs="Arial" w:eastAsia="Arial" w:hAnsi="Arial"/>
                <w:sz w:val="22"/>
                <w:szCs w:val="2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84"/>
        </w:trPr>
        <w:tc>
          <w:tcPr>
            <w:tcW w:w="3840" w:type="dxa"/>
            <w:vAlign w:val="bottom"/>
          </w:tcPr>
          <w:p>
            <w:pPr>
              <w:ind w:left="100"/>
              <w:spacing w:after="0"/>
              <w:rPr>
                <w:sz w:val="20"/>
                <w:szCs w:val="20"/>
                <w:color w:val="auto"/>
              </w:rPr>
            </w:pPr>
            <w:r>
              <w:rPr>
                <w:rFonts w:ascii="Arial" w:cs="Arial" w:eastAsia="Arial" w:hAnsi="Arial"/>
                <w:sz w:val="22"/>
                <w:szCs w:val="22"/>
                <w:color w:val="auto"/>
              </w:rPr>
              <w:t>Commercial</w:t>
            </w:r>
          </w:p>
        </w:tc>
        <w:tc>
          <w:tcPr>
            <w:tcW w:w="8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30,342</w:t>
            </w:r>
          </w:p>
        </w:tc>
        <w:tc>
          <w:tcPr>
            <w:tcW w:w="86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2,888</w:t>
            </w:r>
          </w:p>
        </w:tc>
        <w:tc>
          <w:tcPr>
            <w:tcW w:w="7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84"/>
        </w:trPr>
        <w:tc>
          <w:tcPr>
            <w:tcW w:w="38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Fire protection</w:t>
            </w:r>
          </w:p>
        </w:tc>
        <w:tc>
          <w:tcPr>
            <w:tcW w:w="8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7,938</w:t>
            </w:r>
          </w:p>
        </w:tc>
        <w:tc>
          <w:tcPr>
            <w:tcW w:w="8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7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84"/>
        </w:trPr>
        <w:tc>
          <w:tcPr>
            <w:tcW w:w="3840" w:type="dxa"/>
            <w:vAlign w:val="bottom"/>
          </w:tcPr>
          <w:p>
            <w:pPr>
              <w:ind w:left="100"/>
              <w:spacing w:after="0"/>
              <w:rPr>
                <w:sz w:val="20"/>
                <w:szCs w:val="20"/>
                <w:color w:val="auto"/>
              </w:rPr>
            </w:pPr>
            <w:r>
              <w:rPr>
                <w:rFonts w:ascii="Arial" w:cs="Arial" w:eastAsia="Arial" w:hAnsi="Arial"/>
                <w:sz w:val="22"/>
                <w:szCs w:val="22"/>
                <w:color w:val="auto"/>
              </w:rPr>
              <w:t>Industrial</w:t>
            </w:r>
          </w:p>
        </w:tc>
        <w:tc>
          <w:tcPr>
            <w:tcW w:w="8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6,360</w:t>
            </w:r>
          </w:p>
        </w:tc>
        <w:tc>
          <w:tcPr>
            <w:tcW w:w="86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463</w:t>
            </w:r>
          </w:p>
        </w:tc>
        <w:tc>
          <w:tcPr>
            <w:tcW w:w="7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84"/>
        </w:trPr>
        <w:tc>
          <w:tcPr>
            <w:tcW w:w="38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Other water</w:t>
            </w:r>
          </w:p>
        </w:tc>
        <w:tc>
          <w:tcPr>
            <w:tcW w:w="8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11,021</w:t>
            </w:r>
          </w:p>
        </w:tc>
        <w:tc>
          <w:tcPr>
            <w:tcW w:w="8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7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84"/>
        </w:trPr>
        <w:tc>
          <w:tcPr>
            <w:tcW w:w="3840" w:type="dxa"/>
            <w:vAlign w:val="bottom"/>
          </w:tcPr>
          <w:p>
            <w:pPr>
              <w:ind w:left="100"/>
              <w:spacing w:after="0"/>
              <w:rPr>
                <w:sz w:val="20"/>
                <w:szCs w:val="20"/>
                <w:color w:val="auto"/>
              </w:rPr>
            </w:pPr>
            <w:r>
              <w:rPr>
                <w:rFonts w:ascii="Arial" w:cs="Arial" w:eastAsia="Arial" w:hAnsi="Arial"/>
                <w:sz w:val="22"/>
                <w:szCs w:val="22"/>
                <w:color w:val="auto"/>
              </w:rPr>
              <w:t>Other wastewater</w:t>
            </w:r>
          </w:p>
        </w:tc>
        <w:tc>
          <w:tcPr>
            <w:tcW w:w="8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w:t>
            </w:r>
          </w:p>
        </w:tc>
        <w:tc>
          <w:tcPr>
            <w:tcW w:w="86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791</w:t>
            </w:r>
          </w:p>
        </w:tc>
        <w:tc>
          <w:tcPr>
            <w:tcW w:w="7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84"/>
        </w:trPr>
        <w:tc>
          <w:tcPr>
            <w:tcW w:w="38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Other utility</w:t>
            </w:r>
          </w:p>
        </w:tc>
        <w:tc>
          <w:tcPr>
            <w:tcW w:w="8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7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2,335</w:t>
            </w:r>
          </w:p>
        </w:tc>
      </w:tr>
      <w:tr>
        <w:trPr>
          <w:trHeight w:val="264"/>
        </w:trPr>
        <w:tc>
          <w:tcPr>
            <w:tcW w:w="3840" w:type="dxa"/>
            <w:vAlign w:val="bottom"/>
          </w:tcPr>
          <w:p>
            <w:pPr>
              <w:spacing w:after="0"/>
              <w:rPr>
                <w:sz w:val="20"/>
                <w:szCs w:val="20"/>
                <w:color w:val="auto"/>
              </w:rPr>
            </w:pPr>
            <w:r>
              <w:rPr>
                <w:rFonts w:ascii="Arial" w:cs="Arial" w:eastAsia="Arial" w:hAnsi="Arial"/>
                <w:sz w:val="22"/>
                <w:szCs w:val="22"/>
                <w:color w:val="auto"/>
              </w:rPr>
              <w:t>Regulated segment total</w:t>
            </w:r>
          </w:p>
        </w:tc>
        <w:tc>
          <w:tcPr>
            <w:tcW w:w="8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169,498</w:t>
            </w:r>
          </w:p>
        </w:tc>
        <w:tc>
          <w:tcPr>
            <w:tcW w:w="8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21,674</w:t>
            </w:r>
          </w:p>
        </w:tc>
        <w:tc>
          <w:tcPr>
            <w:tcW w:w="7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2,335</w:t>
            </w:r>
          </w:p>
        </w:tc>
      </w:tr>
      <w:tr>
        <w:trPr>
          <w:trHeight w:val="284"/>
        </w:trPr>
        <w:tc>
          <w:tcPr>
            <w:tcW w:w="3840" w:type="dxa"/>
            <w:vAlign w:val="bottom"/>
            <w:shd w:val="clear" w:color="auto" w:fill="CCEEFF"/>
          </w:tcPr>
          <w:p>
            <w:pPr>
              <w:spacing w:after="0"/>
              <w:rPr>
                <w:sz w:val="20"/>
                <w:szCs w:val="20"/>
                <w:color w:val="auto"/>
              </w:rPr>
            </w:pPr>
            <w:r>
              <w:rPr>
                <w:rFonts w:ascii="Arial" w:cs="Arial" w:eastAsia="Arial" w:hAnsi="Arial"/>
                <w:sz w:val="22"/>
                <w:szCs w:val="22"/>
                <w:color w:val="auto"/>
              </w:rPr>
              <w:t>Other and eliminations</w:t>
            </w:r>
          </w:p>
        </w:tc>
        <w:tc>
          <w:tcPr>
            <w:tcW w:w="8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8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w:t>
            </w:r>
          </w:p>
        </w:tc>
        <w:tc>
          <w:tcPr>
            <w:tcW w:w="7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840</w:t>
            </w:r>
          </w:p>
        </w:tc>
      </w:tr>
      <w:tr>
        <w:trPr>
          <w:trHeight w:val="257"/>
        </w:trPr>
        <w:tc>
          <w:tcPr>
            <w:tcW w:w="3840" w:type="dxa"/>
            <w:vAlign w:val="bottom"/>
          </w:tcPr>
          <w:p>
            <w:pPr>
              <w:spacing w:after="0" w:line="250" w:lineRule="exact"/>
              <w:rPr>
                <w:sz w:val="20"/>
                <w:szCs w:val="20"/>
                <w:color w:val="auto"/>
              </w:rPr>
            </w:pPr>
            <w:r>
              <w:rPr>
                <w:rFonts w:ascii="Arial" w:cs="Arial" w:eastAsia="Arial" w:hAnsi="Arial"/>
                <w:sz w:val="22"/>
                <w:szCs w:val="22"/>
                <w:color w:val="auto"/>
              </w:rPr>
              <w:t>Consolidated</w:t>
            </w:r>
          </w:p>
        </w:tc>
        <w:tc>
          <w:tcPr>
            <w:tcW w:w="820" w:type="dxa"/>
            <w:vAlign w:val="bottom"/>
            <w:tcBorders>
              <w:bottom w:val="single" w:sz="8" w:color="auto"/>
            </w:tcBorders>
          </w:tcPr>
          <w:p>
            <w:pPr>
              <w:jc w:val="right"/>
              <w:ind w:right="332"/>
              <w:spacing w:after="0" w:line="250" w:lineRule="exact"/>
              <w:rPr>
                <w:sz w:val="20"/>
                <w:szCs w:val="20"/>
                <w:color w:val="auto"/>
              </w:rPr>
            </w:pPr>
            <w:r>
              <w:rPr>
                <w:rFonts w:ascii="Arial" w:cs="Arial" w:eastAsia="Arial" w:hAnsi="Arial"/>
                <w:sz w:val="22"/>
                <w:szCs w:val="22"/>
                <w:color w:val="auto"/>
              </w:rPr>
              <w:t>$</w:t>
            </w:r>
          </w:p>
        </w:tc>
        <w:tc>
          <w:tcPr>
            <w:tcW w:w="12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169,498</w:t>
            </w:r>
          </w:p>
        </w:tc>
        <w:tc>
          <w:tcPr>
            <w:tcW w:w="860" w:type="dxa"/>
            <w:vAlign w:val="bottom"/>
            <w:tcBorders>
              <w:bottom w:val="single" w:sz="8" w:color="auto"/>
            </w:tcBorders>
          </w:tcPr>
          <w:p>
            <w:pPr>
              <w:jc w:val="right"/>
              <w:ind w:right="372"/>
              <w:spacing w:after="0" w:line="250" w:lineRule="exact"/>
              <w:rPr>
                <w:sz w:val="20"/>
                <w:szCs w:val="20"/>
                <w:color w:val="auto"/>
              </w:rPr>
            </w:pPr>
            <w:r>
              <w:rPr>
                <w:rFonts w:ascii="Arial" w:cs="Arial" w:eastAsia="Arial" w:hAnsi="Arial"/>
                <w:sz w:val="22"/>
                <w:szCs w:val="22"/>
                <w:color w:val="auto"/>
              </w:rPr>
              <w:t>$</w:t>
            </w:r>
          </w:p>
        </w:tc>
        <w:tc>
          <w:tcPr>
            <w:tcW w:w="1200" w:type="dxa"/>
            <w:vAlign w:val="bottom"/>
            <w:tcBorders>
              <w:bottom w:val="single" w:sz="8" w:color="auto"/>
            </w:tcBorders>
          </w:tcPr>
          <w:p>
            <w:pPr>
              <w:jc w:val="right"/>
              <w:ind w:right="12"/>
              <w:spacing w:after="0" w:line="250" w:lineRule="exact"/>
              <w:rPr>
                <w:sz w:val="20"/>
                <w:szCs w:val="20"/>
                <w:color w:val="auto"/>
              </w:rPr>
            </w:pPr>
            <w:r>
              <w:rPr>
                <w:rFonts w:ascii="Arial" w:cs="Arial" w:eastAsia="Arial" w:hAnsi="Arial"/>
                <w:sz w:val="22"/>
                <w:szCs w:val="22"/>
                <w:color w:val="auto"/>
              </w:rPr>
              <w:t>21,674</w:t>
            </w:r>
          </w:p>
        </w:tc>
        <w:tc>
          <w:tcPr>
            <w:tcW w:w="700" w:type="dxa"/>
            <w:vAlign w:val="bottom"/>
            <w:tcBorders>
              <w:bottom w:val="single" w:sz="8" w:color="auto"/>
            </w:tcBorders>
          </w:tcPr>
          <w:p>
            <w:pPr>
              <w:jc w:val="right"/>
              <w:ind w:right="272"/>
              <w:spacing w:after="0" w:line="250" w:lineRule="exact"/>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3,175</w:t>
            </w:r>
          </w:p>
        </w:tc>
      </w:tr>
    </w:tbl>
    <w:p>
      <w:pPr>
        <w:spacing w:after="0" w:line="200" w:lineRule="exact"/>
        <w:rPr>
          <w:sz w:val="20"/>
          <w:szCs w:val="20"/>
          <w:color w:val="auto"/>
        </w:rPr>
      </w:pPr>
    </w:p>
    <w:p>
      <w:pPr>
        <w:spacing w:after="0" w:line="292"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b w:val="1"/>
          <w:bCs w:val="1"/>
          <w:i w:val="1"/>
          <w:iCs w:val="1"/>
          <w:color w:val="auto"/>
        </w:rPr>
        <w:t xml:space="preserve">Regulated Segment Revenues – </w:t>
      </w:r>
      <w:r>
        <w:rPr>
          <w:rFonts w:ascii="Arial" w:cs="Arial" w:eastAsia="Arial" w:hAnsi="Arial"/>
          <w:sz w:val="22"/>
          <w:szCs w:val="22"/>
          <w:color w:val="auto"/>
        </w:rPr>
        <w:t>These revenues are composed of three main categories: water, wastewater,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other. Water revenues represent revenues earned for supplying customers with water service. Wastewater revenues represent revenues earned for treating wastewater and releasing it into the water supply. Other revenues are associated fees that relate to the regulated business but are not water and wastewater revenues. See description below for a discussion on the performance obligation for each of these revenue streams.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b w:val="1"/>
          <w:bCs w:val="1"/>
          <w:i w:val="1"/>
          <w:iCs w:val="1"/>
          <w:color w:val="auto"/>
        </w:rPr>
        <w:t xml:space="preserve">Tariff Revenues – </w:t>
      </w:r>
      <w:r>
        <w:rPr>
          <w:rFonts w:ascii="Arial" w:cs="Arial" w:eastAsia="Arial" w:hAnsi="Arial"/>
          <w:sz w:val="19"/>
          <w:szCs w:val="19"/>
          <w:color w:val="auto"/>
        </w:rPr>
        <w:t>These revenues are categorized by customer class: residential, commercial, fire protection,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industrial, and other water and other wastewater. The rates that generate these revenues are approved by the respective state utility commission, and revenues are billed cyclically and accrued for when unbilled. Other water and other wastewater revenues consist primarily of fines, penalties, surcharges, and availability lot fees. Our performance obligation for tariff revenues is to provide potable water or wastewater treatment service to customers. This performance obligation is satisfied over time as the services are rendered.</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b w:val="1"/>
          <w:bCs w:val="1"/>
          <w:i w:val="1"/>
          <w:iCs w:val="1"/>
          <w:color w:val="auto"/>
        </w:rPr>
        <w:t xml:space="preserve">Other Utility Revenues – </w:t>
      </w:r>
      <w:r>
        <w:rPr>
          <w:rFonts w:ascii="Arial" w:cs="Arial" w:eastAsia="Arial" w:hAnsi="Arial"/>
          <w:sz w:val="19"/>
          <w:szCs w:val="19"/>
          <w:color w:val="auto"/>
        </w:rPr>
        <w:t>Other utility revenues represent revenues earned primarily from: antenna revenues,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which represent fees received from telecommunication operators that have put cellular antennas on our water towers, operation and maintenance and billing contracts, which represent fees earned from municipalities for our operation of their water or wastewater treatment services or performing billing services, and fees earned from developers for accessing our water mains. The performances obligations vary for these revenues, but all are primarily recognized over time as the service is delivered.</w:t>
      </w:r>
    </w:p>
    <w:p>
      <w:pPr>
        <w:spacing w:after="0" w:line="178" w:lineRule="exact"/>
        <w:rPr>
          <w:sz w:val="20"/>
          <w:szCs w:val="20"/>
          <w:color w:val="auto"/>
        </w:rPr>
      </w:pPr>
    </w:p>
    <w:p>
      <w:pPr>
        <w:ind w:right="380"/>
        <w:spacing w:after="0"/>
        <w:rPr>
          <w:sz w:val="20"/>
          <w:szCs w:val="20"/>
          <w:color w:val="auto"/>
        </w:rPr>
      </w:pPr>
      <w:r>
        <w:rPr>
          <w:rFonts w:ascii="Arial" w:cs="Arial" w:eastAsia="Arial" w:hAnsi="Arial"/>
          <w:sz w:val="22"/>
          <w:szCs w:val="22"/>
          <w:b w:val="1"/>
          <w:bCs w:val="1"/>
          <w:i w:val="1"/>
          <w:iCs w:val="1"/>
          <w:color w:val="auto"/>
        </w:rPr>
        <w:t xml:space="preserve">Other and Eliminations – </w:t>
      </w:r>
      <w:r>
        <w:rPr>
          <w:rFonts w:ascii="Arial" w:cs="Arial" w:eastAsia="Arial" w:hAnsi="Arial"/>
          <w:sz w:val="22"/>
          <w:szCs w:val="22"/>
          <w:color w:val="auto"/>
        </w:rPr>
        <w:t>Other and eliminations consist of our market-based revenues, which comprises: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Aqua Infrastructure and Aqua Resources (described below), and intercompany eliminations for revenue billed between our subsidiaries.</w:t>
      </w:r>
    </w:p>
    <w:p>
      <w:pPr>
        <w:spacing w:after="0" w:line="213" w:lineRule="exact"/>
        <w:rPr>
          <w:sz w:val="20"/>
          <w:szCs w:val="20"/>
          <w:color w:val="auto"/>
        </w:rPr>
      </w:pPr>
    </w:p>
    <w:p>
      <w:pPr>
        <w:ind w:right="220"/>
        <w:spacing w:after="0" w:line="247" w:lineRule="auto"/>
        <w:rPr>
          <w:sz w:val="20"/>
          <w:szCs w:val="20"/>
          <w:color w:val="auto"/>
        </w:rPr>
      </w:pPr>
      <w:r>
        <w:rPr>
          <w:rFonts w:ascii="Arial" w:cs="Arial" w:eastAsia="Arial" w:hAnsi="Arial"/>
          <w:sz w:val="21"/>
          <w:szCs w:val="21"/>
          <w:color w:val="auto"/>
        </w:rPr>
        <w:t>Aqua Infrastructure is the holding company for our 49% investment in a joint venture that operates a private pipeline system to supply raw water to natural gas well drilling operations in the Marcellus Shale of north central Pennsylvania. The joint venture earns revenues through providing non-utility raw water supply services to companies which enter into a water supply contract in the natural gas drilling industry. The performance obligation is to deliver non-potable water to its customers. Aqua Infrastructure’s share of the revenues recognized by the joint venture is reflected, net, in equity earnings in joint venture on our consolidated statements of net income.</w:t>
      </w:r>
    </w:p>
    <w:p>
      <w:pPr>
        <w:spacing w:after="0" w:line="205"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Aqua Resources earns revenues by providing non-regulated water and wastewater services through operating and maintenance contracts, and third party water and sewer line repair service. The performance obligations are performing agreed upon services in the contract, most commonly operation of third party water or wastewater treatment services, or billing services, or allowing the use of our logo to a third party water and sewer line repair service. Revenues are primarily recognized over time as service is delivered.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 </w:t>
      </w:r>
      <w:r>
        <w:rPr>
          <w:rFonts w:ascii="Arial" w:cs="Arial" w:eastAsia="Arial" w:hAnsi="Arial"/>
          <w:sz w:val="22"/>
          <w:szCs w:val="22"/>
          <w:b w:val="1"/>
          <w:bCs w:val="1"/>
          <w:i w:val="1"/>
          <w:iCs w:val="1"/>
          <w:color w:val="auto"/>
        </w:rPr>
        <w:t>Goodwill</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changes in the Company’s goodwill, by business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6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ind w:left="20"/>
              <w:spacing w:after="0"/>
              <w:rPr>
                <w:sz w:val="20"/>
                <w:szCs w:val="20"/>
                <w:color w:val="auto"/>
              </w:rPr>
            </w:pPr>
            <w:r>
              <w:rPr>
                <w:rFonts w:ascii="Arial" w:cs="Arial" w:eastAsia="Arial" w:hAnsi="Arial"/>
                <w:sz w:val="22"/>
                <w:szCs w:val="22"/>
                <w:color w:val="auto"/>
              </w:rPr>
              <w:t>Regulated</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4"/>
        </w:trPr>
        <w:tc>
          <w:tcPr>
            <w:tcW w:w="366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93"/>
              </w:rPr>
              <w:t>Segment</w:t>
            </w:r>
          </w:p>
        </w:tc>
        <w:tc>
          <w:tcPr>
            <w:tcW w:w="1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rPr>
              <w:t>Other</w:t>
            </w:r>
          </w:p>
        </w:tc>
        <w:tc>
          <w:tcPr>
            <w:tcW w:w="18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91"/>
              </w:rPr>
              <w:t>Consolidated</w:t>
            </w:r>
          </w:p>
        </w:tc>
        <w:tc>
          <w:tcPr>
            <w:tcW w:w="40" w:type="dxa"/>
            <w:vAlign w:val="bottom"/>
          </w:tcPr>
          <w:p>
            <w:pPr>
              <w:spacing w:after="0"/>
              <w:rPr>
                <w:sz w:val="23"/>
                <w:szCs w:val="23"/>
                <w:color w:val="auto"/>
              </w:rPr>
            </w:pPr>
          </w:p>
        </w:tc>
      </w:tr>
      <w:tr>
        <w:trPr>
          <w:trHeight w:val="264"/>
        </w:trPr>
        <w:tc>
          <w:tcPr>
            <w:tcW w:w="3660" w:type="dxa"/>
            <w:vAlign w:val="bottom"/>
            <w:shd w:val="clear" w:color="auto" w:fill="CCEEFF"/>
          </w:tcPr>
          <w:p>
            <w:pPr>
              <w:spacing w:after="0"/>
              <w:rPr>
                <w:sz w:val="20"/>
                <w:szCs w:val="20"/>
                <w:color w:val="auto"/>
              </w:rPr>
            </w:pPr>
            <w:r>
              <w:rPr>
                <w:rFonts w:ascii="Arial" w:cs="Arial" w:eastAsia="Arial" w:hAnsi="Arial"/>
                <w:sz w:val="22"/>
                <w:szCs w:val="22"/>
                <w:color w:val="auto"/>
              </w:rPr>
              <w:t>Balance at December 31, 2017</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37,389</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w w:val="97"/>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4,841</w:t>
            </w:r>
          </w:p>
        </w:tc>
        <w:tc>
          <w:tcPr>
            <w:tcW w:w="1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22"/>
                <w:szCs w:val="22"/>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42,230</w:t>
            </w:r>
          </w:p>
        </w:tc>
        <w:tc>
          <w:tcPr>
            <w:tcW w:w="40" w:type="dxa"/>
            <w:vAlign w:val="bottom"/>
          </w:tcPr>
          <w:p>
            <w:pPr>
              <w:spacing w:after="0"/>
              <w:rPr>
                <w:sz w:val="22"/>
                <w:szCs w:val="22"/>
                <w:color w:val="auto"/>
              </w:rPr>
            </w:pPr>
          </w:p>
        </w:tc>
      </w:tr>
      <w:tr>
        <w:trPr>
          <w:trHeight w:val="284"/>
        </w:trPr>
        <w:tc>
          <w:tcPr>
            <w:tcW w:w="3660" w:type="dxa"/>
            <w:vAlign w:val="bottom"/>
            <w:tcBorders>
              <w:bottom w:val="single" w:sz="8" w:color="CCEEFF"/>
            </w:tcBorders>
          </w:tcPr>
          <w:p>
            <w:pPr>
              <w:ind w:left="100"/>
              <w:spacing w:after="0"/>
              <w:rPr>
                <w:sz w:val="20"/>
                <w:szCs w:val="20"/>
                <w:color w:val="auto"/>
              </w:rPr>
            </w:pPr>
            <w:r>
              <w:rPr>
                <w:rFonts w:ascii="Arial" w:cs="Arial" w:eastAsia="Arial" w:hAnsi="Arial"/>
                <w:sz w:val="22"/>
                <w:szCs w:val="22"/>
                <w:color w:val="auto"/>
              </w:rPr>
              <w:t>Goodwill acquired</w:t>
            </w:r>
          </w:p>
        </w:tc>
        <w:tc>
          <w:tcPr>
            <w:tcW w:w="17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4"/>
                <w:szCs w:val="24"/>
                <w:color w:val="auto"/>
              </w:rPr>
            </w:pPr>
          </w:p>
        </w:tc>
      </w:tr>
      <w:tr>
        <w:trPr>
          <w:trHeight w:val="270"/>
        </w:trPr>
        <w:tc>
          <w:tcPr>
            <w:tcW w:w="3660" w:type="dxa"/>
            <w:vAlign w:val="bottom"/>
            <w:tcBorders>
              <w:bottom w:val="single" w:sz="8" w:color="CCEEFF"/>
            </w:tcBorders>
            <w:shd w:val="clear" w:color="auto" w:fill="CCEEFF"/>
          </w:tcPr>
          <w:p>
            <w:pPr>
              <w:spacing w:after="0" w:line="250" w:lineRule="exact"/>
              <w:rPr>
                <w:sz w:val="20"/>
                <w:szCs w:val="20"/>
                <w:color w:val="auto"/>
              </w:rPr>
            </w:pPr>
            <w:r>
              <w:rPr>
                <w:rFonts w:ascii="Arial" w:cs="Arial" w:eastAsia="Arial" w:hAnsi="Arial"/>
                <w:sz w:val="22"/>
                <w:szCs w:val="22"/>
                <w:color w:val="auto"/>
              </w:rPr>
              <w:t>Balance at March 31, 2018</w:t>
            </w:r>
          </w:p>
        </w:tc>
        <w:tc>
          <w:tcPr>
            <w:tcW w:w="17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w w:val="97"/>
              </w:rPr>
              <w:t>$</w:t>
            </w:r>
          </w:p>
        </w:tc>
        <w:tc>
          <w:tcPr>
            <w:tcW w:w="110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37,389</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12"/>
              <w:spacing w:after="0" w:line="250" w:lineRule="exact"/>
              <w:rPr>
                <w:sz w:val="20"/>
                <w:szCs w:val="20"/>
                <w:color w:val="auto"/>
              </w:rPr>
            </w:pPr>
            <w:r>
              <w:rPr>
                <w:rFonts w:ascii="Arial" w:cs="Arial" w:eastAsia="Arial" w:hAnsi="Arial"/>
                <w:sz w:val="22"/>
                <w:szCs w:val="22"/>
                <w:color w:val="auto"/>
                <w:w w:val="97"/>
              </w:rPr>
              <w:t>$</w:t>
            </w:r>
          </w:p>
        </w:tc>
        <w:tc>
          <w:tcPr>
            <w:tcW w:w="102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4,841</w:t>
            </w:r>
          </w:p>
        </w:tc>
        <w:tc>
          <w:tcPr>
            <w:tcW w:w="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32"/>
              <w:spacing w:after="0" w:line="250" w:lineRule="exact"/>
              <w:rPr>
                <w:sz w:val="20"/>
                <w:szCs w:val="20"/>
                <w:color w:val="auto"/>
              </w:rPr>
            </w:pPr>
            <w:r>
              <w:rPr>
                <w:rFonts w:ascii="Arial" w:cs="Arial" w:eastAsia="Arial" w:hAnsi="Arial"/>
                <w:sz w:val="22"/>
                <w:szCs w:val="22"/>
                <w:color w:val="auto"/>
                <w:w w:val="97"/>
              </w:rPr>
              <w:t>$</w:t>
            </w:r>
          </w:p>
        </w:tc>
        <w:tc>
          <w:tcPr>
            <w:tcW w:w="88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42,230</w:t>
            </w:r>
          </w:p>
        </w:tc>
        <w:tc>
          <w:tcPr>
            <w:tcW w:w="40" w:type="dxa"/>
            <w:vAlign w:val="bottom"/>
          </w:tcPr>
          <w:p>
            <w:pPr>
              <w:spacing w:after="0"/>
              <w:rPr>
                <w:sz w:val="23"/>
                <w:szCs w:val="23"/>
                <w:color w:val="auto"/>
              </w:rPr>
            </w:pPr>
          </w:p>
        </w:tc>
      </w:tr>
      <w:tr>
        <w:trPr>
          <w:trHeight w:val="699"/>
        </w:trPr>
        <w:tc>
          <w:tcPr>
            <w:tcW w:w="3660" w:type="dxa"/>
            <w:vAlign w:val="bottom"/>
          </w:tcPr>
          <w:p>
            <w:pPr>
              <w:spacing w:after="0"/>
              <w:rPr>
                <w:sz w:val="24"/>
                <w:szCs w:val="24"/>
                <w:color w:val="auto"/>
              </w:rPr>
            </w:pPr>
          </w:p>
        </w:tc>
        <w:tc>
          <w:tcPr>
            <w:tcW w:w="1700" w:type="dxa"/>
            <w:vAlign w:val="bottom"/>
          </w:tcPr>
          <w:p>
            <w:pPr>
              <w:jc w:val="right"/>
              <w:ind w:right="372"/>
              <w:spacing w:after="0"/>
              <w:rPr>
                <w:sz w:val="20"/>
                <w:szCs w:val="20"/>
                <w:color w:val="auto"/>
              </w:rPr>
            </w:pPr>
            <w:r>
              <w:rPr>
                <w:rFonts w:ascii="Arial" w:cs="Arial" w:eastAsia="Arial" w:hAnsi="Arial"/>
                <w:sz w:val="22"/>
                <w:szCs w:val="22"/>
                <w:color w:val="auto"/>
              </w:rPr>
              <w:t>10</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8"/>
        </w:trPr>
        <w:tc>
          <w:tcPr>
            <w:tcW w:w="366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r>
        <w:trPr>
          <w:trHeight w:val="20"/>
        </w:trPr>
        <w:tc>
          <w:tcPr>
            <w:tcW w:w="366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-38100</wp:posOffset>
            </wp:positionV>
            <wp:extent cx="3429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80"/>
          </w:cols>
          <w:pgMar w:left="1220" w:top="118" w:right="109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 </w:t>
      </w:r>
      <w:r>
        <w:rPr>
          <w:rFonts w:ascii="Arial" w:cs="Arial" w:eastAsia="Arial" w:hAnsi="Arial"/>
          <w:sz w:val="22"/>
          <w:szCs w:val="22"/>
          <w:b w:val="1"/>
          <w:bCs w:val="1"/>
          <w:i w:val="1"/>
          <w:iCs w:val="1"/>
          <w:color w:val="auto"/>
        </w:rPr>
        <w:t>Acquisitions</w:t>
      </w:r>
    </w:p>
    <w:p>
      <w:pPr>
        <w:spacing w:after="0" w:line="239"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During the first three months of 2018, the Company completed three acquisitions of water and wastewater utility systems in various states adding 448 customers. The total purchase price of these utility systems consisted of $190 in cash. The purchase price allocation for these acquisition consisted primarily of acquired property, plant and equipment. The pro forma effect of the businesses acquired is not material either individually or collectively to the Company’s results of operations.</w:t>
      </w:r>
    </w:p>
    <w:p>
      <w:pPr>
        <w:spacing w:after="0" w:line="206" w:lineRule="exact"/>
        <w:rPr>
          <w:sz w:val="20"/>
          <w:szCs w:val="20"/>
          <w:color w:val="auto"/>
        </w:rPr>
      </w:pPr>
    </w:p>
    <w:p>
      <w:pPr>
        <w:ind w:right="240"/>
        <w:spacing w:after="0" w:line="287" w:lineRule="auto"/>
        <w:rPr>
          <w:sz w:val="20"/>
          <w:szCs w:val="20"/>
          <w:color w:val="auto"/>
        </w:rPr>
      </w:pPr>
      <w:r>
        <w:rPr>
          <w:rFonts w:ascii="Arial" w:cs="Arial" w:eastAsia="Arial" w:hAnsi="Arial"/>
          <w:sz w:val="19"/>
          <w:szCs w:val="19"/>
          <w:color w:val="auto"/>
        </w:rPr>
        <w:t>During 2017, the Company completed four acquisitions of water and wastewater utility systems in various states adding 1,003 customers. The total purchase price of these utility systems consisted of $5,860 in cash, which resulted in $72 of goodwill being recorded. The pro forma effect of the businesses acquired is not material either individually or collectively to the Company’s results of operations.</w:t>
      </w:r>
    </w:p>
    <w:p>
      <w:pPr>
        <w:spacing w:after="0" w:line="170"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As part of the Company’s growth-through-acquisition strategy, the Company has entered into purchase agreements to acquire the water or wastewater utility system assets of six municipalities for a total combined purchase price in cash of $150,700, which we plan to finance by the issuance of long-term debt. The purchase price for these pending acquisitions is subject to certain adjustments at closing, and the pending acquisitions are subject to regulatory approvals, including the final determination of the fair value of the rate base acquired. Closings for these acquisitions are expected to occur by the end of 2018, subject to the timing of the regulatory approval process. These acquisitions are expected to add approximately 16,325 customers in two of the states that the Company operates in.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 </w:t>
      </w:r>
      <w:r>
        <w:rPr>
          <w:rFonts w:ascii="Arial" w:cs="Arial" w:eastAsia="Arial" w:hAnsi="Arial"/>
          <w:sz w:val="22"/>
          <w:szCs w:val="22"/>
          <w:b w:val="1"/>
          <w:bCs w:val="1"/>
          <w:i w:val="1"/>
          <w:iCs w:val="1"/>
          <w:color w:val="auto"/>
        </w:rPr>
        <w:t>Assets Held for Sale</w:t>
      </w:r>
    </w:p>
    <w:p>
      <w:pPr>
        <w:spacing w:after="0" w:line="239"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In the first quarter of 2017, the Company decided to market for sale a water system that serves approximately 265 customers. This water system is reported as assets held for sale in the Company’s consolidated balance sheet.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w:t>
      </w:r>
      <w:r>
        <w:rPr>
          <w:rFonts w:ascii="Arial" w:cs="Arial" w:eastAsia="Arial" w:hAnsi="Arial"/>
          <w:sz w:val="22"/>
          <w:szCs w:val="22"/>
          <w:b w:val="1"/>
          <w:bCs w:val="1"/>
          <w:i w:val="1"/>
          <w:iCs w:val="1"/>
          <w:color w:val="auto"/>
        </w:rPr>
        <w:t>Financial Instruments</w:t>
      </w:r>
    </w:p>
    <w:p>
      <w:pPr>
        <w:spacing w:after="0" w:line="239"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The Company follows the FASB’s accounting guidance for fair value measurements and disclosures, which 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spacing w:after="0" w:line="178" w:lineRule="exact"/>
        <w:rPr>
          <w:sz w:val="20"/>
          <w:szCs w:val="20"/>
          <w:color w:val="auto"/>
        </w:rPr>
      </w:pPr>
    </w:p>
    <w:p>
      <w:pPr>
        <w:ind w:left="320" w:right="40" w:hanging="320"/>
        <w:spacing w:after="0" w:line="251" w:lineRule="auto"/>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Level 1: unadjusted quoted prices in active markets for identical assets or liabilities that the Company has the ability to access;</w:t>
      </w:r>
    </w:p>
    <w:p>
      <w:pPr>
        <w:spacing w:after="0" w:line="200" w:lineRule="exact"/>
        <w:rPr>
          <w:rFonts w:ascii="Arial" w:cs="Arial" w:eastAsia="Arial" w:hAnsi="Arial"/>
          <w:sz w:val="22"/>
          <w:szCs w:val="22"/>
          <w:color w:val="auto"/>
        </w:rPr>
      </w:pPr>
    </w:p>
    <w:p>
      <w:pPr>
        <w:ind w:left="320" w:right="120" w:hanging="320"/>
        <w:spacing w:after="0" w:line="252" w:lineRule="auto"/>
        <w:tabs>
          <w:tab w:leader="none" w:pos="320" w:val="left"/>
        </w:tabs>
        <w:numPr>
          <w:ilvl w:val="0"/>
          <w:numId w:val="3"/>
        </w:numPr>
        <w:rPr>
          <w:rFonts w:ascii="Arial" w:cs="Arial" w:eastAsia="Arial" w:hAnsi="Arial"/>
          <w:sz w:val="21"/>
          <w:szCs w:val="21"/>
          <w:color w:val="auto"/>
        </w:rPr>
      </w:pPr>
      <w:r>
        <w:rPr>
          <w:rFonts w:ascii="Arial" w:cs="Arial" w:eastAsia="Arial" w:hAnsi="Arial"/>
          <w:sz w:val="21"/>
          <w:szCs w:val="21"/>
          <w:color w:val="auto"/>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0" w:hanging="320"/>
        <w:spacing w:after="0"/>
        <w:tabs>
          <w:tab w:leader="none" w:pos="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Level 3: inputs that are unobservable and significant to the fair value measurement.</w:t>
      </w:r>
    </w:p>
    <w:p>
      <w:pPr>
        <w:spacing w:after="0" w:line="233" w:lineRule="exact"/>
        <w:rPr>
          <w:sz w:val="20"/>
          <w:szCs w:val="20"/>
          <w:color w:val="auto"/>
        </w:rPr>
      </w:pPr>
    </w:p>
    <w:p>
      <w:pPr>
        <w:ind w:right="340"/>
        <w:spacing w:after="0" w:line="282" w:lineRule="auto"/>
        <w:rPr>
          <w:sz w:val="20"/>
          <w:szCs w:val="20"/>
          <w:color w:val="auto"/>
        </w:rPr>
      </w:pPr>
      <w:r>
        <w:rPr>
          <w:rFonts w:ascii="Arial" w:cs="Arial" w:eastAsia="Arial" w:hAnsi="Arial"/>
          <w:sz w:val="19"/>
          <w:szCs w:val="19"/>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There have been no changes in the valuation techniques used to measure fair value, or asset or liability transfers between the levels of the fair value hierarchy for the quarter ended March 31, 2018.</w:t>
      </w:r>
    </w:p>
    <w:p>
      <w:pPr>
        <w:spacing w:after="0" w:line="175"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w:t>
      </w:r>
    </w:p>
    <w:p>
      <w:pPr>
        <w:spacing w:after="0" w:line="213"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The fair value of loans payable is determined based on its carrying amount and utilizing Level 1 methods and assumptions. As of March 31, 2018 and December 31, 2017, the carrying amount of the Company’s loans payable was $20,342 and $3,650, respectively, which equates to their estimated fair value. The Company’s assets underlying the deferred compensation and non-qualified pension plans are determined by the fair value of mutual funds, which are based on quoted market prices from active markets utilizing Level 1 methods and assumptions. As of March 31, 2018 and December 31, 2017, the carrying amount of these securities was $21,576 and $21,776, which equates to their fair value, and is reported in the consolidated balance sheet in deferred charges and other assets. The fair value of cash and cash equivalents, which is comprised of uninvested cash, is determined based on the net asset value per unit utilizing Level 1 methods and assumptions. As of March 31, 2018 and December 31, 2017, the carrying amounts of the Company's cash and cash equivalents was $3,202 and $4,204, respectively, which equates to their fair value.</w:t>
      </w:r>
    </w:p>
    <w:p>
      <w:pPr>
        <w:spacing w:after="0" w:line="183"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Unrealized gain and losses on equity securities held in conjunction with our non-qualified pension plan is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0" w:type="dxa"/>
            <w:vAlign w:val="bottom"/>
          </w:tcPr>
          <w:p>
            <w:pPr>
              <w:jc w:val="center"/>
              <w:ind w:right="152"/>
              <w:spacing w:after="0"/>
              <w:rPr>
                <w:sz w:val="20"/>
                <w:szCs w:val="20"/>
                <w:color w:val="auto"/>
              </w:rPr>
            </w:pPr>
            <w:r>
              <w:rPr>
                <w:rFonts w:ascii="Arial" w:cs="Arial" w:eastAsia="Arial" w:hAnsi="Arial"/>
                <w:sz w:val="22"/>
                <w:szCs w:val="22"/>
                <w:color w:val="auto"/>
                <w:w w:val="88"/>
              </w:rPr>
              <w:t>Three Months Ended</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0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jc w:val="center"/>
              <w:ind w:right="152"/>
              <w:spacing w:after="0"/>
              <w:rPr>
                <w:sz w:val="20"/>
                <w:szCs w:val="20"/>
                <w:color w:val="auto"/>
              </w:rPr>
            </w:pPr>
            <w:r>
              <w:rPr>
                <w:rFonts w:ascii="Arial" w:cs="Arial" w:eastAsia="Arial" w:hAnsi="Arial"/>
                <w:sz w:val="22"/>
                <w:szCs w:val="22"/>
                <w:color w:val="auto"/>
                <w:w w:val="91"/>
              </w:rPr>
              <w:t>March 31,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center"/>
              <w:ind w:right="152"/>
              <w:spacing w:after="0" w:line="237" w:lineRule="exact"/>
              <w:rPr>
                <w:sz w:val="20"/>
                <w:szCs w:val="20"/>
                <w:color w:val="auto"/>
              </w:rPr>
            </w:pPr>
            <w:r>
              <w:rPr>
                <w:rFonts w:ascii="Arial" w:cs="Arial" w:eastAsia="Arial" w:hAnsi="Arial"/>
                <w:sz w:val="22"/>
                <w:szCs w:val="22"/>
                <w:color w:val="auto"/>
                <w:w w:val="85"/>
              </w:rPr>
              <w:t>2018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6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Net loss recognized during the period on equity securities</w:t>
            </w:r>
          </w:p>
        </w:tc>
        <w:tc>
          <w:tcPr>
            <w:tcW w:w="28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22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060" w:type="dxa"/>
            <w:vAlign w:val="bottom"/>
          </w:tcPr>
          <w:p>
            <w:pPr>
              <w:spacing w:after="0" w:line="222" w:lineRule="exact"/>
              <w:rPr>
                <w:sz w:val="20"/>
                <w:szCs w:val="20"/>
                <w:color w:val="auto"/>
              </w:rPr>
            </w:pPr>
            <w:r>
              <w:rPr>
                <w:rFonts w:ascii="Arial" w:cs="Arial" w:eastAsia="Arial" w:hAnsi="Arial"/>
                <w:sz w:val="22"/>
                <w:szCs w:val="22"/>
                <w:color w:val="auto"/>
                <w:w w:val="97"/>
              </w:rPr>
              <w:t>Less: net gain / loss recognized during the period on equity securities sold</w:t>
            </w:r>
          </w:p>
        </w:tc>
        <w:tc>
          <w:tcPr>
            <w:tcW w:w="2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7060" w:type="dxa"/>
            <w:vAlign w:val="bottom"/>
            <w:tcBorders>
              <w:bottom w:val="single" w:sz="8" w:color="CCEEFF"/>
            </w:tcBorders>
          </w:tcPr>
          <w:p>
            <w:pPr>
              <w:spacing w:after="0"/>
              <w:rPr>
                <w:sz w:val="20"/>
                <w:szCs w:val="20"/>
                <w:color w:val="auto"/>
              </w:rPr>
            </w:pPr>
            <w:r>
              <w:rPr>
                <w:rFonts w:ascii="Arial" w:cs="Arial" w:eastAsia="Arial" w:hAnsi="Arial"/>
                <w:sz w:val="22"/>
                <w:szCs w:val="22"/>
                <w:color w:val="auto"/>
              </w:rPr>
              <w:t>during the period</w:t>
            </w:r>
          </w:p>
        </w:tc>
        <w:tc>
          <w:tcPr>
            <w:tcW w:w="28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706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2"/>
              </w:rPr>
              <w:t>Unrealized loss recognized during the reporting period on equity securities still</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20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7060" w:type="dxa"/>
            <w:vAlign w:val="bottom"/>
            <w:tcBorders>
              <w:bottom w:val="single" w:sz="8" w:color="CCEEFF"/>
            </w:tcBorders>
            <w:shd w:val="clear" w:color="auto" w:fill="CCEEFF"/>
          </w:tcPr>
          <w:p>
            <w:pPr>
              <w:spacing w:after="0" w:line="251" w:lineRule="exact"/>
              <w:rPr>
                <w:sz w:val="20"/>
                <w:szCs w:val="20"/>
                <w:color w:val="auto"/>
              </w:rPr>
            </w:pPr>
            <w:r>
              <w:rPr>
                <w:rFonts w:ascii="Arial" w:cs="Arial" w:eastAsia="Arial" w:hAnsi="Arial"/>
                <w:sz w:val="22"/>
                <w:szCs w:val="22"/>
                <w:color w:val="auto"/>
              </w:rPr>
              <w:t>held at the reporting date</w:t>
            </w:r>
          </w:p>
        </w:tc>
        <w:tc>
          <w:tcPr>
            <w:tcW w:w="280" w:type="dxa"/>
            <w:vAlign w:val="bottom"/>
            <w:tcBorders>
              <w:bottom w:val="single" w:sz="8" w:color="auto"/>
            </w:tcBorders>
            <w:vMerge w:val="continue"/>
            <w:shd w:val="clear" w:color="auto" w:fill="CCEEFF"/>
          </w:tcPr>
          <w:p>
            <w:pPr>
              <w:spacing w:after="0"/>
              <w:rPr>
                <w:sz w:val="23"/>
                <w:szCs w:val="23"/>
                <w:color w:val="auto"/>
              </w:rPr>
            </w:pPr>
          </w:p>
        </w:tc>
        <w:tc>
          <w:tcPr>
            <w:tcW w:w="2200" w:type="dxa"/>
            <w:vAlign w:val="bottom"/>
            <w:tcBorders>
              <w:bottom w:val="single" w:sz="8" w:color="auto"/>
            </w:tcBorders>
            <w:vMerge w:val="continue"/>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6"/>
        </w:trPr>
        <w:tc>
          <w:tcPr>
            <w:tcW w:w="7060" w:type="dxa"/>
            <w:vAlign w:val="bottom"/>
          </w:tcPr>
          <w:p>
            <w:pPr>
              <w:ind w:left="4680"/>
              <w:spacing w:after="0"/>
              <w:rPr>
                <w:sz w:val="20"/>
                <w:szCs w:val="20"/>
                <w:color w:val="auto"/>
              </w:rPr>
            </w:pPr>
            <w:r>
              <w:rPr>
                <w:rFonts w:ascii="Arial" w:cs="Arial" w:eastAsia="Arial" w:hAnsi="Arial"/>
                <w:sz w:val="22"/>
                <w:szCs w:val="22"/>
                <w:color w:val="auto"/>
              </w:rPr>
              <w:t>12</w:t>
            </w: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0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0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-38100</wp:posOffset>
            </wp:positionV>
            <wp:extent cx="3429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80"/>
          </w:cols>
          <w:pgMar w:left="1220" w:top="118" w:right="109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80"/>
        <w:spacing w:after="0" w:line="258" w:lineRule="auto"/>
        <w:rPr>
          <w:sz w:val="20"/>
          <w:szCs w:val="20"/>
          <w:color w:val="auto"/>
        </w:rPr>
      </w:pPr>
      <w:r>
        <w:rPr>
          <w:rFonts w:ascii="Arial" w:cs="Arial" w:eastAsia="Arial" w:hAnsi="Arial"/>
          <w:sz w:val="21"/>
          <w:szCs w:val="21"/>
          <w:color w:val="auto"/>
        </w:rPr>
        <w:t>The net loss recognized on equity securities is presented on the consolidated statements of net income on the line item “Other.” Additionally, the unrealized gain recognized during the three months ended March 31, 2017, was reported on the consolidated statements of comprehensive income.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The carrying amounts and estimated fair values of the Company’s long-term debt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380" w:type="dxa"/>
            <w:vAlign w:val="bottom"/>
            <w:gridSpan w:val="2"/>
          </w:tcPr>
          <w:p>
            <w:pPr>
              <w:ind w:left="320"/>
              <w:spacing w:after="0"/>
              <w:rPr>
                <w:sz w:val="20"/>
                <w:szCs w:val="20"/>
                <w:color w:val="auto"/>
              </w:rPr>
            </w:pPr>
            <w:r>
              <w:rPr>
                <w:rFonts w:ascii="Arial" w:cs="Arial" w:eastAsia="Arial" w:hAnsi="Arial"/>
                <w:sz w:val="22"/>
                <w:szCs w:val="22"/>
                <w:color w:val="auto"/>
              </w:rPr>
              <w:t>March 31,</w:t>
            </w:r>
          </w:p>
        </w:tc>
        <w:tc>
          <w:tcPr>
            <w:tcW w:w="440" w:type="dxa"/>
            <w:vAlign w:val="bottom"/>
          </w:tcPr>
          <w:p>
            <w:pPr>
              <w:spacing w:after="0"/>
              <w:rPr>
                <w:sz w:val="23"/>
                <w:szCs w:val="23"/>
                <w:color w:val="auto"/>
              </w:rPr>
            </w:pPr>
          </w:p>
        </w:tc>
        <w:tc>
          <w:tcPr>
            <w:tcW w:w="2100" w:type="dxa"/>
            <w:vAlign w:val="bottom"/>
          </w:tcPr>
          <w:p>
            <w:pPr>
              <w:jc w:val="right"/>
              <w:ind w:right="552"/>
              <w:spacing w:after="0"/>
              <w:rPr>
                <w:sz w:val="20"/>
                <w:szCs w:val="20"/>
                <w:color w:val="auto"/>
              </w:rPr>
            </w:pPr>
            <w:r>
              <w:rPr>
                <w:rFonts w:ascii="Arial" w:cs="Arial" w:eastAsia="Arial" w:hAnsi="Arial"/>
                <w:sz w:val="22"/>
                <w:szCs w:val="22"/>
                <w:color w:val="auto"/>
              </w:rPr>
              <w:t>December 31,</w:t>
            </w:r>
          </w:p>
        </w:tc>
      </w:tr>
      <w:tr>
        <w:trPr>
          <w:trHeight w:val="274"/>
        </w:trPr>
        <w:tc>
          <w:tcPr>
            <w:tcW w:w="408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jc w:val="right"/>
              <w:ind w:right="972"/>
              <w:spacing w:after="0"/>
              <w:rPr>
                <w:sz w:val="20"/>
                <w:szCs w:val="20"/>
                <w:color w:val="auto"/>
              </w:rPr>
            </w:pPr>
            <w:r>
              <w:rPr>
                <w:rFonts w:ascii="Arial" w:cs="Arial" w:eastAsia="Arial" w:hAnsi="Arial"/>
                <w:sz w:val="22"/>
                <w:szCs w:val="22"/>
                <w:color w:val="auto"/>
              </w:rPr>
              <w:t>2018</w:t>
            </w:r>
          </w:p>
        </w:tc>
        <w:tc>
          <w:tcPr>
            <w:tcW w:w="3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ind w:right="952"/>
              <w:spacing w:after="0"/>
              <w:rPr>
                <w:sz w:val="20"/>
                <w:szCs w:val="20"/>
                <w:color w:val="auto"/>
              </w:rPr>
            </w:pPr>
            <w:r>
              <w:rPr>
                <w:rFonts w:ascii="Arial" w:cs="Arial" w:eastAsia="Arial" w:hAnsi="Arial"/>
                <w:sz w:val="22"/>
                <w:szCs w:val="22"/>
                <w:color w:val="auto"/>
              </w:rPr>
              <w:t>2017</w:t>
            </w:r>
          </w:p>
        </w:tc>
      </w:tr>
      <w:tr>
        <w:trPr>
          <w:trHeight w:val="264"/>
        </w:trPr>
        <w:tc>
          <w:tcPr>
            <w:tcW w:w="4080" w:type="dxa"/>
            <w:vAlign w:val="bottom"/>
            <w:shd w:val="clear" w:color="auto" w:fill="CCEEFF"/>
          </w:tcPr>
          <w:p>
            <w:pPr>
              <w:spacing w:after="0"/>
              <w:rPr>
                <w:sz w:val="20"/>
                <w:szCs w:val="20"/>
                <w:color w:val="auto"/>
              </w:rPr>
            </w:pPr>
            <w:r>
              <w:rPr>
                <w:rFonts w:ascii="Arial" w:cs="Arial" w:eastAsia="Arial" w:hAnsi="Arial"/>
                <w:sz w:val="22"/>
                <w:szCs w:val="22"/>
                <w:color w:val="auto"/>
              </w:rPr>
              <w:t>Carrying amount</w:t>
            </w:r>
          </w:p>
        </w:tc>
        <w:tc>
          <w:tcPr>
            <w:tcW w:w="54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2,188,115</w:t>
            </w:r>
          </w:p>
        </w:tc>
        <w:tc>
          <w:tcPr>
            <w:tcW w:w="3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2,143,127</w:t>
            </w:r>
          </w:p>
        </w:tc>
      </w:tr>
      <w:tr>
        <w:trPr>
          <w:trHeight w:val="294"/>
        </w:trPr>
        <w:tc>
          <w:tcPr>
            <w:tcW w:w="4080" w:type="dxa"/>
            <w:vAlign w:val="bottom"/>
          </w:tcPr>
          <w:p>
            <w:pPr>
              <w:spacing w:after="0"/>
              <w:rPr>
                <w:sz w:val="20"/>
                <w:szCs w:val="20"/>
                <w:color w:val="auto"/>
              </w:rPr>
            </w:pPr>
            <w:r>
              <w:rPr>
                <w:rFonts w:ascii="Arial" w:cs="Arial" w:eastAsia="Arial" w:hAnsi="Arial"/>
                <w:sz w:val="22"/>
                <w:szCs w:val="22"/>
                <w:color w:val="auto"/>
              </w:rPr>
              <w:t>Estimated fair value</w:t>
            </w:r>
          </w:p>
        </w:tc>
        <w:tc>
          <w:tcPr>
            <w:tcW w:w="5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2"/>
                <w:szCs w:val="22"/>
                <w:color w:val="auto"/>
              </w:rPr>
              <w:t>2,235,447</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2,262,785</w:t>
            </w:r>
          </w:p>
        </w:tc>
      </w:tr>
    </w:tbl>
    <w:p>
      <w:pPr>
        <w:spacing w:after="0" w:line="225" w:lineRule="exact"/>
        <w:rPr>
          <w:sz w:val="20"/>
          <w:szCs w:val="20"/>
          <w:color w:val="auto"/>
        </w:rPr>
      </w:pPr>
    </w:p>
    <w:p>
      <w:pPr>
        <w:jc w:val="both"/>
        <w:ind w:right="540"/>
        <w:spacing w:after="0"/>
        <w:rPr>
          <w:sz w:val="20"/>
          <w:szCs w:val="20"/>
          <w:color w:val="auto"/>
        </w:rPr>
      </w:pPr>
      <w:r>
        <w:rPr>
          <w:rFonts w:ascii="Arial" w:cs="Arial" w:eastAsia="Arial" w:hAnsi="Arial"/>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213"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The Company’s customers’ advances for construction have a carrying value of $90,599 as of March 31, 2018, and $93,186 as of December 31, 2017. Their relative fair values cannot be accurately estimated because future refund payments depend on several variables, including new customer connections, customer consumption levels, and future rates. Portions of these non-interest bearing instruments are payable annually through 2028 and amounts not paid by the respective contract expiration dates become non-refundable. The fair value of these amounts would, however, be less than their carrying value due to the non-interest bearing feature.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 </w:t>
      </w:r>
      <w:r>
        <w:rPr>
          <w:rFonts w:ascii="Arial" w:cs="Arial" w:eastAsia="Arial" w:hAnsi="Arial"/>
          <w:sz w:val="22"/>
          <w:szCs w:val="22"/>
          <w:b w:val="1"/>
          <w:bCs w:val="1"/>
          <w:i w:val="1"/>
          <w:iCs w:val="1"/>
          <w:color w:val="auto"/>
        </w:rPr>
        <w:t>Net Income per Common Share</w:t>
      </w:r>
    </w:p>
    <w:p>
      <w:pPr>
        <w:spacing w:after="0" w:line="239"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color w:val="auto"/>
        </w:rPr>
        <w:t>Basic net income per common share is based on the weighted average number of common shares outstanding. Diluted net income per common share is based on the weighted average number of common shares outstanding and potentially dilutive shares. The dilutive effect of employee stock-based compensation is included in the computation of diluted net income per common share. The dilutive effect of stock-based compensation is calculated using the treasury stock method and expected proceeds upon exercise or issuance of the stock-based compensation. The treasury stock method assumes that the proceeds from stock-based compensation are used to purchase the Company’s common stock at the average market price during the period. The following table summarizes the shares, in thousands, used in computing basic and diluted net income per common share: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20" w:type="dxa"/>
            <w:vAlign w:val="bottom"/>
          </w:tcPr>
          <w:p>
            <w:pPr>
              <w:spacing w:after="0"/>
              <w:rPr>
                <w:sz w:val="21"/>
                <w:szCs w:val="21"/>
                <w:color w:val="auto"/>
              </w:rPr>
            </w:pPr>
          </w:p>
        </w:tc>
        <w:tc>
          <w:tcPr>
            <w:tcW w:w="2820" w:type="dxa"/>
            <w:vAlign w:val="bottom"/>
            <w:gridSpan w:val="4"/>
          </w:tcPr>
          <w:p>
            <w:pPr>
              <w:jc w:val="center"/>
              <w:spacing w:after="0"/>
              <w:rPr>
                <w:sz w:val="20"/>
                <w:szCs w:val="20"/>
                <w:color w:val="auto"/>
              </w:rPr>
            </w:pPr>
            <w:r>
              <w:rPr>
                <w:rFonts w:ascii="Arial" w:cs="Arial" w:eastAsia="Arial" w:hAnsi="Arial"/>
                <w:sz w:val="22"/>
                <w:szCs w:val="22"/>
                <w:color w:val="auto"/>
                <w:w w:val="88"/>
              </w:rPr>
              <w:t>Three Months Ended</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720" w:type="dxa"/>
            <w:vAlign w:val="bottom"/>
          </w:tcPr>
          <w:p>
            <w:pPr>
              <w:spacing w:after="0"/>
              <w:rPr>
                <w:sz w:val="23"/>
                <w:szCs w:val="23"/>
                <w:color w:val="auto"/>
              </w:rPr>
            </w:pPr>
          </w:p>
        </w:tc>
        <w:tc>
          <w:tcPr>
            <w:tcW w:w="1880" w:type="dxa"/>
            <w:vAlign w:val="bottom"/>
            <w:tcBorders>
              <w:bottom w:val="single" w:sz="8" w:color="auto"/>
            </w:tcBorders>
            <w:gridSpan w:val="3"/>
          </w:tcPr>
          <w:p>
            <w:pPr>
              <w:jc w:val="center"/>
              <w:ind w:left="832"/>
              <w:spacing w:after="0"/>
              <w:rPr>
                <w:sz w:val="20"/>
                <w:szCs w:val="20"/>
                <w:color w:val="auto"/>
              </w:rPr>
            </w:pPr>
            <w:r>
              <w:rPr>
                <w:rFonts w:ascii="Arial" w:cs="Arial" w:eastAsia="Arial" w:hAnsi="Arial"/>
                <w:sz w:val="22"/>
                <w:szCs w:val="22"/>
                <w:color w:val="auto"/>
                <w:w w:val="91"/>
              </w:rPr>
              <w:t>March 31,</w:t>
            </w:r>
          </w:p>
        </w:tc>
        <w:tc>
          <w:tcPr>
            <w:tcW w:w="94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272"/>
              <w:spacing w:after="0" w:line="237" w:lineRule="exact"/>
              <w:rPr>
                <w:sz w:val="20"/>
                <w:szCs w:val="20"/>
                <w:color w:val="auto"/>
              </w:rPr>
            </w:pPr>
            <w:r>
              <w:rPr>
                <w:rFonts w:ascii="Arial" w:cs="Arial" w:eastAsia="Arial" w:hAnsi="Arial"/>
                <w:sz w:val="22"/>
                <w:szCs w:val="22"/>
                <w:color w:val="auto"/>
              </w:rPr>
              <w:t>2018</w:t>
            </w:r>
          </w:p>
        </w:tc>
        <w:tc>
          <w:tcPr>
            <w:tcW w:w="2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2"/>
              <w:spacing w:after="0" w:line="237" w:lineRule="exact"/>
              <w:rPr>
                <w:sz w:val="20"/>
                <w:szCs w:val="20"/>
                <w:color w:val="auto"/>
              </w:rPr>
            </w:pPr>
            <w:r>
              <w:rPr>
                <w:rFonts w:ascii="Arial" w:cs="Arial" w:eastAsia="Arial" w:hAnsi="Arial"/>
                <w:sz w:val="22"/>
                <w:szCs w:val="22"/>
                <w:color w:val="auto"/>
                <w:w w:val="89"/>
              </w:rPr>
              <w:t>2017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2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rPr>
              <w:t>Average common shares outstanding during the period for basic</w:t>
            </w: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6720" w:type="dxa"/>
            <w:vAlign w:val="bottom"/>
            <w:shd w:val="clear" w:color="auto" w:fill="CCEEFF"/>
          </w:tcPr>
          <w:p>
            <w:pPr>
              <w:spacing w:after="0"/>
              <w:rPr>
                <w:sz w:val="20"/>
                <w:szCs w:val="20"/>
                <w:color w:val="auto"/>
              </w:rPr>
            </w:pPr>
            <w:r>
              <w:rPr>
                <w:rFonts w:ascii="Arial" w:cs="Arial" w:eastAsia="Arial" w:hAnsi="Arial"/>
                <w:sz w:val="22"/>
                <w:szCs w:val="22"/>
                <w:color w:val="auto"/>
              </w:rPr>
              <w:t>computation</w:t>
            </w:r>
          </w:p>
        </w:tc>
        <w:tc>
          <w:tcPr>
            <w:tcW w:w="12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177,801</w:t>
            </w: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177,479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20" w:type="dxa"/>
            <w:vAlign w:val="bottom"/>
            <w:tcBorders>
              <w:bottom w:val="single" w:sz="8" w:color="CCEEFF"/>
            </w:tcBorders>
          </w:tcPr>
          <w:p>
            <w:pPr>
              <w:spacing w:after="0" w:line="243" w:lineRule="exact"/>
              <w:rPr>
                <w:sz w:val="20"/>
                <w:szCs w:val="20"/>
                <w:color w:val="auto"/>
              </w:rPr>
            </w:pPr>
            <w:r>
              <w:rPr>
                <w:rFonts w:ascii="Arial" w:cs="Arial" w:eastAsia="Arial" w:hAnsi="Arial"/>
                <w:sz w:val="22"/>
                <w:szCs w:val="22"/>
                <w:color w:val="auto"/>
              </w:rPr>
              <w:t>Dilutive effect of employee stock-based compensation</w:t>
            </w:r>
          </w:p>
        </w:tc>
        <w:tc>
          <w:tcPr>
            <w:tcW w:w="12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437</w:t>
            </w:r>
          </w:p>
        </w:tc>
        <w:tc>
          <w:tcPr>
            <w:tcW w:w="2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490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72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rPr>
              <w:t>Average common shares outstanding during the period for diluted</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178,238</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177,969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720" w:type="dxa"/>
            <w:vAlign w:val="bottom"/>
            <w:tcBorders>
              <w:bottom w:val="single" w:sz="8" w:color="CCEEFF"/>
            </w:tcBorders>
            <w:shd w:val="clear" w:color="auto" w:fill="CCEEFF"/>
          </w:tcPr>
          <w:p>
            <w:pPr>
              <w:spacing w:after="0" w:line="251" w:lineRule="exact"/>
              <w:rPr>
                <w:sz w:val="20"/>
                <w:szCs w:val="20"/>
                <w:color w:val="auto"/>
              </w:rPr>
            </w:pPr>
            <w:r>
              <w:rPr>
                <w:rFonts w:ascii="Arial" w:cs="Arial" w:eastAsia="Arial" w:hAnsi="Arial"/>
                <w:sz w:val="22"/>
                <w:szCs w:val="22"/>
                <w:color w:val="auto"/>
              </w:rPr>
              <w:t>computation</w:t>
            </w:r>
          </w:p>
        </w:tc>
        <w:tc>
          <w:tcPr>
            <w:tcW w:w="1200" w:type="dxa"/>
            <w:vAlign w:val="bottom"/>
            <w:tcBorders>
              <w:bottom w:val="single" w:sz="8" w:color="auto"/>
            </w:tcBorders>
            <w:vMerge w:val="continue"/>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vMerge w:val="continue"/>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42"/>
        </w:trPr>
        <w:tc>
          <w:tcPr>
            <w:tcW w:w="6720" w:type="dxa"/>
            <w:vAlign w:val="bottom"/>
          </w:tcPr>
          <w:p>
            <w:pPr>
              <w:ind w:left="4680"/>
              <w:spacing w:after="0"/>
              <w:rPr>
                <w:sz w:val="20"/>
                <w:szCs w:val="20"/>
                <w:color w:val="auto"/>
              </w:rPr>
            </w:pPr>
            <w:r>
              <w:rPr>
                <w:rFonts w:ascii="Arial" w:cs="Arial" w:eastAsia="Arial" w:hAnsi="Arial"/>
                <w:sz w:val="22"/>
                <w:szCs w:val="22"/>
                <w:color w:val="auto"/>
              </w:rPr>
              <w:t>13</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7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72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-38100</wp:posOffset>
            </wp:positionV>
            <wp:extent cx="3429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80"/>
          </w:cols>
          <w:pgMar w:left="1220" w:top="118" w:right="109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For the three months ended March 31, 2018 and 2017, all of the Company’s employee stock options were included in the calculations of diluted net income per share as the calculated cost to exercise the stock options was less than the average market price of the Company’s common stock during these periods.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 </w:t>
      </w:r>
      <w:r>
        <w:rPr>
          <w:rFonts w:ascii="Arial" w:cs="Arial" w:eastAsia="Arial" w:hAnsi="Arial"/>
          <w:sz w:val="22"/>
          <w:szCs w:val="22"/>
          <w:b w:val="1"/>
          <w:bCs w:val="1"/>
          <w:i w:val="1"/>
          <w:iCs w:val="1"/>
          <w:color w:val="auto"/>
        </w:rPr>
        <w:t>Stock-based Compensation</w:t>
      </w:r>
    </w:p>
    <w:p>
      <w:pPr>
        <w:spacing w:after="0" w:line="239"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Under the Company’s 2009 Omnibus Equity Compensation Plan, as amended as of February 27, 2014 (the “2009 Plan”), as approved by the Company’s shareholders to replace the 2004 Equity Compensation Plan (the “2004 Plan”), stock options, stock units, stock awards, stock appreciation rights, dividend equivalents, and other stock-based awards may be granted to employees, non-employee directors, and consultants and advisors. No further grants may be made under the 2004 Plan. The 2009 Plan authorizes 6,250,000 shares for issuance under the plan. A maximum of 3,125,000 shares under the 2009 Plan may be issued pursuant to stock awards, stock units and other stock-based awards, subject to adjustment as provided in the 2009</w:t>
      </w:r>
    </w:p>
    <w:p>
      <w:pPr>
        <w:spacing w:after="0" w:line="5" w:lineRule="exact"/>
        <w:rPr>
          <w:sz w:val="20"/>
          <w:szCs w:val="20"/>
          <w:color w:val="auto"/>
        </w:rPr>
      </w:pPr>
    </w:p>
    <w:p>
      <w:pPr>
        <w:ind w:right="40"/>
        <w:spacing w:after="0" w:line="243" w:lineRule="auto"/>
        <w:rPr>
          <w:sz w:val="20"/>
          <w:szCs w:val="20"/>
          <w:color w:val="auto"/>
        </w:rPr>
      </w:pPr>
      <w:r>
        <w:rPr>
          <w:rFonts w:ascii="Arial" w:cs="Arial" w:eastAsia="Arial" w:hAnsi="Arial"/>
          <w:sz w:val="21"/>
          <w:szCs w:val="21"/>
          <w:color w:val="auto"/>
        </w:rPr>
        <w:t>Plan. During any calendar year, no individual may be granted (i) stock options and stock appreciation rights under the 2009 Plan for more than 500,000 shares of Company stock in the aggregate or (ii) stock awards, stock units or other stock-based awards under the 2009 Plan for more than 500,000 shares of Company stock in the aggregate, subject to adjustment as provided in the 2009 Plan. Awards to employees and consultants under the 2009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March 31, 2018, 3,454,922 shares were still available for issuance under the 2009 Plan.</w:t>
      </w:r>
    </w:p>
    <w:p>
      <w:pPr>
        <w:spacing w:after="0" w:line="212"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b w:val="1"/>
          <w:bCs w:val="1"/>
          <w:i w:val="1"/>
          <w:iCs w:val="1"/>
          <w:color w:val="auto"/>
        </w:rPr>
        <w:t xml:space="preserve">Performance Share Units </w:t>
      </w:r>
      <w:r>
        <w:rPr>
          <w:rFonts w:ascii="Arial" w:cs="Arial" w:eastAsia="Arial" w:hAnsi="Arial"/>
          <w:sz w:val="19"/>
          <w:szCs w:val="19"/>
          <w:color w:val="auto"/>
        </w:rPr>
        <w:t>– A performance share unit (“PSU”) represents the right to receive a share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common stock if specified performance goals are met over the three-year performance period specified in the grant, subject to exceptions through the respective vesting period, generally three years. Each grantee is granted a target award of PSUs, and may earn between 0% and 200% of the target amount depending on the Company’s performance against the performance goals. The following table provides compensation costs for stock-based compensation related to PSUs: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60" w:type="dxa"/>
            <w:vAlign w:val="bottom"/>
          </w:tcPr>
          <w:p>
            <w:pPr>
              <w:spacing w:after="0"/>
              <w:rPr>
                <w:sz w:val="21"/>
                <w:szCs w:val="21"/>
                <w:color w:val="auto"/>
              </w:rPr>
            </w:pPr>
          </w:p>
        </w:tc>
        <w:tc>
          <w:tcPr>
            <w:tcW w:w="3260" w:type="dxa"/>
            <w:vAlign w:val="bottom"/>
            <w:gridSpan w:val="4"/>
          </w:tcPr>
          <w:p>
            <w:pPr>
              <w:jc w:val="center"/>
              <w:ind w:left="412"/>
              <w:spacing w:after="0"/>
              <w:rPr>
                <w:sz w:val="20"/>
                <w:szCs w:val="20"/>
                <w:color w:val="auto"/>
              </w:rPr>
            </w:pPr>
            <w:r>
              <w:rPr>
                <w:rFonts w:ascii="Arial" w:cs="Arial" w:eastAsia="Arial" w:hAnsi="Arial"/>
                <w:sz w:val="22"/>
                <w:szCs w:val="22"/>
                <w:color w:val="auto"/>
                <w:w w:val="88"/>
              </w:rPr>
              <w:t>Three Months Ended</w:t>
            </w: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5"/>
        </w:trPr>
        <w:tc>
          <w:tcPr>
            <w:tcW w:w="576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3"/>
          </w:tcPr>
          <w:p>
            <w:pPr>
              <w:jc w:val="center"/>
              <w:ind w:right="612"/>
              <w:spacing w:after="0"/>
              <w:rPr>
                <w:sz w:val="20"/>
                <w:szCs w:val="20"/>
                <w:color w:val="auto"/>
              </w:rPr>
            </w:pPr>
            <w:r>
              <w:rPr>
                <w:rFonts w:ascii="Arial" w:cs="Arial" w:eastAsia="Arial" w:hAnsi="Arial"/>
                <w:sz w:val="22"/>
                <w:szCs w:val="22"/>
                <w:color w:val="auto"/>
                <w:w w:val="91"/>
              </w:rPr>
              <w:t>March 31,</w:t>
            </w:r>
          </w:p>
        </w:tc>
        <w:tc>
          <w:tcPr>
            <w:tcW w:w="5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237"/>
        </w:trPr>
        <w:tc>
          <w:tcPr>
            <w:tcW w:w="57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2018</w:t>
            </w: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2017</w:t>
            </w:r>
          </w:p>
        </w:tc>
        <w:tc>
          <w:tcPr>
            <w:tcW w:w="5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576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3"/>
              </w:rPr>
              <w:t>Stock-based compensation within operations and maintenance</w:t>
            </w: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65"/>
        </w:trPr>
        <w:tc>
          <w:tcPr>
            <w:tcW w:w="5760" w:type="dxa"/>
            <w:vAlign w:val="bottom"/>
            <w:shd w:val="clear" w:color="auto" w:fill="CCEEFF"/>
          </w:tcPr>
          <w:p>
            <w:pPr>
              <w:spacing w:after="0"/>
              <w:rPr>
                <w:sz w:val="20"/>
                <w:szCs w:val="20"/>
                <w:color w:val="auto"/>
              </w:rPr>
            </w:pPr>
            <w:r>
              <w:rPr>
                <w:rFonts w:ascii="Arial" w:cs="Arial" w:eastAsia="Arial" w:hAnsi="Arial"/>
                <w:sz w:val="22"/>
                <w:szCs w:val="22"/>
                <w:color w:val="auto"/>
              </w:rPr>
              <w:t>expenses</w:t>
            </w:r>
          </w:p>
        </w:tc>
        <w:tc>
          <w:tcPr>
            <w:tcW w:w="1240" w:type="dxa"/>
            <w:vAlign w:val="bottom"/>
            <w:shd w:val="clear" w:color="auto" w:fill="CCEEFF"/>
          </w:tcPr>
          <w:p>
            <w:pPr>
              <w:jc w:val="right"/>
              <w:ind w:right="872"/>
              <w:spacing w:after="0"/>
              <w:rPr>
                <w:sz w:val="20"/>
                <w:szCs w:val="20"/>
                <w:color w:val="auto"/>
              </w:rPr>
            </w:pPr>
            <w:r>
              <w:rPr>
                <w:rFonts w:ascii="Arial" w:cs="Arial" w:eastAsia="Arial" w:hAnsi="Arial"/>
                <w:sz w:val="22"/>
                <w:szCs w:val="2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859</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872"/>
              <w:spacing w:after="0"/>
              <w:rPr>
                <w:sz w:val="20"/>
                <w:szCs w:val="20"/>
                <w:color w:val="auto"/>
              </w:rPr>
            </w:pPr>
            <w:r>
              <w:rPr>
                <w:rFonts w:ascii="Arial" w:cs="Arial" w:eastAsia="Arial" w:hAnsi="Arial"/>
                <w:sz w:val="22"/>
                <w:szCs w:val="2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870</w:t>
            </w:r>
          </w:p>
        </w:tc>
        <w:tc>
          <w:tcPr>
            <w:tcW w:w="40" w:type="dxa"/>
            <w:vAlign w:val="bottom"/>
          </w:tcPr>
          <w:p>
            <w:pPr>
              <w:spacing w:after="0"/>
              <w:rPr>
                <w:sz w:val="23"/>
                <w:szCs w:val="23"/>
                <w:color w:val="auto"/>
              </w:rPr>
            </w:pPr>
          </w:p>
        </w:tc>
      </w:tr>
      <w:tr>
        <w:trPr>
          <w:trHeight w:val="275"/>
        </w:trPr>
        <w:tc>
          <w:tcPr>
            <w:tcW w:w="5760" w:type="dxa"/>
            <w:vAlign w:val="bottom"/>
          </w:tcPr>
          <w:p>
            <w:pPr>
              <w:spacing w:after="0"/>
              <w:rPr>
                <w:sz w:val="20"/>
                <w:szCs w:val="20"/>
                <w:color w:val="auto"/>
              </w:rPr>
            </w:pPr>
            <w:r>
              <w:rPr>
                <w:rFonts w:ascii="Arial" w:cs="Arial" w:eastAsia="Arial" w:hAnsi="Arial"/>
                <w:sz w:val="22"/>
                <w:szCs w:val="22"/>
                <w:color w:val="auto"/>
              </w:rPr>
              <w:t>Income tax benefit</w:t>
            </w:r>
          </w:p>
        </w:tc>
        <w:tc>
          <w:tcPr>
            <w:tcW w:w="12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241</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353</w:t>
            </w:r>
          </w:p>
        </w:tc>
        <w:tc>
          <w:tcPr>
            <w:tcW w:w="40" w:type="dxa"/>
            <w:vAlign w:val="bottom"/>
          </w:tcPr>
          <w:p>
            <w:pPr>
              <w:spacing w:after="0"/>
              <w:rPr>
                <w:sz w:val="23"/>
                <w:szCs w:val="23"/>
                <w:color w:val="auto"/>
              </w:rPr>
            </w:pPr>
          </w:p>
        </w:tc>
      </w:tr>
      <w:tr>
        <w:trPr>
          <w:trHeight w:val="681"/>
        </w:trPr>
        <w:tc>
          <w:tcPr>
            <w:tcW w:w="5760" w:type="dxa"/>
            <w:vAlign w:val="bottom"/>
          </w:tcPr>
          <w:p>
            <w:pPr>
              <w:jc w:val="right"/>
              <w:ind w:right="772"/>
              <w:spacing w:after="0"/>
              <w:rPr>
                <w:sz w:val="20"/>
                <w:szCs w:val="20"/>
                <w:color w:val="auto"/>
              </w:rPr>
            </w:pPr>
            <w:r>
              <w:rPr>
                <w:rFonts w:ascii="Arial" w:cs="Arial" w:eastAsia="Arial" w:hAnsi="Arial"/>
                <w:sz w:val="22"/>
                <w:szCs w:val="22"/>
                <w:color w:val="auto"/>
              </w:rPr>
              <w:t>14</w:t>
            </w: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8"/>
        </w:trPr>
        <w:tc>
          <w:tcPr>
            <w:tcW w:w="57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r>
        <w:trPr>
          <w:trHeight w:val="20"/>
        </w:trPr>
        <w:tc>
          <w:tcPr>
            <w:tcW w:w="576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-38100</wp:posOffset>
            </wp:positionV>
            <wp:extent cx="3429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80"/>
          </w:cols>
          <w:pgMar w:left="1220" w:top="118" w:right="109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PSU transactions for the three months ended March 31,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840" w:type="dxa"/>
            <w:vAlign w:val="bottom"/>
          </w:tcPr>
          <w:p>
            <w:pPr>
              <w:spacing w:after="0"/>
              <w:rPr>
                <w:sz w:val="23"/>
                <w:szCs w:val="23"/>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22"/>
                <w:szCs w:val="22"/>
                <w:color w:val="auto"/>
                <w:w w:val="89"/>
              </w:rPr>
              <w:t>Number</w:t>
            </w:r>
          </w:p>
        </w:tc>
        <w:tc>
          <w:tcPr>
            <w:tcW w:w="200" w:type="dxa"/>
            <w:vAlign w:val="bottom"/>
          </w:tcPr>
          <w:p>
            <w:pPr>
              <w:spacing w:after="0"/>
              <w:rPr>
                <w:sz w:val="23"/>
                <w:szCs w:val="23"/>
                <w:color w:val="auto"/>
              </w:rPr>
            </w:pPr>
          </w:p>
        </w:tc>
        <w:tc>
          <w:tcPr>
            <w:tcW w:w="1020" w:type="dxa"/>
            <w:vAlign w:val="bottom"/>
          </w:tcPr>
          <w:p>
            <w:pPr>
              <w:jc w:val="center"/>
              <w:ind w:right="92"/>
              <w:spacing w:after="0"/>
              <w:rPr>
                <w:sz w:val="20"/>
                <w:szCs w:val="20"/>
                <w:color w:val="auto"/>
              </w:rPr>
            </w:pPr>
            <w:r>
              <w:rPr>
                <w:rFonts w:ascii="Arial" w:cs="Arial" w:eastAsia="Arial" w:hAnsi="Arial"/>
                <w:sz w:val="22"/>
                <w:szCs w:val="22"/>
                <w:color w:val="auto"/>
                <w:w w:val="88"/>
              </w:rPr>
              <w:t>Weighted</w:t>
            </w:r>
          </w:p>
        </w:tc>
      </w:tr>
      <w:tr>
        <w:trPr>
          <w:trHeight w:val="284"/>
        </w:trPr>
        <w:tc>
          <w:tcPr>
            <w:tcW w:w="6840" w:type="dxa"/>
            <w:vAlign w:val="bottom"/>
          </w:tcPr>
          <w:p>
            <w:pPr>
              <w:spacing w:after="0"/>
              <w:rPr>
                <w:sz w:val="24"/>
                <w:szCs w:val="2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22"/>
                <w:szCs w:val="22"/>
                <w:color w:val="auto"/>
                <w:w w:val="97"/>
              </w:rPr>
              <w:t>of</w:t>
            </w:r>
          </w:p>
        </w:tc>
        <w:tc>
          <w:tcPr>
            <w:tcW w:w="200" w:type="dxa"/>
            <w:vAlign w:val="bottom"/>
          </w:tcPr>
          <w:p>
            <w:pPr>
              <w:spacing w:after="0"/>
              <w:rPr>
                <w:sz w:val="24"/>
                <w:szCs w:val="24"/>
                <w:color w:val="auto"/>
              </w:rPr>
            </w:pPr>
          </w:p>
        </w:tc>
        <w:tc>
          <w:tcPr>
            <w:tcW w:w="1020" w:type="dxa"/>
            <w:vAlign w:val="bottom"/>
          </w:tcPr>
          <w:p>
            <w:pPr>
              <w:jc w:val="center"/>
              <w:ind w:right="72"/>
              <w:spacing w:after="0"/>
              <w:rPr>
                <w:sz w:val="20"/>
                <w:szCs w:val="20"/>
                <w:color w:val="auto"/>
              </w:rPr>
            </w:pPr>
            <w:r>
              <w:rPr>
                <w:rFonts w:ascii="Arial" w:cs="Arial" w:eastAsia="Arial" w:hAnsi="Arial"/>
                <w:sz w:val="22"/>
                <w:szCs w:val="22"/>
                <w:color w:val="auto"/>
                <w:w w:val="87"/>
              </w:rPr>
              <w:t>Average</w:t>
            </w:r>
          </w:p>
        </w:tc>
      </w:tr>
      <w:tr>
        <w:trPr>
          <w:trHeight w:val="274"/>
        </w:trPr>
        <w:tc>
          <w:tcPr>
            <w:tcW w:w="6840" w:type="dxa"/>
            <w:vAlign w:val="bottom"/>
          </w:tcPr>
          <w:p>
            <w:pPr>
              <w:spacing w:after="0"/>
              <w:rPr>
                <w:sz w:val="23"/>
                <w:szCs w:val="23"/>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22"/>
                <w:szCs w:val="22"/>
                <w:color w:val="auto"/>
                <w:w w:val="88"/>
              </w:rPr>
              <w:t>Share Units</w:t>
            </w:r>
          </w:p>
        </w:tc>
        <w:tc>
          <w:tcPr>
            <w:tcW w:w="1220" w:type="dxa"/>
            <w:vAlign w:val="bottom"/>
            <w:gridSpan w:val="2"/>
          </w:tcPr>
          <w:p>
            <w:pPr>
              <w:jc w:val="center"/>
              <w:spacing w:after="0"/>
              <w:rPr>
                <w:sz w:val="20"/>
                <w:szCs w:val="20"/>
                <w:color w:val="auto"/>
              </w:rPr>
            </w:pPr>
            <w:r>
              <w:rPr>
                <w:rFonts w:ascii="Arial" w:cs="Arial" w:eastAsia="Arial" w:hAnsi="Arial"/>
                <w:sz w:val="22"/>
                <w:szCs w:val="22"/>
                <w:color w:val="auto"/>
                <w:w w:val="89"/>
              </w:rPr>
              <w:t>Fair Value</w:t>
            </w:r>
          </w:p>
        </w:tc>
      </w:tr>
      <w:tr>
        <w:trPr>
          <w:trHeight w:val="264"/>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2"/>
                <w:szCs w:val="22"/>
                <w:color w:val="auto"/>
              </w:rPr>
              <w:t>Nonvested share units at beginning of period</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452,333</w:t>
            </w:r>
          </w:p>
        </w:tc>
        <w:tc>
          <w:tcPr>
            <w:tcW w:w="1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26.16</w:t>
            </w:r>
          </w:p>
        </w:tc>
      </w:tr>
      <w:tr>
        <w:trPr>
          <w:trHeight w:val="284"/>
        </w:trPr>
        <w:tc>
          <w:tcPr>
            <w:tcW w:w="6840" w:type="dxa"/>
            <w:vAlign w:val="bottom"/>
          </w:tcPr>
          <w:p>
            <w:pPr>
              <w:ind w:left="100"/>
              <w:spacing w:after="0"/>
              <w:rPr>
                <w:sz w:val="20"/>
                <w:szCs w:val="20"/>
                <w:color w:val="auto"/>
              </w:rPr>
            </w:pPr>
            <w:r>
              <w:rPr>
                <w:rFonts w:ascii="Arial" w:cs="Arial" w:eastAsia="Arial" w:hAnsi="Arial"/>
                <w:sz w:val="22"/>
                <w:szCs w:val="22"/>
                <w:color w:val="auto"/>
              </w:rPr>
              <w:t>Granted</w:t>
            </w:r>
          </w:p>
        </w:tc>
        <w:tc>
          <w:tcPr>
            <w:tcW w:w="1300" w:type="dxa"/>
            <w:vAlign w:val="bottom"/>
          </w:tcPr>
          <w:p>
            <w:pPr>
              <w:jc w:val="right"/>
              <w:spacing w:after="0"/>
              <w:rPr>
                <w:sz w:val="20"/>
                <w:szCs w:val="20"/>
                <w:color w:val="auto"/>
              </w:rPr>
            </w:pPr>
            <w:r>
              <w:rPr>
                <w:rFonts w:ascii="Arial" w:cs="Arial" w:eastAsia="Arial" w:hAnsi="Arial"/>
                <w:sz w:val="22"/>
                <w:szCs w:val="22"/>
                <w:color w:val="auto"/>
              </w:rPr>
              <w:t>87,593</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37.65</w:t>
            </w:r>
          </w:p>
        </w:tc>
      </w:tr>
      <w:tr>
        <w:trPr>
          <w:trHeight w:val="284"/>
        </w:trPr>
        <w:tc>
          <w:tcPr>
            <w:tcW w:w="68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Performance criteria adjustment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(33,109)</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29.71</w:t>
            </w:r>
          </w:p>
        </w:tc>
      </w:tr>
      <w:tr>
        <w:trPr>
          <w:trHeight w:val="284"/>
        </w:trPr>
        <w:tc>
          <w:tcPr>
            <w:tcW w:w="6840" w:type="dxa"/>
            <w:vAlign w:val="bottom"/>
          </w:tcPr>
          <w:p>
            <w:pPr>
              <w:ind w:left="100"/>
              <w:spacing w:after="0"/>
              <w:rPr>
                <w:sz w:val="20"/>
                <w:szCs w:val="20"/>
                <w:color w:val="auto"/>
              </w:rPr>
            </w:pPr>
            <w:r>
              <w:rPr>
                <w:rFonts w:ascii="Arial" w:cs="Arial" w:eastAsia="Arial" w:hAnsi="Arial"/>
                <w:sz w:val="22"/>
                <w:szCs w:val="22"/>
                <w:color w:val="auto"/>
              </w:rPr>
              <w:t>Forfeited</w:t>
            </w:r>
          </w:p>
        </w:tc>
        <w:tc>
          <w:tcPr>
            <w:tcW w:w="1480" w:type="dxa"/>
            <w:vAlign w:val="bottom"/>
            <w:gridSpan w:val="2"/>
          </w:tcPr>
          <w:p>
            <w:pPr>
              <w:jc w:val="right"/>
              <w:ind w:right="180"/>
              <w:spacing w:after="0"/>
              <w:rPr>
                <w:sz w:val="20"/>
                <w:szCs w:val="20"/>
                <w:color w:val="auto"/>
              </w:rPr>
            </w:pPr>
            <w:r>
              <w:rPr>
                <w:rFonts w:ascii="Arial" w:cs="Arial" w:eastAsia="Arial" w:hAnsi="Arial"/>
                <w:sz w:val="22"/>
                <w:szCs w:val="22"/>
                <w:color w:val="auto"/>
              </w:rPr>
              <w:t>(5,522)</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29.59</w:t>
            </w:r>
          </w:p>
        </w:tc>
      </w:tr>
      <w:tr>
        <w:trPr>
          <w:trHeight w:val="284"/>
        </w:trPr>
        <w:tc>
          <w:tcPr>
            <w:tcW w:w="68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Share units vested in prior period and issued in current period</w:t>
            </w:r>
          </w:p>
        </w:tc>
        <w:tc>
          <w:tcPr>
            <w:tcW w:w="13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9,400</w:t>
            </w: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26.54</w:t>
            </w:r>
          </w:p>
        </w:tc>
      </w:tr>
      <w:tr>
        <w:trPr>
          <w:trHeight w:val="284"/>
        </w:trPr>
        <w:tc>
          <w:tcPr>
            <w:tcW w:w="6840" w:type="dxa"/>
            <w:vAlign w:val="bottom"/>
          </w:tcPr>
          <w:p>
            <w:pPr>
              <w:ind w:left="100"/>
              <w:spacing w:after="0"/>
              <w:rPr>
                <w:sz w:val="20"/>
                <w:szCs w:val="20"/>
                <w:color w:val="auto"/>
              </w:rPr>
            </w:pPr>
            <w:r>
              <w:rPr>
                <w:rFonts w:ascii="Arial" w:cs="Arial" w:eastAsia="Arial" w:hAnsi="Arial"/>
                <w:sz w:val="22"/>
                <w:szCs w:val="22"/>
                <w:color w:val="auto"/>
              </w:rPr>
              <w:t>Share units issued</w:t>
            </w:r>
          </w:p>
        </w:tc>
        <w:tc>
          <w:tcPr>
            <w:tcW w:w="1480" w:type="dxa"/>
            <w:vAlign w:val="bottom"/>
            <w:gridSpan w:val="2"/>
          </w:tcPr>
          <w:p>
            <w:pPr>
              <w:jc w:val="right"/>
              <w:ind w:right="180"/>
              <w:spacing w:after="0"/>
              <w:rPr>
                <w:sz w:val="20"/>
                <w:szCs w:val="20"/>
                <w:color w:val="auto"/>
              </w:rPr>
            </w:pPr>
            <w:r>
              <w:rPr>
                <w:rFonts w:ascii="Arial" w:cs="Arial" w:eastAsia="Arial" w:hAnsi="Arial"/>
                <w:sz w:val="22"/>
                <w:szCs w:val="22"/>
                <w:color w:val="auto"/>
              </w:rPr>
              <w:t>(136,081)</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31.70</w:t>
            </w:r>
          </w:p>
        </w:tc>
      </w:tr>
      <w:tr>
        <w:trPr>
          <w:trHeight w:val="257"/>
        </w:trPr>
        <w:tc>
          <w:tcPr>
            <w:tcW w:w="6840" w:type="dxa"/>
            <w:vAlign w:val="bottom"/>
            <w:tcBorders>
              <w:top w:val="single" w:sz="8" w:color="CCEEFF"/>
              <w:bottom w:val="single" w:sz="8" w:color="CCEEFF"/>
            </w:tcBorders>
            <w:shd w:val="clear" w:color="auto" w:fill="CCEEFF"/>
          </w:tcPr>
          <w:p>
            <w:pPr>
              <w:spacing w:after="0" w:line="250" w:lineRule="exact"/>
              <w:rPr>
                <w:sz w:val="20"/>
                <w:szCs w:val="20"/>
                <w:color w:val="auto"/>
              </w:rPr>
            </w:pPr>
            <w:r>
              <w:rPr>
                <w:rFonts w:ascii="Arial" w:cs="Arial" w:eastAsia="Arial" w:hAnsi="Arial"/>
                <w:sz w:val="22"/>
                <w:szCs w:val="22"/>
                <w:color w:val="auto"/>
              </w:rPr>
              <w:t>Nonvested share units at end of period</w:t>
            </w:r>
          </w:p>
        </w:tc>
        <w:tc>
          <w:tcPr>
            <w:tcW w:w="1300" w:type="dxa"/>
            <w:vAlign w:val="bottom"/>
            <w:tcBorders>
              <w:top w:val="single" w:sz="8" w:color="auto"/>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374,614</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020" w:type="dxa"/>
            <w:vAlign w:val="bottom"/>
            <w:tcBorders>
              <w:top w:val="single" w:sz="8" w:color="CCEEFF"/>
              <w:bottom w:val="single" w:sz="8" w:color="CCEEFF"/>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26.48</w:t>
            </w:r>
          </w:p>
        </w:tc>
      </w:tr>
    </w:tbl>
    <w:p>
      <w:pPr>
        <w:spacing w:after="0" w:line="200" w:lineRule="exact"/>
        <w:rPr>
          <w:sz w:val="20"/>
          <w:szCs w:val="20"/>
          <w:color w:val="auto"/>
        </w:rPr>
      </w:pPr>
    </w:p>
    <w:p>
      <w:pPr>
        <w:spacing w:after="0" w:line="278" w:lineRule="exact"/>
        <w:rPr>
          <w:sz w:val="20"/>
          <w:szCs w:val="20"/>
          <w:color w:val="auto"/>
        </w:rPr>
      </w:pPr>
    </w:p>
    <w:p>
      <w:pPr>
        <w:ind w:right="260"/>
        <w:spacing w:after="0" w:line="270" w:lineRule="auto"/>
        <w:rPr>
          <w:sz w:val="20"/>
          <w:szCs w:val="20"/>
          <w:color w:val="auto"/>
        </w:rPr>
      </w:pPr>
      <w:r>
        <w:rPr>
          <w:rFonts w:ascii="Arial" w:cs="Arial" w:eastAsia="Arial" w:hAnsi="Arial"/>
          <w:sz w:val="19"/>
          <w:szCs w:val="19"/>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w:t>
      </w:r>
    </w:p>
    <w:p>
      <w:pPr>
        <w:spacing w:after="0" w:line="4"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three months ended March 31, 2018 and 2017 was $37.65 and $30.79, respectively.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182"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b w:val="1"/>
          <w:bCs w:val="1"/>
          <w:i w:val="1"/>
          <w:iCs w:val="1"/>
          <w:color w:val="auto"/>
        </w:rPr>
        <w:t xml:space="preserve">Restricted Stock Units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 restricted stock unit (“RSU”) represents the right to receive a share of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Company’s common stock. RSUs are eligible to be earned at the end of a specified restricted period,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cost and income tax benefit for stock-based compensation related to RSUs: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0" w:type="dxa"/>
            <w:vAlign w:val="bottom"/>
          </w:tcPr>
          <w:p>
            <w:pPr>
              <w:spacing w:after="0"/>
              <w:rPr>
                <w:sz w:val="21"/>
                <w:szCs w:val="21"/>
                <w:color w:val="auto"/>
              </w:rPr>
            </w:pPr>
          </w:p>
        </w:tc>
        <w:tc>
          <w:tcPr>
            <w:tcW w:w="3040" w:type="dxa"/>
            <w:vAlign w:val="bottom"/>
            <w:gridSpan w:val="4"/>
          </w:tcPr>
          <w:p>
            <w:pPr>
              <w:jc w:val="center"/>
              <w:ind w:left="392"/>
              <w:spacing w:after="0"/>
              <w:rPr>
                <w:sz w:val="20"/>
                <w:szCs w:val="20"/>
                <w:color w:val="auto"/>
              </w:rPr>
            </w:pPr>
            <w:r>
              <w:rPr>
                <w:rFonts w:ascii="Arial" w:cs="Arial" w:eastAsia="Arial" w:hAnsi="Arial"/>
                <w:sz w:val="22"/>
                <w:szCs w:val="22"/>
                <w:color w:val="auto"/>
                <w:w w:val="88"/>
              </w:rPr>
              <w:t>Three Months Ended</w:t>
            </w: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65"/>
        </w:trPr>
        <w:tc>
          <w:tcPr>
            <w:tcW w:w="60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3"/>
          </w:tcPr>
          <w:p>
            <w:pPr>
              <w:jc w:val="center"/>
              <w:ind w:right="512"/>
              <w:spacing w:after="0"/>
              <w:rPr>
                <w:sz w:val="20"/>
                <w:szCs w:val="20"/>
                <w:color w:val="auto"/>
              </w:rPr>
            </w:pPr>
            <w:r>
              <w:rPr>
                <w:rFonts w:ascii="Arial" w:cs="Arial" w:eastAsia="Arial" w:hAnsi="Arial"/>
                <w:sz w:val="22"/>
                <w:szCs w:val="22"/>
                <w:color w:val="auto"/>
                <w:w w:val="91"/>
              </w:rPr>
              <w:t>March 31,</w:t>
            </w:r>
          </w:p>
        </w:tc>
        <w:tc>
          <w:tcPr>
            <w:tcW w:w="5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237"/>
        </w:trPr>
        <w:tc>
          <w:tcPr>
            <w:tcW w:w="60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2018</w:t>
            </w: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2017</w:t>
            </w:r>
          </w:p>
        </w:tc>
        <w:tc>
          <w:tcPr>
            <w:tcW w:w="5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600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7"/>
              </w:rPr>
              <w:t>Stock-based compensation within operations and maintenance</w:t>
            </w:r>
          </w:p>
        </w:tc>
        <w:tc>
          <w:tcPr>
            <w:tcW w:w="1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65"/>
        </w:trPr>
        <w:tc>
          <w:tcPr>
            <w:tcW w:w="6000" w:type="dxa"/>
            <w:vAlign w:val="bottom"/>
            <w:shd w:val="clear" w:color="auto" w:fill="CCEEFF"/>
          </w:tcPr>
          <w:p>
            <w:pPr>
              <w:spacing w:after="0"/>
              <w:rPr>
                <w:sz w:val="20"/>
                <w:szCs w:val="20"/>
                <w:color w:val="auto"/>
              </w:rPr>
            </w:pPr>
            <w:r>
              <w:rPr>
                <w:rFonts w:ascii="Arial" w:cs="Arial" w:eastAsia="Arial" w:hAnsi="Arial"/>
                <w:sz w:val="22"/>
                <w:szCs w:val="22"/>
                <w:color w:val="auto"/>
              </w:rPr>
              <w:t>expenses</w:t>
            </w:r>
          </w:p>
        </w:tc>
        <w:tc>
          <w:tcPr>
            <w:tcW w:w="1120" w:type="dxa"/>
            <w:vAlign w:val="bottom"/>
            <w:shd w:val="clear" w:color="auto" w:fill="CCEEFF"/>
          </w:tcPr>
          <w:p>
            <w:pPr>
              <w:jc w:val="right"/>
              <w:ind w:right="732"/>
              <w:spacing w:after="0"/>
              <w:rPr>
                <w:sz w:val="20"/>
                <w:szCs w:val="20"/>
                <w:color w:val="auto"/>
              </w:rPr>
            </w:pPr>
            <w:r>
              <w:rPr>
                <w:rFonts w:ascii="Arial" w:cs="Arial" w:eastAsia="Arial" w:hAnsi="Arial"/>
                <w:sz w:val="22"/>
                <w:szCs w:val="2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351</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92"/>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281</w:t>
            </w:r>
          </w:p>
        </w:tc>
        <w:tc>
          <w:tcPr>
            <w:tcW w:w="40" w:type="dxa"/>
            <w:vAlign w:val="bottom"/>
          </w:tcPr>
          <w:p>
            <w:pPr>
              <w:spacing w:after="0"/>
              <w:rPr>
                <w:sz w:val="23"/>
                <w:szCs w:val="23"/>
                <w:color w:val="auto"/>
              </w:rPr>
            </w:pPr>
          </w:p>
        </w:tc>
      </w:tr>
      <w:tr>
        <w:trPr>
          <w:trHeight w:val="275"/>
        </w:trPr>
        <w:tc>
          <w:tcPr>
            <w:tcW w:w="6000" w:type="dxa"/>
            <w:vAlign w:val="bottom"/>
          </w:tcPr>
          <w:p>
            <w:pPr>
              <w:spacing w:after="0"/>
              <w:rPr>
                <w:sz w:val="20"/>
                <w:szCs w:val="20"/>
                <w:color w:val="auto"/>
              </w:rPr>
            </w:pPr>
            <w:r>
              <w:rPr>
                <w:rFonts w:ascii="Arial" w:cs="Arial" w:eastAsia="Arial" w:hAnsi="Arial"/>
                <w:sz w:val="22"/>
                <w:szCs w:val="22"/>
                <w:color w:val="auto"/>
              </w:rPr>
              <w:t>Income tax benefit</w:t>
            </w:r>
          </w:p>
        </w:tc>
        <w:tc>
          <w:tcPr>
            <w:tcW w:w="11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22"/>
                <w:szCs w:val="22"/>
                <w:color w:val="auto"/>
              </w:rPr>
              <w:t>100</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rPr>
              <w:t>116</w:t>
            </w:r>
          </w:p>
        </w:tc>
        <w:tc>
          <w:tcPr>
            <w:tcW w:w="40" w:type="dxa"/>
            <w:vAlign w:val="bottom"/>
          </w:tcPr>
          <w:p>
            <w:pPr>
              <w:spacing w:after="0"/>
              <w:rPr>
                <w:sz w:val="23"/>
                <w:szCs w:val="23"/>
                <w:color w:val="auto"/>
              </w:rPr>
            </w:pPr>
          </w:p>
        </w:tc>
      </w:tr>
      <w:tr>
        <w:trPr>
          <w:trHeight w:val="694"/>
        </w:trPr>
        <w:tc>
          <w:tcPr>
            <w:tcW w:w="6000" w:type="dxa"/>
            <w:vAlign w:val="bottom"/>
          </w:tcPr>
          <w:p>
            <w:pPr>
              <w:jc w:val="right"/>
              <w:ind w:right="1012"/>
              <w:spacing w:after="0"/>
              <w:rPr>
                <w:sz w:val="20"/>
                <w:szCs w:val="20"/>
                <w:color w:val="auto"/>
              </w:rPr>
            </w:pPr>
            <w:r>
              <w:rPr>
                <w:rFonts w:ascii="Arial" w:cs="Arial" w:eastAsia="Arial" w:hAnsi="Arial"/>
                <w:sz w:val="22"/>
                <w:szCs w:val="22"/>
                <w:color w:val="auto"/>
              </w:rPr>
              <w:t>15</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8"/>
        </w:trPr>
        <w:tc>
          <w:tcPr>
            <w:tcW w:w="60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r>
        <w:trPr>
          <w:trHeight w:val="20"/>
        </w:trPr>
        <w:tc>
          <w:tcPr>
            <w:tcW w:w="600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-38100</wp:posOffset>
            </wp:positionV>
            <wp:extent cx="3429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80"/>
          </w:cols>
          <w:pgMar w:left="1220" w:top="118" w:right="109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the RSU transactions for the three months ended March 31, 2018: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74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22"/>
                <w:szCs w:val="22"/>
                <w:color w:val="auto"/>
                <w:w w:val="89"/>
              </w:rPr>
              <w:t>Number</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center"/>
              <w:ind w:right="112"/>
              <w:spacing w:after="0"/>
              <w:rPr>
                <w:sz w:val="20"/>
                <w:szCs w:val="20"/>
                <w:color w:val="auto"/>
              </w:rPr>
            </w:pPr>
            <w:r>
              <w:rPr>
                <w:rFonts w:ascii="Arial" w:cs="Arial" w:eastAsia="Arial" w:hAnsi="Arial"/>
                <w:sz w:val="22"/>
                <w:szCs w:val="22"/>
                <w:color w:val="auto"/>
                <w:w w:val="88"/>
              </w:rPr>
              <w:t>Weighted</w:t>
            </w:r>
          </w:p>
        </w:tc>
      </w:tr>
      <w:tr>
        <w:trPr>
          <w:trHeight w:val="284"/>
        </w:trPr>
        <w:tc>
          <w:tcPr>
            <w:tcW w:w="67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2"/>
                <w:szCs w:val="22"/>
                <w:color w:val="auto"/>
                <w:w w:val="97"/>
              </w:rPr>
              <w:t>of</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center"/>
              <w:ind w:right="92"/>
              <w:spacing w:after="0"/>
              <w:rPr>
                <w:sz w:val="20"/>
                <w:szCs w:val="20"/>
                <w:color w:val="auto"/>
              </w:rPr>
            </w:pPr>
            <w:r>
              <w:rPr>
                <w:rFonts w:ascii="Arial" w:cs="Arial" w:eastAsia="Arial" w:hAnsi="Arial"/>
                <w:sz w:val="22"/>
                <w:szCs w:val="22"/>
                <w:color w:val="auto"/>
                <w:w w:val="87"/>
              </w:rPr>
              <w:t>Average</w:t>
            </w:r>
          </w:p>
        </w:tc>
      </w:tr>
      <w:tr>
        <w:trPr>
          <w:trHeight w:val="274"/>
        </w:trPr>
        <w:tc>
          <w:tcPr>
            <w:tcW w:w="674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Stock Units</w:t>
            </w:r>
          </w:p>
        </w:tc>
        <w:tc>
          <w:tcPr>
            <w:tcW w:w="2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22"/>
                <w:szCs w:val="22"/>
                <w:color w:val="auto"/>
                <w:w w:val="89"/>
              </w:rPr>
              <w:t>Fair Value</w:t>
            </w:r>
          </w:p>
        </w:tc>
      </w:tr>
      <w:tr>
        <w:trPr>
          <w:trHeight w:val="264"/>
        </w:trPr>
        <w:tc>
          <w:tcPr>
            <w:tcW w:w="6740" w:type="dxa"/>
            <w:vAlign w:val="bottom"/>
            <w:shd w:val="clear" w:color="auto" w:fill="CCEEFF"/>
          </w:tcPr>
          <w:p>
            <w:pPr>
              <w:spacing w:after="0"/>
              <w:rPr>
                <w:sz w:val="20"/>
                <w:szCs w:val="20"/>
                <w:color w:val="auto"/>
              </w:rPr>
            </w:pPr>
            <w:r>
              <w:rPr>
                <w:rFonts w:ascii="Arial" w:cs="Arial" w:eastAsia="Arial" w:hAnsi="Arial"/>
                <w:sz w:val="22"/>
                <w:szCs w:val="22"/>
                <w:color w:val="auto"/>
              </w:rPr>
              <w:t>Nonvested stock units at beginning of period</w:t>
            </w:r>
          </w:p>
        </w:tc>
        <w:tc>
          <w:tcPr>
            <w:tcW w:w="12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116,787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29.46</w:t>
            </w:r>
          </w:p>
        </w:tc>
      </w:tr>
      <w:tr>
        <w:trPr>
          <w:trHeight w:val="284"/>
        </w:trPr>
        <w:tc>
          <w:tcPr>
            <w:tcW w:w="6740" w:type="dxa"/>
            <w:vAlign w:val="bottom"/>
          </w:tcPr>
          <w:p>
            <w:pPr>
              <w:ind w:left="100"/>
              <w:spacing w:after="0"/>
              <w:rPr>
                <w:sz w:val="20"/>
                <w:szCs w:val="20"/>
                <w:color w:val="auto"/>
              </w:rPr>
            </w:pPr>
            <w:r>
              <w:rPr>
                <w:rFonts w:ascii="Arial" w:cs="Arial" w:eastAsia="Arial" w:hAnsi="Arial"/>
                <w:sz w:val="22"/>
                <w:szCs w:val="22"/>
                <w:color w:val="auto"/>
              </w:rPr>
              <w:t>Granted</w:t>
            </w:r>
          </w:p>
        </w:tc>
        <w:tc>
          <w:tcPr>
            <w:tcW w:w="1220" w:type="dxa"/>
            <w:vAlign w:val="bottom"/>
          </w:tcPr>
          <w:p>
            <w:pPr>
              <w:jc w:val="right"/>
              <w:spacing w:after="0"/>
              <w:rPr>
                <w:sz w:val="20"/>
                <w:szCs w:val="20"/>
                <w:color w:val="auto"/>
              </w:rPr>
            </w:pPr>
            <w:r>
              <w:rPr>
                <w:rFonts w:ascii="Arial" w:cs="Arial" w:eastAsia="Arial" w:hAnsi="Arial"/>
                <w:sz w:val="22"/>
                <w:szCs w:val="22"/>
                <w:color w:val="auto"/>
              </w:rPr>
              <w:t>54,073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34.91</w:t>
            </w:r>
          </w:p>
        </w:tc>
      </w:tr>
      <w:tr>
        <w:trPr>
          <w:trHeight w:val="284"/>
        </w:trPr>
        <w:tc>
          <w:tcPr>
            <w:tcW w:w="67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Stock units vested in prior period and issued in current period</w:t>
            </w:r>
          </w:p>
        </w:tc>
        <w:tc>
          <w:tcPr>
            <w:tcW w:w="12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1,467</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31.47</w:t>
            </w:r>
          </w:p>
        </w:tc>
      </w:tr>
      <w:tr>
        <w:trPr>
          <w:trHeight w:val="284"/>
        </w:trPr>
        <w:tc>
          <w:tcPr>
            <w:tcW w:w="6740" w:type="dxa"/>
            <w:vAlign w:val="bottom"/>
          </w:tcPr>
          <w:p>
            <w:pPr>
              <w:ind w:left="100"/>
              <w:spacing w:after="0"/>
              <w:rPr>
                <w:sz w:val="20"/>
                <w:szCs w:val="20"/>
                <w:color w:val="auto"/>
              </w:rPr>
            </w:pPr>
            <w:r>
              <w:rPr>
                <w:rFonts w:ascii="Arial" w:cs="Arial" w:eastAsia="Arial" w:hAnsi="Arial"/>
                <w:sz w:val="22"/>
                <w:szCs w:val="22"/>
                <w:color w:val="auto"/>
              </w:rPr>
              <w:t>Stock units vested and issued</w:t>
            </w:r>
          </w:p>
        </w:tc>
        <w:tc>
          <w:tcPr>
            <w:tcW w:w="1220" w:type="dxa"/>
            <w:vAlign w:val="bottom"/>
          </w:tcPr>
          <w:p>
            <w:pPr>
              <w:jc w:val="right"/>
              <w:spacing w:after="0"/>
              <w:rPr>
                <w:sz w:val="20"/>
                <w:szCs w:val="20"/>
                <w:color w:val="auto"/>
              </w:rPr>
            </w:pPr>
            <w:r>
              <w:rPr>
                <w:rFonts w:ascii="Arial" w:cs="Arial" w:eastAsia="Arial" w:hAnsi="Arial"/>
                <w:sz w:val="22"/>
                <w:szCs w:val="22"/>
                <w:color w:val="auto"/>
              </w:rPr>
              <w:t>(42,836)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26.39</w:t>
            </w:r>
          </w:p>
        </w:tc>
      </w:tr>
      <w:tr>
        <w:trPr>
          <w:trHeight w:val="284"/>
        </w:trPr>
        <w:tc>
          <w:tcPr>
            <w:tcW w:w="6740" w:type="dxa"/>
            <w:vAlign w:val="bottom"/>
            <w:shd w:val="clear" w:color="auto" w:fill="CCEEFF"/>
          </w:tcPr>
          <w:p>
            <w:pPr>
              <w:ind w:left="100"/>
              <w:spacing w:after="0"/>
              <w:rPr>
                <w:sz w:val="20"/>
                <w:szCs w:val="20"/>
                <w:color w:val="auto"/>
              </w:rPr>
            </w:pPr>
            <w:r>
              <w:rPr>
                <w:rFonts w:ascii="Arial" w:cs="Arial" w:eastAsia="Arial" w:hAnsi="Arial"/>
                <w:sz w:val="22"/>
                <w:szCs w:val="22"/>
                <w:color w:val="auto"/>
              </w:rPr>
              <w:t>Forfeited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57"/>
        </w:trPr>
        <w:tc>
          <w:tcPr>
            <w:tcW w:w="6740" w:type="dxa"/>
            <w:vAlign w:val="bottom"/>
          </w:tcPr>
          <w:p>
            <w:pPr>
              <w:spacing w:after="0" w:line="250" w:lineRule="exact"/>
              <w:rPr>
                <w:sz w:val="20"/>
                <w:szCs w:val="20"/>
                <w:color w:val="auto"/>
              </w:rPr>
            </w:pPr>
            <w:r>
              <w:rPr>
                <w:rFonts w:ascii="Arial" w:cs="Arial" w:eastAsia="Arial" w:hAnsi="Arial"/>
                <w:sz w:val="22"/>
                <w:szCs w:val="22"/>
                <w:color w:val="auto"/>
              </w:rPr>
              <w:t>Nonvested stock units at end of period</w:t>
            </w:r>
          </w:p>
        </w:tc>
        <w:tc>
          <w:tcPr>
            <w:tcW w:w="12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129,491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spacing w:after="0" w:line="250" w:lineRule="exact"/>
              <w:rPr>
                <w:sz w:val="20"/>
                <w:szCs w:val="20"/>
                <w:color w:val="auto"/>
              </w:rPr>
            </w:pPr>
            <w:r>
              <w:rPr>
                <w:rFonts w:ascii="Arial" w:cs="Arial" w:eastAsia="Arial" w:hAnsi="Arial"/>
                <w:sz w:val="22"/>
                <w:szCs w:val="22"/>
                <w:color w:val="auto"/>
              </w:rPr>
              <w:t>31.78</w:t>
            </w:r>
          </w:p>
        </w:tc>
      </w:tr>
    </w:tbl>
    <w:p>
      <w:pPr>
        <w:spacing w:after="0" w:line="235"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The per unit weighted-average fair value at the date of grant for RSUs granted during the three months ended March 31, 2018 and 2017 was $34.91 and $30.37, respectively.</w:t>
      </w:r>
    </w:p>
    <w:p>
      <w:pPr>
        <w:spacing w:after="0" w:line="200"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b w:val="1"/>
          <w:bCs w:val="1"/>
          <w:i w:val="1"/>
          <w:iCs w:val="1"/>
          <w:color w:val="auto"/>
        </w:rPr>
        <w:t xml:space="preserve">Stock Options </w:t>
      </w:r>
      <w:r>
        <w:rPr>
          <w:rFonts w:ascii="Arial" w:cs="Arial" w:eastAsia="Arial" w:hAnsi="Arial"/>
          <w:sz w:val="21"/>
          <w:szCs w:val="21"/>
          <w:color w:val="auto"/>
        </w:rPr>
        <w:t>– A stock option represents the option to purchase a number of shares of common stock of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 as 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spacing w:after="0"/>
              <w:rPr>
                <w:sz w:val="21"/>
                <w:szCs w:val="21"/>
                <w:color w:val="auto"/>
              </w:rPr>
            </w:pPr>
          </w:p>
        </w:tc>
        <w:tc>
          <w:tcPr>
            <w:tcW w:w="2940" w:type="dxa"/>
            <w:vAlign w:val="bottom"/>
            <w:gridSpan w:val="4"/>
          </w:tcPr>
          <w:p>
            <w:pPr>
              <w:jc w:val="center"/>
              <w:ind w:left="292"/>
              <w:spacing w:after="0"/>
              <w:rPr>
                <w:sz w:val="20"/>
                <w:szCs w:val="20"/>
                <w:color w:val="auto"/>
              </w:rPr>
            </w:pPr>
            <w:r>
              <w:rPr>
                <w:rFonts w:ascii="Arial" w:cs="Arial" w:eastAsia="Arial" w:hAnsi="Arial"/>
                <w:sz w:val="22"/>
                <w:szCs w:val="22"/>
                <w:color w:val="auto"/>
                <w:w w:val="88"/>
              </w:rPr>
              <w:t>Three Months Ended</w:t>
            </w:r>
          </w:p>
        </w:tc>
        <w:tc>
          <w:tcPr>
            <w:tcW w:w="400" w:type="dxa"/>
            <w:vAlign w:val="bottom"/>
          </w:tcPr>
          <w:p>
            <w:pPr>
              <w:spacing w:after="0"/>
              <w:rPr>
                <w:sz w:val="21"/>
                <w:szCs w:val="21"/>
                <w:color w:val="auto"/>
              </w:rPr>
            </w:pPr>
          </w:p>
        </w:tc>
      </w:tr>
      <w:tr>
        <w:trPr>
          <w:trHeight w:val="265"/>
        </w:trPr>
        <w:tc>
          <w:tcPr>
            <w:tcW w:w="62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jc w:val="center"/>
              <w:ind w:right="592"/>
              <w:spacing w:after="0"/>
              <w:rPr>
                <w:sz w:val="20"/>
                <w:szCs w:val="20"/>
                <w:color w:val="auto"/>
              </w:rPr>
            </w:pPr>
            <w:r>
              <w:rPr>
                <w:rFonts w:ascii="Arial" w:cs="Arial" w:eastAsia="Arial" w:hAnsi="Arial"/>
                <w:sz w:val="22"/>
                <w:szCs w:val="22"/>
                <w:color w:val="auto"/>
                <w:w w:val="89"/>
              </w:rPr>
              <w:t>March 31,</w:t>
            </w:r>
          </w:p>
        </w:tc>
        <w:tc>
          <w:tcPr>
            <w:tcW w:w="400" w:type="dxa"/>
            <w:vAlign w:val="bottom"/>
            <w:tcBorders>
              <w:bottom w:val="single" w:sz="8" w:color="auto"/>
            </w:tcBorders>
          </w:tcPr>
          <w:p>
            <w:pPr>
              <w:spacing w:after="0"/>
              <w:rPr>
                <w:sz w:val="23"/>
                <w:szCs w:val="23"/>
                <w:color w:val="auto"/>
              </w:rPr>
            </w:pPr>
          </w:p>
        </w:tc>
      </w:tr>
      <w:tr>
        <w:trPr>
          <w:trHeight w:val="237"/>
        </w:trPr>
        <w:tc>
          <w:tcPr>
            <w:tcW w:w="6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2018</w:t>
            </w: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2017</w:t>
            </w:r>
          </w:p>
        </w:tc>
        <w:tc>
          <w:tcPr>
            <w:tcW w:w="400" w:type="dxa"/>
            <w:vAlign w:val="bottom"/>
            <w:tcBorders>
              <w:bottom w:val="single" w:sz="8" w:color="auto"/>
            </w:tcBorders>
          </w:tcPr>
          <w:p>
            <w:pPr>
              <w:spacing w:after="0"/>
              <w:rPr>
                <w:sz w:val="20"/>
                <w:szCs w:val="20"/>
                <w:color w:val="auto"/>
              </w:rPr>
            </w:pPr>
          </w:p>
        </w:tc>
      </w:tr>
      <w:tr>
        <w:trPr>
          <w:trHeight w:val="202"/>
        </w:trPr>
        <w:tc>
          <w:tcPr>
            <w:tcW w:w="620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rPr>
              <w:t>Stock-based compensation within operations and maintenance</w:t>
            </w: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65"/>
        </w:trPr>
        <w:tc>
          <w:tcPr>
            <w:tcW w:w="6200" w:type="dxa"/>
            <w:vAlign w:val="bottom"/>
            <w:shd w:val="clear" w:color="auto" w:fill="CCEEFF"/>
          </w:tcPr>
          <w:p>
            <w:pPr>
              <w:spacing w:after="0"/>
              <w:rPr>
                <w:sz w:val="20"/>
                <w:szCs w:val="20"/>
                <w:color w:val="auto"/>
              </w:rPr>
            </w:pPr>
            <w:r>
              <w:rPr>
                <w:rFonts w:ascii="Arial" w:cs="Arial" w:eastAsia="Arial" w:hAnsi="Arial"/>
                <w:sz w:val="22"/>
                <w:szCs w:val="22"/>
                <w:color w:val="auto"/>
              </w:rPr>
              <w:t>expenses</w:t>
            </w:r>
          </w:p>
        </w:tc>
        <w:tc>
          <w:tcPr>
            <w:tcW w:w="1120" w:type="dxa"/>
            <w:vAlign w:val="bottom"/>
            <w:shd w:val="clear" w:color="auto" w:fill="CCEEFF"/>
          </w:tcPr>
          <w:p>
            <w:pPr>
              <w:jc w:val="right"/>
              <w:ind w:right="752"/>
              <w:spacing w:after="0"/>
              <w:rPr>
                <w:sz w:val="20"/>
                <w:szCs w:val="20"/>
                <w:color w:val="auto"/>
              </w:rPr>
            </w:pPr>
            <w:r>
              <w:rPr>
                <w:rFonts w:ascii="Arial" w:cs="Arial" w:eastAsia="Arial" w:hAnsi="Arial"/>
                <w:sz w:val="22"/>
                <w:szCs w:val="2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94</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72"/>
              <w:spacing w:after="0"/>
              <w:rPr>
                <w:sz w:val="20"/>
                <w:szCs w:val="20"/>
                <w:color w:val="auto"/>
              </w:rPr>
            </w:pPr>
            <w:r>
              <w:rPr>
                <w:rFonts w:ascii="Arial" w:cs="Arial" w:eastAsia="Arial" w:hAnsi="Arial"/>
                <w:sz w:val="22"/>
                <w:szCs w:val="2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w:t>
            </w:r>
          </w:p>
        </w:tc>
      </w:tr>
      <w:tr>
        <w:trPr>
          <w:trHeight w:val="275"/>
        </w:trPr>
        <w:tc>
          <w:tcPr>
            <w:tcW w:w="6200" w:type="dxa"/>
            <w:vAlign w:val="bottom"/>
          </w:tcPr>
          <w:p>
            <w:pPr>
              <w:spacing w:after="0"/>
              <w:rPr>
                <w:sz w:val="20"/>
                <w:szCs w:val="20"/>
                <w:color w:val="auto"/>
              </w:rPr>
            </w:pPr>
            <w:r>
              <w:rPr>
                <w:rFonts w:ascii="Arial" w:cs="Arial" w:eastAsia="Arial" w:hAnsi="Arial"/>
                <w:sz w:val="22"/>
                <w:szCs w:val="22"/>
                <w:color w:val="auto"/>
              </w:rPr>
              <w:t>Income tax benefit</w:t>
            </w:r>
          </w:p>
        </w:tc>
        <w:tc>
          <w:tcPr>
            <w:tcW w:w="1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58</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rPr>
              <w:t>92</w:t>
            </w:r>
          </w:p>
        </w:tc>
      </w:tr>
    </w:tbl>
    <w:p>
      <w:pPr>
        <w:spacing w:after="0" w:line="19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The fair value of options was estimated at the grant date using the Black-Scholes option-pricing model. The following assumptions were used in the application of this valuation model:</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62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2018</w:t>
            </w:r>
          </w:p>
        </w:tc>
        <w:tc>
          <w:tcPr>
            <w:tcW w:w="10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652"/>
              <w:spacing w:after="0"/>
              <w:rPr>
                <w:sz w:val="20"/>
                <w:szCs w:val="20"/>
                <w:color w:val="auto"/>
              </w:rPr>
            </w:pPr>
            <w:r>
              <w:rPr>
                <w:rFonts w:ascii="Arial" w:cs="Arial" w:eastAsia="Arial" w:hAnsi="Arial"/>
                <w:sz w:val="22"/>
                <w:szCs w:val="22"/>
                <w:color w:val="auto"/>
              </w:rPr>
              <w:t>2017</w:t>
            </w:r>
          </w:p>
        </w:tc>
      </w:tr>
      <w:tr>
        <w:trPr>
          <w:trHeight w:val="264"/>
        </w:trPr>
        <w:tc>
          <w:tcPr>
            <w:tcW w:w="5620" w:type="dxa"/>
            <w:vAlign w:val="bottom"/>
            <w:shd w:val="clear" w:color="auto" w:fill="CCEEFF"/>
          </w:tcPr>
          <w:p>
            <w:pPr>
              <w:spacing w:after="0"/>
              <w:rPr>
                <w:sz w:val="20"/>
                <w:szCs w:val="20"/>
                <w:color w:val="auto"/>
              </w:rPr>
            </w:pPr>
            <w:r>
              <w:rPr>
                <w:rFonts w:ascii="Arial" w:cs="Arial" w:eastAsia="Arial" w:hAnsi="Arial"/>
                <w:sz w:val="22"/>
                <w:szCs w:val="22"/>
                <w:color w:val="auto"/>
              </w:rPr>
              <w:t>Expected term (years)</w:t>
            </w:r>
          </w:p>
        </w:tc>
        <w:tc>
          <w:tcPr>
            <w:tcW w:w="1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22"/>
                <w:szCs w:val="22"/>
                <w:color w:val="auto"/>
              </w:rPr>
              <w:t>5.46</w:t>
            </w: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5.45</w:t>
            </w:r>
          </w:p>
        </w:tc>
      </w:tr>
      <w:tr>
        <w:trPr>
          <w:trHeight w:val="284"/>
        </w:trPr>
        <w:tc>
          <w:tcPr>
            <w:tcW w:w="5620" w:type="dxa"/>
            <w:vAlign w:val="bottom"/>
          </w:tcPr>
          <w:p>
            <w:pPr>
              <w:spacing w:after="0"/>
              <w:rPr>
                <w:sz w:val="20"/>
                <w:szCs w:val="20"/>
                <w:color w:val="auto"/>
              </w:rPr>
            </w:pPr>
            <w:r>
              <w:rPr>
                <w:rFonts w:ascii="Arial" w:cs="Arial" w:eastAsia="Arial" w:hAnsi="Arial"/>
                <w:sz w:val="22"/>
                <w:szCs w:val="22"/>
                <w:color w:val="auto"/>
              </w:rPr>
              <w:t>Risk-free interest rate</w:t>
            </w:r>
          </w:p>
        </w:tc>
        <w:tc>
          <w:tcPr>
            <w:tcW w:w="1280" w:type="dxa"/>
            <w:vAlign w:val="bottom"/>
          </w:tcPr>
          <w:p>
            <w:pPr>
              <w:spacing w:after="0"/>
              <w:rPr>
                <w:sz w:val="24"/>
                <w:szCs w:val="24"/>
                <w:color w:val="auto"/>
              </w:rPr>
            </w:pPr>
          </w:p>
        </w:tc>
        <w:tc>
          <w:tcPr>
            <w:tcW w:w="1040" w:type="dxa"/>
            <w:vAlign w:val="bottom"/>
          </w:tcPr>
          <w:p>
            <w:pPr>
              <w:jc w:val="right"/>
              <w:ind w:right="292"/>
              <w:spacing w:after="0"/>
              <w:rPr>
                <w:sz w:val="20"/>
                <w:szCs w:val="20"/>
                <w:color w:val="auto"/>
              </w:rPr>
            </w:pPr>
            <w:r>
              <w:rPr>
                <w:rFonts w:ascii="Arial" w:cs="Arial" w:eastAsia="Arial" w:hAnsi="Arial"/>
                <w:sz w:val="22"/>
                <w:szCs w:val="22"/>
                <w:color w:val="auto"/>
                <w:w w:val="99"/>
              </w:rPr>
              <w:t>2.72%</w:t>
            </w:r>
          </w:p>
        </w:tc>
        <w:tc>
          <w:tcPr>
            <w:tcW w:w="1600" w:type="dxa"/>
            <w:vAlign w:val="bottom"/>
          </w:tcPr>
          <w:p>
            <w:pPr>
              <w:jc w:val="right"/>
              <w:spacing w:after="0"/>
              <w:rPr>
                <w:sz w:val="20"/>
                <w:szCs w:val="20"/>
                <w:color w:val="auto"/>
              </w:rPr>
            </w:pPr>
            <w:r>
              <w:rPr>
                <w:rFonts w:ascii="Arial" w:cs="Arial" w:eastAsia="Arial" w:hAnsi="Arial"/>
                <w:sz w:val="22"/>
                <w:szCs w:val="22"/>
                <w:color w:val="auto"/>
              </w:rPr>
              <w:t>2.01%</w:t>
            </w:r>
          </w:p>
        </w:tc>
      </w:tr>
      <w:tr>
        <w:trPr>
          <w:trHeight w:val="284"/>
        </w:trPr>
        <w:tc>
          <w:tcPr>
            <w:tcW w:w="5620" w:type="dxa"/>
            <w:vAlign w:val="bottom"/>
            <w:shd w:val="clear" w:color="auto" w:fill="CCEEFF"/>
          </w:tcPr>
          <w:p>
            <w:pPr>
              <w:spacing w:after="0"/>
              <w:rPr>
                <w:sz w:val="20"/>
                <w:szCs w:val="20"/>
                <w:color w:val="auto"/>
              </w:rPr>
            </w:pPr>
            <w:r>
              <w:rPr>
                <w:rFonts w:ascii="Arial" w:cs="Arial" w:eastAsia="Arial" w:hAnsi="Arial"/>
                <w:sz w:val="22"/>
                <w:szCs w:val="22"/>
                <w:color w:val="auto"/>
              </w:rPr>
              <w:t>Expected volatility</w:t>
            </w:r>
          </w:p>
        </w:tc>
        <w:tc>
          <w:tcPr>
            <w:tcW w:w="12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22"/>
                <w:szCs w:val="22"/>
                <w:color w:val="auto"/>
                <w:w w:val="99"/>
              </w:rPr>
              <w:t>17.2%</w:t>
            </w: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17.7%</w:t>
            </w:r>
          </w:p>
        </w:tc>
      </w:tr>
      <w:tr>
        <w:trPr>
          <w:trHeight w:val="284"/>
        </w:trPr>
        <w:tc>
          <w:tcPr>
            <w:tcW w:w="5620" w:type="dxa"/>
            <w:vAlign w:val="bottom"/>
          </w:tcPr>
          <w:p>
            <w:pPr>
              <w:spacing w:after="0"/>
              <w:rPr>
                <w:sz w:val="20"/>
                <w:szCs w:val="20"/>
                <w:color w:val="auto"/>
              </w:rPr>
            </w:pPr>
            <w:r>
              <w:rPr>
                <w:rFonts w:ascii="Arial" w:cs="Arial" w:eastAsia="Arial" w:hAnsi="Arial"/>
                <w:sz w:val="22"/>
                <w:szCs w:val="22"/>
                <w:color w:val="auto"/>
              </w:rPr>
              <w:t>Dividend yield</w:t>
            </w:r>
          </w:p>
        </w:tc>
        <w:tc>
          <w:tcPr>
            <w:tcW w:w="1280" w:type="dxa"/>
            <w:vAlign w:val="bottom"/>
          </w:tcPr>
          <w:p>
            <w:pPr>
              <w:spacing w:after="0"/>
              <w:rPr>
                <w:sz w:val="24"/>
                <w:szCs w:val="24"/>
                <w:color w:val="auto"/>
              </w:rPr>
            </w:pPr>
          </w:p>
        </w:tc>
        <w:tc>
          <w:tcPr>
            <w:tcW w:w="1040" w:type="dxa"/>
            <w:vAlign w:val="bottom"/>
          </w:tcPr>
          <w:p>
            <w:pPr>
              <w:jc w:val="right"/>
              <w:ind w:right="292"/>
              <w:spacing w:after="0"/>
              <w:rPr>
                <w:sz w:val="20"/>
                <w:szCs w:val="20"/>
                <w:color w:val="auto"/>
              </w:rPr>
            </w:pPr>
            <w:r>
              <w:rPr>
                <w:rFonts w:ascii="Arial" w:cs="Arial" w:eastAsia="Arial" w:hAnsi="Arial"/>
                <w:sz w:val="22"/>
                <w:szCs w:val="22"/>
                <w:color w:val="auto"/>
                <w:w w:val="99"/>
              </w:rPr>
              <w:t>2.37%</w:t>
            </w:r>
          </w:p>
        </w:tc>
        <w:tc>
          <w:tcPr>
            <w:tcW w:w="1600" w:type="dxa"/>
            <w:vAlign w:val="bottom"/>
          </w:tcPr>
          <w:p>
            <w:pPr>
              <w:jc w:val="right"/>
              <w:spacing w:after="0"/>
              <w:rPr>
                <w:sz w:val="20"/>
                <w:szCs w:val="20"/>
                <w:color w:val="auto"/>
              </w:rPr>
            </w:pPr>
            <w:r>
              <w:rPr>
                <w:rFonts w:ascii="Arial" w:cs="Arial" w:eastAsia="Arial" w:hAnsi="Arial"/>
                <w:sz w:val="22"/>
                <w:szCs w:val="22"/>
                <w:color w:val="auto"/>
              </w:rPr>
              <w:t>2.51%</w:t>
            </w:r>
          </w:p>
        </w:tc>
      </w:tr>
      <w:tr>
        <w:trPr>
          <w:trHeight w:val="284"/>
        </w:trPr>
        <w:tc>
          <w:tcPr>
            <w:tcW w:w="5620" w:type="dxa"/>
            <w:vAlign w:val="bottom"/>
            <w:shd w:val="clear" w:color="auto" w:fill="CCEEFF"/>
          </w:tcPr>
          <w:p>
            <w:pPr>
              <w:spacing w:after="0"/>
              <w:rPr>
                <w:sz w:val="20"/>
                <w:szCs w:val="20"/>
                <w:color w:val="auto"/>
              </w:rPr>
            </w:pPr>
            <w:r>
              <w:rPr>
                <w:rFonts w:ascii="Arial" w:cs="Arial" w:eastAsia="Arial" w:hAnsi="Arial"/>
                <w:sz w:val="22"/>
                <w:szCs w:val="22"/>
                <w:color w:val="auto"/>
              </w:rPr>
              <w:t>Grant date fair value per option</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rPr>
              <w:t>$</w:t>
            </w:r>
          </w:p>
        </w:tc>
        <w:tc>
          <w:tcPr>
            <w:tcW w:w="1040" w:type="dxa"/>
            <w:vAlign w:val="bottom"/>
            <w:shd w:val="clear" w:color="auto" w:fill="CCEEFF"/>
          </w:tcPr>
          <w:p>
            <w:pPr>
              <w:jc w:val="right"/>
              <w:ind w:right="312"/>
              <w:spacing w:after="0"/>
              <w:rPr>
                <w:sz w:val="20"/>
                <w:szCs w:val="20"/>
                <w:color w:val="auto"/>
              </w:rPr>
            </w:pPr>
            <w:r>
              <w:rPr>
                <w:rFonts w:ascii="Arial" w:cs="Arial" w:eastAsia="Arial" w:hAnsi="Arial"/>
                <w:sz w:val="22"/>
                <w:szCs w:val="22"/>
                <w:color w:val="auto"/>
              </w:rPr>
              <w:t>5.10</w:t>
            </w: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    4.07</w:t>
            </w:r>
          </w:p>
        </w:tc>
      </w:tr>
    </w:tbl>
    <w:p>
      <w:pPr>
        <w:spacing w:after="0" w:line="222"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selected based upon the U.S. Treasury yield curve in effect at the time of grant for the expected term of the option.</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stock option transactions for the three months ended March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22"/>
                <w:szCs w:val="22"/>
                <w:color w:val="auto"/>
                <w:w w:val="88"/>
              </w:rPr>
              <w:t>Weighted</w:t>
            </w:r>
          </w:p>
        </w:tc>
        <w:tc>
          <w:tcPr>
            <w:tcW w:w="1180" w:type="dxa"/>
            <w:vAlign w:val="bottom"/>
            <w:gridSpan w:val="2"/>
          </w:tcPr>
          <w:p>
            <w:pPr>
              <w:jc w:val="center"/>
              <w:ind w:right="160"/>
              <w:spacing w:after="0"/>
              <w:rPr>
                <w:sz w:val="20"/>
                <w:szCs w:val="20"/>
                <w:color w:val="auto"/>
              </w:rPr>
            </w:pPr>
            <w:r>
              <w:rPr>
                <w:rFonts w:ascii="Arial" w:cs="Arial" w:eastAsia="Arial" w:hAnsi="Arial"/>
                <w:sz w:val="22"/>
                <w:szCs w:val="22"/>
                <w:color w:val="auto"/>
                <w:w w:val="88"/>
              </w:rPr>
              <w:t>Weighted</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22"/>
                <w:szCs w:val="22"/>
                <w:color w:val="auto"/>
                <w:w w:val="85"/>
              </w:rPr>
              <w:t>Average</w:t>
            </w:r>
          </w:p>
        </w:tc>
        <w:tc>
          <w:tcPr>
            <w:tcW w:w="1180" w:type="dxa"/>
            <w:vAlign w:val="bottom"/>
            <w:gridSpan w:val="2"/>
          </w:tcPr>
          <w:p>
            <w:pPr>
              <w:jc w:val="center"/>
              <w:ind w:right="160"/>
              <w:spacing w:after="0"/>
              <w:rPr>
                <w:sz w:val="20"/>
                <w:szCs w:val="20"/>
                <w:color w:val="auto"/>
              </w:rPr>
            </w:pPr>
            <w:r>
              <w:rPr>
                <w:rFonts w:ascii="Arial" w:cs="Arial" w:eastAsia="Arial" w:hAnsi="Arial"/>
                <w:sz w:val="22"/>
                <w:szCs w:val="22"/>
                <w:color w:val="auto"/>
                <w:w w:val="85"/>
              </w:rPr>
              <w:t>Average</w:t>
            </w:r>
          </w:p>
        </w:tc>
        <w:tc>
          <w:tcPr>
            <w:tcW w:w="180" w:type="dxa"/>
            <w:vAlign w:val="bottom"/>
          </w:tcPr>
          <w:p>
            <w:pPr>
              <w:spacing w:after="0"/>
              <w:rPr>
                <w:sz w:val="24"/>
                <w:szCs w:val="24"/>
                <w:color w:val="auto"/>
              </w:rPr>
            </w:pPr>
          </w:p>
        </w:tc>
        <w:tc>
          <w:tcPr>
            <w:tcW w:w="1080" w:type="dxa"/>
            <w:vAlign w:val="bottom"/>
          </w:tcPr>
          <w:p>
            <w:pPr>
              <w:jc w:val="center"/>
              <w:ind w:right="72"/>
              <w:spacing w:after="0"/>
              <w:rPr>
                <w:sz w:val="20"/>
                <w:szCs w:val="20"/>
                <w:color w:val="auto"/>
              </w:rPr>
            </w:pPr>
            <w:r>
              <w:rPr>
                <w:rFonts w:ascii="Arial" w:cs="Arial" w:eastAsia="Arial" w:hAnsi="Arial"/>
                <w:sz w:val="22"/>
                <w:szCs w:val="22"/>
                <w:color w:val="auto"/>
                <w:w w:val="88"/>
              </w:rPr>
              <w:t>Aggregate</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22"/>
                <w:szCs w:val="22"/>
                <w:color w:val="auto"/>
                <w:w w:val="87"/>
              </w:rPr>
              <w:t>Exercise</w:t>
            </w:r>
          </w:p>
        </w:tc>
        <w:tc>
          <w:tcPr>
            <w:tcW w:w="1180" w:type="dxa"/>
            <w:vAlign w:val="bottom"/>
            <w:gridSpan w:val="2"/>
          </w:tcPr>
          <w:p>
            <w:pPr>
              <w:jc w:val="center"/>
              <w:ind w:right="160"/>
              <w:spacing w:after="0"/>
              <w:rPr>
                <w:sz w:val="20"/>
                <w:szCs w:val="20"/>
                <w:color w:val="auto"/>
              </w:rPr>
            </w:pPr>
            <w:r>
              <w:rPr>
                <w:rFonts w:ascii="Arial" w:cs="Arial" w:eastAsia="Arial" w:hAnsi="Arial"/>
                <w:sz w:val="22"/>
                <w:szCs w:val="22"/>
                <w:color w:val="auto"/>
                <w:w w:val="89"/>
              </w:rPr>
              <w:t>Remaining</w:t>
            </w:r>
          </w:p>
        </w:tc>
        <w:tc>
          <w:tcPr>
            <w:tcW w:w="180" w:type="dxa"/>
            <w:vAlign w:val="bottom"/>
          </w:tcPr>
          <w:p>
            <w:pPr>
              <w:spacing w:after="0"/>
              <w:rPr>
                <w:sz w:val="21"/>
                <w:szCs w:val="21"/>
                <w:color w:val="auto"/>
              </w:rPr>
            </w:pPr>
          </w:p>
        </w:tc>
        <w:tc>
          <w:tcPr>
            <w:tcW w:w="1080" w:type="dxa"/>
            <w:vAlign w:val="bottom"/>
          </w:tcPr>
          <w:p>
            <w:pPr>
              <w:jc w:val="center"/>
              <w:ind w:right="52"/>
              <w:spacing w:after="0"/>
              <w:rPr>
                <w:sz w:val="20"/>
                <w:szCs w:val="20"/>
                <w:color w:val="auto"/>
              </w:rPr>
            </w:pPr>
            <w:r>
              <w:rPr>
                <w:rFonts w:ascii="Arial" w:cs="Arial" w:eastAsia="Arial" w:hAnsi="Arial"/>
                <w:sz w:val="22"/>
                <w:szCs w:val="22"/>
                <w:color w:val="auto"/>
                <w:w w:val="94"/>
              </w:rPr>
              <w:t>Intrinsic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140"/>
              <w:spacing w:after="0" w:line="243" w:lineRule="exact"/>
              <w:rPr>
                <w:sz w:val="20"/>
                <w:szCs w:val="20"/>
                <w:color w:val="auto"/>
              </w:rPr>
            </w:pPr>
            <w:r>
              <w:rPr>
                <w:rFonts w:ascii="Arial" w:cs="Arial" w:eastAsia="Arial" w:hAnsi="Arial"/>
                <w:sz w:val="22"/>
                <w:szCs w:val="22"/>
                <w:color w:val="auto"/>
              </w:rPr>
              <w:t>Life</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1240" w:type="dxa"/>
            <w:vAlign w:val="bottom"/>
            <w:gridSpan w:val="2"/>
          </w:tcPr>
          <w:p>
            <w:pPr>
              <w:ind w:left="240"/>
              <w:spacing w:after="0"/>
              <w:rPr>
                <w:sz w:val="20"/>
                <w:szCs w:val="20"/>
                <w:color w:val="auto"/>
              </w:rPr>
            </w:pPr>
            <w:r>
              <w:rPr>
                <w:rFonts w:ascii="Arial" w:cs="Arial" w:eastAsia="Arial" w:hAnsi="Arial"/>
                <w:sz w:val="22"/>
                <w:szCs w:val="22"/>
                <w:color w:val="auto"/>
              </w:rPr>
              <w:t>Shares</w:t>
            </w:r>
          </w:p>
        </w:tc>
        <w:tc>
          <w:tcPr>
            <w:tcW w:w="160" w:type="dxa"/>
            <w:vAlign w:val="bottom"/>
          </w:tcPr>
          <w:p>
            <w:pPr>
              <w:spacing w:after="0"/>
              <w:rPr>
                <w:sz w:val="23"/>
                <w:szCs w:val="23"/>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22"/>
                <w:szCs w:val="22"/>
                <w:color w:val="auto"/>
                <w:w w:val="91"/>
              </w:rPr>
              <w:t>Price</w:t>
            </w:r>
          </w:p>
        </w:tc>
        <w:tc>
          <w:tcPr>
            <w:tcW w:w="1180" w:type="dxa"/>
            <w:vAlign w:val="bottom"/>
            <w:gridSpan w:val="2"/>
          </w:tcPr>
          <w:p>
            <w:pPr>
              <w:jc w:val="center"/>
              <w:ind w:right="140"/>
              <w:spacing w:after="0"/>
              <w:rPr>
                <w:sz w:val="20"/>
                <w:szCs w:val="20"/>
                <w:color w:val="auto"/>
              </w:rPr>
            </w:pPr>
            <w:r>
              <w:rPr>
                <w:rFonts w:ascii="Arial" w:cs="Arial" w:eastAsia="Arial" w:hAnsi="Arial"/>
                <w:sz w:val="22"/>
                <w:szCs w:val="22"/>
                <w:color w:val="auto"/>
                <w:w w:val="87"/>
              </w:rPr>
              <w:t>(years)</w:t>
            </w:r>
          </w:p>
        </w:tc>
        <w:tc>
          <w:tcPr>
            <w:tcW w:w="180" w:type="dxa"/>
            <w:vAlign w:val="bottom"/>
          </w:tcPr>
          <w:p>
            <w:pPr>
              <w:spacing w:after="0"/>
              <w:rPr>
                <w:sz w:val="23"/>
                <w:szCs w:val="23"/>
                <w:color w:val="auto"/>
              </w:rPr>
            </w:pPr>
          </w:p>
        </w:tc>
        <w:tc>
          <w:tcPr>
            <w:tcW w:w="1080" w:type="dxa"/>
            <w:vAlign w:val="bottom"/>
          </w:tcPr>
          <w:p>
            <w:pPr>
              <w:jc w:val="center"/>
              <w:ind w:right="72"/>
              <w:spacing w:after="0"/>
              <w:rPr>
                <w:sz w:val="20"/>
                <w:szCs w:val="20"/>
                <w:color w:val="auto"/>
              </w:rPr>
            </w:pPr>
            <w:r>
              <w:rPr>
                <w:rFonts w:ascii="Arial" w:cs="Arial" w:eastAsia="Arial" w:hAnsi="Arial"/>
                <w:sz w:val="22"/>
                <w:szCs w:val="22"/>
                <w:color w:val="auto"/>
                <w:w w:val="88"/>
              </w:rPr>
              <w:t>Value</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2"/>
                <w:szCs w:val="22"/>
                <w:color w:val="auto"/>
              </w:rPr>
              <w:t>Outstanding at beginning of period</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364,932</w:t>
            </w:r>
          </w:p>
        </w:tc>
        <w:tc>
          <w:tcPr>
            <w:tcW w:w="1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19.83</w:t>
            </w:r>
          </w:p>
        </w:tc>
        <w:tc>
          <w:tcPr>
            <w:tcW w:w="16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tcPr>
          <w:p>
            <w:pPr>
              <w:ind w:left="80"/>
              <w:spacing w:after="0"/>
              <w:rPr>
                <w:sz w:val="20"/>
                <w:szCs w:val="20"/>
                <w:color w:val="auto"/>
              </w:rPr>
            </w:pPr>
            <w:r>
              <w:rPr>
                <w:rFonts w:ascii="Arial" w:cs="Arial" w:eastAsia="Arial" w:hAnsi="Arial"/>
                <w:sz w:val="22"/>
                <w:szCs w:val="22"/>
                <w:color w:val="auto"/>
              </w:rPr>
              <w:t>Granted</w:t>
            </w:r>
          </w:p>
        </w:tc>
        <w:tc>
          <w:tcPr>
            <w:tcW w:w="1080" w:type="dxa"/>
            <w:vAlign w:val="bottom"/>
          </w:tcPr>
          <w:p>
            <w:pPr>
              <w:jc w:val="right"/>
              <w:spacing w:after="0"/>
              <w:rPr>
                <w:sz w:val="20"/>
                <w:szCs w:val="20"/>
                <w:color w:val="auto"/>
              </w:rPr>
            </w:pPr>
            <w:r>
              <w:rPr>
                <w:rFonts w:ascii="Arial" w:cs="Arial" w:eastAsia="Arial" w:hAnsi="Arial"/>
                <w:sz w:val="22"/>
                <w:szCs w:val="22"/>
                <w:color w:val="auto"/>
              </w:rPr>
              <w:t>160,859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34.51</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shd w:val="clear" w:color="auto" w:fill="CCEEFF"/>
          </w:tcPr>
          <w:p>
            <w:pPr>
              <w:ind w:left="80"/>
              <w:spacing w:after="0"/>
              <w:rPr>
                <w:sz w:val="20"/>
                <w:szCs w:val="20"/>
                <w:color w:val="auto"/>
              </w:rPr>
            </w:pPr>
            <w:r>
              <w:rPr>
                <w:rFonts w:ascii="Arial" w:cs="Arial" w:eastAsia="Arial" w:hAnsi="Arial"/>
                <w:sz w:val="22"/>
                <w:szCs w:val="22"/>
                <w:color w:val="auto"/>
              </w:rPr>
              <w:t>Forfeited</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(2,371)</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30.47</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tcPr>
          <w:p>
            <w:pPr>
              <w:ind w:left="80"/>
              <w:spacing w:after="0"/>
              <w:rPr>
                <w:sz w:val="20"/>
                <w:szCs w:val="20"/>
                <w:color w:val="auto"/>
              </w:rPr>
            </w:pPr>
            <w:r>
              <w:rPr>
                <w:rFonts w:ascii="Arial" w:cs="Arial" w:eastAsia="Arial" w:hAnsi="Arial"/>
                <w:sz w:val="22"/>
                <w:szCs w:val="22"/>
                <w:color w:val="auto"/>
              </w:rPr>
              <w:t>Expired / Cancelled</w:t>
            </w:r>
          </w:p>
        </w:tc>
        <w:tc>
          <w:tcPr>
            <w:tcW w:w="1240" w:type="dxa"/>
            <w:vAlign w:val="bottom"/>
            <w:gridSpan w:val="2"/>
          </w:tcPr>
          <w:p>
            <w:pPr>
              <w:jc w:val="right"/>
              <w:ind w:right="160"/>
              <w:spacing w:after="0"/>
              <w:rPr>
                <w:sz w:val="20"/>
                <w:szCs w:val="20"/>
                <w:color w:val="auto"/>
              </w:rPr>
            </w:pPr>
            <w:r>
              <w:rPr>
                <w:rFonts w:ascii="Arial" w:cs="Arial" w:eastAsia="Arial" w:hAnsi="Arial"/>
                <w:sz w:val="22"/>
                <w:szCs w:val="22"/>
                <w:color w:val="auto"/>
              </w:rPr>
              <w:t>(41)</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30.47</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620" w:type="dxa"/>
            <w:vAlign w:val="bottom"/>
            <w:shd w:val="clear" w:color="auto" w:fill="CCEEFF"/>
          </w:tcPr>
          <w:p>
            <w:pPr>
              <w:ind w:left="80"/>
              <w:spacing w:after="0"/>
              <w:rPr>
                <w:sz w:val="20"/>
                <w:szCs w:val="20"/>
                <w:color w:val="auto"/>
              </w:rPr>
            </w:pPr>
            <w:r>
              <w:rPr>
                <w:rFonts w:ascii="Arial" w:cs="Arial" w:eastAsia="Arial" w:hAnsi="Arial"/>
                <w:sz w:val="22"/>
                <w:szCs w:val="22"/>
                <w:color w:val="auto"/>
              </w:rPr>
              <w:t>Exercised</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(62,688)</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16.11</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40" w:type="dxa"/>
            <w:vAlign w:val="bottom"/>
            <w:gridSpan w:val="2"/>
          </w:tcPr>
          <w:p>
            <w:pPr>
              <w:spacing w:after="0" w:line="250" w:lineRule="exact"/>
              <w:rPr>
                <w:sz w:val="20"/>
                <w:szCs w:val="20"/>
                <w:color w:val="auto"/>
              </w:rPr>
            </w:pPr>
            <w:r>
              <w:rPr>
                <w:rFonts w:ascii="Arial" w:cs="Arial" w:eastAsia="Arial" w:hAnsi="Arial"/>
                <w:sz w:val="22"/>
                <w:szCs w:val="22"/>
                <w:color w:val="auto"/>
              </w:rPr>
              <w:t>Outstanding at end of period</w:t>
            </w:r>
          </w:p>
        </w:tc>
        <w:tc>
          <w:tcPr>
            <w:tcW w:w="108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460,691</w:t>
            </w:r>
          </w:p>
        </w:tc>
        <w:tc>
          <w:tcPr>
            <w:tcW w:w="160" w:type="dxa"/>
            <w:vAlign w:val="bottom"/>
          </w:tcPr>
          <w:p>
            <w:pPr>
              <w:spacing w:after="0"/>
              <w:rPr>
                <w:sz w:val="22"/>
                <w:szCs w:val="22"/>
                <w:color w:val="auto"/>
              </w:rPr>
            </w:pPr>
          </w:p>
        </w:tc>
        <w:tc>
          <w:tcPr>
            <w:tcW w:w="160" w:type="dxa"/>
            <w:vAlign w:val="bottom"/>
          </w:tcPr>
          <w:p>
            <w:pPr>
              <w:jc w:val="right"/>
              <w:spacing w:after="0" w:line="250" w:lineRule="exact"/>
              <w:rPr>
                <w:sz w:val="20"/>
                <w:szCs w:val="20"/>
                <w:color w:val="auto"/>
              </w:rPr>
            </w:pPr>
            <w:r>
              <w:rPr>
                <w:rFonts w:ascii="Arial" w:cs="Arial" w:eastAsia="Arial" w:hAnsi="Arial"/>
                <w:sz w:val="22"/>
                <w:szCs w:val="22"/>
                <w:color w:val="auto"/>
              </w:rPr>
              <w:t>$</w:t>
            </w:r>
          </w:p>
        </w:tc>
        <w:tc>
          <w:tcPr>
            <w:tcW w:w="900" w:type="dxa"/>
            <w:vAlign w:val="bottom"/>
          </w:tcPr>
          <w:p>
            <w:pPr>
              <w:jc w:val="right"/>
              <w:spacing w:after="0" w:line="250" w:lineRule="exact"/>
              <w:rPr>
                <w:sz w:val="20"/>
                <w:szCs w:val="20"/>
                <w:color w:val="auto"/>
              </w:rPr>
            </w:pPr>
            <w:r>
              <w:rPr>
                <w:rFonts w:ascii="Arial" w:cs="Arial" w:eastAsia="Arial" w:hAnsi="Arial"/>
                <w:sz w:val="22"/>
                <w:szCs w:val="22"/>
                <w:color w:val="auto"/>
              </w:rPr>
              <w:t>25.40</w:t>
            </w:r>
          </w:p>
        </w:tc>
        <w:tc>
          <w:tcPr>
            <w:tcW w:w="160" w:type="dxa"/>
            <w:vAlign w:val="bottom"/>
          </w:tcPr>
          <w:p>
            <w:pPr>
              <w:spacing w:after="0"/>
              <w:rPr>
                <w:sz w:val="22"/>
                <w:szCs w:val="22"/>
                <w:color w:val="auto"/>
              </w:rPr>
            </w:pPr>
          </w:p>
        </w:tc>
        <w:tc>
          <w:tcPr>
            <w:tcW w:w="1020" w:type="dxa"/>
            <w:vAlign w:val="bottom"/>
          </w:tcPr>
          <w:p>
            <w:pPr>
              <w:jc w:val="right"/>
              <w:spacing w:after="0" w:line="250" w:lineRule="exact"/>
              <w:rPr>
                <w:sz w:val="20"/>
                <w:szCs w:val="20"/>
                <w:color w:val="auto"/>
              </w:rPr>
            </w:pPr>
            <w:r>
              <w:rPr>
                <w:rFonts w:ascii="Arial" w:cs="Arial" w:eastAsia="Arial" w:hAnsi="Arial"/>
                <w:sz w:val="22"/>
                <w:szCs w:val="22"/>
                <w:color w:val="auto"/>
              </w:rPr>
              <w:t>6.2</w:t>
            </w:r>
          </w:p>
        </w:tc>
        <w:tc>
          <w:tcPr>
            <w:tcW w:w="160" w:type="dxa"/>
            <w:vAlign w:val="bottom"/>
          </w:tcPr>
          <w:p>
            <w:pPr>
              <w:spacing w:after="0"/>
              <w:rPr>
                <w:sz w:val="22"/>
                <w:szCs w:val="22"/>
                <w:color w:val="auto"/>
              </w:rPr>
            </w:pPr>
          </w:p>
        </w:tc>
        <w:tc>
          <w:tcPr>
            <w:tcW w:w="180" w:type="dxa"/>
            <w:vAlign w:val="bottom"/>
          </w:tcPr>
          <w:p>
            <w:pPr>
              <w:jc w:val="right"/>
              <w:spacing w:after="0" w:line="250" w:lineRule="exact"/>
              <w:rPr>
                <w:sz w:val="20"/>
                <w:szCs w:val="20"/>
                <w:color w:val="auto"/>
              </w:rPr>
            </w:pPr>
            <w:r>
              <w:rPr>
                <w:rFonts w:ascii="Arial" w:cs="Arial" w:eastAsia="Arial" w:hAnsi="Arial"/>
                <w:sz w:val="22"/>
                <w:szCs w:val="22"/>
                <w:color w:val="auto"/>
              </w:rPr>
              <w:t>$</w:t>
            </w:r>
          </w:p>
        </w:tc>
        <w:tc>
          <w:tcPr>
            <w:tcW w:w="1080" w:type="dxa"/>
            <w:vAlign w:val="bottom"/>
          </w:tcPr>
          <w:p>
            <w:pPr>
              <w:jc w:val="right"/>
              <w:spacing w:after="0" w:line="250" w:lineRule="exact"/>
              <w:rPr>
                <w:sz w:val="20"/>
                <w:szCs w:val="20"/>
                <w:color w:val="auto"/>
              </w:rPr>
            </w:pPr>
            <w:r>
              <w:rPr>
                <w:rFonts w:ascii="Arial" w:cs="Arial" w:eastAsia="Arial" w:hAnsi="Arial"/>
                <w:sz w:val="22"/>
                <w:szCs w:val="22"/>
                <w:color w:val="auto"/>
              </w:rPr>
              <w:t>4,060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620" w:type="dxa"/>
            <w:vAlign w:val="bottom"/>
          </w:tcPr>
          <w:p>
            <w:pPr>
              <w:spacing w:after="0" w:line="243" w:lineRule="exact"/>
              <w:rPr>
                <w:sz w:val="20"/>
                <w:szCs w:val="20"/>
                <w:color w:val="auto"/>
              </w:rPr>
            </w:pPr>
            <w:r>
              <w:rPr>
                <w:rFonts w:ascii="Arial" w:cs="Arial" w:eastAsia="Arial" w:hAnsi="Arial"/>
                <w:sz w:val="22"/>
                <w:szCs w:val="22"/>
                <w:color w:val="auto"/>
              </w:rPr>
              <w:t>Exercisable at end of period</w:t>
            </w:r>
          </w:p>
        </w:tc>
        <w:tc>
          <w:tcPr>
            <w:tcW w:w="10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225,594</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w:t>
            </w:r>
          </w:p>
        </w:tc>
        <w:tc>
          <w:tcPr>
            <w:tcW w:w="9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17.24</w:t>
            </w: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2.6</w:t>
            </w: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3,794</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b w:val="1"/>
          <w:bCs w:val="1"/>
          <w:i w:val="1"/>
          <w:iCs w:val="1"/>
          <w:color w:val="auto"/>
        </w:rPr>
        <w:t xml:space="preserve">Stock Awards </w:t>
      </w:r>
      <w:r>
        <w:rPr>
          <w:rFonts w:ascii="Arial" w:cs="Arial" w:eastAsia="Arial" w:hAnsi="Arial"/>
          <w:sz w:val="19"/>
          <w:szCs w:val="19"/>
          <w:color w:val="auto"/>
        </w:rPr>
        <w:t>– Stock awards represent the issuance of the Company’s common stock, without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restriction. The issuance of stock awards results in compensation expense which is equal to the fair market value of the stock on the grant date, and is expensed immediately upon grant. The following table provides the compensation cost and income tax benefit for stock-based compensation related to stock awards: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80" w:type="dxa"/>
            <w:vAlign w:val="bottom"/>
          </w:tcPr>
          <w:p>
            <w:pPr>
              <w:spacing w:after="0"/>
              <w:rPr>
                <w:sz w:val="21"/>
                <w:szCs w:val="21"/>
                <w:color w:val="auto"/>
              </w:rPr>
            </w:pPr>
          </w:p>
        </w:tc>
        <w:tc>
          <w:tcPr>
            <w:tcW w:w="3160" w:type="dxa"/>
            <w:vAlign w:val="bottom"/>
            <w:gridSpan w:val="4"/>
          </w:tcPr>
          <w:p>
            <w:pPr>
              <w:jc w:val="center"/>
              <w:ind w:left="412"/>
              <w:spacing w:after="0"/>
              <w:rPr>
                <w:sz w:val="20"/>
                <w:szCs w:val="20"/>
                <w:color w:val="auto"/>
              </w:rPr>
            </w:pPr>
            <w:r>
              <w:rPr>
                <w:rFonts w:ascii="Arial" w:cs="Arial" w:eastAsia="Arial" w:hAnsi="Arial"/>
                <w:sz w:val="22"/>
                <w:szCs w:val="22"/>
                <w:color w:val="auto"/>
                <w:w w:val="89"/>
              </w:rPr>
              <w:t>Three Months Ended</w:t>
            </w:r>
          </w:p>
        </w:tc>
        <w:tc>
          <w:tcPr>
            <w:tcW w:w="500" w:type="dxa"/>
            <w:vAlign w:val="bottom"/>
          </w:tcPr>
          <w:p>
            <w:pPr>
              <w:spacing w:after="0"/>
              <w:rPr>
                <w:sz w:val="21"/>
                <w:szCs w:val="21"/>
                <w:color w:val="auto"/>
              </w:rPr>
            </w:pPr>
          </w:p>
        </w:tc>
      </w:tr>
      <w:tr>
        <w:trPr>
          <w:trHeight w:val="265"/>
        </w:trPr>
        <w:tc>
          <w:tcPr>
            <w:tcW w:w="5880" w:type="dxa"/>
            <w:vAlign w:val="bottom"/>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gridSpan w:val="3"/>
          </w:tcPr>
          <w:p>
            <w:pPr>
              <w:jc w:val="center"/>
              <w:ind w:right="552"/>
              <w:spacing w:after="0"/>
              <w:rPr>
                <w:sz w:val="20"/>
                <w:szCs w:val="20"/>
                <w:color w:val="auto"/>
              </w:rPr>
            </w:pPr>
            <w:r>
              <w:rPr>
                <w:rFonts w:ascii="Arial" w:cs="Arial" w:eastAsia="Arial" w:hAnsi="Arial"/>
                <w:sz w:val="22"/>
                <w:szCs w:val="22"/>
                <w:color w:val="auto"/>
                <w:w w:val="89"/>
              </w:rPr>
              <w:t>March 31,</w:t>
            </w:r>
          </w:p>
        </w:tc>
        <w:tc>
          <w:tcPr>
            <w:tcW w:w="500" w:type="dxa"/>
            <w:vAlign w:val="bottom"/>
            <w:tcBorders>
              <w:bottom w:val="single" w:sz="8" w:color="auto"/>
            </w:tcBorders>
          </w:tcPr>
          <w:p>
            <w:pPr>
              <w:spacing w:after="0"/>
              <w:rPr>
                <w:sz w:val="23"/>
                <w:szCs w:val="23"/>
                <w:color w:val="auto"/>
              </w:rPr>
            </w:pPr>
          </w:p>
        </w:tc>
      </w:tr>
      <w:tr>
        <w:trPr>
          <w:trHeight w:val="237"/>
        </w:trPr>
        <w:tc>
          <w:tcPr>
            <w:tcW w:w="58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2018</w:t>
            </w:r>
          </w:p>
        </w:tc>
        <w:tc>
          <w:tcPr>
            <w:tcW w:w="50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2017</w:t>
            </w:r>
          </w:p>
        </w:tc>
        <w:tc>
          <w:tcPr>
            <w:tcW w:w="500" w:type="dxa"/>
            <w:vAlign w:val="bottom"/>
            <w:tcBorders>
              <w:bottom w:val="single" w:sz="8" w:color="auto"/>
            </w:tcBorders>
          </w:tcPr>
          <w:p>
            <w:pPr>
              <w:spacing w:after="0"/>
              <w:rPr>
                <w:sz w:val="20"/>
                <w:szCs w:val="20"/>
                <w:color w:val="auto"/>
              </w:rPr>
            </w:pPr>
          </w:p>
        </w:tc>
      </w:tr>
      <w:tr>
        <w:trPr>
          <w:trHeight w:val="202"/>
        </w:trPr>
        <w:tc>
          <w:tcPr>
            <w:tcW w:w="588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5"/>
              </w:rPr>
              <w:t>Stock-based compensation within operations and maintenance</w:t>
            </w: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65"/>
        </w:trPr>
        <w:tc>
          <w:tcPr>
            <w:tcW w:w="5880" w:type="dxa"/>
            <w:vAlign w:val="bottom"/>
            <w:shd w:val="clear" w:color="auto" w:fill="CCEEFF"/>
          </w:tcPr>
          <w:p>
            <w:pPr>
              <w:spacing w:after="0"/>
              <w:rPr>
                <w:sz w:val="20"/>
                <w:szCs w:val="20"/>
                <w:color w:val="auto"/>
              </w:rPr>
            </w:pPr>
            <w:r>
              <w:rPr>
                <w:rFonts w:ascii="Arial" w:cs="Arial" w:eastAsia="Arial" w:hAnsi="Arial"/>
                <w:sz w:val="22"/>
                <w:szCs w:val="22"/>
                <w:color w:val="auto"/>
              </w:rPr>
              <w:t>expenses</w:t>
            </w:r>
          </w:p>
        </w:tc>
        <w:tc>
          <w:tcPr>
            <w:tcW w:w="1180" w:type="dxa"/>
            <w:vAlign w:val="bottom"/>
            <w:shd w:val="clear" w:color="auto" w:fill="CCEEFF"/>
          </w:tcPr>
          <w:p>
            <w:pPr>
              <w:jc w:val="right"/>
              <w:ind w:right="752"/>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140</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92"/>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131</w:t>
            </w:r>
          </w:p>
        </w:tc>
      </w:tr>
      <w:tr>
        <w:trPr>
          <w:trHeight w:val="275"/>
        </w:trPr>
        <w:tc>
          <w:tcPr>
            <w:tcW w:w="5880" w:type="dxa"/>
            <w:vAlign w:val="bottom"/>
          </w:tcPr>
          <w:p>
            <w:pPr>
              <w:spacing w:after="0"/>
              <w:rPr>
                <w:sz w:val="20"/>
                <w:szCs w:val="20"/>
                <w:color w:val="auto"/>
              </w:rPr>
            </w:pPr>
            <w:r>
              <w:rPr>
                <w:rFonts w:ascii="Arial" w:cs="Arial" w:eastAsia="Arial" w:hAnsi="Arial"/>
                <w:sz w:val="22"/>
                <w:szCs w:val="22"/>
                <w:color w:val="auto"/>
              </w:rPr>
              <w:t>Income tax benefit</w:t>
            </w:r>
          </w:p>
        </w:tc>
        <w:tc>
          <w:tcPr>
            <w:tcW w:w="1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rPr>
              <w:t>40</w:t>
            </w: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rPr>
              <w:t>54</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stock award transactions for the three months ended March 31,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606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22"/>
                <w:szCs w:val="22"/>
                <w:color w:val="auto"/>
                <w:w w:val="89"/>
              </w:rPr>
              <w:t>Number</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center"/>
              <w:ind w:right="212"/>
              <w:spacing w:after="0"/>
              <w:rPr>
                <w:sz w:val="20"/>
                <w:szCs w:val="20"/>
                <w:color w:val="auto"/>
              </w:rPr>
            </w:pPr>
            <w:r>
              <w:rPr>
                <w:rFonts w:ascii="Arial" w:cs="Arial" w:eastAsia="Arial" w:hAnsi="Arial"/>
                <w:sz w:val="22"/>
                <w:szCs w:val="22"/>
                <w:color w:val="auto"/>
                <w:w w:val="88"/>
              </w:rPr>
              <w:t>Weighted</w:t>
            </w:r>
          </w:p>
        </w:tc>
      </w:tr>
      <w:tr>
        <w:trPr>
          <w:trHeight w:val="284"/>
        </w:trPr>
        <w:tc>
          <w:tcPr>
            <w:tcW w:w="606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color w:val="auto"/>
                <w:w w:val="97"/>
              </w:rPr>
              <w:t>of</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center"/>
              <w:ind w:right="192"/>
              <w:spacing w:after="0"/>
              <w:rPr>
                <w:sz w:val="20"/>
                <w:szCs w:val="20"/>
                <w:color w:val="auto"/>
              </w:rPr>
            </w:pPr>
            <w:r>
              <w:rPr>
                <w:rFonts w:ascii="Arial" w:cs="Arial" w:eastAsia="Arial" w:hAnsi="Arial"/>
                <w:sz w:val="22"/>
                <w:szCs w:val="22"/>
                <w:color w:val="auto"/>
                <w:w w:val="87"/>
              </w:rPr>
              <w:t>Average</w:t>
            </w:r>
          </w:p>
        </w:tc>
      </w:tr>
      <w:tr>
        <w:trPr>
          <w:trHeight w:val="274"/>
        </w:trPr>
        <w:tc>
          <w:tcPr>
            <w:tcW w:w="606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Stock Awards</w:t>
            </w:r>
          </w:p>
        </w:tc>
        <w:tc>
          <w:tcPr>
            <w:tcW w:w="2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center"/>
              <w:ind w:right="192"/>
              <w:spacing w:after="0"/>
              <w:rPr>
                <w:sz w:val="20"/>
                <w:szCs w:val="20"/>
                <w:color w:val="auto"/>
              </w:rPr>
            </w:pPr>
            <w:r>
              <w:rPr>
                <w:rFonts w:ascii="Arial" w:cs="Arial" w:eastAsia="Arial" w:hAnsi="Arial"/>
                <w:sz w:val="22"/>
                <w:szCs w:val="22"/>
                <w:color w:val="auto"/>
                <w:w w:val="87"/>
              </w:rPr>
              <w:t>Fair Value</w:t>
            </w:r>
          </w:p>
        </w:tc>
      </w:tr>
      <w:tr>
        <w:trPr>
          <w:trHeight w:val="264"/>
        </w:trPr>
        <w:tc>
          <w:tcPr>
            <w:tcW w:w="6060" w:type="dxa"/>
            <w:vAlign w:val="bottom"/>
            <w:shd w:val="clear" w:color="auto" w:fill="CCEEFF"/>
          </w:tcPr>
          <w:p>
            <w:pPr>
              <w:spacing w:after="0"/>
              <w:rPr>
                <w:sz w:val="20"/>
                <w:szCs w:val="20"/>
                <w:color w:val="auto"/>
              </w:rPr>
            </w:pPr>
            <w:r>
              <w:rPr>
                <w:rFonts w:ascii="Arial" w:cs="Arial" w:eastAsia="Arial" w:hAnsi="Arial"/>
                <w:sz w:val="22"/>
                <w:szCs w:val="22"/>
                <w:color w:val="auto"/>
              </w:rPr>
              <w:t>Nonvested stock awards at beginning of period</w:t>
            </w:r>
          </w:p>
        </w:tc>
        <w:tc>
          <w:tcPr>
            <w:tcW w:w="15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84"/>
        </w:trPr>
        <w:tc>
          <w:tcPr>
            <w:tcW w:w="6060" w:type="dxa"/>
            <w:vAlign w:val="bottom"/>
          </w:tcPr>
          <w:p>
            <w:pPr>
              <w:ind w:left="100"/>
              <w:spacing w:after="0"/>
              <w:rPr>
                <w:sz w:val="20"/>
                <w:szCs w:val="20"/>
                <w:color w:val="auto"/>
              </w:rPr>
            </w:pPr>
            <w:r>
              <w:rPr>
                <w:rFonts w:ascii="Arial" w:cs="Arial" w:eastAsia="Arial" w:hAnsi="Arial"/>
                <w:sz w:val="22"/>
                <w:szCs w:val="22"/>
                <w:color w:val="auto"/>
              </w:rPr>
              <w:t>Granted</w:t>
            </w:r>
          </w:p>
        </w:tc>
        <w:tc>
          <w:tcPr>
            <w:tcW w:w="1540" w:type="dxa"/>
            <w:vAlign w:val="bottom"/>
          </w:tcPr>
          <w:p>
            <w:pPr>
              <w:jc w:val="right"/>
              <w:spacing w:after="0"/>
              <w:rPr>
                <w:sz w:val="20"/>
                <w:szCs w:val="20"/>
                <w:color w:val="auto"/>
              </w:rPr>
            </w:pPr>
            <w:r>
              <w:rPr>
                <w:rFonts w:ascii="Arial" w:cs="Arial" w:eastAsia="Arial" w:hAnsi="Arial"/>
                <w:sz w:val="22"/>
                <w:szCs w:val="22"/>
                <w:color w:val="auto"/>
              </w:rPr>
              <w:t>4,130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33.90</w:t>
            </w:r>
          </w:p>
        </w:tc>
      </w:tr>
      <w:tr>
        <w:trPr>
          <w:trHeight w:val="284"/>
        </w:trPr>
        <w:tc>
          <w:tcPr>
            <w:tcW w:w="6060" w:type="dxa"/>
            <w:vAlign w:val="bottom"/>
            <w:shd w:val="clear" w:color="auto" w:fill="CCEEFF"/>
          </w:tcPr>
          <w:p>
            <w:pPr>
              <w:ind w:left="100"/>
              <w:spacing w:after="0"/>
              <w:rPr>
                <w:sz w:val="20"/>
                <w:szCs w:val="20"/>
                <w:color w:val="auto"/>
              </w:rPr>
            </w:pPr>
            <w:r>
              <w:rPr>
                <w:rFonts w:ascii="Arial" w:cs="Arial" w:eastAsia="Arial" w:hAnsi="Arial"/>
                <w:sz w:val="22"/>
                <w:szCs w:val="22"/>
                <w:color w:val="auto"/>
              </w:rPr>
              <w:t>Vested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(4,130)</w:t>
            </w: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33.90</w:t>
            </w:r>
          </w:p>
        </w:tc>
      </w:tr>
      <w:tr>
        <w:trPr>
          <w:trHeight w:val="257"/>
        </w:trPr>
        <w:tc>
          <w:tcPr>
            <w:tcW w:w="6060" w:type="dxa"/>
            <w:vAlign w:val="bottom"/>
          </w:tcPr>
          <w:p>
            <w:pPr>
              <w:spacing w:after="0" w:line="250" w:lineRule="exact"/>
              <w:rPr>
                <w:sz w:val="20"/>
                <w:szCs w:val="20"/>
                <w:color w:val="auto"/>
              </w:rPr>
            </w:pPr>
            <w:r>
              <w:rPr>
                <w:rFonts w:ascii="Arial" w:cs="Arial" w:eastAsia="Arial" w:hAnsi="Arial"/>
                <w:sz w:val="22"/>
                <w:szCs w:val="22"/>
                <w:color w:val="auto"/>
              </w:rPr>
              <w:t>Nonvested stock awards at end of period</w:t>
            </w:r>
          </w:p>
        </w:tc>
        <w:tc>
          <w:tcPr>
            <w:tcW w:w="15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560" w:type="dxa"/>
            <w:vAlign w:val="bottom"/>
            <w:gridSpan w:val="2"/>
          </w:tcPr>
          <w:p>
            <w:pPr>
              <w:jc w:val="right"/>
              <w:ind w:right="80"/>
              <w:spacing w:after="0" w:line="250" w:lineRule="exact"/>
              <w:rPr>
                <w:sz w:val="20"/>
                <w:szCs w:val="20"/>
                <w:color w:val="auto"/>
              </w:rPr>
            </w:pPr>
            <w:r>
              <w:rPr>
                <w:rFonts w:ascii="Arial" w:cs="Arial" w:eastAsia="Arial" w:hAnsi="Arial"/>
                <w:sz w:val="22"/>
                <w:szCs w:val="22"/>
                <w:color w:val="auto"/>
              </w:rPr>
              <w:t>$</w:t>
            </w:r>
          </w:p>
        </w:tc>
        <w:tc>
          <w:tcPr>
            <w:tcW w:w="1380" w:type="dxa"/>
            <w:vAlign w:val="bottom"/>
          </w:tcPr>
          <w:p>
            <w:pPr>
              <w:jc w:val="right"/>
              <w:spacing w:after="0" w:line="250" w:lineRule="exact"/>
              <w:rPr>
                <w:sz w:val="20"/>
                <w:szCs w:val="20"/>
                <w:color w:val="auto"/>
              </w:rPr>
            </w:pPr>
            <w:r>
              <w:rPr>
                <w:rFonts w:ascii="Arial" w:cs="Arial" w:eastAsia="Arial" w:hAnsi="Arial"/>
                <w:sz w:val="22"/>
                <w:szCs w:val="22"/>
                <w:color w:val="auto"/>
              </w:rPr>
              <w:t>-</w:t>
            </w:r>
          </w:p>
        </w:tc>
      </w:tr>
    </w:tbl>
    <w:p>
      <w:pPr>
        <w:spacing w:after="0" w:line="222" w:lineRule="exact"/>
        <w:rPr>
          <w:sz w:val="20"/>
          <w:szCs w:val="20"/>
          <w:color w:val="auto"/>
        </w:rPr>
      </w:pPr>
    </w:p>
    <w:p>
      <w:pPr>
        <w:jc w:val="both"/>
        <w:ind w:right="40"/>
        <w:spacing w:after="0" w:line="251" w:lineRule="auto"/>
        <w:rPr>
          <w:sz w:val="20"/>
          <w:szCs w:val="20"/>
          <w:color w:val="auto"/>
        </w:rPr>
      </w:pPr>
      <w:r>
        <w:rPr>
          <w:rFonts w:ascii="Arial" w:cs="Arial" w:eastAsia="Arial" w:hAnsi="Arial"/>
          <w:sz w:val="22"/>
          <w:szCs w:val="22"/>
          <w:color w:val="auto"/>
        </w:rPr>
        <w:t>The per unit weighted-average fair value at the date of grant for stock awards granted during the three months ended March 31, 2018 and 2017 was $33.90 and $32.15, respectively.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 </w:t>
      </w:r>
      <w:r>
        <w:rPr>
          <w:rFonts w:ascii="Arial" w:cs="Arial" w:eastAsia="Arial" w:hAnsi="Arial"/>
          <w:sz w:val="22"/>
          <w:szCs w:val="22"/>
          <w:b w:val="1"/>
          <w:bCs w:val="1"/>
          <w:i w:val="1"/>
          <w:iCs w:val="1"/>
          <w:color w:val="auto"/>
        </w:rPr>
        <w:t>Pension Plans and Other Postretirement Benefits</w:t>
      </w:r>
    </w:p>
    <w:p>
      <w:pPr>
        <w:spacing w:after="0" w:line="239"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Company maintains a qualified defined benefit pension plan (the “Pension Plan”), a nonqualified pension plan, and other postretirement benefit plans for certain of its employees. The net periodic benefit cost is based on estimated values and an extensive use of assumptions about the discount rate, expected return on plan assets, the rate of future compensation increases received by the Company’s employees, mortality, turnover, and medical costs. The following tables provide the components of net periodic benefit cost: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680" w:type="dxa"/>
            <w:vAlign w:val="bottom"/>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4"/>
          </w:tcPr>
          <w:p>
            <w:pPr>
              <w:jc w:val="center"/>
              <w:ind w:right="452"/>
              <w:spacing w:after="0"/>
              <w:rPr>
                <w:sz w:val="20"/>
                <w:szCs w:val="20"/>
                <w:color w:val="auto"/>
              </w:rPr>
            </w:pPr>
            <w:r>
              <w:rPr>
                <w:rFonts w:ascii="Arial" w:cs="Arial" w:eastAsia="Arial" w:hAnsi="Arial"/>
                <w:sz w:val="22"/>
                <w:szCs w:val="22"/>
                <w:color w:val="auto"/>
                <w:w w:val="88"/>
              </w:rPr>
              <w:t>Pension Benefits</w:t>
            </w:r>
          </w:p>
        </w:tc>
        <w:tc>
          <w:tcPr>
            <w:tcW w:w="620" w:type="dxa"/>
            <w:vAlign w:val="bottom"/>
            <w:tcBorders>
              <w:bottom w:val="single" w:sz="8" w:color="auto"/>
            </w:tcBorders>
          </w:tcPr>
          <w:p>
            <w:pPr>
              <w:spacing w:after="0"/>
              <w:rPr>
                <w:sz w:val="23"/>
                <w:szCs w:val="23"/>
                <w:color w:val="auto"/>
              </w:rPr>
            </w:pPr>
          </w:p>
        </w:tc>
      </w:tr>
      <w:tr>
        <w:trPr>
          <w:trHeight w:val="215"/>
        </w:trPr>
        <w:tc>
          <w:tcPr>
            <w:tcW w:w="5680" w:type="dxa"/>
            <w:vAlign w:val="bottom"/>
          </w:tcPr>
          <w:p>
            <w:pPr>
              <w:spacing w:after="0"/>
              <w:rPr>
                <w:sz w:val="18"/>
                <w:szCs w:val="18"/>
                <w:color w:val="auto"/>
              </w:rPr>
            </w:pPr>
          </w:p>
        </w:tc>
        <w:tc>
          <w:tcPr>
            <w:tcW w:w="3240" w:type="dxa"/>
            <w:vAlign w:val="bottom"/>
            <w:gridSpan w:val="5"/>
          </w:tcPr>
          <w:p>
            <w:pPr>
              <w:jc w:val="center"/>
              <w:ind w:left="512"/>
              <w:spacing w:after="0" w:line="216" w:lineRule="exact"/>
              <w:rPr>
                <w:sz w:val="20"/>
                <w:szCs w:val="20"/>
                <w:color w:val="auto"/>
              </w:rPr>
            </w:pPr>
            <w:r>
              <w:rPr>
                <w:rFonts w:ascii="Arial" w:cs="Arial" w:eastAsia="Arial" w:hAnsi="Arial"/>
                <w:sz w:val="22"/>
                <w:szCs w:val="22"/>
                <w:color w:val="auto"/>
                <w:w w:val="88"/>
              </w:rPr>
              <w:t>Three Months Ended</w:t>
            </w:r>
          </w:p>
        </w:tc>
        <w:tc>
          <w:tcPr>
            <w:tcW w:w="620" w:type="dxa"/>
            <w:vAlign w:val="bottom"/>
          </w:tcPr>
          <w:p>
            <w:pPr>
              <w:spacing w:after="0"/>
              <w:rPr>
                <w:sz w:val="18"/>
                <w:szCs w:val="18"/>
                <w:color w:val="auto"/>
              </w:rPr>
            </w:pPr>
          </w:p>
        </w:tc>
      </w:tr>
      <w:tr>
        <w:trPr>
          <w:trHeight w:val="265"/>
        </w:trPr>
        <w:tc>
          <w:tcPr>
            <w:tcW w:w="5680" w:type="dxa"/>
            <w:vAlign w:val="bottom"/>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3"/>
          </w:tcPr>
          <w:p>
            <w:pPr>
              <w:jc w:val="center"/>
              <w:ind w:left="212"/>
              <w:spacing w:after="0"/>
              <w:rPr>
                <w:sz w:val="20"/>
                <w:szCs w:val="20"/>
                <w:color w:val="auto"/>
              </w:rPr>
            </w:pPr>
            <w:r>
              <w:rPr>
                <w:rFonts w:ascii="Arial" w:cs="Arial" w:eastAsia="Arial" w:hAnsi="Arial"/>
                <w:sz w:val="22"/>
                <w:szCs w:val="22"/>
                <w:color w:val="auto"/>
                <w:w w:val="89"/>
              </w:rPr>
              <w:t>March 31,</w:t>
            </w:r>
          </w:p>
        </w:tc>
        <w:tc>
          <w:tcPr>
            <w:tcW w:w="8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r>
      <w:tr>
        <w:trPr>
          <w:trHeight w:val="264"/>
        </w:trPr>
        <w:tc>
          <w:tcPr>
            <w:tcW w:w="568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2018</w:t>
            </w:r>
          </w:p>
        </w:tc>
        <w:tc>
          <w:tcPr>
            <w:tcW w:w="720" w:type="dxa"/>
            <w:vAlign w:val="bottom"/>
            <w:tcBorders>
              <w:bottom w:val="single" w:sz="8" w:color="auto"/>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2017</w:t>
            </w:r>
          </w:p>
        </w:tc>
        <w:tc>
          <w:tcPr>
            <w:tcW w:w="620" w:type="dxa"/>
            <w:vAlign w:val="bottom"/>
            <w:tcBorders>
              <w:bottom w:val="single" w:sz="8" w:color="auto"/>
            </w:tcBorders>
          </w:tcPr>
          <w:p>
            <w:pPr>
              <w:spacing w:after="0"/>
              <w:rPr>
                <w:sz w:val="22"/>
                <w:szCs w:val="22"/>
                <w:color w:val="auto"/>
              </w:rPr>
            </w:pPr>
          </w:p>
        </w:tc>
      </w:tr>
      <w:tr>
        <w:trPr>
          <w:trHeight w:val="264"/>
        </w:trPr>
        <w:tc>
          <w:tcPr>
            <w:tcW w:w="5680" w:type="dxa"/>
            <w:vAlign w:val="bottom"/>
            <w:shd w:val="clear" w:color="auto" w:fill="CCEEFF"/>
          </w:tcPr>
          <w:p>
            <w:pPr>
              <w:spacing w:after="0"/>
              <w:rPr>
                <w:sz w:val="20"/>
                <w:szCs w:val="20"/>
                <w:color w:val="auto"/>
              </w:rPr>
            </w:pPr>
            <w:r>
              <w:rPr>
                <w:rFonts w:ascii="Arial" w:cs="Arial" w:eastAsia="Arial" w:hAnsi="Arial"/>
                <w:sz w:val="22"/>
                <w:szCs w:val="22"/>
                <w:color w:val="auto"/>
              </w:rPr>
              <w:t>Service cost</w:t>
            </w:r>
          </w:p>
        </w:tc>
        <w:tc>
          <w:tcPr>
            <w:tcW w:w="1180" w:type="dxa"/>
            <w:vAlign w:val="bottom"/>
            <w:shd w:val="clear" w:color="auto" w:fill="CCEEFF"/>
          </w:tcPr>
          <w:p>
            <w:pPr>
              <w:jc w:val="right"/>
              <w:ind w:right="732"/>
              <w:spacing w:after="0"/>
              <w:rPr>
                <w:sz w:val="20"/>
                <w:szCs w:val="20"/>
                <w:color w:val="auto"/>
              </w:rPr>
            </w:pPr>
            <w:r>
              <w:rPr>
                <w:rFonts w:ascii="Arial" w:cs="Arial" w:eastAsia="Arial" w:hAnsi="Arial"/>
                <w:sz w:val="22"/>
                <w:szCs w:val="2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812</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32"/>
              <w:spacing w:after="0"/>
              <w:rPr>
                <w:sz w:val="20"/>
                <w:szCs w:val="20"/>
                <w:color w:val="auto"/>
              </w:rPr>
            </w:pPr>
            <w:r>
              <w:rPr>
                <w:rFonts w:ascii="Arial" w:cs="Arial" w:eastAsia="Arial" w:hAnsi="Arial"/>
                <w:sz w:val="22"/>
                <w:szCs w:val="22"/>
                <w:color w:val="auto"/>
                <w:w w:val="8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794</w:t>
            </w:r>
          </w:p>
        </w:tc>
      </w:tr>
      <w:tr>
        <w:trPr>
          <w:trHeight w:val="284"/>
        </w:trPr>
        <w:tc>
          <w:tcPr>
            <w:tcW w:w="5680" w:type="dxa"/>
            <w:vAlign w:val="bottom"/>
          </w:tcPr>
          <w:p>
            <w:pPr>
              <w:spacing w:after="0"/>
              <w:rPr>
                <w:sz w:val="20"/>
                <w:szCs w:val="20"/>
                <w:color w:val="auto"/>
              </w:rPr>
            </w:pPr>
            <w:r>
              <w:rPr>
                <w:rFonts w:ascii="Arial" w:cs="Arial" w:eastAsia="Arial" w:hAnsi="Arial"/>
                <w:sz w:val="22"/>
                <w:szCs w:val="22"/>
                <w:color w:val="auto"/>
              </w:rPr>
              <w:t>Interest cost</w:t>
            </w:r>
          </w:p>
        </w:tc>
        <w:tc>
          <w:tcPr>
            <w:tcW w:w="1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2,874</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3,108</w:t>
            </w:r>
          </w:p>
        </w:tc>
      </w:tr>
      <w:tr>
        <w:trPr>
          <w:trHeight w:val="284"/>
        </w:trPr>
        <w:tc>
          <w:tcPr>
            <w:tcW w:w="5680" w:type="dxa"/>
            <w:vAlign w:val="bottom"/>
            <w:shd w:val="clear" w:color="auto" w:fill="CCEEFF"/>
          </w:tcPr>
          <w:p>
            <w:pPr>
              <w:spacing w:after="0"/>
              <w:rPr>
                <w:sz w:val="20"/>
                <w:szCs w:val="20"/>
                <w:color w:val="auto"/>
              </w:rPr>
            </w:pPr>
            <w:r>
              <w:rPr>
                <w:rFonts w:ascii="Arial" w:cs="Arial" w:eastAsia="Arial" w:hAnsi="Arial"/>
                <w:sz w:val="22"/>
                <w:szCs w:val="22"/>
                <w:color w:val="auto"/>
              </w:rPr>
              <w:t>Expected return on plan assets</w:t>
            </w:r>
          </w:p>
        </w:tc>
        <w:tc>
          <w:tcPr>
            <w:tcW w:w="1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(4,553)</w:t>
            </w:r>
          </w:p>
        </w:tc>
        <w:tc>
          <w:tcPr>
            <w:tcW w:w="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6"/>
              </w:rPr>
              <w:t>(4,270)</w:t>
            </w:r>
          </w:p>
        </w:tc>
      </w:tr>
      <w:tr>
        <w:trPr>
          <w:trHeight w:val="284"/>
        </w:trPr>
        <w:tc>
          <w:tcPr>
            <w:tcW w:w="5680" w:type="dxa"/>
            <w:vAlign w:val="bottom"/>
          </w:tcPr>
          <w:p>
            <w:pPr>
              <w:spacing w:after="0"/>
              <w:rPr>
                <w:sz w:val="20"/>
                <w:szCs w:val="20"/>
                <w:color w:val="auto"/>
              </w:rPr>
            </w:pPr>
            <w:r>
              <w:rPr>
                <w:rFonts w:ascii="Arial" w:cs="Arial" w:eastAsia="Arial" w:hAnsi="Arial"/>
                <w:sz w:val="22"/>
                <w:szCs w:val="22"/>
                <w:color w:val="auto"/>
              </w:rPr>
              <w:t>Amortization of prior service cost</w:t>
            </w:r>
          </w:p>
        </w:tc>
        <w:tc>
          <w:tcPr>
            <w:tcW w:w="1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132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284"/>
        </w:trPr>
        <w:tc>
          <w:tcPr>
            <w:tcW w:w="5680" w:type="dxa"/>
            <w:vAlign w:val="bottom"/>
            <w:shd w:val="clear" w:color="auto" w:fill="CCEEFF"/>
          </w:tcPr>
          <w:p>
            <w:pPr>
              <w:spacing w:after="0"/>
              <w:rPr>
                <w:sz w:val="20"/>
                <w:szCs w:val="20"/>
                <w:color w:val="auto"/>
              </w:rPr>
            </w:pPr>
            <w:r>
              <w:rPr>
                <w:rFonts w:ascii="Arial" w:cs="Arial" w:eastAsia="Arial" w:hAnsi="Arial"/>
                <w:sz w:val="22"/>
                <w:szCs w:val="22"/>
                <w:color w:val="auto"/>
              </w:rPr>
              <w:t>Amortization of actuarial loss</w:t>
            </w:r>
          </w:p>
        </w:tc>
        <w:tc>
          <w:tcPr>
            <w:tcW w:w="1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1,823</w:t>
            </w:r>
          </w:p>
        </w:tc>
        <w:tc>
          <w:tcPr>
            <w:tcW w:w="28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2,001</w:t>
            </w:r>
          </w:p>
        </w:tc>
      </w:tr>
      <w:tr>
        <w:trPr>
          <w:trHeight w:val="257"/>
        </w:trPr>
        <w:tc>
          <w:tcPr>
            <w:tcW w:w="5680" w:type="dxa"/>
            <w:vAlign w:val="bottom"/>
          </w:tcPr>
          <w:p>
            <w:pPr>
              <w:spacing w:after="0" w:line="250" w:lineRule="exact"/>
              <w:rPr>
                <w:sz w:val="20"/>
                <w:szCs w:val="20"/>
                <w:color w:val="auto"/>
              </w:rPr>
            </w:pPr>
            <w:r>
              <w:rPr>
                <w:rFonts w:ascii="Arial" w:cs="Arial" w:eastAsia="Arial" w:hAnsi="Arial"/>
                <w:sz w:val="22"/>
                <w:szCs w:val="22"/>
                <w:color w:val="auto"/>
              </w:rPr>
              <w:t>Net periodic benefit cost</w:t>
            </w:r>
          </w:p>
        </w:tc>
        <w:tc>
          <w:tcPr>
            <w:tcW w:w="1180" w:type="dxa"/>
            <w:vAlign w:val="bottom"/>
            <w:tcBorders>
              <w:bottom w:val="single" w:sz="8" w:color="auto"/>
            </w:tcBorders>
          </w:tcPr>
          <w:p>
            <w:pPr>
              <w:jc w:val="right"/>
              <w:ind w:right="732"/>
              <w:spacing w:after="0" w:line="250" w:lineRule="exact"/>
              <w:rPr>
                <w:sz w:val="20"/>
                <w:szCs w:val="20"/>
                <w:color w:val="auto"/>
              </w:rPr>
            </w:pPr>
            <w:r>
              <w:rPr>
                <w:rFonts w:ascii="Arial" w:cs="Arial" w:eastAsia="Arial" w:hAnsi="Arial"/>
                <w:sz w:val="22"/>
                <w:szCs w:val="22"/>
                <w:color w:val="auto"/>
              </w:rPr>
              <w:t>$</w:t>
            </w:r>
          </w:p>
        </w:tc>
        <w:tc>
          <w:tcPr>
            <w:tcW w:w="7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1,088</w:t>
            </w: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32"/>
              <w:spacing w:after="0" w:line="250" w:lineRule="exact"/>
              <w:rPr>
                <w:sz w:val="20"/>
                <w:szCs w:val="20"/>
                <w:color w:val="auto"/>
              </w:rPr>
            </w:pPr>
            <w:r>
              <w:rPr>
                <w:rFonts w:ascii="Arial" w:cs="Arial" w:eastAsia="Arial" w:hAnsi="Arial"/>
                <w:sz w:val="22"/>
                <w:szCs w:val="22"/>
                <w:color w:val="auto"/>
                <w:w w:val="81"/>
              </w:rPr>
              <w:t>$</w:t>
            </w:r>
          </w:p>
        </w:tc>
        <w:tc>
          <w:tcPr>
            <w:tcW w:w="6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1,778</w:t>
            </w:r>
          </w:p>
        </w:tc>
      </w:tr>
      <w:tr>
        <w:trPr>
          <w:trHeight w:val="451"/>
        </w:trPr>
        <w:tc>
          <w:tcPr>
            <w:tcW w:w="5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gridSpan w:val="3"/>
          </w:tcPr>
          <w:p>
            <w:pPr>
              <w:jc w:val="center"/>
              <w:ind w:left="212"/>
              <w:spacing w:after="0"/>
              <w:rPr>
                <w:sz w:val="20"/>
                <w:szCs w:val="20"/>
                <w:color w:val="auto"/>
              </w:rPr>
            </w:pPr>
            <w:r>
              <w:rPr>
                <w:rFonts w:ascii="Arial" w:cs="Arial" w:eastAsia="Arial" w:hAnsi="Arial"/>
                <w:sz w:val="22"/>
                <w:szCs w:val="22"/>
                <w:color w:val="auto"/>
                <w:w w:val="87"/>
              </w:rPr>
              <w:t>Other</w:t>
            </w: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5"/>
        </w:trPr>
        <w:tc>
          <w:tcPr>
            <w:tcW w:w="5680" w:type="dxa"/>
            <w:vAlign w:val="bottom"/>
          </w:tcPr>
          <w:p>
            <w:pPr>
              <w:spacing w:after="0"/>
              <w:rPr>
                <w:sz w:val="23"/>
                <w:szCs w:val="23"/>
                <w:color w:val="auto"/>
              </w:rPr>
            </w:pPr>
          </w:p>
        </w:tc>
        <w:tc>
          <w:tcPr>
            <w:tcW w:w="3240" w:type="dxa"/>
            <w:vAlign w:val="bottom"/>
            <w:tcBorders>
              <w:bottom w:val="single" w:sz="8" w:color="auto"/>
            </w:tcBorders>
            <w:gridSpan w:val="5"/>
          </w:tcPr>
          <w:p>
            <w:pPr>
              <w:jc w:val="center"/>
              <w:ind w:left="532"/>
              <w:spacing w:after="0"/>
              <w:rPr>
                <w:sz w:val="20"/>
                <w:szCs w:val="20"/>
                <w:color w:val="auto"/>
              </w:rPr>
            </w:pPr>
            <w:r>
              <w:rPr>
                <w:rFonts w:ascii="Arial" w:cs="Arial" w:eastAsia="Arial" w:hAnsi="Arial"/>
                <w:sz w:val="22"/>
                <w:szCs w:val="22"/>
                <w:color w:val="auto"/>
                <w:w w:val="89"/>
              </w:rPr>
              <w:t>Postretirement Benefits</w:t>
            </w:r>
          </w:p>
        </w:tc>
        <w:tc>
          <w:tcPr>
            <w:tcW w:w="620" w:type="dxa"/>
            <w:vAlign w:val="bottom"/>
            <w:tcBorders>
              <w:bottom w:val="single" w:sz="8" w:color="auto"/>
            </w:tcBorders>
          </w:tcPr>
          <w:p>
            <w:pPr>
              <w:spacing w:after="0"/>
              <w:rPr>
                <w:sz w:val="23"/>
                <w:szCs w:val="23"/>
                <w:color w:val="auto"/>
              </w:rPr>
            </w:pPr>
          </w:p>
        </w:tc>
      </w:tr>
      <w:tr>
        <w:trPr>
          <w:trHeight w:val="215"/>
        </w:trPr>
        <w:tc>
          <w:tcPr>
            <w:tcW w:w="5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60" w:type="dxa"/>
            <w:vAlign w:val="bottom"/>
            <w:gridSpan w:val="4"/>
          </w:tcPr>
          <w:p>
            <w:pPr>
              <w:jc w:val="right"/>
              <w:ind w:right="112"/>
              <w:spacing w:after="0" w:line="216" w:lineRule="exact"/>
              <w:rPr>
                <w:sz w:val="20"/>
                <w:szCs w:val="20"/>
                <w:color w:val="auto"/>
              </w:rPr>
            </w:pPr>
            <w:r>
              <w:rPr>
                <w:rFonts w:ascii="Arial" w:cs="Arial" w:eastAsia="Arial" w:hAnsi="Arial"/>
                <w:sz w:val="22"/>
                <w:szCs w:val="22"/>
                <w:color w:val="auto"/>
                <w:w w:val="88"/>
              </w:rPr>
              <w:t>Three Months Ended</w:t>
            </w:r>
          </w:p>
        </w:tc>
        <w:tc>
          <w:tcPr>
            <w:tcW w:w="620" w:type="dxa"/>
            <w:vAlign w:val="bottom"/>
          </w:tcPr>
          <w:p>
            <w:pPr>
              <w:spacing w:after="0"/>
              <w:rPr>
                <w:sz w:val="18"/>
                <w:szCs w:val="18"/>
                <w:color w:val="auto"/>
              </w:rPr>
            </w:pPr>
          </w:p>
        </w:tc>
      </w:tr>
      <w:tr>
        <w:trPr>
          <w:trHeight w:val="265"/>
        </w:trPr>
        <w:tc>
          <w:tcPr>
            <w:tcW w:w="5680" w:type="dxa"/>
            <w:vAlign w:val="bottom"/>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22"/>
                <w:szCs w:val="22"/>
                <w:color w:val="auto"/>
              </w:rPr>
              <w:t>March 31,</w:t>
            </w:r>
          </w:p>
        </w:tc>
        <w:tc>
          <w:tcPr>
            <w:tcW w:w="620" w:type="dxa"/>
            <w:vAlign w:val="bottom"/>
            <w:tcBorders>
              <w:bottom w:val="single" w:sz="8" w:color="auto"/>
            </w:tcBorders>
          </w:tcPr>
          <w:p>
            <w:pPr>
              <w:spacing w:after="0"/>
              <w:rPr>
                <w:sz w:val="23"/>
                <w:szCs w:val="23"/>
                <w:color w:val="auto"/>
              </w:rPr>
            </w:pPr>
          </w:p>
        </w:tc>
      </w:tr>
      <w:tr>
        <w:trPr>
          <w:trHeight w:val="264"/>
        </w:trPr>
        <w:tc>
          <w:tcPr>
            <w:tcW w:w="568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2018</w:t>
            </w:r>
          </w:p>
        </w:tc>
        <w:tc>
          <w:tcPr>
            <w:tcW w:w="720" w:type="dxa"/>
            <w:vAlign w:val="bottom"/>
            <w:tcBorders>
              <w:bottom w:val="single" w:sz="8" w:color="auto"/>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2017</w:t>
            </w:r>
          </w:p>
        </w:tc>
        <w:tc>
          <w:tcPr>
            <w:tcW w:w="620" w:type="dxa"/>
            <w:vAlign w:val="bottom"/>
            <w:tcBorders>
              <w:bottom w:val="single" w:sz="8" w:color="auto"/>
            </w:tcBorders>
          </w:tcPr>
          <w:p>
            <w:pPr>
              <w:spacing w:after="0"/>
              <w:rPr>
                <w:sz w:val="22"/>
                <w:szCs w:val="22"/>
                <w:color w:val="auto"/>
              </w:rPr>
            </w:pPr>
          </w:p>
        </w:tc>
      </w:tr>
      <w:tr>
        <w:trPr>
          <w:trHeight w:val="264"/>
        </w:trPr>
        <w:tc>
          <w:tcPr>
            <w:tcW w:w="5680" w:type="dxa"/>
            <w:vAlign w:val="bottom"/>
            <w:shd w:val="clear" w:color="auto" w:fill="CCEEFF"/>
          </w:tcPr>
          <w:p>
            <w:pPr>
              <w:spacing w:after="0"/>
              <w:rPr>
                <w:sz w:val="20"/>
                <w:szCs w:val="20"/>
                <w:color w:val="auto"/>
              </w:rPr>
            </w:pPr>
            <w:r>
              <w:rPr>
                <w:rFonts w:ascii="Arial" w:cs="Arial" w:eastAsia="Arial" w:hAnsi="Arial"/>
                <w:sz w:val="22"/>
                <w:szCs w:val="22"/>
                <w:color w:val="auto"/>
              </w:rPr>
              <w:t>Service cost</w:t>
            </w:r>
          </w:p>
        </w:tc>
        <w:tc>
          <w:tcPr>
            <w:tcW w:w="1180" w:type="dxa"/>
            <w:vAlign w:val="bottom"/>
            <w:shd w:val="clear" w:color="auto" w:fill="CCEEFF"/>
          </w:tcPr>
          <w:p>
            <w:pPr>
              <w:jc w:val="right"/>
              <w:ind w:right="732"/>
              <w:spacing w:after="0"/>
              <w:rPr>
                <w:sz w:val="20"/>
                <w:szCs w:val="20"/>
                <w:color w:val="auto"/>
              </w:rPr>
            </w:pPr>
            <w:r>
              <w:rPr>
                <w:rFonts w:ascii="Arial" w:cs="Arial" w:eastAsia="Arial" w:hAnsi="Arial"/>
                <w:sz w:val="22"/>
                <w:szCs w:val="2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262</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32"/>
              <w:spacing w:after="0"/>
              <w:rPr>
                <w:sz w:val="20"/>
                <w:szCs w:val="20"/>
                <w:color w:val="auto"/>
              </w:rPr>
            </w:pPr>
            <w:r>
              <w:rPr>
                <w:rFonts w:ascii="Arial" w:cs="Arial" w:eastAsia="Arial" w:hAnsi="Arial"/>
                <w:sz w:val="22"/>
                <w:szCs w:val="22"/>
                <w:color w:val="auto"/>
                <w:w w:val="8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255</w:t>
            </w:r>
          </w:p>
        </w:tc>
      </w:tr>
      <w:tr>
        <w:trPr>
          <w:trHeight w:val="284"/>
        </w:trPr>
        <w:tc>
          <w:tcPr>
            <w:tcW w:w="5680" w:type="dxa"/>
            <w:vAlign w:val="bottom"/>
          </w:tcPr>
          <w:p>
            <w:pPr>
              <w:spacing w:after="0"/>
              <w:rPr>
                <w:sz w:val="20"/>
                <w:szCs w:val="20"/>
                <w:color w:val="auto"/>
              </w:rPr>
            </w:pPr>
            <w:r>
              <w:rPr>
                <w:rFonts w:ascii="Arial" w:cs="Arial" w:eastAsia="Arial" w:hAnsi="Arial"/>
                <w:sz w:val="22"/>
                <w:szCs w:val="22"/>
                <w:color w:val="auto"/>
              </w:rPr>
              <w:t>Interest cost</w:t>
            </w:r>
          </w:p>
        </w:tc>
        <w:tc>
          <w:tcPr>
            <w:tcW w:w="1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708</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737</w:t>
            </w:r>
          </w:p>
        </w:tc>
      </w:tr>
      <w:tr>
        <w:trPr>
          <w:trHeight w:val="284"/>
        </w:trPr>
        <w:tc>
          <w:tcPr>
            <w:tcW w:w="5680" w:type="dxa"/>
            <w:vAlign w:val="bottom"/>
            <w:shd w:val="clear" w:color="auto" w:fill="CCEEFF"/>
          </w:tcPr>
          <w:p>
            <w:pPr>
              <w:spacing w:after="0"/>
              <w:rPr>
                <w:sz w:val="20"/>
                <w:szCs w:val="20"/>
                <w:color w:val="auto"/>
              </w:rPr>
            </w:pPr>
            <w:r>
              <w:rPr>
                <w:rFonts w:ascii="Arial" w:cs="Arial" w:eastAsia="Arial" w:hAnsi="Arial"/>
                <w:sz w:val="22"/>
                <w:szCs w:val="22"/>
                <w:color w:val="auto"/>
              </w:rPr>
              <w:t>Expected return on plan assets</w:t>
            </w:r>
          </w:p>
        </w:tc>
        <w:tc>
          <w:tcPr>
            <w:tcW w:w="1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(677)</w:t>
            </w:r>
          </w:p>
        </w:tc>
        <w:tc>
          <w:tcPr>
            <w:tcW w:w="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(647)</w:t>
            </w:r>
          </w:p>
        </w:tc>
      </w:tr>
      <w:tr>
        <w:trPr>
          <w:trHeight w:val="284"/>
        </w:trPr>
        <w:tc>
          <w:tcPr>
            <w:tcW w:w="5680" w:type="dxa"/>
            <w:vAlign w:val="bottom"/>
          </w:tcPr>
          <w:p>
            <w:pPr>
              <w:spacing w:after="0"/>
              <w:rPr>
                <w:sz w:val="20"/>
                <w:szCs w:val="20"/>
                <w:color w:val="auto"/>
              </w:rPr>
            </w:pPr>
            <w:r>
              <w:rPr>
                <w:rFonts w:ascii="Arial" w:cs="Arial" w:eastAsia="Arial" w:hAnsi="Arial"/>
                <w:sz w:val="22"/>
                <w:szCs w:val="22"/>
                <w:color w:val="auto"/>
              </w:rPr>
              <w:t>Amortization of prior service cost</w:t>
            </w:r>
          </w:p>
        </w:tc>
        <w:tc>
          <w:tcPr>
            <w:tcW w:w="1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(127)</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84"/>
        </w:trPr>
        <w:tc>
          <w:tcPr>
            <w:tcW w:w="5680" w:type="dxa"/>
            <w:vAlign w:val="bottom"/>
            <w:shd w:val="clear" w:color="auto" w:fill="CCEEFF"/>
          </w:tcPr>
          <w:p>
            <w:pPr>
              <w:spacing w:after="0"/>
              <w:rPr>
                <w:sz w:val="20"/>
                <w:szCs w:val="20"/>
                <w:color w:val="auto"/>
              </w:rPr>
            </w:pPr>
            <w:r>
              <w:rPr>
                <w:rFonts w:ascii="Arial" w:cs="Arial" w:eastAsia="Arial" w:hAnsi="Arial"/>
                <w:sz w:val="22"/>
                <w:szCs w:val="22"/>
                <w:color w:val="auto"/>
              </w:rPr>
              <w:t>Amortization of actuarial loss</w:t>
            </w:r>
          </w:p>
        </w:tc>
        <w:tc>
          <w:tcPr>
            <w:tcW w:w="1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296</w:t>
            </w:r>
          </w:p>
        </w:tc>
        <w:tc>
          <w:tcPr>
            <w:tcW w:w="28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291</w:t>
            </w:r>
          </w:p>
        </w:tc>
      </w:tr>
      <w:tr>
        <w:trPr>
          <w:trHeight w:val="257"/>
        </w:trPr>
        <w:tc>
          <w:tcPr>
            <w:tcW w:w="5680" w:type="dxa"/>
            <w:vAlign w:val="bottom"/>
          </w:tcPr>
          <w:p>
            <w:pPr>
              <w:spacing w:after="0" w:line="250" w:lineRule="exact"/>
              <w:rPr>
                <w:sz w:val="20"/>
                <w:szCs w:val="20"/>
                <w:color w:val="auto"/>
              </w:rPr>
            </w:pPr>
            <w:r>
              <w:rPr>
                <w:rFonts w:ascii="Arial" w:cs="Arial" w:eastAsia="Arial" w:hAnsi="Arial"/>
                <w:sz w:val="22"/>
                <w:szCs w:val="22"/>
                <w:color w:val="auto"/>
              </w:rPr>
              <w:t>Net periodic benefit cost</w:t>
            </w:r>
          </w:p>
        </w:tc>
        <w:tc>
          <w:tcPr>
            <w:tcW w:w="1180" w:type="dxa"/>
            <w:vAlign w:val="bottom"/>
            <w:tcBorders>
              <w:bottom w:val="single" w:sz="8" w:color="auto"/>
            </w:tcBorders>
          </w:tcPr>
          <w:p>
            <w:pPr>
              <w:jc w:val="right"/>
              <w:ind w:right="732"/>
              <w:spacing w:after="0" w:line="250" w:lineRule="exact"/>
              <w:rPr>
                <w:sz w:val="20"/>
                <w:szCs w:val="20"/>
                <w:color w:val="auto"/>
              </w:rPr>
            </w:pPr>
            <w:r>
              <w:rPr>
                <w:rFonts w:ascii="Arial" w:cs="Arial" w:eastAsia="Arial" w:hAnsi="Arial"/>
                <w:sz w:val="22"/>
                <w:szCs w:val="22"/>
                <w:color w:val="auto"/>
              </w:rPr>
              <w:t>$</w:t>
            </w:r>
          </w:p>
        </w:tc>
        <w:tc>
          <w:tcPr>
            <w:tcW w:w="7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462</w:t>
            </w: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32"/>
              <w:spacing w:after="0" w:line="250" w:lineRule="exact"/>
              <w:rPr>
                <w:sz w:val="20"/>
                <w:szCs w:val="20"/>
                <w:color w:val="auto"/>
              </w:rPr>
            </w:pPr>
            <w:r>
              <w:rPr>
                <w:rFonts w:ascii="Arial" w:cs="Arial" w:eastAsia="Arial" w:hAnsi="Arial"/>
                <w:sz w:val="22"/>
                <w:szCs w:val="22"/>
                <w:color w:val="auto"/>
                <w:w w:val="81"/>
              </w:rPr>
              <w:t>$</w:t>
            </w:r>
          </w:p>
        </w:tc>
        <w:tc>
          <w:tcPr>
            <w:tcW w:w="62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509</w:t>
            </w:r>
          </w:p>
        </w:tc>
      </w:tr>
    </w:tbl>
    <w:p>
      <w:pPr>
        <w:spacing w:after="0" w:line="222"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color w:val="auto"/>
        </w:rPr>
        <w:t>The components of net periodic benefit cost other than service cost are presented on the consolidated statements of net income on the line item “Other.”</w:t>
      </w:r>
    </w:p>
    <w:p>
      <w:pPr>
        <w:spacing w:after="0" w:line="200"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The Company made cash contributions of $5,198 to its Pension Plan during the first three months of 2018, and intends to make additional cash contributions of $7,286 to the Pension Plan during the remainder of 2018.</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w:t>
      </w:r>
      <w:r>
        <w:rPr>
          <w:rFonts w:ascii="Arial" w:cs="Arial" w:eastAsia="Arial" w:hAnsi="Arial"/>
          <w:sz w:val="22"/>
          <w:szCs w:val="22"/>
          <w:b w:val="1"/>
          <w:bCs w:val="1"/>
          <w:i w:val="1"/>
          <w:iCs w:val="1"/>
          <w:color w:val="auto"/>
        </w:rPr>
        <w:t>Water and Wastewater Rates</w:t>
      </w:r>
    </w:p>
    <w:p>
      <w:pPr>
        <w:spacing w:after="0" w:line="239" w:lineRule="exact"/>
        <w:rPr>
          <w:sz w:val="20"/>
          <w:szCs w:val="20"/>
          <w:color w:val="auto"/>
        </w:rPr>
      </w:pPr>
    </w:p>
    <w:p>
      <w:pPr>
        <w:jc w:val="both"/>
        <w:ind w:right="280"/>
        <w:spacing w:after="0" w:line="297" w:lineRule="auto"/>
        <w:rPr>
          <w:sz w:val="20"/>
          <w:szCs w:val="20"/>
          <w:color w:val="auto"/>
        </w:rPr>
      </w:pPr>
      <w:r>
        <w:rPr>
          <w:rFonts w:ascii="Arial" w:cs="Arial" w:eastAsia="Arial" w:hAnsi="Arial"/>
          <w:sz w:val="19"/>
          <w:szCs w:val="19"/>
          <w:color w:val="auto"/>
        </w:rPr>
        <w:t>During the first three months of 2018, the Company’s operating divisions in Illinois and Ohio were granted base rate increases designed to increase total operating revenues on an annual basis by $8,640. On April 6, 2018, the base rate case in Illinois was petitioned for a rehearing; however, this petition was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denied on April 19, 2018. The other parties to the case have thirty days to file an appeal. The approved rates, for which we have billed $300 to date in March 2018, are in effect, but could be subject to refund if an appeal is granted. Further, during the first three months of 2018, the Company’s operating divisions in Pennsylvania and North Carolina received approval to bill infrastructure rehabilitation surcharges designed to increase total operating revenues on an annual basis by $9,731.</w:t>
      </w:r>
    </w:p>
    <w:p>
      <w:pPr>
        <w:spacing w:after="0" w:line="206"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As of February 10, 2018, the Company has been billing interim rates in Virginia, which has a base rate case filing in progress. As of March 31, 2018, $821 of billings is subject to refund pending the conclusion of the rate case.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 </w:t>
      </w:r>
      <w:r>
        <w:rPr>
          <w:rFonts w:ascii="Arial" w:cs="Arial" w:eastAsia="Arial" w:hAnsi="Arial"/>
          <w:sz w:val="22"/>
          <w:szCs w:val="22"/>
          <w:b w:val="1"/>
          <w:bCs w:val="1"/>
          <w:i w:val="1"/>
          <w:iCs w:val="1"/>
          <w:color w:val="auto"/>
        </w:rPr>
        <w:t>Taxes Other than 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the components of taxes other than income taxes:</w:t>
      </w:r>
    </w:p>
    <w:p>
      <w:pPr>
        <w:spacing w:after="0" w:line="139" w:lineRule="exact"/>
        <w:rPr>
          <w:sz w:val="20"/>
          <w:szCs w:val="20"/>
          <w:color w:val="auto"/>
        </w:rPr>
      </w:pPr>
    </w:p>
    <w:p>
      <w:pPr>
        <w:jc w:val="center"/>
        <w:ind w:left="5780"/>
        <w:spacing w:after="0"/>
        <w:rPr>
          <w:sz w:val="20"/>
          <w:szCs w:val="20"/>
          <w:color w:val="auto"/>
        </w:rPr>
      </w:pPr>
      <w:r>
        <w:rPr>
          <w:rFonts w:ascii="Arial" w:cs="Arial" w:eastAsia="Arial" w:hAnsi="Arial"/>
          <w:sz w:val="22"/>
          <w:szCs w:val="22"/>
          <w:color w:val="auto"/>
        </w:rPr>
        <w:t>Three Months Ended</w:t>
      </w:r>
    </w:p>
    <w:p>
      <w:pPr>
        <w:spacing w:after="0" w:line="8" w:lineRule="exact"/>
        <w:rPr>
          <w:sz w:val="20"/>
          <w:szCs w:val="20"/>
          <w:color w:val="auto"/>
        </w:rPr>
      </w:pPr>
    </w:p>
    <w:p>
      <w:pPr>
        <w:jc w:val="center"/>
        <w:ind w:left="5780"/>
        <w:spacing w:after="0"/>
        <w:rPr>
          <w:sz w:val="20"/>
          <w:szCs w:val="20"/>
          <w:color w:val="auto"/>
        </w:rPr>
      </w:pPr>
      <w:r>
        <w:rPr>
          <w:rFonts w:ascii="Arial" w:cs="Arial" w:eastAsia="Arial" w:hAnsi="Arial"/>
          <w:sz w:val="22"/>
          <w:szCs w:val="22"/>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-3175</wp:posOffset>
            </wp:positionV>
            <wp:extent cx="24441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5"/>
        </w:trPr>
        <w:tc>
          <w:tcPr>
            <w:tcW w:w="57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2018</w:t>
            </w:r>
          </w:p>
        </w:tc>
        <w:tc>
          <w:tcPr>
            <w:tcW w:w="660" w:type="dxa"/>
            <w:vAlign w:val="bottom"/>
            <w:tcBorders>
              <w:bottom w:val="single" w:sz="8" w:color="auto"/>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color w:val="auto"/>
              </w:rPr>
              <w:t>2017</w:t>
            </w:r>
          </w:p>
        </w:tc>
      </w:tr>
      <w:tr>
        <w:trPr>
          <w:trHeight w:val="237"/>
        </w:trPr>
        <w:tc>
          <w:tcPr>
            <w:tcW w:w="570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Property</w:t>
            </w:r>
          </w:p>
        </w:tc>
        <w:tc>
          <w:tcPr>
            <w:tcW w:w="1100" w:type="dxa"/>
            <w:vAlign w:val="bottom"/>
            <w:shd w:val="clear" w:color="auto" w:fill="CCEEFF"/>
          </w:tcPr>
          <w:p>
            <w:pPr>
              <w:jc w:val="right"/>
              <w:ind w:right="672"/>
              <w:spacing w:after="0" w:line="237" w:lineRule="exact"/>
              <w:rPr>
                <w:sz w:val="20"/>
                <w:szCs w:val="20"/>
                <w:color w:val="auto"/>
              </w:rPr>
            </w:pPr>
            <w:r>
              <w:rPr>
                <w:rFonts w:ascii="Arial" w:cs="Arial" w:eastAsia="Arial" w:hAnsi="Arial"/>
                <w:sz w:val="22"/>
                <w:szCs w:val="22"/>
                <w:color w:val="auto"/>
              </w:rPr>
              <w:t>$</w:t>
            </w:r>
          </w:p>
        </w:tc>
        <w:tc>
          <w:tcPr>
            <w:tcW w:w="66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6,749</w:t>
            </w: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92"/>
              <w:spacing w:after="0" w:line="237" w:lineRule="exact"/>
              <w:rPr>
                <w:sz w:val="20"/>
                <w:szCs w:val="20"/>
                <w:color w:val="auto"/>
              </w:rPr>
            </w:pPr>
            <w:r>
              <w:rPr>
                <w:rFonts w:ascii="Arial" w:cs="Arial" w:eastAsia="Arial" w:hAnsi="Arial"/>
                <w:sz w:val="22"/>
                <w:szCs w:val="22"/>
                <w:color w:val="auto"/>
              </w:rPr>
              <w:t>$</w:t>
            </w:r>
          </w:p>
        </w:tc>
        <w:tc>
          <w:tcPr>
            <w:tcW w:w="13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6,785</w:t>
            </w:r>
          </w:p>
        </w:tc>
      </w:tr>
      <w:tr>
        <w:trPr>
          <w:trHeight w:val="243"/>
        </w:trPr>
        <w:tc>
          <w:tcPr>
            <w:tcW w:w="5700" w:type="dxa"/>
            <w:vAlign w:val="bottom"/>
          </w:tcPr>
          <w:p>
            <w:pPr>
              <w:spacing w:after="0" w:line="243" w:lineRule="exact"/>
              <w:rPr>
                <w:sz w:val="20"/>
                <w:szCs w:val="20"/>
                <w:color w:val="auto"/>
              </w:rPr>
            </w:pPr>
            <w:r>
              <w:rPr>
                <w:rFonts w:ascii="Arial" w:cs="Arial" w:eastAsia="Arial" w:hAnsi="Arial"/>
                <w:sz w:val="22"/>
                <w:szCs w:val="22"/>
                <w:color w:val="auto"/>
              </w:rPr>
              <w:t>Gross receipts, excise and franchise</w:t>
            </w:r>
          </w:p>
        </w:tc>
        <w:tc>
          <w:tcPr>
            <w:tcW w:w="1100" w:type="dxa"/>
            <w:vAlign w:val="bottom"/>
          </w:tcPr>
          <w:p>
            <w:pPr>
              <w:spacing w:after="0"/>
              <w:rPr>
                <w:sz w:val="21"/>
                <w:szCs w:val="21"/>
                <w:color w:val="auto"/>
              </w:rPr>
            </w:pP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rPr>
              <w:t>3,265</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3,175</w:t>
            </w:r>
          </w:p>
        </w:tc>
      </w:tr>
      <w:tr>
        <w:trPr>
          <w:trHeight w:val="243"/>
        </w:trPr>
        <w:tc>
          <w:tcPr>
            <w:tcW w:w="57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Payroll</w:t>
            </w: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3,275</w:t>
            </w: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3,124</w:t>
            </w:r>
          </w:p>
        </w:tc>
      </w:tr>
      <w:tr>
        <w:trPr>
          <w:trHeight w:val="243"/>
        </w:trPr>
        <w:tc>
          <w:tcPr>
            <w:tcW w:w="5700" w:type="dxa"/>
            <w:vAlign w:val="bottom"/>
          </w:tcPr>
          <w:p>
            <w:pPr>
              <w:spacing w:after="0" w:line="243" w:lineRule="exact"/>
              <w:rPr>
                <w:sz w:val="20"/>
                <w:szCs w:val="20"/>
                <w:color w:val="auto"/>
              </w:rPr>
            </w:pPr>
            <w:r>
              <w:rPr>
                <w:rFonts w:ascii="Arial" w:cs="Arial" w:eastAsia="Arial" w:hAnsi="Arial"/>
                <w:sz w:val="22"/>
                <w:szCs w:val="22"/>
                <w:color w:val="auto"/>
              </w:rPr>
              <w:t>Regulatory assessments</w:t>
            </w:r>
          </w:p>
        </w:tc>
        <w:tc>
          <w:tcPr>
            <w:tcW w:w="1100" w:type="dxa"/>
            <w:vAlign w:val="bottom"/>
          </w:tcPr>
          <w:p>
            <w:pPr>
              <w:spacing w:after="0"/>
              <w:rPr>
                <w:sz w:val="21"/>
                <w:szCs w:val="21"/>
                <w:color w:val="auto"/>
              </w:rPr>
            </w:pPr>
          </w:p>
        </w:tc>
        <w:tc>
          <w:tcPr>
            <w:tcW w:w="660" w:type="dxa"/>
            <w:vAlign w:val="bottom"/>
          </w:tcPr>
          <w:p>
            <w:pPr>
              <w:jc w:val="right"/>
              <w:spacing w:after="0" w:line="243" w:lineRule="exact"/>
              <w:rPr>
                <w:sz w:val="20"/>
                <w:szCs w:val="20"/>
                <w:color w:val="auto"/>
              </w:rPr>
            </w:pPr>
            <w:r>
              <w:rPr>
                <w:rFonts w:ascii="Arial" w:cs="Arial" w:eastAsia="Arial" w:hAnsi="Arial"/>
                <w:sz w:val="22"/>
                <w:szCs w:val="22"/>
                <w:color w:val="auto"/>
              </w:rPr>
              <w:t>627</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jc w:val="right"/>
              <w:spacing w:after="0" w:line="243" w:lineRule="exact"/>
              <w:rPr>
                <w:sz w:val="20"/>
                <w:szCs w:val="20"/>
                <w:color w:val="auto"/>
              </w:rPr>
            </w:pPr>
            <w:r>
              <w:rPr>
                <w:rFonts w:ascii="Arial" w:cs="Arial" w:eastAsia="Arial" w:hAnsi="Arial"/>
                <w:sz w:val="22"/>
                <w:szCs w:val="22"/>
                <w:color w:val="auto"/>
              </w:rPr>
              <w:t>629</w:t>
            </w:r>
          </w:p>
        </w:tc>
      </w:tr>
      <w:tr>
        <w:trPr>
          <w:trHeight w:val="243"/>
        </w:trPr>
        <w:tc>
          <w:tcPr>
            <w:tcW w:w="57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Pumping fees</w:t>
            </w: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991</w:t>
            </w: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944</w:t>
            </w:r>
          </w:p>
        </w:tc>
      </w:tr>
      <w:tr>
        <w:trPr>
          <w:trHeight w:val="243"/>
        </w:trPr>
        <w:tc>
          <w:tcPr>
            <w:tcW w:w="5700" w:type="dxa"/>
            <w:vAlign w:val="bottom"/>
            <w:tcBorders>
              <w:bottom w:val="single" w:sz="8" w:color="CCEEFF"/>
            </w:tcBorders>
          </w:tcPr>
          <w:p>
            <w:pPr>
              <w:spacing w:after="0" w:line="243" w:lineRule="exact"/>
              <w:rPr>
                <w:sz w:val="20"/>
                <w:szCs w:val="20"/>
                <w:color w:val="auto"/>
              </w:rPr>
            </w:pPr>
            <w:r>
              <w:rPr>
                <w:rFonts w:ascii="Arial" w:cs="Arial" w:eastAsia="Arial" w:hAnsi="Arial"/>
                <w:sz w:val="22"/>
                <w:szCs w:val="22"/>
                <w:color w:val="auto"/>
              </w:rPr>
              <w:t>Other</w:t>
            </w:r>
          </w:p>
        </w:tc>
        <w:tc>
          <w:tcPr>
            <w:tcW w:w="1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60</w:t>
            </w:r>
          </w:p>
        </w:tc>
        <w:tc>
          <w:tcPr>
            <w:tcW w:w="2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57"/>
        </w:trPr>
        <w:tc>
          <w:tcPr>
            <w:tcW w:w="5700" w:type="dxa"/>
            <w:vAlign w:val="bottom"/>
            <w:tcBorders>
              <w:bottom w:val="single" w:sz="8" w:color="CCEEFF"/>
            </w:tcBorders>
            <w:shd w:val="clear" w:color="auto" w:fill="CCEEFF"/>
          </w:tcPr>
          <w:p>
            <w:pPr>
              <w:spacing w:after="0" w:line="250" w:lineRule="exact"/>
              <w:rPr>
                <w:sz w:val="20"/>
                <w:szCs w:val="20"/>
                <w:color w:val="auto"/>
              </w:rPr>
            </w:pPr>
            <w:r>
              <w:rPr>
                <w:rFonts w:ascii="Arial" w:cs="Arial" w:eastAsia="Arial" w:hAnsi="Arial"/>
                <w:sz w:val="22"/>
                <w:szCs w:val="22"/>
                <w:color w:val="auto"/>
              </w:rPr>
              <w:t>Total taxes other than income</w:t>
            </w:r>
          </w:p>
        </w:tc>
        <w:tc>
          <w:tcPr>
            <w:tcW w:w="1100" w:type="dxa"/>
            <w:vAlign w:val="bottom"/>
            <w:tcBorders>
              <w:bottom w:val="single" w:sz="8" w:color="auto"/>
            </w:tcBorders>
            <w:shd w:val="clear" w:color="auto" w:fill="CCEEFF"/>
          </w:tcPr>
          <w:p>
            <w:pPr>
              <w:jc w:val="right"/>
              <w:ind w:right="672"/>
              <w:spacing w:after="0" w:line="250" w:lineRule="exact"/>
              <w:rPr>
                <w:sz w:val="20"/>
                <w:szCs w:val="20"/>
                <w:color w:val="auto"/>
              </w:rPr>
            </w:pPr>
            <w:r>
              <w:rPr>
                <w:rFonts w:ascii="Arial" w:cs="Arial" w:eastAsia="Arial" w:hAnsi="Arial"/>
                <w:sz w:val="22"/>
                <w:szCs w:val="22"/>
                <w:color w:val="auto"/>
              </w:rPr>
              <w:t>$</w:t>
            </w:r>
          </w:p>
        </w:tc>
        <w:tc>
          <w:tcPr>
            <w:tcW w:w="66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w w:val="86"/>
              </w:rPr>
              <w:t>14,967</w:t>
            </w: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92"/>
              <w:spacing w:after="0" w:line="250" w:lineRule="exact"/>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14,737</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 </w:t>
      </w:r>
      <w:r>
        <w:rPr>
          <w:rFonts w:ascii="Arial" w:cs="Arial" w:eastAsia="Arial" w:hAnsi="Arial"/>
          <w:sz w:val="22"/>
          <w:szCs w:val="22"/>
          <w:b w:val="1"/>
          <w:bCs w:val="1"/>
          <w:i w:val="1"/>
          <w:iCs w:val="1"/>
          <w:color w:val="auto"/>
        </w:rPr>
        <w:t>Segment Information</w:t>
      </w:r>
    </w:p>
    <w:p>
      <w:pPr>
        <w:spacing w:after="0" w:line="239"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The Company has ten operating segments and one reportable segment. The Regulated segment, the Company’s single reportable segment, is comprised of eight operating segments representing its water and wastewater regulated utility companies which are organized by the states where the Company provides water and wastewater services. These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w:t>
      </w:r>
    </w:p>
    <w:p>
      <w:pPr>
        <w:spacing w:after="0" w:line="192"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Two operating segments are included within the Other category below. These segments are not quantitatively significant and are comprised of Aqua Infrastructure and Aqua Resources. Aqua Infrastructure provides non-utility raw water supply services for firms in the natural gas drilling industry. Aqua Resources provides water and wastewater service through operating and maintenance contracts with municipal authorities and other parties close to its utility companies’ service territories; and offers, through a third party, water and sewer line repair service and protection solutions to households. In addition to these segments, Other is comprised of other business activities not included in the reportable segment, including corporate costs that have not been allocated to the Regulated segment and intersegment eliminations. Corporate costs include general and administrative expenses, and interest expense.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information about the Company’s reportable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color w:val="auto"/>
                <w:w w:val="93"/>
              </w:rPr>
              <w:t>Three Months Ended</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color w:val="auto"/>
                <w:w w:val="93"/>
              </w:rPr>
              <w:t>Three Months Ended</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28"/>
        </w:trPr>
        <w:tc>
          <w:tcPr>
            <w:tcW w:w="3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color w:val="auto"/>
                <w:w w:val="94"/>
              </w:rPr>
              <w:t>March 31, 2018</w:t>
            </w: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2"/>
              </w:rPr>
              <w:t>March 31, 2017</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r>
      <w:tr>
        <w:trPr>
          <w:trHeight w:val="183"/>
        </w:trPr>
        <w:tc>
          <w:tcPr>
            <w:tcW w:w="3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0"/>
              </w:rPr>
              <w:t>Regulated</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w w:val="91"/>
              </w:rPr>
              <w:t>Other</w:t>
            </w: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Consolidated</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87"/>
              </w:rPr>
              <w:t>Regulated</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w w:val="96"/>
              </w:rPr>
              <w:t>Other</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7"/>
              </w:rPr>
              <w:t>Consolidated</w:t>
            </w:r>
          </w:p>
        </w:tc>
      </w:tr>
      <w:tr>
        <w:trPr>
          <w:trHeight w:val="18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193,507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194,347</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186,349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187,787</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71,303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2,643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73,946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66,272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1,618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67,890</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35,958</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33,666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33,837</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Amortization</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(20)</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189</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 (loss)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72,058</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(2,721)</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69,337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72,305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(1,171)</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71,134</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21,708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1,763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23,471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19,777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1,549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21,326</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Allowance for funds used during construction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3,193</w:t>
            </w:r>
          </w:p>
        </w:tc>
      </w:tr>
      <w:tr>
        <w:trPr>
          <w:trHeight w:val="203"/>
        </w:trPr>
        <w:tc>
          <w:tcPr>
            <w:tcW w:w="318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(1,488)</w:t>
            </w:r>
          </w:p>
        </w:tc>
        <w:tc>
          <w:tcPr>
            <w:tcW w:w="3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(2,131)</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3,856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(926)</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2,930</w:t>
            </w: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(3,188)</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50,839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50,896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(1,824)</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49,072</w:t>
            </w:r>
          </w:p>
        </w:tc>
      </w:tr>
      <w:tr>
        <w:trPr>
          <w:trHeight w:val="218"/>
        </w:trPr>
        <w:tc>
          <w:tcPr>
            <w:tcW w:w="3180" w:type="dxa"/>
            <w:vAlign w:val="bottom"/>
          </w:tcPr>
          <w:p>
            <w:pPr>
              <w:spacing w:after="0"/>
              <w:rPr>
                <w:sz w:val="20"/>
                <w:szCs w:val="20"/>
                <w:color w:val="auto"/>
              </w:rPr>
            </w:pPr>
            <w:r>
              <w:rPr>
                <w:rFonts w:ascii="Arial" w:cs="Arial" w:eastAsia="Arial" w:hAnsi="Arial"/>
                <w:sz w:val="14"/>
                <w:szCs w:val="14"/>
                <w:color w:val="auto"/>
              </w:rPr>
              <w:t>Capital expenditures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105,136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105,136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94,409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94,562</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300" w:type="dxa"/>
            <w:vAlign w:val="bottom"/>
            <w:gridSpan w:val="2"/>
          </w:tcPr>
          <w:p>
            <w:pPr>
              <w:ind w:left="260"/>
              <w:spacing w:after="0"/>
              <w:rPr>
                <w:sz w:val="20"/>
                <w:szCs w:val="20"/>
                <w:color w:val="auto"/>
              </w:rPr>
            </w:pPr>
            <w:r>
              <w:rPr>
                <w:rFonts w:ascii="Arial" w:cs="Arial" w:eastAsia="Arial" w:hAnsi="Arial"/>
                <w:sz w:val="22"/>
                <w:szCs w:val="22"/>
                <w:color w:val="auto"/>
              </w:rPr>
              <w:t>March 31,</w:t>
            </w:r>
          </w:p>
        </w:tc>
        <w:tc>
          <w:tcPr>
            <w:tcW w:w="440" w:type="dxa"/>
            <w:vAlign w:val="bottom"/>
          </w:tcPr>
          <w:p>
            <w:pPr>
              <w:spacing w:after="0"/>
              <w:rPr>
                <w:sz w:val="21"/>
                <w:szCs w:val="21"/>
                <w:color w:val="auto"/>
              </w:rPr>
            </w:pPr>
          </w:p>
        </w:tc>
        <w:tc>
          <w:tcPr>
            <w:tcW w:w="1960" w:type="dxa"/>
            <w:vAlign w:val="bottom"/>
          </w:tcPr>
          <w:p>
            <w:pPr>
              <w:jc w:val="right"/>
              <w:ind w:right="492"/>
              <w:spacing w:after="0"/>
              <w:rPr>
                <w:sz w:val="20"/>
                <w:szCs w:val="20"/>
                <w:color w:val="auto"/>
              </w:rPr>
            </w:pPr>
            <w:r>
              <w:rPr>
                <w:rFonts w:ascii="Arial" w:cs="Arial" w:eastAsia="Arial" w:hAnsi="Arial"/>
                <w:sz w:val="22"/>
                <w:szCs w:val="22"/>
                <w:color w:val="auto"/>
                <w:w w:val="96"/>
              </w:rPr>
              <w:t>December 31,</w:t>
            </w:r>
          </w:p>
        </w:tc>
      </w:tr>
      <w:tr>
        <w:trPr>
          <w:trHeight w:val="265"/>
        </w:trPr>
        <w:tc>
          <w:tcPr>
            <w:tcW w:w="426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jc w:val="right"/>
              <w:ind w:right="972"/>
              <w:spacing w:after="0"/>
              <w:rPr>
                <w:sz w:val="20"/>
                <w:szCs w:val="20"/>
                <w:color w:val="auto"/>
              </w:rPr>
            </w:pPr>
            <w:r>
              <w:rPr>
                <w:rFonts w:ascii="Arial" w:cs="Arial" w:eastAsia="Arial" w:hAnsi="Arial"/>
                <w:sz w:val="22"/>
                <w:szCs w:val="22"/>
                <w:color w:val="auto"/>
              </w:rPr>
              <w:t>2018</w:t>
            </w:r>
          </w:p>
        </w:tc>
        <w:tc>
          <w:tcPr>
            <w:tcW w:w="3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872"/>
              <w:spacing w:after="0"/>
              <w:rPr>
                <w:sz w:val="20"/>
                <w:szCs w:val="20"/>
                <w:color w:val="auto"/>
              </w:rPr>
            </w:pPr>
            <w:r>
              <w:rPr>
                <w:rFonts w:ascii="Arial" w:cs="Arial" w:eastAsia="Arial" w:hAnsi="Arial"/>
                <w:sz w:val="22"/>
                <w:szCs w:val="22"/>
                <w:color w:val="auto"/>
              </w:rPr>
              <w:t>2017</w:t>
            </w:r>
          </w:p>
        </w:tc>
      </w:tr>
      <w:tr>
        <w:trPr>
          <w:trHeight w:val="264"/>
        </w:trPr>
        <w:tc>
          <w:tcPr>
            <w:tcW w:w="4260" w:type="dxa"/>
            <w:vAlign w:val="bottom"/>
          </w:tcPr>
          <w:p>
            <w:pPr>
              <w:spacing w:after="0"/>
              <w:rPr>
                <w:sz w:val="20"/>
                <w:szCs w:val="20"/>
                <w:color w:val="auto"/>
              </w:rPr>
            </w:pPr>
            <w:r>
              <w:rPr>
                <w:rFonts w:ascii="Arial" w:cs="Arial" w:eastAsia="Arial" w:hAnsi="Arial"/>
                <w:sz w:val="22"/>
                <w:szCs w:val="22"/>
                <w:color w:val="auto"/>
              </w:rPr>
              <w:t>Total assets:</w:t>
            </w:r>
          </w:p>
        </w:tc>
        <w:tc>
          <w:tcPr>
            <w:tcW w:w="5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84"/>
        </w:trPr>
        <w:tc>
          <w:tcPr>
            <w:tcW w:w="4260" w:type="dxa"/>
            <w:vAlign w:val="bottom"/>
            <w:shd w:val="clear" w:color="auto" w:fill="CCEEFF"/>
          </w:tcPr>
          <w:p>
            <w:pPr>
              <w:ind w:left="100"/>
              <w:spacing w:after="0"/>
              <w:rPr>
                <w:sz w:val="20"/>
                <w:szCs w:val="20"/>
                <w:color w:val="auto"/>
              </w:rPr>
            </w:pPr>
            <w:r>
              <w:rPr>
                <w:rFonts w:ascii="Arial" w:cs="Arial" w:eastAsia="Arial" w:hAnsi="Arial"/>
                <w:sz w:val="22"/>
                <w:szCs w:val="22"/>
                <w:color w:val="auto"/>
              </w:rPr>
              <w:t>Regulated</w:t>
            </w:r>
          </w:p>
        </w:tc>
        <w:tc>
          <w:tcPr>
            <w:tcW w:w="58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6,321,372</w:t>
            </w: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6,236,109</w:t>
            </w:r>
          </w:p>
        </w:tc>
      </w:tr>
      <w:tr>
        <w:trPr>
          <w:trHeight w:val="284"/>
        </w:trPr>
        <w:tc>
          <w:tcPr>
            <w:tcW w:w="4260" w:type="dxa"/>
            <w:vAlign w:val="bottom"/>
            <w:tcBorders>
              <w:bottom w:val="single" w:sz="8" w:color="CCEEFF"/>
            </w:tcBorders>
          </w:tcPr>
          <w:p>
            <w:pPr>
              <w:ind w:left="100"/>
              <w:spacing w:after="0"/>
              <w:rPr>
                <w:sz w:val="20"/>
                <w:szCs w:val="20"/>
                <w:color w:val="auto"/>
              </w:rPr>
            </w:pPr>
            <w:r>
              <w:rPr>
                <w:rFonts w:ascii="Arial" w:cs="Arial" w:eastAsia="Arial" w:hAnsi="Arial"/>
                <w:sz w:val="22"/>
                <w:szCs w:val="22"/>
                <w:color w:val="auto"/>
              </w:rPr>
              <w:t>Other</w:t>
            </w: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82,336</w:t>
            </w:r>
          </w:p>
        </w:tc>
        <w:tc>
          <w:tcPr>
            <w:tcW w:w="3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96,354</w:t>
            </w:r>
          </w:p>
        </w:tc>
      </w:tr>
      <w:tr>
        <w:trPr>
          <w:trHeight w:val="257"/>
        </w:trPr>
        <w:tc>
          <w:tcPr>
            <w:tcW w:w="4260" w:type="dxa"/>
            <w:vAlign w:val="bottom"/>
            <w:tcBorders>
              <w:bottom w:val="single" w:sz="8" w:color="CCEEFF"/>
            </w:tcBorders>
            <w:shd w:val="clear" w:color="auto" w:fill="CCEEFF"/>
          </w:tcPr>
          <w:p>
            <w:pPr>
              <w:ind w:left="100"/>
              <w:spacing w:after="0" w:line="250" w:lineRule="exact"/>
              <w:rPr>
                <w:sz w:val="20"/>
                <w:szCs w:val="20"/>
                <w:color w:val="auto"/>
              </w:rPr>
            </w:pPr>
            <w:r>
              <w:rPr>
                <w:rFonts w:ascii="Arial" w:cs="Arial" w:eastAsia="Arial" w:hAnsi="Arial"/>
                <w:sz w:val="22"/>
                <w:szCs w:val="22"/>
                <w:color w:val="auto"/>
              </w:rPr>
              <w:t>Consolidated</w:t>
            </w:r>
          </w:p>
        </w:tc>
        <w:tc>
          <w:tcPr>
            <w:tcW w:w="580" w:type="dxa"/>
            <w:vAlign w:val="bottom"/>
            <w:tcBorders>
              <w:bottom w:val="single" w:sz="8" w:color="auto"/>
            </w:tcBorders>
            <w:shd w:val="clear" w:color="auto" w:fill="CCEEFF"/>
          </w:tcPr>
          <w:p>
            <w:pPr>
              <w:jc w:val="right"/>
              <w:ind w:right="172"/>
              <w:spacing w:after="0" w:line="250" w:lineRule="exact"/>
              <w:rPr>
                <w:sz w:val="20"/>
                <w:szCs w:val="20"/>
                <w:color w:val="auto"/>
              </w:rPr>
            </w:pPr>
            <w:r>
              <w:rPr>
                <w:rFonts w:ascii="Arial" w:cs="Arial" w:eastAsia="Arial" w:hAnsi="Arial"/>
                <w:sz w:val="22"/>
                <w:szCs w:val="22"/>
                <w:color w:val="auto"/>
              </w:rPr>
              <w:t>$</w:t>
            </w:r>
          </w:p>
        </w:tc>
        <w:tc>
          <w:tcPr>
            <w:tcW w:w="200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6,403,708</w:t>
            </w:r>
          </w:p>
        </w:tc>
        <w:tc>
          <w:tcPr>
            <w:tcW w:w="3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52"/>
              <w:spacing w:after="0" w:line="250" w:lineRule="exact"/>
              <w:rPr>
                <w:sz w:val="20"/>
                <w:szCs w:val="20"/>
                <w:color w:val="auto"/>
              </w:rPr>
            </w:pPr>
            <w:r>
              <w:rPr>
                <w:rFonts w:ascii="Arial" w:cs="Arial" w:eastAsia="Arial" w:hAnsi="Arial"/>
                <w:sz w:val="22"/>
                <w:szCs w:val="22"/>
                <w:color w:val="auto"/>
              </w:rPr>
              <w:t>$</w:t>
            </w:r>
          </w:p>
        </w:tc>
        <w:tc>
          <w:tcPr>
            <w:tcW w:w="1960" w:type="dxa"/>
            <w:vAlign w:val="bottom"/>
            <w:tcBorders>
              <w:bottom w:val="single" w:sz="8" w:color="auto"/>
            </w:tcBorders>
            <w:shd w:val="clear" w:color="auto" w:fill="CCEEFF"/>
          </w:tcPr>
          <w:p>
            <w:pPr>
              <w:jc w:val="right"/>
              <w:spacing w:after="0" w:line="250" w:lineRule="exact"/>
              <w:rPr>
                <w:sz w:val="20"/>
                <w:szCs w:val="20"/>
                <w:color w:val="auto"/>
              </w:rPr>
            </w:pPr>
            <w:r>
              <w:rPr>
                <w:rFonts w:ascii="Arial" w:cs="Arial" w:eastAsia="Arial" w:hAnsi="Arial"/>
                <w:sz w:val="22"/>
                <w:szCs w:val="22"/>
                <w:color w:val="auto"/>
              </w:rPr>
              <w:t>6,332,463</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 </w:t>
      </w:r>
      <w:r>
        <w:rPr>
          <w:rFonts w:ascii="Arial" w:cs="Arial" w:eastAsia="Arial" w:hAnsi="Arial"/>
          <w:sz w:val="22"/>
          <w:szCs w:val="22"/>
          <w:b w:val="1"/>
          <w:bCs w:val="1"/>
          <w:i w:val="1"/>
          <w:iCs w:val="1"/>
          <w:color w:val="auto"/>
        </w:rPr>
        <w:t>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The Company is routinely involved in various disputes, claims, lawsuits and other regulatory and legal</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matters, including both asserted and unasserted legal claims, in the ordinary course of business. The status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each such matter, referred to herein as a loss contingency, is reviewed and assessed in accordance with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applicable accounting rules regarding the nature of the matter, the likelihood that a loss will be incurred, and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the amounts involved. As of March 31, 2018, the aggregate amount of $20,231 is accrued for loss</w:t>
      </w:r>
    </w:p>
    <w:p>
      <w:pPr>
        <w:spacing w:after="0"/>
        <w:rPr>
          <w:sz w:val="20"/>
          <w:szCs w:val="20"/>
          <w:color w:val="auto"/>
        </w:rPr>
      </w:pPr>
      <w:r>
        <w:rPr>
          <w:rFonts w:ascii="Arial" w:cs="Arial" w:eastAsia="Arial" w:hAnsi="Arial"/>
          <w:sz w:val="19"/>
          <w:szCs w:val="19"/>
          <w:color w:val="auto"/>
        </w:rPr>
        <w:t>contingencies and is reported in the Company’s consolidated balance sheet as other accrued liabilities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other liabilities. These accruals represent management’s best estimate of probable loss (as defined in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accounting guidance) for loss contingencies or the low end of a range of losses if no single probable loss can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be estimated. For some loss contingencies, the Company is unable to estimate the amount of the probable loss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or range of probable losses. While the final outcome of these loss contingencies cannot be predicted with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certainty, and unfavorable outcomes could negatively impact the Company, at this time in the opinion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management, the final resolution of these matters are not expected to have a material adverse effect on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Company’s financial position, results of operations or cash flows. Further, the Company has insurance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coverage for certain of these loss contingencies, and as of March 31, 2018, estimates that approximately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$8,231 of the amount accrued for these matters are probable of recovery through insurance, which amount is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also reported in the Company’s consolidated balance sheet as deferred charges and other assets, net.</w:t>
      </w:r>
    </w:p>
    <w:p>
      <w:pPr>
        <w:spacing w:after="0" w:line="227" w:lineRule="exact"/>
        <w:rPr>
          <w:sz w:val="20"/>
          <w:szCs w:val="20"/>
          <w:color w:val="auto"/>
        </w:rPr>
      </w:pPr>
    </w:p>
    <w:p>
      <w:pPr>
        <w:ind w:right="480"/>
        <w:spacing w:after="0" w:line="328" w:lineRule="auto"/>
        <w:rPr>
          <w:sz w:val="20"/>
          <w:szCs w:val="20"/>
          <w:color w:val="auto"/>
        </w:rPr>
      </w:pPr>
      <w:r>
        <w:rPr>
          <w:rFonts w:ascii="Arial" w:cs="Arial" w:eastAsia="Arial" w:hAnsi="Arial"/>
          <w:sz w:val="19"/>
          <w:szCs w:val="19"/>
          <w:color w:val="auto"/>
        </w:rPr>
        <w:t>Although the results of legal proceedings cannot be predicted with certainty, there are no pending legal proceedings to which the Company or any of its subsidiaries is a party or to which any of its properties is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the subject that are material or are expected to have a material effect on the Company’s financial position, results of operations, or cash flows.</w:t>
      </w:r>
    </w:p>
    <w:p>
      <w:pPr>
        <w:spacing w:after="0" w:line="200"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auto"/>
        </w:rPr>
        <w:t>In addition to the aforementioned loss contingencies, the Company self-insures its employee medical benefit program, and maintains stop-loss coverage to limit the exposure arising from these claims. The Company’s reserve for these claims totaled $1,451 at March 31, 2018 and represents a reserve for unpaid claim costs, including an estimate for the cost of incurred but not reported claims.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 </w:t>
      </w:r>
      <w:r>
        <w:rPr>
          <w:rFonts w:ascii="Arial" w:cs="Arial" w:eastAsia="Arial" w:hAnsi="Arial"/>
          <w:sz w:val="22"/>
          <w:szCs w:val="22"/>
          <w:b w:val="1"/>
          <w:bCs w:val="1"/>
          <w:i w:val="1"/>
          <w:iCs w:val="1"/>
          <w:color w:val="auto"/>
        </w:rPr>
        <w:t>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During the three months ended March 31, 2018, the Company’s Federal net operating loss (“NOL”)</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carryforward decreased by $6,760. In addition, during the three months ended March 31, 2018, the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Company’s state NOL carryforward increased by $3,866. As of March 31, 2018, the balance of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Company’s Federal NOL was $56,542. The Company believes its Federal NOL carryforward is more likely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than not to be recovered and requires no valuation allowance. As of March 31, 2018, the balance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Company’s gross state NOL was $631,124, a portion of which is offset by a valuation allowance because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Company does not believe the state NOLs are more likely than not to be realized. The Company’s Federal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state NOL carryforwards begin to expire in 2032 and 2023, respectively. The Company’s Federal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state NOL carryforwards are reduced by an unrecognized tax position, on a gross basis, of $64,814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$85,380, respectively. The amounts of the Company’s Federal and state NOL carryforwards prior to being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reduced by the unrecognized tax positions were $121,356 and $716,504 respectively. The Company records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unrecognized tax benefit as a reduction to its deferred income tax liability.</w:t>
      </w:r>
    </w:p>
    <w:p>
      <w:pPr>
        <w:spacing w:after="0" w:line="215"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In accordance with a 2012 settlement agreement with the Pennsylvania Public Utility Commission, Aqua Pennsylvania expenses, for tax purposes, qualifying utility asset improvement costs, which results in a substantial reduction in income tax expense and greater net income and cash flows. The Company’s effective income tax rate for the first quarter of 2018 and 2017 was -4.4% and 5.6%, respectively.</w:t>
      </w:r>
    </w:p>
    <w:p>
      <w:pPr>
        <w:spacing w:after="0" w:line="17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As of March 31, 2018, the total gross unrecognized tax benefit was $18,143. As a result of the regulatory treatment afforded for qualifying infrastructure improvements in Pennsylvania, $24,834, if recognized, would affect the Company’s effective tax rate. At December 31, 2017, the Company had unrecognized tax benefits of $17,583.</w:t>
      </w:r>
    </w:p>
    <w:p>
      <w:pPr>
        <w:spacing w:after="0" w:line="212" w:lineRule="exact"/>
        <w:rPr>
          <w:sz w:val="20"/>
          <w:szCs w:val="20"/>
          <w:color w:val="auto"/>
        </w:rPr>
      </w:pPr>
    </w:p>
    <w:p>
      <w:pPr>
        <w:ind w:right="200"/>
        <w:spacing w:after="0" w:line="247" w:lineRule="auto"/>
        <w:rPr>
          <w:sz w:val="20"/>
          <w:szCs w:val="20"/>
          <w:color w:val="auto"/>
        </w:rPr>
      </w:pPr>
      <w:r>
        <w:rPr>
          <w:rFonts w:ascii="Arial" w:cs="Arial" w:eastAsia="Arial" w:hAnsi="Arial"/>
          <w:sz w:val="21"/>
          <w:szCs w:val="21"/>
          <w:color w:val="auto"/>
        </w:rPr>
        <w:t>Accounting rules for uncertain tax positions specify that tax positions for which the timing of resolution is uncertain should be classified as long-term liabilities. Judgment is required in evaluating the Company’s uncertain tax positions and determining the provision for income taxes. Management believes that an adequate provision has been made for any adjustments that may result from tax examinations. Although the timing of income tax audit resolutions and negotiations with taxing authorities is highly uncertain, the Company does not anticipate a significant change to the total amount of unrecognized income tax benefits within the next 12 months.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On December 22, 2017, President Trump signed the “Tax Cuts and Jobs Acts” (the “TCJA”) into</w:t>
      </w:r>
    </w:p>
    <w:p>
      <w:pPr>
        <w:spacing w:after="0" w:line="238" w:lineRule="auto"/>
        <w:rPr>
          <w:sz w:val="20"/>
          <w:szCs w:val="20"/>
          <w:color w:val="auto"/>
        </w:rPr>
      </w:pPr>
      <w:r>
        <w:rPr>
          <w:rFonts w:ascii="Arial" w:cs="Arial" w:eastAsia="Arial" w:hAnsi="Arial"/>
          <w:sz w:val="22"/>
          <w:szCs w:val="22"/>
          <w:color w:val="auto"/>
        </w:rPr>
        <w:t>law. Substantially all of the provisions of the TCJA are effective for taxable years beginning after</w:t>
      </w:r>
    </w:p>
    <w:p>
      <w:pPr>
        <w:spacing w:after="0"/>
        <w:rPr>
          <w:sz w:val="20"/>
          <w:szCs w:val="20"/>
          <w:color w:val="auto"/>
        </w:rPr>
      </w:pPr>
      <w:r>
        <w:rPr>
          <w:rFonts w:ascii="Arial" w:cs="Arial" w:eastAsia="Arial" w:hAnsi="Arial"/>
          <w:sz w:val="19"/>
          <w:szCs w:val="19"/>
          <w:color w:val="auto"/>
        </w:rPr>
        <w:t>December 31, 2017. The TCJA includes significant changes to the Code and the taxation of business entities,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and includes specific provisions related to regulated public utilities. Significant changes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impact the Company included in the TCJA are a reduction in the corporate federal income tax rate from 35% to 21%, effective January 1, 2018, and a limitation of the utilization of NOLs arising after December 31, 2017 to 80% of taxable income with an indefinite carryforward. The specific TCJA provisions related to our regulated entities generally allow for the continued deductibility of interest expense, the elimination of full expensing for tax purposes of certain property acquired after September 27, 2017 and the continuation of certain rate normalization requirements for accelerated depreciation benefits. Our market-based companies still qualify for 100% deductibility of qualifying property acquired after September 27, 2017.</w:t>
      </w:r>
    </w:p>
    <w:p>
      <w:pPr>
        <w:spacing w:after="0" w:line="166" w:lineRule="exact"/>
        <w:rPr>
          <w:sz w:val="20"/>
          <w:szCs w:val="20"/>
          <w:color w:val="auto"/>
        </w:rPr>
      </w:pPr>
    </w:p>
    <w:p>
      <w:pPr>
        <w:ind w:right="260"/>
        <w:spacing w:after="0" w:line="250" w:lineRule="auto"/>
        <w:rPr>
          <w:sz w:val="20"/>
          <w:szCs w:val="20"/>
          <w:color w:val="auto"/>
        </w:rPr>
      </w:pPr>
      <w:r>
        <w:rPr>
          <w:rFonts w:ascii="Arial" w:cs="Arial" w:eastAsia="Arial" w:hAnsi="Arial"/>
          <w:sz w:val="21"/>
          <w:szCs w:val="21"/>
          <w:color w:val="auto"/>
        </w:rPr>
        <w:t>In accordance with the FASB’s accounting guidance for income taxes</w:t>
      </w:r>
      <w:r>
        <w:rPr>
          <w:rFonts w:ascii="Arial" w:cs="Arial" w:eastAsia="Arial" w:hAnsi="Arial"/>
          <w:sz w:val="21"/>
          <w:szCs w:val="21"/>
          <w:i w:val="1"/>
          <w:iCs w:val="1"/>
          <w:color w:val="auto"/>
        </w:rPr>
        <w:t>,</w:t>
      </w:r>
      <w:r>
        <w:rPr>
          <w:rFonts w:ascii="Arial" w:cs="Arial" w:eastAsia="Arial" w:hAnsi="Arial"/>
          <w:sz w:val="21"/>
          <w:szCs w:val="21"/>
          <w:color w:val="auto"/>
        </w:rPr>
        <w:t xml:space="preserve"> the tax effects of changes in tax laws must be recognized in the period in which the law is enacted, or December 22, 2017 for the</w:t>
      </w:r>
    </w:p>
    <w:p>
      <w:pPr>
        <w:spacing w:after="0" w:line="1" w:lineRule="exact"/>
        <w:rPr>
          <w:sz w:val="20"/>
          <w:szCs w:val="20"/>
          <w:color w:val="auto"/>
        </w:rPr>
      </w:pPr>
    </w:p>
    <w:p>
      <w:pPr>
        <w:ind w:right="40"/>
        <w:spacing w:after="0" w:line="232" w:lineRule="auto"/>
        <w:rPr>
          <w:sz w:val="20"/>
          <w:szCs w:val="20"/>
          <w:color w:val="auto"/>
        </w:rPr>
      </w:pPr>
      <w:r>
        <w:rPr>
          <w:rFonts w:ascii="Arial" w:cs="Arial" w:eastAsia="Arial" w:hAnsi="Arial"/>
          <w:sz w:val="22"/>
          <w:szCs w:val="22"/>
          <w:color w:val="auto"/>
        </w:rPr>
        <w:t>TCJA. Additionally, deferred tax assets and liabilities are required to be measured at the enacted tax rate expected to apply when temporary differences are to be realized or settled. Thus, at the date of enactment, the Company’s deferred taxes were re-measured based upon the new tax rate. For our regulated entities, the change in deferred taxes is recorded as either an offset to a regulatory asset or liability and may be subject to refund to customers. In instances where the deferred tax balances are not in ratemaking, such as the Company’s market-based operations, the change in deferred taxes is recorded as an adjustment to our deferred tax provision.</w:t>
      </w:r>
    </w:p>
    <w:p>
      <w:pPr>
        <w:spacing w:after="0" w:line="202"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The staff of the SEC has recognized the complexity of reflecting the impacts of the TCJA, and on December 22, 2017 issued guidance, which clarifies accounting for income taxes if information is not yet available or complete and provides for up to a one year period in which to complete the required analyses and accounting (the measurement period). The guidance describes three scenarios (or “buckets”) associated with a company’s status of accounting for income tax reform: (1) a company is complete with its accounting for certain effects of tax reform, (2) a company is able to determine a reasonable estimate for certain effects of tax reform and records that estimate as a provisional amount, or (3) a company is not able to determine a reasonable estimate and therefore continues to apply the FASB’s accounting guidance, based on the provisions of the tax laws that were in effect immediately prior to the TCJA being enacted.</w:t>
      </w:r>
    </w:p>
    <w:p>
      <w:pPr>
        <w:spacing w:after="0" w:line="159" w:lineRule="exact"/>
        <w:rPr>
          <w:sz w:val="20"/>
          <w:szCs w:val="20"/>
          <w:color w:val="auto"/>
        </w:rPr>
      </w:pPr>
    </w:p>
    <w:p>
      <w:pPr>
        <w:ind w:right="240"/>
        <w:spacing w:after="0" w:line="277" w:lineRule="auto"/>
        <w:rPr>
          <w:sz w:val="20"/>
          <w:szCs w:val="20"/>
          <w:color w:val="auto"/>
        </w:rPr>
      </w:pPr>
      <w:r>
        <w:rPr>
          <w:rFonts w:ascii="Arial" w:cs="Arial" w:eastAsia="Arial" w:hAnsi="Arial"/>
          <w:sz w:val="19"/>
          <w:szCs w:val="19"/>
          <w:color w:val="auto"/>
        </w:rPr>
        <w:t>The Company has completed or has made a reasonable estimate for the measurement and accounting of the effect of the TCJA which were reflected in the December 31, 2017 financial statements, which resulted in a decrease to the accumulated deferred income tax liability of $303,320. Additionally, due to the reduction in the Company’s corporate income tax rate, in the first quarter of 2018, the Company reserved $2,532 for amounts expected to be refundable to utility customers. During the first quarter of 2018, in Illinois and Virginia, the Company’s base rates have been adjusted to reflect the lower corporate income tax rate, and Texas and New Jersey implemented adjusted tariff rates in the second quarter of 2018.</w:t>
      </w:r>
    </w:p>
    <w:p>
      <w:pPr>
        <w:spacing w:after="0" w:line="166"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One of our states, Pennsylvania, has not yet issued an accounting or procedural order addressing how the TCJA changes are to be reflected in our utility customer rates. As of December 31, 2017, the Company had provisionally estimated that $175,108 of deferred income tax liabilities for our Pennsylvania subsidiary will be a regulatory liability. Additionally, two operating divisions in Ohio operate under locally-negotiated contractual rates with their respective counties, and it is expected that negotiations will result in a contract that will return to customers the effects of the reduction in the corporate net income tax rate under the TCJA; however, these negotiations have not yet started. As of December 31, 2017, the Company had provisionally estimated that $9,419 of deferred income tax liabilities for these two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divisions will be a regulatory liability. Overall, the Company has applied a reasonable interpretation of the impact of the TCJA and a reasonable estimate of the regulatory resolution. Further clarification of the TCJA and regulatory resolution may change the amounts estimated of the deferred income tax provision and the accumulated deferred income tax liability.</w:t>
      </w:r>
    </w:p>
    <w:p>
      <w:pPr>
        <w:spacing w:after="0" w:line="199"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The Company’s regulated operations accounting for income taxes are impacted by the FASB’s accounting guidance for regulated operations. Reductions in accumulated deferred income tax balances due to the reduction in the Federal corporate income tax rates to 21% under the provisions of the TCJA will result in amounts previously collected from utility customers for these deferred taxes to be refundable to such customers, generally through reductions in future rates. The TCJA includes provisions that stipulate how these excess deferred taxes related to certain accelerated tax depreciation deduction benefits are to be passed back to customers. Potential refunds of other deferred taxes will be determined by our state regulators. Our state regulatory commissions have or are in the process of issuing procedural orders directing how the tax law changes are to be reflected in our utility customer rates.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15 – </w:t>
      </w:r>
      <w:r>
        <w:rPr>
          <w:rFonts w:ascii="Arial" w:cs="Arial" w:eastAsia="Arial" w:hAnsi="Arial"/>
          <w:sz w:val="22"/>
          <w:szCs w:val="22"/>
          <w:b w:val="1"/>
          <w:bCs w:val="1"/>
          <w:i w:val="1"/>
          <w:iCs w:val="1"/>
          <w:color w:val="auto"/>
        </w:rPr>
        <w:t>Recent Accounting Pronouncements</w:t>
      </w:r>
    </w:p>
    <w:p>
      <w:pPr>
        <w:spacing w:after="0" w:line="239"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In March 2017, the FASB issued updated accounting guidance on the presentation of net periodic pension and postretirement benefit cost (net benefit cost). Historically, net benefit cost is reported as an employee cost within operating income, net of amounts capitalized. The guidance requires the bifurcation of net benefit cost. The service cost component will be presented with other employee compensation costs in operating income and the other components of net benefit cost will be reported separately outside of operating income, and will not be eligible for capitalization. The guidance is effective for annual reporting periods beginning after December 15, 2017, and interim periods within that reporting period, and is to be applied retrospectively for the presentation of the service cost component and the other components of net benefit cost, and on a prospective basis for the capitalization of only the service cost component of net benefit cost. On January 1, 2018, the Company adopted the updated guidance, which did not have a material impact on its results of operations or financial position, and resulted in the reclassification, for the three months ended March 31, 2017, of $1,238 for the other components of net benefit cost from operations and maintenance expense to other in the consolidated statements of net income.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In February 2016, the FASB issued updated accounting guidance on accounting for leases, which requires lessees to establish a right-of-use asset and a lease liability on the balance sheet for all leases with terms longer than 12 months. For income statement purposes, leases will be classified as either operating or finance. Operating leases will result in straight-line expense while finance leases will result in a front-loaded expense pattern. The updated accounting guidance is effective for fiscal years beginning after December 15, 2018, and interim periods within those fiscal years, with early adoption available. The Company is evaluating the requirements of the updated guidance to determine the impact of adoption.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40"/>
          </w:cols>
          <w:pgMar w:left="1220" w:top="118" w:right="11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AQUA AMERICA, INC. AND SUBSIDIARIES NOTES TO CONSOLIDATED FINANCIAL STATEMENTS (continued) (In thousands of dollars, except per share amounts) (UNAUDITED)</w:t>
      </w:r>
    </w:p>
    <w:p>
      <w:pPr>
        <w:spacing w:after="0" w:line="200" w:lineRule="exact"/>
        <w:rPr>
          <w:sz w:val="20"/>
          <w:szCs w:val="20"/>
          <w:color w:val="auto"/>
        </w:rPr>
      </w:pP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January 2016, the FASB issued updated accounting guidance on the recognition and measurement of financial assets and financial liabilities, which amends certain aspects of recognition, measurement, presentation, and disclosure of financial instruments, including the requirement to measure certain equity investments at fair value with changes in fair value recognized in net income. The updated guidance is effective for interim and annual periods beginning after December 31, 2017. On January 1, 2018, the Company adopted the updated guidance, which did not have a material impact on its results of operations or financial position, and resulted in the recognition of $860 of previous unrealized gains, which was recorded as an adjustment to beginning retained earnings (refer to the presentation of “cumulative effect of change in accounting principle – financial instruments” on the Company’s consolidated statement of equity).</w:t>
      </w:r>
    </w:p>
    <w:p>
      <w:pPr>
        <w:spacing w:after="0" w:line="186" w:lineRule="exact"/>
        <w:rPr>
          <w:sz w:val="20"/>
          <w:szCs w:val="20"/>
          <w:color w:val="auto"/>
        </w:rPr>
      </w:pPr>
    </w:p>
    <w:p>
      <w:pPr>
        <w:ind w:right="100"/>
        <w:spacing w:after="0" w:line="270" w:lineRule="auto"/>
        <w:rPr>
          <w:sz w:val="20"/>
          <w:szCs w:val="20"/>
          <w:color w:val="auto"/>
        </w:rPr>
      </w:pPr>
      <w:r>
        <w:rPr>
          <w:rFonts w:ascii="Arial" w:cs="Arial" w:eastAsia="Arial" w:hAnsi="Arial"/>
          <w:sz w:val="19"/>
          <w:szCs w:val="19"/>
          <w:color w:val="auto"/>
        </w:rPr>
        <w:t>In May 2014, the FASB issued updated accounting guidance on recognizing revenue from contracts with customers, which outlines a single comprehensive model that an entity will apply to determine the measurement of revenue and timing of recognition. The underlying principle is that an entity will recognize revenue to depict the transfer of goods or services to customers at an amount that the entity expects to be entitled to in exchange for those goods or services. The updated guidance also requires additional disclosure about the nature, amount, timing, and uncertainty of revenue and cash flows arising from customer contracts, including significant judgments and changes in judgments and assets recognized from costs incurred to fulfill a contract. The updated guidance is effective for annual periods beginning after December 15, 2017, and interim periods therein, using either of the following transition methods: (i) a full retrospective approach reflecting the application of the updated guidance in each prior reporting period, or (ii) a modified retrospective approach with the cumulative effect of initially adopting the updated guidance recognized through retained earnings at the date of adoption. In 2016, the Company performed an evaluation of the requirements of the updated guidance and believes that the impact of adoption will not result in a material change in the Company’s measurement of revenue. In 2017, the American Institute of Certified Public Accountants (“AICPA”) power and utility entities revenue recognition task force determined that contributions in aid of construction are not in the scope of the new standard, and submitted its recommendation to the AICPA’s revenue recognition working group for approval. The Company implemented the updated guidance using the modified retrospective approach on January 1, 2018, which did not result in a change in the Company’s measurement of revenue, and reached the following conclusions:</w:t>
      </w:r>
    </w:p>
    <w:p>
      <w:pPr>
        <w:spacing w:after="0" w:line="286" w:lineRule="exact"/>
        <w:rPr>
          <w:sz w:val="20"/>
          <w:szCs w:val="20"/>
          <w:color w:val="auto"/>
        </w:rPr>
      </w:pPr>
    </w:p>
    <w:p>
      <w:pPr>
        <w:ind w:left="640" w:right="60" w:hanging="315"/>
        <w:spacing w:after="0" w:line="297" w:lineRule="auto"/>
        <w:tabs>
          <w:tab w:leader="none" w:pos="64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Company’s tariff sale contracts, including those with lower credit quality customers, are generally deemed to be probable of collection, and thus the timing of revenue recognition will continue to be concurrent with the delivery of water and wastewater services, consistent with our current practice.</w:t>
      </w:r>
    </w:p>
    <w:p>
      <w:pPr>
        <w:spacing w:after="0" w:line="12" w:lineRule="exact"/>
        <w:rPr>
          <w:rFonts w:ascii="Arial" w:cs="Arial" w:eastAsia="Arial" w:hAnsi="Arial"/>
          <w:sz w:val="19"/>
          <w:szCs w:val="19"/>
          <w:color w:val="auto"/>
        </w:rPr>
      </w:pPr>
    </w:p>
    <w:p>
      <w:pPr>
        <w:ind w:left="640" w:right="300" w:hanging="315"/>
        <w:spacing w:after="0" w:line="251" w:lineRule="auto"/>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Contributions in aid of construction are outside of the scope of the standard, and will continue to be accounted for as a noncurrent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AQUA AMERICA, INC. AND SUBSIDIARIES</w:t>
      </w:r>
    </w:p>
    <w:p>
      <w:pPr>
        <w:spacing w:after="0" w:line="215" w:lineRule="exact"/>
        <w:rPr>
          <w:sz w:val="20"/>
          <w:szCs w:val="20"/>
          <w:color w:val="auto"/>
        </w:rPr>
      </w:pPr>
    </w:p>
    <w:p>
      <w:pPr>
        <w:jc w:val="center"/>
        <w:spacing w:after="0" w:line="297" w:lineRule="auto"/>
        <w:rPr>
          <w:sz w:val="20"/>
          <w:szCs w:val="20"/>
          <w:color w:val="auto"/>
        </w:rPr>
      </w:pPr>
      <w:r>
        <w:rPr>
          <w:rFonts w:ascii="Arial" w:cs="Arial" w:eastAsia="Arial" w:hAnsi="Arial"/>
          <w:sz w:val="19"/>
          <w:szCs w:val="19"/>
          <w:color w:val="auto"/>
        </w:rPr>
        <w:t>MANAGEMENT’S DISCUSSION AND ANALYSIS OF FINANCIAL CONDITION AND RESULTS OF OPERATIONS (In thousands of dollars, except per share amounts)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Item 2 – Management’s Discussion and Analysis of Financial Condition and Results of Operations</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Forward-looking Statements</w:t>
      </w:r>
    </w:p>
    <w:p>
      <w:pPr>
        <w:spacing w:after="0" w:line="233" w:lineRule="exact"/>
        <w:rPr>
          <w:sz w:val="20"/>
          <w:szCs w:val="20"/>
          <w:color w:val="auto"/>
        </w:rPr>
      </w:pPr>
    </w:p>
    <w:p>
      <w:pPr>
        <w:spacing w:after="0" w:line="270" w:lineRule="auto"/>
        <w:rPr>
          <w:sz w:val="20"/>
          <w:szCs w:val="20"/>
          <w:color w:val="auto"/>
        </w:rPr>
      </w:pPr>
      <w:r>
        <w:rPr>
          <w:rFonts w:ascii="Arial" w:cs="Arial" w:eastAsia="Arial" w:hAnsi="Arial"/>
          <w:sz w:val="19"/>
          <w:szCs w:val="19"/>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regulation, abnormal weather, changes in capital requirements and funding, acquisitions, changes to the capital markets, and our ability to assimilate acquired operations, as well as those risks, uncertainties and other factors discussed in our Annual Report on Form 10-K for the fiscal year ended December 31, 2017 under the captions “Risk Factors” and “Management’s Discussion and Analysis of Financial Condition and Results of Operations” and elsewhere in such report. As a result, readers are cautioned not to place undue reliance on any forward-looking statements. We undertake no obligation to update or revise forward-looking statements, whether as a result of new information, future events or otherwise.</w:t>
      </w: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General Information</w:t>
      </w:r>
    </w:p>
    <w:p>
      <w:pPr>
        <w:spacing w:after="0" w:line="233"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Aqua America, Inc. (“we”, “us”, “our” or the “Company”), a Pennsylvania corporation, is the holding company for regulated utilities providing water or wastewater services to what we estimate to be almost three million people in Pennsylvania, Ohio, Texas, Illinois, North Carolina, New Jersey, Indiana, and Virginia. Our largest operating subsidiary, Aqua Pennsylvania, provides water or wastewater services to approximately one-half of the total number of people we serve, who are located in the suburban areas in counties north and west of the City of Philadelphia and in 27 other counties in Pennsylvania. Our other regulated utility subsidiaries provide similar services in seven other states. In addition, the Company’s market-based activities are conducted through Aqua Infrastructure, LLC and Aqua Resources, Inc. Aqua Infrastructure provides non-utility raw water supply services for firms in the natural gas drilling industry. Aqua Resources provides water and wastewater service through operating and maintenance contracts with municipal authorities and other parties close to our utility companies’ service territories; and offers, through a third party, water and wastewater line repair service and protection solutions to households.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AQUA AMERICA,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MANAGEMENT’S DISCUSSION AND ANALYSIS OF FINANCIAL CONDITION AND RESULTS OF OPERATIONS (continued) (In thousands of dollars, except per share amounts)</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Aqua America, Inc., which prior to its name change in 2004 was known as Philadelphia Suburban Corporation, was formed in 1968 as a holding company for its primary subsidiary, Aqua Pennsylvania, formerly known as Philadelphia Suburban Water Company. In the early 1990s, we embarked on a growth-through-acquisition strategy focused on water and wastewater operations. Our most significant transactions to date have been the merger with Consumers Water Company in 1999, the acquisition of the regulated water and wastewater operations of AquaSource, Inc. in 2003, the acquisition of Heater Utilities, Inc. in 2004, and the acquisition of American Water Works Company, Inc.’s regulated operations in Ohio in 2012. Since the early 1990s, our business strategy has been primarily directed toward the regulated water and wastewater utility industry, where we have more than quadrupled the number of regulated customers we serve, and has extended our regulated operations from southeastern Pennsylvania to include operations in seven other states. Currently, the Company seeks to acquire businesses in the U.S. regulated sector, which includes water and wastewater utilities and other regulated utilities, and to opportunistically pursue growth ventures in select market-based activities, such as infrastructure opportunities that are supplementary and complementary to our regulated businesses.</w:t>
      </w:r>
    </w:p>
    <w:p>
      <w:pPr>
        <w:spacing w:after="0" w:line="200" w:lineRule="exact"/>
        <w:rPr>
          <w:sz w:val="20"/>
          <w:szCs w:val="20"/>
          <w:color w:val="auto"/>
        </w:rPr>
      </w:pPr>
    </w:p>
    <w:p>
      <w:pPr>
        <w:spacing w:after="0" w:line="239"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i w:val="1"/>
          <w:iCs w:val="1"/>
          <w:color w:val="auto"/>
        </w:rPr>
        <w:t>The following discussion and analysis of our financial condition and results of operations should be read together with our consolidated financial statements and related notes.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Financial Condition</w:t>
      </w:r>
    </w:p>
    <w:p>
      <w:pPr>
        <w:spacing w:after="0" w:line="233"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During the first three months of 2018, we had $105,136 of capital expenditures, expended $190 for the acquisition of water and wastewater utility systems, issued $66,996 of long-term debt, and repaid debt and made sinking fund contributions and other loan repayments of $21,898. The capital expenditures were related to new and replacement water mains, improvements to treatment plants, tanks, hydrants, and service lines, well and booster improvements, and other enhancements and improvements. The issuance of long-term debt was comprised principally of the funds borrowed under our revolving credit facility.</w:t>
      </w:r>
    </w:p>
    <w:p>
      <w:pPr>
        <w:spacing w:after="0" w:line="178" w:lineRule="exact"/>
        <w:rPr>
          <w:sz w:val="20"/>
          <w:szCs w:val="20"/>
          <w:color w:val="auto"/>
        </w:rPr>
      </w:pPr>
    </w:p>
    <w:p>
      <w:pPr>
        <w:ind w:right="280"/>
        <w:spacing w:after="0" w:line="297" w:lineRule="auto"/>
        <w:rPr>
          <w:sz w:val="20"/>
          <w:szCs w:val="20"/>
          <w:color w:val="auto"/>
        </w:rPr>
      </w:pPr>
      <w:r>
        <w:rPr>
          <w:rFonts w:ascii="Arial" w:cs="Arial" w:eastAsia="Arial" w:hAnsi="Arial"/>
          <w:sz w:val="19"/>
          <w:szCs w:val="19"/>
          <w:color w:val="auto"/>
        </w:rPr>
        <w:t>At March 31, 2018, we had $3,202 of cash and cash equivalents compared to $4,204 at December 31, 2017. During the first three months of 2018, we used the proceeds from the issuance of long-term debt and internally generated funds to fund the cash requirements discussed above and to pay dividends.</w:t>
      </w:r>
    </w:p>
    <w:p>
      <w:pPr>
        <w:spacing w:after="0" w:line="161" w:lineRule="exact"/>
        <w:rPr>
          <w:sz w:val="20"/>
          <w:szCs w:val="20"/>
          <w:color w:val="auto"/>
        </w:rPr>
      </w:pPr>
    </w:p>
    <w:p>
      <w:pPr>
        <w:ind w:right="220"/>
        <w:spacing w:after="0" w:line="249" w:lineRule="auto"/>
        <w:rPr>
          <w:sz w:val="20"/>
          <w:szCs w:val="20"/>
          <w:color w:val="auto"/>
        </w:rPr>
      </w:pPr>
      <w:r>
        <w:rPr>
          <w:rFonts w:ascii="Arial" w:cs="Arial" w:eastAsia="Arial" w:hAnsi="Arial"/>
          <w:sz w:val="21"/>
          <w:szCs w:val="21"/>
          <w:color w:val="auto"/>
        </w:rPr>
        <w:t>At March 31, 2018, our $250,000 unsecured revolving credit facility, which expires in February 2021, had $113,189 available for borrowing. At March 31, 2018, we had short-term lines of credit of $135,500, of which $115,158 was available for borrowing. One of our short-term lines of credit is an Aqua Pennsylvania $100,000 364-day unsecured revolving credit facility with four banks, which is used to provide working capital, and as of March 31, 2018, $79,658 was available for borrowing.</w:t>
      </w:r>
    </w:p>
    <w:p>
      <w:pPr>
        <w:spacing w:after="0" w:line="206"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Our short-term lines of credit of $135,500 are subject to renewal on an annual basis. Although we believe we will be able to renew these facilities, there is no assurance that they will be renewed, or what the terms of any such renewal will be.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AQUA AMERICA,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MANAGEMENT’S DISCUSSION AND ANALYSIS OF FINANCIAL CONDITION AND RESULTS OF OPERATIONS (continued) (In thousands of dollars, except per share amounts)</w:t>
      </w:r>
    </w:p>
    <w:p>
      <w:pPr>
        <w:spacing w:after="0" w:line="213" w:lineRule="exact"/>
        <w:rPr>
          <w:sz w:val="20"/>
          <w:szCs w:val="20"/>
          <w:color w:val="auto"/>
        </w:rPr>
      </w:pPr>
    </w:p>
    <w:p>
      <w:pPr>
        <w:ind w:right="200"/>
        <w:spacing w:after="0" w:line="249" w:lineRule="auto"/>
        <w:rPr>
          <w:sz w:val="20"/>
          <w:szCs w:val="20"/>
          <w:color w:val="auto"/>
        </w:rPr>
      </w:pPr>
      <w:r>
        <w:rPr>
          <w:rFonts w:ascii="Arial" w:cs="Arial" w:eastAsia="Arial" w:hAnsi="Arial"/>
          <w:sz w:val="21"/>
          <w:szCs w:val="21"/>
          <w:color w:val="auto"/>
        </w:rPr>
        <w:t>The Company’s consolidated balance sheet historically has had a negative working capital position whereby routinely our current liabilities exceed our current assets. Management believes that internally generated funds along with existing credit facilities and the proceeds from the issuance of long-term debt will be adequate to provide sufficient working capital to maintain normal operations and to meet our financing requirements for at least the next twelve months.</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Results of Operations</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Analysis of First Quarter of 2018 Compared to First Quarter of 2017</w:t>
      </w:r>
    </w:p>
    <w:p>
      <w:pPr>
        <w:spacing w:after="0" w:line="233"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Revenues increased by $6,560 or 3.5%, primarily due to an increase in customer water consumption, an increase in water and wastewater rates and infrastructure rehabilitation surcharges of $5,097, and additional water and wastewater revenues of $1,634 associated with a larger customer base due to organic growth and utility acquisitions, offset by a reserve, recognized in the first quarter of 2018, of $2,532 for amounts expected to be refundable to utility customers associated with the decrease in the corporate income tax rate from 35% to 21% due to the TCJA.</w:t>
      </w:r>
    </w:p>
    <w:p>
      <w:pPr>
        <w:spacing w:after="0" w:line="204" w:lineRule="exact"/>
        <w:rPr>
          <w:sz w:val="20"/>
          <w:szCs w:val="20"/>
          <w:color w:val="auto"/>
        </w:rPr>
      </w:pPr>
    </w:p>
    <w:p>
      <w:pPr>
        <w:jc w:val="both"/>
        <w:ind w:right="440"/>
        <w:spacing w:after="0" w:line="287" w:lineRule="auto"/>
        <w:rPr>
          <w:sz w:val="20"/>
          <w:szCs w:val="20"/>
          <w:color w:val="auto"/>
        </w:rPr>
      </w:pPr>
      <w:r>
        <w:rPr>
          <w:rFonts w:ascii="Arial" w:cs="Arial" w:eastAsia="Arial" w:hAnsi="Arial"/>
          <w:sz w:val="19"/>
          <w:szCs w:val="19"/>
          <w:color w:val="auto"/>
        </w:rPr>
        <w:t>Operations and maintenance expenses increased by $6,056 or 8.9%, primarily due to an increase in labor expense of $1,559, which included additional overtime expenses for increased maintenance activities, an increase in postretirement benefits of $1,442, and an increase in maintenance expenses of $1,057, mainly resulting from expenses incurred due to more severe winter weather conditions.</w:t>
      </w:r>
    </w:p>
    <w:p>
      <w:pPr>
        <w:spacing w:after="0" w:line="170"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Depreciation expense increased by $2,130 or 6.3%, primarily due to the utility plant placed in service since March 31, 2017.</w:t>
      </w:r>
    </w:p>
    <w:p>
      <w:pPr>
        <w:spacing w:after="0" w:line="20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Interest expense increased by $2,145 or 10.1%, primarily due to an increase in average borrowings, offset by a decrease in our effective interest rate.</w:t>
      </w:r>
    </w:p>
    <w:p>
      <w:pPr>
        <w:spacing w:after="0" w:line="200" w:lineRule="exact"/>
        <w:rPr>
          <w:sz w:val="20"/>
          <w:szCs w:val="20"/>
          <w:color w:val="auto"/>
        </w:rPr>
      </w:pPr>
    </w:p>
    <w:p>
      <w:pPr>
        <w:ind w:right="680"/>
        <w:spacing w:after="0" w:line="328" w:lineRule="auto"/>
        <w:rPr>
          <w:sz w:val="20"/>
          <w:szCs w:val="20"/>
          <w:color w:val="auto"/>
        </w:rPr>
      </w:pPr>
      <w:r>
        <w:rPr>
          <w:rFonts w:ascii="Arial" w:cs="Arial" w:eastAsia="Arial" w:hAnsi="Arial"/>
          <w:sz w:val="19"/>
          <w:szCs w:val="19"/>
          <w:color w:val="auto"/>
        </w:rPr>
        <w:t>Allowance for funds used during construction (“AFUDC”) decreased by $326, due to a decrease in the average balance of utility plant construction work in progress, to which AFUDC is applied.</w:t>
      </w:r>
    </w:p>
    <w:p>
      <w:pPr>
        <w:spacing w:after="0" w:line="132"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Equity earnings in joint venture increased by $412 due to an increase in the sale of raw water to firms in the natural gas drilling industry.</w:t>
      </w:r>
    </w:p>
    <w:p>
      <w:pPr>
        <w:spacing w:after="0" w:line="200"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Other decreased by $635 primarily due to a decrease in the non-service cost components of our net benefit cost for pension and postretirement benefits.</w:t>
      </w:r>
    </w:p>
    <w:p>
      <w:pPr>
        <w:spacing w:after="0" w:line="200"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Our effective income tax rate was -4.4% in the first quarter of 2018 and 5.6% in the first quarter of 2017. The effective income tax rate decreased due to the reduction in the corporate income tax rate from 35% to 21%, and the effect of additional tax deductions recognized in the first quarter of 2018 for certain qualifying infrastructure improvements for Aqua Pennsylvania. A revenue reserve has been recognized in the first quarter of 2018 for the amounts expected to be refundable to utility customers associated with the decrease in the corporate income tax rate from 35% to 21% due to the TCJA.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611441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1435"/>
                    </a:xfrm>
                    <a:prstGeom prst="rect">
                      <a:avLst/>
                    </a:prstGeom>
                    <a:noFill/>
                  </pic:spPr>
                </pic:pic>
              </a:graphicData>
            </a:graphic>
          </wp:anchor>
        </w:drawing>
      </w:r>
    </w:p>
    <w:p>
      <w:pPr>
        <w:sectPr>
          <w:pgSz w:w="11900" w:h="16838" w:orient="portrait"/>
          <w:cols w:equalWidth="0" w:num="1">
            <w:col w:w="9560"/>
          </w:cols>
          <w:pgMar w:left="1220" w:top="118" w:right="111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AQUA AMERICA, INC. AND SUBSIDIARIES</w:t>
      </w:r>
    </w:p>
    <w:p>
      <w:pPr>
        <w:spacing w:after="0" w:line="233" w:lineRule="exact"/>
        <w:rPr>
          <w:sz w:val="20"/>
          <w:szCs w:val="20"/>
          <w:color w:val="auto"/>
        </w:rPr>
      </w:pPr>
    </w:p>
    <w:p>
      <w:pPr>
        <w:jc w:val="center"/>
        <w:ind w:left="2660"/>
        <w:spacing w:after="0"/>
        <w:rPr>
          <w:sz w:val="20"/>
          <w:szCs w:val="20"/>
          <w:color w:val="auto"/>
        </w:rPr>
      </w:pPr>
      <w:r>
        <w:rPr>
          <w:rFonts w:ascii="Arial" w:cs="Arial" w:eastAsia="Arial" w:hAnsi="Arial"/>
          <w:sz w:val="22"/>
          <w:szCs w:val="22"/>
          <w:color w:val="auto"/>
        </w:rPr>
        <w:t>MANAGEMENT’S DISCUSSION AND ANALYSIS OF FINANCIAL CONDITION AND RESULTS OF OPERATIONS (continued) (In thousands of dollars,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Net income increased by $1,767 or 3.6%, primarily as a result of the factors described above.</w:t>
      </w:r>
    </w:p>
    <w:p>
      <w:pPr>
        <w:spacing w:after="0" w:line="200" w:lineRule="exact"/>
        <w:rPr>
          <w:sz w:val="20"/>
          <w:szCs w:val="20"/>
          <w:color w:val="auto"/>
        </w:rPr>
      </w:pPr>
    </w:p>
    <w:p>
      <w:pPr>
        <w:spacing w:after="0" w:line="311" w:lineRule="exact"/>
        <w:rPr>
          <w:sz w:val="20"/>
          <w:szCs w:val="20"/>
          <w:color w:val="auto"/>
        </w:rPr>
      </w:pPr>
    </w:p>
    <w:p>
      <w:pPr>
        <w:jc w:val="center"/>
        <w:ind w:right="-280"/>
        <w:spacing w:after="0"/>
        <w:rPr>
          <w:sz w:val="20"/>
          <w:szCs w:val="20"/>
          <w:color w:val="auto"/>
        </w:rPr>
      </w:pPr>
      <w:r>
        <w:rPr>
          <w:rFonts w:ascii="Arial" w:cs="Arial" w:eastAsia="Arial" w:hAnsi="Arial"/>
          <w:sz w:val="22"/>
          <w:szCs w:val="22"/>
          <w:u w:val="single" w:color="auto"/>
          <w:color w:val="auto"/>
        </w:rPr>
        <w:t>Impact of Recent Accounting Pronouncements</w:t>
      </w:r>
    </w:p>
    <w:p>
      <w:pPr>
        <w:spacing w:after="0" w:line="233" w:lineRule="exact"/>
        <w:rPr>
          <w:sz w:val="20"/>
          <w:szCs w:val="20"/>
          <w:color w:val="auto"/>
        </w:rPr>
      </w:pPr>
    </w:p>
    <w:p>
      <w:pPr>
        <w:ind w:right="1159"/>
        <w:spacing w:after="0" w:line="274" w:lineRule="auto"/>
        <w:rPr>
          <w:sz w:val="20"/>
          <w:szCs w:val="20"/>
          <w:color w:val="auto"/>
        </w:rPr>
      </w:pPr>
      <w:r>
        <w:rPr>
          <w:rFonts w:ascii="Arial" w:cs="Arial" w:eastAsia="Arial" w:hAnsi="Arial"/>
          <w:sz w:val="21"/>
          <w:szCs w:val="21"/>
          <w:color w:val="auto"/>
        </w:rPr>
        <w:t xml:space="preserve">We describe the impact of recent accounting pronouncements in Note 15, </w:t>
      </w:r>
      <w:r>
        <w:rPr>
          <w:rFonts w:ascii="Arial" w:cs="Arial" w:eastAsia="Arial" w:hAnsi="Arial"/>
          <w:sz w:val="21"/>
          <w:szCs w:val="21"/>
          <w:i w:val="1"/>
          <w:iCs w:val="1"/>
          <w:color w:val="auto"/>
        </w:rPr>
        <w:t>Recent Accounting</w:t>
      </w:r>
      <w:r>
        <w:rPr>
          <w:rFonts w:ascii="Arial" w:cs="Arial" w:eastAsia="Arial" w:hAnsi="Arial"/>
          <w:sz w:val="21"/>
          <w:szCs w:val="21"/>
          <w:color w:val="auto"/>
        </w:rPr>
        <w:t xml:space="preserve"> </w:t>
      </w:r>
      <w:r>
        <w:rPr>
          <w:rFonts w:ascii="Arial" w:cs="Arial" w:eastAsia="Arial" w:hAnsi="Arial"/>
          <w:sz w:val="21"/>
          <w:szCs w:val="21"/>
          <w:i w:val="1"/>
          <w:iCs w:val="1"/>
          <w:color w:val="auto"/>
        </w:rPr>
        <w:t>Pronouncements</w:t>
      </w:r>
      <w:r>
        <w:rPr>
          <w:rFonts w:ascii="Arial" w:cs="Arial" w:eastAsia="Arial" w:hAnsi="Arial"/>
          <w:sz w:val="21"/>
          <w:szCs w:val="21"/>
          <w:color w:val="auto"/>
        </w:rPr>
        <w:t>, to the consolidated financial statements in this report.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63500</wp:posOffset>
            </wp:positionV>
            <wp:extent cx="630301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239"/>
          </w:cols>
          <w:pgMar w:left="1220" w:top="118" w:right="1440"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Item 3 – Quantitative and Qualitative Disclosures About Market Risk</w:t>
      </w: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are subject to market risks in the normal course of business, including changes in interest rates and equity prices. There have been no significant changes in our exposure to market risks since December 31, 2017. Refer to Item 7A of the Company’s Annual Report on Form 10-K for the year ended December 31, 2017, filed February 28, 2018,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Item 4 – Controls and Procedures</w:t>
      </w:r>
    </w:p>
    <w:p>
      <w:pPr>
        <w:spacing w:after="0" w:line="233"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22"/>
          <w:szCs w:val="22"/>
          <w:color w:val="auto"/>
        </w:rPr>
        <w:t>Evaluation of Disclosure Controls and Procedures</w:t>
      </w:r>
    </w:p>
    <w:p>
      <w:pPr>
        <w:spacing w:after="0" w:line="233"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85"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Changes in Internal Control over Financial Reporting</w:t>
      </w:r>
    </w:p>
    <w:p>
      <w:pPr>
        <w:spacing w:after="0" w:line="233"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No change in our internal control over financial reporting occurred during our most recent fiscal quarter that has materially affected, or is reasonably likely to materially affect, our internal control over financial reporting.</w:t>
      </w:r>
    </w:p>
    <w:p>
      <w:pPr>
        <w:spacing w:after="0" w:line="132"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Part II.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Item 1 – Legal Proceedings</w:t>
      </w:r>
    </w:p>
    <w:p>
      <w:pPr>
        <w:spacing w:after="0" w:line="233"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We are party to various legal proceedings. Although the results of legal proceedings cannot be predicted with certainty, there are no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1A – Risk Factors</w:t>
      </w:r>
    </w:p>
    <w:p>
      <w:pPr>
        <w:spacing w:after="0" w:line="233" w:lineRule="exact"/>
        <w:rPr>
          <w:sz w:val="20"/>
          <w:szCs w:val="20"/>
          <w:color w:val="auto"/>
        </w:rPr>
      </w:pPr>
    </w:p>
    <w:p>
      <w:pPr>
        <w:ind w:right="540"/>
        <w:spacing w:after="0" w:line="274" w:lineRule="auto"/>
        <w:rPr>
          <w:sz w:val="20"/>
          <w:szCs w:val="20"/>
          <w:color w:val="auto"/>
        </w:rPr>
      </w:pPr>
      <w:r>
        <w:rPr>
          <w:rFonts w:ascii="Arial" w:cs="Arial" w:eastAsia="Arial" w:hAnsi="Arial"/>
          <w:sz w:val="21"/>
          <w:szCs w:val="21"/>
          <w:color w:val="auto"/>
        </w:rPr>
        <w:t>There have been no material changes to the risks disclosed in our Annual Report on Form 10-K for the year ended December 31, 2017, filed February 28, 2018, under “Part 1, Item 1A – Risk Factors.”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30301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860"/>
          </w:cols>
          <w:pgMar w:left="1140" w:top="118" w:right="89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Item 2 – Unregistered Sales of Equity Securities and Use of Proceeds</w:t>
      </w:r>
    </w:p>
    <w:p>
      <w:pPr>
        <w:spacing w:after="0" w:line="233"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following table summarizes the Company’s purchases of its common stock for the quarter ended March 31,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3660" w:type="dxa"/>
            <w:vAlign w:val="bottom"/>
            <w:gridSpan w:val="7"/>
          </w:tcPr>
          <w:p>
            <w:pPr>
              <w:jc w:val="right"/>
              <w:ind w:right="460"/>
              <w:spacing w:after="0"/>
              <w:rPr>
                <w:sz w:val="20"/>
                <w:szCs w:val="20"/>
                <w:color w:val="auto"/>
              </w:rPr>
            </w:pPr>
            <w:r>
              <w:rPr>
                <w:rFonts w:ascii="Arial" w:cs="Arial" w:eastAsia="Arial" w:hAnsi="Arial"/>
                <w:sz w:val="22"/>
                <w:szCs w:val="22"/>
                <w:color w:val="auto"/>
                <w:w w:val="87"/>
              </w:rPr>
              <w:t>Issuer Purchases of Equity Securities</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31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Total</w:t>
            </w:r>
          </w:p>
        </w:tc>
        <w:tc>
          <w:tcPr>
            <w:tcW w:w="1600" w:type="dxa"/>
            <w:vAlign w:val="bottom"/>
          </w:tcPr>
          <w:p>
            <w:pPr>
              <w:jc w:val="right"/>
              <w:spacing w:after="0"/>
              <w:rPr>
                <w:sz w:val="20"/>
                <w:szCs w:val="20"/>
                <w:color w:val="auto"/>
              </w:rPr>
            </w:pPr>
            <w:r>
              <w:rPr>
                <w:rFonts w:ascii="Arial" w:cs="Arial" w:eastAsia="Arial" w:hAnsi="Arial"/>
                <w:sz w:val="22"/>
                <w:szCs w:val="22"/>
                <w:color w:val="auto"/>
              </w:rPr>
              <w:t>Maximum</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Number of</w:t>
            </w:r>
          </w:p>
        </w:tc>
        <w:tc>
          <w:tcPr>
            <w:tcW w:w="1600" w:type="dxa"/>
            <w:vAlign w:val="bottom"/>
          </w:tcPr>
          <w:p>
            <w:pPr>
              <w:jc w:val="right"/>
              <w:spacing w:after="0"/>
              <w:rPr>
                <w:sz w:val="20"/>
                <w:szCs w:val="20"/>
                <w:color w:val="auto"/>
              </w:rPr>
            </w:pPr>
            <w:r>
              <w:rPr>
                <w:rFonts w:ascii="Arial" w:cs="Arial" w:eastAsia="Arial" w:hAnsi="Arial"/>
                <w:sz w:val="22"/>
                <w:szCs w:val="22"/>
                <w:color w:val="auto"/>
              </w:rPr>
              <w:t>Number of</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Shares</w:t>
            </w:r>
          </w:p>
        </w:tc>
        <w:tc>
          <w:tcPr>
            <w:tcW w:w="1600" w:type="dxa"/>
            <w:vAlign w:val="bottom"/>
          </w:tcPr>
          <w:p>
            <w:pPr>
              <w:jc w:val="right"/>
              <w:spacing w:after="0"/>
              <w:rPr>
                <w:sz w:val="20"/>
                <w:szCs w:val="20"/>
                <w:color w:val="auto"/>
              </w:rPr>
            </w:pPr>
            <w:r>
              <w:rPr>
                <w:rFonts w:ascii="Arial" w:cs="Arial" w:eastAsia="Arial" w:hAnsi="Arial"/>
                <w:sz w:val="22"/>
                <w:szCs w:val="22"/>
                <w:color w:val="auto"/>
              </w:rPr>
              <w:t>Shares</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Purchased</w:t>
            </w:r>
          </w:p>
        </w:tc>
        <w:tc>
          <w:tcPr>
            <w:tcW w:w="1600" w:type="dxa"/>
            <w:vAlign w:val="bottom"/>
          </w:tcPr>
          <w:p>
            <w:pPr>
              <w:jc w:val="right"/>
              <w:spacing w:after="0"/>
              <w:rPr>
                <w:sz w:val="20"/>
                <w:szCs w:val="20"/>
                <w:color w:val="auto"/>
              </w:rPr>
            </w:pPr>
            <w:r>
              <w:rPr>
                <w:rFonts w:ascii="Arial" w:cs="Arial" w:eastAsia="Arial" w:hAnsi="Arial"/>
                <w:sz w:val="22"/>
                <w:szCs w:val="22"/>
                <w:color w:val="auto"/>
              </w:rPr>
              <w:t>that May</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as Part of</w:t>
            </w:r>
          </w:p>
        </w:tc>
        <w:tc>
          <w:tcPr>
            <w:tcW w:w="1600" w:type="dxa"/>
            <w:vAlign w:val="bottom"/>
          </w:tcPr>
          <w:p>
            <w:pPr>
              <w:jc w:val="right"/>
              <w:spacing w:after="0"/>
              <w:rPr>
                <w:sz w:val="20"/>
                <w:szCs w:val="20"/>
                <w:color w:val="auto"/>
              </w:rPr>
            </w:pPr>
            <w:r>
              <w:rPr>
                <w:rFonts w:ascii="Arial" w:cs="Arial" w:eastAsia="Arial" w:hAnsi="Arial"/>
                <w:sz w:val="22"/>
                <w:szCs w:val="22"/>
                <w:color w:val="auto"/>
              </w:rPr>
              <w:t>Yet be</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22"/>
                <w:szCs w:val="22"/>
                <w:color w:val="auto"/>
              </w:rPr>
              <w:t>Total</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Publicly</w:t>
            </w:r>
          </w:p>
        </w:tc>
        <w:tc>
          <w:tcPr>
            <w:tcW w:w="1600" w:type="dxa"/>
            <w:vAlign w:val="bottom"/>
          </w:tcPr>
          <w:p>
            <w:pPr>
              <w:jc w:val="right"/>
              <w:spacing w:after="0"/>
              <w:rPr>
                <w:sz w:val="20"/>
                <w:szCs w:val="20"/>
                <w:color w:val="auto"/>
              </w:rPr>
            </w:pPr>
            <w:r>
              <w:rPr>
                <w:rFonts w:ascii="Arial" w:cs="Arial" w:eastAsia="Arial" w:hAnsi="Arial"/>
                <w:sz w:val="22"/>
                <w:szCs w:val="22"/>
                <w:color w:val="auto"/>
              </w:rPr>
              <w:t>Purchased</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22"/>
                <w:szCs w:val="22"/>
                <w:color w:val="auto"/>
              </w:rPr>
              <w:t>Number</w:t>
            </w:r>
          </w:p>
        </w:tc>
        <w:tc>
          <w:tcPr>
            <w:tcW w:w="400" w:type="dxa"/>
            <w:vAlign w:val="bottom"/>
          </w:tcPr>
          <w:p>
            <w:pPr>
              <w:spacing w:after="0"/>
              <w:rPr>
                <w:sz w:val="24"/>
                <w:szCs w:val="24"/>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22"/>
                <w:szCs w:val="22"/>
                <w:color w:val="auto"/>
              </w:rPr>
              <w:t>Average</w:t>
            </w: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Announced</w:t>
            </w:r>
          </w:p>
        </w:tc>
        <w:tc>
          <w:tcPr>
            <w:tcW w:w="1600" w:type="dxa"/>
            <w:vAlign w:val="bottom"/>
          </w:tcPr>
          <w:p>
            <w:pPr>
              <w:jc w:val="right"/>
              <w:spacing w:after="0"/>
              <w:rPr>
                <w:sz w:val="20"/>
                <w:szCs w:val="20"/>
                <w:color w:val="auto"/>
              </w:rPr>
            </w:pPr>
            <w:r>
              <w:rPr>
                <w:rFonts w:ascii="Arial" w:cs="Arial" w:eastAsia="Arial" w:hAnsi="Arial"/>
                <w:sz w:val="22"/>
                <w:szCs w:val="22"/>
                <w:color w:val="auto"/>
              </w:rPr>
              <w:t>Under the</w:t>
            </w:r>
          </w:p>
        </w:tc>
      </w:tr>
      <w:tr>
        <w:trPr>
          <w:trHeight w:val="28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22"/>
                <w:szCs w:val="22"/>
                <w:color w:val="auto"/>
              </w:rPr>
              <w:t>of Shares</w:t>
            </w:r>
          </w:p>
        </w:tc>
        <w:tc>
          <w:tcPr>
            <w:tcW w:w="400" w:type="dxa"/>
            <w:vAlign w:val="bottom"/>
          </w:tcPr>
          <w:p>
            <w:pPr>
              <w:spacing w:after="0"/>
              <w:rPr>
                <w:sz w:val="24"/>
                <w:szCs w:val="24"/>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22"/>
                <w:szCs w:val="22"/>
                <w:color w:val="auto"/>
              </w:rPr>
              <w:t>Price Paid</w:t>
            </w:r>
          </w:p>
        </w:tc>
        <w:tc>
          <w:tcPr>
            <w:tcW w:w="1620" w:type="dxa"/>
            <w:vAlign w:val="bottom"/>
            <w:gridSpan w:val="2"/>
          </w:tcPr>
          <w:p>
            <w:pPr>
              <w:jc w:val="right"/>
              <w:ind w:right="240"/>
              <w:spacing w:after="0"/>
              <w:rPr>
                <w:sz w:val="20"/>
                <w:szCs w:val="20"/>
                <w:color w:val="auto"/>
              </w:rPr>
            </w:pPr>
            <w:r>
              <w:rPr>
                <w:rFonts w:ascii="Arial" w:cs="Arial" w:eastAsia="Arial" w:hAnsi="Arial"/>
                <w:sz w:val="22"/>
                <w:szCs w:val="22"/>
                <w:color w:val="auto"/>
              </w:rPr>
              <w:t>Plans or</w:t>
            </w:r>
          </w:p>
        </w:tc>
        <w:tc>
          <w:tcPr>
            <w:tcW w:w="1600" w:type="dxa"/>
            <w:vAlign w:val="bottom"/>
          </w:tcPr>
          <w:p>
            <w:pPr>
              <w:jc w:val="right"/>
              <w:spacing w:after="0"/>
              <w:rPr>
                <w:sz w:val="20"/>
                <w:szCs w:val="20"/>
                <w:color w:val="auto"/>
              </w:rPr>
            </w:pPr>
            <w:r>
              <w:rPr>
                <w:rFonts w:ascii="Arial" w:cs="Arial" w:eastAsia="Arial" w:hAnsi="Arial"/>
                <w:sz w:val="22"/>
                <w:szCs w:val="22"/>
                <w:color w:val="auto"/>
              </w:rPr>
              <w:t>Plan or</w:t>
            </w:r>
          </w:p>
        </w:tc>
      </w:tr>
      <w:tr>
        <w:trPr>
          <w:trHeight w:val="233"/>
        </w:trPr>
        <w:tc>
          <w:tcPr>
            <w:tcW w:w="3000" w:type="dxa"/>
            <w:vAlign w:val="bottom"/>
            <w:gridSpan w:val="3"/>
          </w:tcPr>
          <w:p>
            <w:pPr>
              <w:spacing w:after="0" w:line="233" w:lineRule="exact"/>
              <w:rPr>
                <w:sz w:val="20"/>
                <w:szCs w:val="20"/>
                <w:color w:val="auto"/>
              </w:rPr>
            </w:pPr>
            <w:r>
              <w:rPr>
                <w:rFonts w:ascii="Arial" w:cs="Arial" w:eastAsia="Arial" w:hAnsi="Arial"/>
                <w:sz w:val="22"/>
                <w:szCs w:val="22"/>
                <w:color w:val="auto"/>
              </w:rPr>
              <w:t>Period</w:t>
            </w:r>
          </w:p>
        </w:tc>
        <w:tc>
          <w:tcPr>
            <w:tcW w:w="20" w:type="dxa"/>
            <w:vAlign w:val="bottom"/>
          </w:tcPr>
          <w:p>
            <w:pPr>
              <w:spacing w:after="0"/>
              <w:rPr>
                <w:sz w:val="20"/>
                <w:szCs w:val="20"/>
                <w:color w:val="auto"/>
              </w:rPr>
            </w:pPr>
          </w:p>
        </w:tc>
        <w:tc>
          <w:tcPr>
            <w:tcW w:w="1900" w:type="dxa"/>
            <w:vAlign w:val="bottom"/>
            <w:gridSpan w:val="2"/>
          </w:tcPr>
          <w:p>
            <w:pPr>
              <w:jc w:val="right"/>
              <w:ind w:right="220"/>
              <w:spacing w:after="0" w:line="233" w:lineRule="exact"/>
              <w:rPr>
                <w:sz w:val="20"/>
                <w:szCs w:val="20"/>
                <w:color w:val="auto"/>
              </w:rPr>
            </w:pPr>
            <w:r>
              <w:rPr>
                <w:rFonts w:ascii="Arial" w:cs="Arial" w:eastAsia="Arial" w:hAnsi="Arial"/>
                <w:sz w:val="22"/>
                <w:szCs w:val="22"/>
                <w:color w:val="auto"/>
              </w:rPr>
              <w:t>Purchased (1)</w:t>
            </w:r>
          </w:p>
        </w:tc>
        <w:tc>
          <w:tcPr>
            <w:tcW w:w="400" w:type="dxa"/>
            <w:vAlign w:val="bottom"/>
          </w:tcPr>
          <w:p>
            <w:pPr>
              <w:spacing w:after="0"/>
              <w:rPr>
                <w:sz w:val="20"/>
                <w:szCs w:val="20"/>
                <w:color w:val="auto"/>
              </w:rPr>
            </w:pPr>
          </w:p>
        </w:tc>
        <w:tc>
          <w:tcPr>
            <w:tcW w:w="1340" w:type="dxa"/>
            <w:vAlign w:val="bottom"/>
            <w:gridSpan w:val="3"/>
          </w:tcPr>
          <w:p>
            <w:pPr>
              <w:jc w:val="right"/>
              <w:ind w:right="240"/>
              <w:spacing w:after="0" w:line="233" w:lineRule="exact"/>
              <w:rPr>
                <w:sz w:val="20"/>
                <w:szCs w:val="20"/>
                <w:color w:val="auto"/>
              </w:rPr>
            </w:pPr>
            <w:r>
              <w:rPr>
                <w:rFonts w:ascii="Arial" w:cs="Arial" w:eastAsia="Arial" w:hAnsi="Arial"/>
                <w:sz w:val="22"/>
                <w:szCs w:val="22"/>
                <w:color w:val="auto"/>
              </w:rPr>
              <w:t>per Share</w:t>
            </w:r>
          </w:p>
        </w:tc>
        <w:tc>
          <w:tcPr>
            <w:tcW w:w="1620" w:type="dxa"/>
            <w:vAlign w:val="bottom"/>
            <w:gridSpan w:val="2"/>
          </w:tcPr>
          <w:p>
            <w:pPr>
              <w:jc w:val="right"/>
              <w:ind w:right="240"/>
              <w:spacing w:after="0" w:line="233" w:lineRule="exact"/>
              <w:rPr>
                <w:sz w:val="20"/>
                <w:szCs w:val="20"/>
                <w:color w:val="auto"/>
              </w:rPr>
            </w:pPr>
            <w:r>
              <w:rPr>
                <w:rFonts w:ascii="Arial" w:cs="Arial" w:eastAsia="Arial" w:hAnsi="Arial"/>
                <w:sz w:val="22"/>
                <w:szCs w:val="22"/>
                <w:color w:val="auto"/>
              </w:rPr>
              <w:t>Programs</w:t>
            </w:r>
          </w:p>
        </w:tc>
        <w:tc>
          <w:tcPr>
            <w:tcW w:w="1600" w:type="dxa"/>
            <w:vAlign w:val="bottom"/>
          </w:tcPr>
          <w:p>
            <w:pPr>
              <w:jc w:val="right"/>
              <w:spacing w:after="0" w:line="233" w:lineRule="exact"/>
              <w:rPr>
                <w:sz w:val="20"/>
                <w:szCs w:val="20"/>
                <w:color w:val="auto"/>
              </w:rPr>
            </w:pPr>
            <w:r>
              <w:rPr>
                <w:rFonts w:ascii="Arial" w:cs="Arial" w:eastAsia="Arial" w:hAnsi="Arial"/>
                <w:sz w:val="22"/>
                <w:szCs w:val="22"/>
                <w:color w:val="auto"/>
              </w:rPr>
              <w:t>Programs</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January 1-31, 2018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2,662</w:t>
            </w: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36.37</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84"/>
        </w:trPr>
        <w:tc>
          <w:tcPr>
            <w:tcW w:w="3000" w:type="dxa"/>
            <w:vAlign w:val="bottom"/>
            <w:gridSpan w:val="3"/>
          </w:tcPr>
          <w:p>
            <w:pPr>
              <w:spacing w:after="0"/>
              <w:rPr>
                <w:sz w:val="20"/>
                <w:szCs w:val="20"/>
                <w:color w:val="auto"/>
              </w:rPr>
            </w:pPr>
            <w:r>
              <w:rPr>
                <w:rFonts w:ascii="Arial" w:cs="Arial" w:eastAsia="Arial" w:hAnsi="Arial"/>
                <w:sz w:val="22"/>
                <w:szCs w:val="22"/>
                <w:color w:val="auto"/>
              </w:rPr>
              <w:t>February 1-28, 2018</w:t>
            </w:r>
          </w:p>
        </w:tc>
        <w:tc>
          <w:tcPr>
            <w:tcW w:w="1700" w:type="dxa"/>
            <w:vAlign w:val="bottom"/>
            <w:gridSpan w:val="2"/>
          </w:tcPr>
          <w:p>
            <w:pPr>
              <w:jc w:val="right"/>
              <w:spacing w:after="0"/>
              <w:rPr>
                <w:sz w:val="20"/>
                <w:szCs w:val="20"/>
                <w:color w:val="auto"/>
              </w:rPr>
            </w:pPr>
            <w:r>
              <w:rPr>
                <w:rFonts w:ascii="Arial" w:cs="Arial" w:eastAsia="Arial" w:hAnsi="Arial"/>
                <w:sz w:val="22"/>
                <w:szCs w:val="22"/>
                <w:color w:val="auto"/>
              </w:rPr>
              <w:t>68,805</w:t>
            </w:r>
          </w:p>
        </w:tc>
        <w:tc>
          <w:tcPr>
            <w:tcW w:w="220" w:type="dxa"/>
            <w:vAlign w:val="bottom"/>
          </w:tcPr>
          <w:p>
            <w:pPr>
              <w:spacing w:after="0"/>
              <w:rPr>
                <w:sz w:val="24"/>
                <w:szCs w:val="24"/>
                <w:color w:val="auto"/>
              </w:rPr>
            </w:pPr>
          </w:p>
        </w:tc>
        <w:tc>
          <w:tcPr>
            <w:tcW w:w="40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22"/>
                <w:szCs w:val="22"/>
                <w:color w:val="auto"/>
              </w:rPr>
              <w:t>34.56</w:t>
            </w:r>
          </w:p>
        </w:tc>
        <w:tc>
          <w:tcPr>
            <w:tcW w:w="2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84"/>
        </w:trPr>
        <w:tc>
          <w:tcPr>
            <w:tcW w:w="20" w:type="dxa"/>
            <w:vAlign w:val="bottom"/>
          </w:tcPr>
          <w:p>
            <w:pPr>
              <w:spacing w:after="0"/>
              <w:rPr>
                <w:sz w:val="24"/>
                <w:szCs w:val="2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March 1-31, 2018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473</w:t>
            </w: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33.84</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57"/>
        </w:trPr>
        <w:tc>
          <w:tcPr>
            <w:tcW w:w="3000" w:type="dxa"/>
            <w:vAlign w:val="bottom"/>
            <w:gridSpan w:val="3"/>
          </w:tcPr>
          <w:p>
            <w:pPr>
              <w:spacing w:after="0" w:line="250" w:lineRule="exact"/>
              <w:rPr>
                <w:sz w:val="20"/>
                <w:szCs w:val="20"/>
                <w:color w:val="auto"/>
              </w:rPr>
            </w:pPr>
            <w:r>
              <w:rPr>
                <w:rFonts w:ascii="Arial" w:cs="Arial" w:eastAsia="Arial" w:hAnsi="Arial"/>
                <w:sz w:val="22"/>
                <w:szCs w:val="22"/>
                <w:color w:val="auto"/>
              </w:rPr>
              <w:t>Total</w:t>
            </w:r>
          </w:p>
        </w:tc>
        <w:tc>
          <w:tcPr>
            <w:tcW w:w="2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71,940</w:t>
            </w:r>
          </w:p>
        </w:tc>
        <w:tc>
          <w:tcPr>
            <w:tcW w:w="2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12"/>
              <w:spacing w:after="0" w:line="250" w:lineRule="exact"/>
              <w:rPr>
                <w:sz w:val="20"/>
                <w:szCs w:val="20"/>
                <w:color w:val="auto"/>
              </w:rPr>
            </w:pPr>
            <w:r>
              <w:rPr>
                <w:rFonts w:ascii="Arial" w:cs="Arial" w:eastAsia="Arial" w:hAnsi="Arial"/>
                <w:sz w:val="22"/>
                <w:szCs w:val="22"/>
                <w:color w:val="auto"/>
              </w:rPr>
              <w:t>$</w:t>
            </w:r>
          </w:p>
        </w:tc>
        <w:tc>
          <w:tcPr>
            <w:tcW w:w="1100" w:type="dxa"/>
            <w:vAlign w:val="bottom"/>
            <w:tcBorders>
              <w:top w:val="single" w:sz="8" w:color="auto"/>
              <w:bottom w:val="single" w:sz="8" w:color="auto"/>
            </w:tcBorders>
            <w:gridSpan w:val="2"/>
          </w:tcPr>
          <w:p>
            <w:pPr>
              <w:jc w:val="right"/>
              <w:ind w:right="60"/>
              <w:spacing w:after="0" w:line="250" w:lineRule="exact"/>
              <w:rPr>
                <w:sz w:val="20"/>
                <w:szCs w:val="20"/>
                <w:color w:val="auto"/>
              </w:rPr>
            </w:pPr>
            <w:r>
              <w:rPr>
                <w:rFonts w:ascii="Arial" w:cs="Arial" w:eastAsia="Arial" w:hAnsi="Arial"/>
                <w:sz w:val="22"/>
                <w:szCs w:val="22"/>
                <w:color w:val="auto"/>
              </w:rPr>
              <w:t>34.63</w:t>
            </w:r>
          </w:p>
        </w:tc>
        <w:tc>
          <w:tcPr>
            <w:tcW w:w="24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w:t>
            </w:r>
          </w:p>
        </w:tc>
      </w:tr>
    </w:tbl>
    <w:p>
      <w:pPr>
        <w:spacing w:after="0" w:line="235" w:lineRule="exact"/>
        <w:rPr>
          <w:sz w:val="20"/>
          <w:szCs w:val="20"/>
          <w:color w:val="auto"/>
        </w:rPr>
      </w:pPr>
    </w:p>
    <w:p>
      <w:pPr>
        <w:jc w:val="both"/>
        <w:ind w:left="400" w:right="20" w:hanging="392"/>
        <w:spacing w:after="0" w:line="276" w:lineRule="auto"/>
        <w:tabs>
          <w:tab w:leader="none" w:pos="40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These amounts include the following: (a) 63,941 shares we acquired from employees associated with the withholding of shares to pay certain withholding taxes upon the vesting of stock-based compensation; and</w:t>
      </w:r>
    </w:p>
    <w:p>
      <w:pPr>
        <w:spacing w:after="0" w:line="1" w:lineRule="exact"/>
        <w:rPr>
          <w:rFonts w:ascii="Arial" w:cs="Arial" w:eastAsia="Arial" w:hAnsi="Arial"/>
          <w:sz w:val="19"/>
          <w:szCs w:val="19"/>
          <w:color w:val="auto"/>
        </w:rPr>
      </w:pPr>
    </w:p>
    <w:p>
      <w:pPr>
        <w:jc w:val="both"/>
        <w:ind w:left="400" w:right="20"/>
        <w:spacing w:after="0" w:line="244" w:lineRule="auto"/>
        <w:rPr>
          <w:rFonts w:ascii="Arial" w:cs="Arial" w:eastAsia="Arial" w:hAnsi="Arial"/>
          <w:sz w:val="19"/>
          <w:szCs w:val="19"/>
          <w:color w:val="auto"/>
        </w:rPr>
      </w:pPr>
      <w:r>
        <w:rPr>
          <w:rFonts w:ascii="Arial" w:cs="Arial" w:eastAsia="Arial" w:hAnsi="Arial"/>
          <w:sz w:val="21"/>
          <w:szCs w:val="21"/>
          <w:color w:val="auto"/>
        </w:rPr>
        <w:t>(b) 7,999 shares we acquired from our employees who elected to pay the exercise price of their stock options (and then hold shares of the stock), upon exercise, by delivering to us shares of our common stock in accordance with the terms of our equity compensation plan that were previously approved by our shareholders and disclosed in our proxy statements. These features of our equity compensation plan are available to all employees who receive stock-based compensation under the plan. We purchased these shares at their fair market value, as determined by reference to the closing price of our common stock on the day prior to the option exercise.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Item 6 – Exhibits</w:t>
      </w:r>
    </w:p>
    <w:p>
      <w:pPr>
        <w:spacing w:after="0" w:line="233"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The information required by this Item is set forth in the Exhibit Index hereto which is incorporated herein by reference.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30301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880"/>
          </w:cols>
          <w:pgMar w:left="1140" w:top="118" w:right="87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gridSpan w:val="6"/>
          </w:tcPr>
          <w:p>
            <w:pPr>
              <w:jc w:val="center"/>
              <w:ind w:right="2020"/>
              <w:spacing w:after="0"/>
              <w:rPr>
                <w:sz w:val="20"/>
                <w:szCs w:val="20"/>
                <w:color w:val="auto"/>
              </w:rPr>
            </w:pPr>
            <w:r>
              <w:rPr>
                <w:rFonts w:ascii="Arial" w:cs="Arial" w:eastAsia="Arial" w:hAnsi="Arial"/>
                <w:sz w:val="22"/>
                <w:szCs w:val="22"/>
                <w:b w:val="1"/>
                <w:bCs w:val="1"/>
                <w:color w:val="auto"/>
              </w:rPr>
              <w:t>EXHIBIT INDEX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9"/>
        </w:trPr>
        <w:tc>
          <w:tcPr>
            <w:tcW w:w="1860" w:type="dxa"/>
            <w:vAlign w:val="bottom"/>
            <w:gridSpan w:val="2"/>
          </w:tcPr>
          <w:p>
            <w:pPr>
              <w:ind w:left="100"/>
              <w:spacing w:after="0"/>
              <w:rPr>
                <w:sz w:val="20"/>
                <w:szCs w:val="20"/>
                <w:color w:val="auto"/>
              </w:rPr>
            </w:pPr>
            <w:r>
              <w:rPr>
                <w:rFonts w:ascii="Arial" w:cs="Arial" w:eastAsia="Arial" w:hAnsi="Arial"/>
                <w:sz w:val="22"/>
                <w:szCs w:val="22"/>
                <w:b w:val="1"/>
                <w:bCs w:val="1"/>
                <w:color w:val="auto"/>
              </w:rPr>
              <w:t>Exhibit No.</w:t>
            </w:r>
          </w:p>
        </w:tc>
        <w:tc>
          <w:tcPr>
            <w:tcW w:w="100" w:type="dxa"/>
            <w:vAlign w:val="bottom"/>
          </w:tcPr>
          <w:p>
            <w:pPr>
              <w:spacing w:after="0"/>
              <w:rPr>
                <w:sz w:val="24"/>
                <w:szCs w:val="24"/>
                <w:color w:val="auto"/>
              </w:rPr>
            </w:pPr>
          </w:p>
        </w:tc>
        <w:tc>
          <w:tcPr>
            <w:tcW w:w="7900" w:type="dxa"/>
            <w:vAlign w:val="bottom"/>
            <w:gridSpan w:val="6"/>
          </w:tcPr>
          <w:p>
            <w:pPr>
              <w:ind w:left="60"/>
              <w:spacing w:after="0"/>
              <w:rPr>
                <w:sz w:val="20"/>
                <w:szCs w:val="20"/>
                <w:color w:val="auto"/>
              </w:rPr>
            </w:pPr>
            <w:r>
              <w:rPr>
                <w:rFonts w:ascii="Arial" w:cs="Arial" w:eastAsia="Arial" w:hAnsi="Arial"/>
                <w:sz w:val="22"/>
                <w:szCs w:val="22"/>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auto"/>
            </w:tcBorders>
          </w:tcPr>
          <w:p>
            <w:pPr>
              <w:ind w:left="100"/>
              <w:spacing w:after="0" w:line="197" w:lineRule="exact"/>
              <w:rPr>
                <w:sz w:val="20"/>
                <w:szCs w:val="20"/>
                <w:color w:val="auto"/>
              </w:rPr>
            </w:pPr>
            <w:r>
              <w:rPr>
                <w:rFonts w:ascii="Arial" w:cs="Arial" w:eastAsia="Arial" w:hAnsi="Arial"/>
                <w:sz w:val="22"/>
                <w:szCs w:val="22"/>
                <w:color w:val="auto"/>
              </w:rPr>
              <w:t>31.1</w:t>
            </w: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60" w:type="dxa"/>
            <w:vAlign w:val="bottom"/>
            <w:tcBorders>
              <w:top w:val="single" w:sz="8" w:color="auto"/>
              <w:bottom w:val="single" w:sz="8" w:color="0000EE"/>
            </w:tcBorders>
            <w:gridSpan w:val="5"/>
          </w:tcPr>
          <w:p>
            <w:pPr>
              <w:spacing w:after="0" w:line="197" w:lineRule="exact"/>
              <w:rPr>
                <w:rFonts w:ascii="Arial" w:cs="Arial" w:eastAsia="Arial" w:hAnsi="Arial"/>
                <w:sz w:val="22"/>
                <w:szCs w:val="22"/>
                <w:color w:val="0000EE"/>
                <w:w w:val="90"/>
              </w:rPr>
            </w:pPr>
            <w:hyperlink w:anchor="page34">
              <w:r>
                <w:rPr>
                  <w:rFonts w:ascii="Arial" w:cs="Arial" w:eastAsia="Arial" w:hAnsi="Arial"/>
                  <w:sz w:val="22"/>
                  <w:szCs w:val="22"/>
                  <w:color w:val="0000EE"/>
                  <w:w w:val="90"/>
                </w:rPr>
                <w:t>Certification of Chief Executive Officer, pursuant to Rule 13a-14(a) under the Securities</w:t>
              </w:r>
            </w:hyperlink>
          </w:p>
        </w:tc>
        <w:tc>
          <w:tcPr>
            <w:tcW w:w="2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80" w:type="dxa"/>
            <w:vAlign w:val="bottom"/>
            <w:vMerge w:val="restart"/>
          </w:tcPr>
          <w:p>
            <w:pPr>
              <w:ind w:left="100"/>
              <w:spacing w:after="0"/>
              <w:rPr>
                <w:sz w:val="20"/>
                <w:szCs w:val="20"/>
                <w:color w:val="auto"/>
              </w:rPr>
            </w:pPr>
            <w:r>
              <w:rPr>
                <w:rFonts w:ascii="Arial" w:cs="Arial" w:eastAsia="Arial" w:hAnsi="Arial"/>
                <w:sz w:val="22"/>
                <w:szCs w:val="22"/>
                <w:color w:val="auto"/>
              </w:rPr>
              <w:t>31.2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00" w:type="dxa"/>
            <w:vAlign w:val="bottom"/>
            <w:gridSpan w:val="6"/>
          </w:tcPr>
          <w:p>
            <w:pPr>
              <w:spacing w:after="0" w:line="223" w:lineRule="exact"/>
              <w:rPr>
                <w:rFonts w:ascii="Arial" w:cs="Arial" w:eastAsia="Arial" w:hAnsi="Arial"/>
                <w:sz w:val="22"/>
                <w:szCs w:val="22"/>
                <w:color w:val="0000EE"/>
              </w:rPr>
            </w:pPr>
            <w:hyperlink w:anchor="page34">
              <w:r>
                <w:rPr>
                  <w:rFonts w:ascii="Arial" w:cs="Arial" w:eastAsia="Arial" w:hAnsi="Arial"/>
                  <w:sz w:val="22"/>
                  <w:szCs w:val="22"/>
                  <w:color w:val="0000EE"/>
                </w:rPr>
                <w:t>and Exchange Act of 1934.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0" w:type="dxa"/>
            <w:vAlign w:val="bottom"/>
            <w:tcBorders>
              <w:bottom w:val="single" w:sz="8" w:color="0000EE"/>
            </w:tcBorders>
            <w:gridSpan w:val="4"/>
          </w:tcPr>
          <w:p>
            <w:pPr>
              <w:spacing w:after="0" w:line="223" w:lineRule="exact"/>
              <w:rPr>
                <w:rFonts w:ascii="Arial" w:cs="Arial" w:eastAsia="Arial" w:hAnsi="Arial"/>
                <w:sz w:val="22"/>
                <w:szCs w:val="22"/>
                <w:color w:val="0000EE"/>
                <w:w w:val="90"/>
              </w:rPr>
            </w:pPr>
            <w:hyperlink w:anchor="page35">
              <w:r>
                <w:rPr>
                  <w:rFonts w:ascii="Arial" w:cs="Arial" w:eastAsia="Arial" w:hAnsi="Arial"/>
                  <w:sz w:val="22"/>
                  <w:szCs w:val="22"/>
                  <w:color w:val="0000EE"/>
                  <w:w w:val="90"/>
                </w:rPr>
                <w:t>Certification of Chief Financial Officer, pursuant to Rule 13a-14(a) under the Securities</w:t>
              </w:r>
            </w:hyperlink>
          </w:p>
        </w:tc>
        <w:tc>
          <w:tcPr>
            <w:tcW w:w="3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vMerge w:val="restart"/>
          </w:tcPr>
          <w:p>
            <w:pPr>
              <w:ind w:left="100"/>
              <w:spacing w:after="0"/>
              <w:rPr>
                <w:sz w:val="20"/>
                <w:szCs w:val="20"/>
                <w:color w:val="auto"/>
              </w:rPr>
            </w:pPr>
            <w:r>
              <w:rPr>
                <w:rFonts w:ascii="Arial" w:cs="Arial" w:eastAsia="Arial" w:hAnsi="Arial"/>
                <w:sz w:val="22"/>
                <w:szCs w:val="22"/>
                <w:color w:val="auto"/>
              </w:rPr>
              <w:t>32.1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00" w:type="dxa"/>
            <w:vAlign w:val="bottom"/>
            <w:gridSpan w:val="6"/>
          </w:tcPr>
          <w:p>
            <w:pPr>
              <w:spacing w:after="0" w:line="223" w:lineRule="exact"/>
              <w:rPr>
                <w:rFonts w:ascii="Arial" w:cs="Arial" w:eastAsia="Arial" w:hAnsi="Arial"/>
                <w:sz w:val="22"/>
                <w:szCs w:val="22"/>
                <w:color w:val="0000EE"/>
              </w:rPr>
            </w:pPr>
            <w:hyperlink w:anchor="page35">
              <w:r>
                <w:rPr>
                  <w:rFonts w:ascii="Arial" w:cs="Arial" w:eastAsia="Arial" w:hAnsi="Arial"/>
                  <w:sz w:val="22"/>
                  <w:szCs w:val="22"/>
                  <w:color w:val="0000EE"/>
                </w:rPr>
                <w:t>and Exchange Act of 1934.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80" w:type="dxa"/>
            <w:vAlign w:val="bottom"/>
            <w:tcBorders>
              <w:bottom w:val="single" w:sz="8" w:color="0000EE"/>
            </w:tcBorders>
            <w:gridSpan w:val="3"/>
          </w:tcPr>
          <w:p>
            <w:pPr>
              <w:spacing w:after="0" w:line="223" w:lineRule="exact"/>
              <w:rPr>
                <w:rFonts w:ascii="Arial" w:cs="Arial" w:eastAsia="Arial" w:hAnsi="Arial"/>
                <w:sz w:val="22"/>
                <w:szCs w:val="22"/>
                <w:color w:val="0000EE"/>
                <w:w w:val="90"/>
              </w:rPr>
            </w:pPr>
            <w:hyperlink w:anchor="page36">
              <w:r>
                <w:rPr>
                  <w:rFonts w:ascii="Arial" w:cs="Arial" w:eastAsia="Arial" w:hAnsi="Arial"/>
                  <w:sz w:val="22"/>
                  <w:szCs w:val="22"/>
                  <w:color w:val="0000EE"/>
                  <w:w w:val="90"/>
                </w:rPr>
                <w:t>Certification of Chief Executive Officer, pursuant to 18 U.S.C. Section 1350.</w:t>
              </w:r>
            </w:hyperlink>
          </w:p>
        </w:tc>
        <w:tc>
          <w:tcPr>
            <w:tcW w:w="12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ind w:left="100"/>
              <w:spacing w:after="0" w:line="223" w:lineRule="exact"/>
              <w:rPr>
                <w:sz w:val="20"/>
                <w:szCs w:val="20"/>
                <w:color w:val="auto"/>
              </w:rPr>
            </w:pPr>
            <w:r>
              <w:rPr>
                <w:rFonts w:ascii="Arial" w:cs="Arial" w:eastAsia="Arial" w:hAnsi="Arial"/>
                <w:sz w:val="22"/>
                <w:szCs w:val="22"/>
                <w:color w:val="auto"/>
              </w:rPr>
              <w:t>32.2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20" w:type="dxa"/>
            <w:vAlign w:val="bottom"/>
            <w:tcBorders>
              <w:bottom w:val="single" w:sz="8" w:color="0000EE"/>
            </w:tcBorders>
            <w:gridSpan w:val="2"/>
          </w:tcPr>
          <w:p>
            <w:pPr>
              <w:spacing w:after="0" w:line="223" w:lineRule="exact"/>
              <w:rPr>
                <w:rFonts w:ascii="Arial" w:cs="Arial" w:eastAsia="Arial" w:hAnsi="Arial"/>
                <w:sz w:val="22"/>
                <w:szCs w:val="22"/>
                <w:color w:val="0000EE"/>
                <w:w w:val="90"/>
              </w:rPr>
            </w:pPr>
            <w:hyperlink w:anchor="page37">
              <w:r>
                <w:rPr>
                  <w:rFonts w:ascii="Arial" w:cs="Arial" w:eastAsia="Arial" w:hAnsi="Arial"/>
                  <w:sz w:val="22"/>
                  <w:szCs w:val="22"/>
                  <w:color w:val="0000EE"/>
                  <w:w w:val="90"/>
                </w:rPr>
                <w:t>Certification of Chief Financial Officer, pursuant to 18 U.S.C. Section 1350.</w:t>
              </w:r>
            </w:hyperlink>
          </w:p>
        </w:tc>
        <w:tc>
          <w:tcPr>
            <w:tcW w:w="12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860" w:type="dxa"/>
            <w:vAlign w:val="bottom"/>
            <w:gridSpan w:val="2"/>
          </w:tcPr>
          <w:p>
            <w:pPr>
              <w:ind w:left="100"/>
              <w:spacing w:after="0" w:line="242" w:lineRule="exact"/>
              <w:rPr>
                <w:sz w:val="20"/>
                <w:szCs w:val="20"/>
                <w:color w:val="auto"/>
              </w:rPr>
            </w:pPr>
            <w:r>
              <w:rPr>
                <w:rFonts w:ascii="Arial" w:cs="Arial" w:eastAsia="Arial" w:hAnsi="Arial"/>
                <w:sz w:val="22"/>
                <w:szCs w:val="22"/>
                <w:color w:val="auto"/>
              </w:rPr>
              <w:t>101.INS</w:t>
            </w:r>
          </w:p>
        </w:tc>
        <w:tc>
          <w:tcPr>
            <w:tcW w:w="100" w:type="dxa"/>
            <w:vAlign w:val="bottom"/>
          </w:tcPr>
          <w:p>
            <w:pPr>
              <w:spacing w:after="0"/>
              <w:rPr>
                <w:sz w:val="21"/>
                <w:szCs w:val="21"/>
                <w:color w:val="auto"/>
              </w:rPr>
            </w:pPr>
          </w:p>
        </w:tc>
        <w:tc>
          <w:tcPr>
            <w:tcW w:w="7900" w:type="dxa"/>
            <w:vAlign w:val="bottom"/>
            <w:gridSpan w:val="6"/>
          </w:tcPr>
          <w:p>
            <w:pPr>
              <w:spacing w:after="0" w:line="242" w:lineRule="exact"/>
              <w:rPr>
                <w:sz w:val="20"/>
                <w:szCs w:val="20"/>
                <w:color w:val="auto"/>
              </w:rPr>
            </w:pPr>
            <w:r>
              <w:rPr>
                <w:rFonts w:ascii="Arial" w:cs="Arial" w:eastAsia="Arial" w:hAnsi="Arial"/>
                <w:sz w:val="22"/>
                <w:szCs w:val="22"/>
                <w:color w:val="auto"/>
              </w:rPr>
              <w:t>XBRL Instance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101.SCH</w:t>
            </w:r>
          </w:p>
        </w:tc>
        <w:tc>
          <w:tcPr>
            <w:tcW w:w="100" w:type="dxa"/>
            <w:vAlign w:val="bottom"/>
          </w:tcPr>
          <w:p>
            <w:pPr>
              <w:spacing w:after="0"/>
              <w:rPr>
                <w:sz w:val="21"/>
                <w:szCs w:val="21"/>
                <w:color w:val="auto"/>
              </w:rPr>
            </w:pPr>
          </w:p>
        </w:tc>
        <w:tc>
          <w:tcPr>
            <w:tcW w:w="7900" w:type="dxa"/>
            <w:vAlign w:val="bottom"/>
            <w:gridSpan w:val="6"/>
          </w:tcPr>
          <w:p>
            <w:pPr>
              <w:spacing w:after="0" w:line="243" w:lineRule="exact"/>
              <w:rPr>
                <w:sz w:val="20"/>
                <w:szCs w:val="20"/>
                <w:color w:val="auto"/>
              </w:rPr>
            </w:pPr>
            <w:r>
              <w:rPr>
                <w:rFonts w:ascii="Arial" w:cs="Arial" w:eastAsia="Arial" w:hAnsi="Arial"/>
                <w:sz w:val="22"/>
                <w:szCs w:val="22"/>
                <w:color w:val="auto"/>
              </w:rPr>
              <w:t>XBRL Taxonomy Extension Schema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101.CAL</w:t>
            </w:r>
          </w:p>
        </w:tc>
        <w:tc>
          <w:tcPr>
            <w:tcW w:w="100" w:type="dxa"/>
            <w:vAlign w:val="bottom"/>
          </w:tcPr>
          <w:p>
            <w:pPr>
              <w:spacing w:after="0"/>
              <w:rPr>
                <w:sz w:val="21"/>
                <w:szCs w:val="21"/>
                <w:color w:val="auto"/>
              </w:rPr>
            </w:pPr>
          </w:p>
        </w:tc>
        <w:tc>
          <w:tcPr>
            <w:tcW w:w="7900" w:type="dxa"/>
            <w:vAlign w:val="bottom"/>
            <w:gridSpan w:val="6"/>
          </w:tcPr>
          <w:p>
            <w:pPr>
              <w:spacing w:after="0" w:line="243" w:lineRule="exact"/>
              <w:rPr>
                <w:sz w:val="20"/>
                <w:szCs w:val="20"/>
                <w:color w:val="auto"/>
              </w:rPr>
            </w:pPr>
            <w:r>
              <w:rPr>
                <w:rFonts w:ascii="Arial" w:cs="Arial" w:eastAsia="Arial" w:hAnsi="Arial"/>
                <w:sz w:val="22"/>
                <w:szCs w:val="22"/>
                <w:color w:val="auto"/>
              </w:rPr>
              <w:t>XBRL Taxonomy Extension Calculation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101.DEF</w:t>
            </w:r>
          </w:p>
        </w:tc>
        <w:tc>
          <w:tcPr>
            <w:tcW w:w="100" w:type="dxa"/>
            <w:vAlign w:val="bottom"/>
          </w:tcPr>
          <w:p>
            <w:pPr>
              <w:spacing w:after="0"/>
              <w:rPr>
                <w:sz w:val="21"/>
                <w:szCs w:val="21"/>
                <w:color w:val="auto"/>
              </w:rPr>
            </w:pPr>
          </w:p>
        </w:tc>
        <w:tc>
          <w:tcPr>
            <w:tcW w:w="7900" w:type="dxa"/>
            <w:vAlign w:val="bottom"/>
            <w:gridSpan w:val="6"/>
          </w:tcPr>
          <w:p>
            <w:pPr>
              <w:spacing w:after="0" w:line="243" w:lineRule="exact"/>
              <w:rPr>
                <w:sz w:val="20"/>
                <w:szCs w:val="20"/>
                <w:color w:val="auto"/>
              </w:rPr>
            </w:pPr>
            <w:r>
              <w:rPr>
                <w:rFonts w:ascii="Arial" w:cs="Arial" w:eastAsia="Arial" w:hAnsi="Arial"/>
                <w:sz w:val="22"/>
                <w:szCs w:val="22"/>
                <w:color w:val="auto"/>
              </w:rPr>
              <w:t>XBRL Taxonomy Extension Definition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ind w:left="100"/>
              <w:spacing w:after="0" w:line="243" w:lineRule="exact"/>
              <w:rPr>
                <w:sz w:val="20"/>
                <w:szCs w:val="20"/>
                <w:color w:val="auto"/>
              </w:rPr>
            </w:pPr>
            <w:r>
              <w:rPr>
                <w:rFonts w:ascii="Arial" w:cs="Arial" w:eastAsia="Arial" w:hAnsi="Arial"/>
                <w:sz w:val="22"/>
                <w:szCs w:val="22"/>
                <w:color w:val="auto"/>
              </w:rPr>
              <w:t>101.LAB</w:t>
            </w:r>
          </w:p>
        </w:tc>
        <w:tc>
          <w:tcPr>
            <w:tcW w:w="100" w:type="dxa"/>
            <w:vAlign w:val="bottom"/>
          </w:tcPr>
          <w:p>
            <w:pPr>
              <w:spacing w:after="0"/>
              <w:rPr>
                <w:sz w:val="21"/>
                <w:szCs w:val="21"/>
                <w:color w:val="auto"/>
              </w:rPr>
            </w:pPr>
          </w:p>
        </w:tc>
        <w:tc>
          <w:tcPr>
            <w:tcW w:w="7900" w:type="dxa"/>
            <w:vAlign w:val="bottom"/>
            <w:gridSpan w:val="6"/>
          </w:tcPr>
          <w:p>
            <w:pPr>
              <w:spacing w:after="0" w:line="243" w:lineRule="exact"/>
              <w:rPr>
                <w:sz w:val="20"/>
                <w:szCs w:val="20"/>
                <w:color w:val="auto"/>
              </w:rPr>
            </w:pPr>
            <w:r>
              <w:rPr>
                <w:rFonts w:ascii="Arial" w:cs="Arial" w:eastAsia="Arial" w:hAnsi="Arial"/>
                <w:sz w:val="22"/>
                <w:szCs w:val="22"/>
                <w:color w:val="auto"/>
              </w:rPr>
              <w:t>XBRL Taxonomy Extension Label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860" w:type="dxa"/>
            <w:vAlign w:val="bottom"/>
            <w:gridSpan w:val="2"/>
          </w:tcPr>
          <w:p>
            <w:pPr>
              <w:ind w:left="100"/>
              <w:spacing w:after="0"/>
              <w:rPr>
                <w:sz w:val="20"/>
                <w:szCs w:val="20"/>
                <w:color w:val="auto"/>
              </w:rPr>
            </w:pPr>
            <w:r>
              <w:rPr>
                <w:rFonts w:ascii="Arial" w:cs="Arial" w:eastAsia="Arial" w:hAnsi="Arial"/>
                <w:sz w:val="22"/>
                <w:szCs w:val="22"/>
                <w:color w:val="auto"/>
              </w:rPr>
              <w:t>101.PRES</w:t>
            </w:r>
          </w:p>
        </w:tc>
        <w:tc>
          <w:tcPr>
            <w:tcW w:w="100" w:type="dxa"/>
            <w:vAlign w:val="bottom"/>
          </w:tcPr>
          <w:p>
            <w:pPr>
              <w:spacing w:after="0"/>
              <w:rPr>
                <w:sz w:val="23"/>
                <w:szCs w:val="23"/>
                <w:color w:val="auto"/>
              </w:rPr>
            </w:pPr>
          </w:p>
        </w:tc>
        <w:tc>
          <w:tcPr>
            <w:tcW w:w="7900" w:type="dxa"/>
            <w:vAlign w:val="bottom"/>
            <w:gridSpan w:val="6"/>
          </w:tcPr>
          <w:p>
            <w:pPr>
              <w:spacing w:after="0"/>
              <w:rPr>
                <w:sz w:val="20"/>
                <w:szCs w:val="20"/>
                <w:color w:val="auto"/>
              </w:rPr>
            </w:pPr>
            <w:r>
              <w:rPr>
                <w:rFonts w:ascii="Arial" w:cs="Arial" w:eastAsia="Arial" w:hAnsi="Arial"/>
                <w:sz w:val="22"/>
                <w:szCs w:val="22"/>
                <w:color w:val="auto"/>
              </w:rPr>
              <w:t>XBRL Taxonomy Extension Presentation Linkbase Document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1"/>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20" w:type="dxa"/>
            <w:vAlign w:val="bottom"/>
            <w:gridSpan w:val="3"/>
          </w:tcPr>
          <w:p>
            <w:pPr>
              <w:jc w:val="right"/>
              <w:ind w:right="3560"/>
              <w:spacing w:after="0"/>
              <w:rPr>
                <w:sz w:val="20"/>
                <w:szCs w:val="20"/>
                <w:color w:val="auto"/>
              </w:rPr>
            </w:pPr>
            <w:r>
              <w:rPr>
                <w:rFonts w:ascii="Arial" w:cs="Arial" w:eastAsia="Arial" w:hAnsi="Arial"/>
                <w:sz w:val="22"/>
                <w:szCs w:val="22"/>
                <w:color w:val="auto"/>
              </w:rPr>
              <w:t>31</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4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4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360" w:type="dxa"/>
            <w:vAlign w:val="bottom"/>
            <w:tcBorders>
              <w:bottom w:val="single" w:sz="8" w:color="EEEEEE"/>
            </w:tcBorders>
          </w:tcPr>
          <w:p>
            <w:pPr>
              <w:spacing w:after="0" w:line="20" w:lineRule="exact"/>
              <w:rPr>
                <w:sz w:val="1"/>
                <w:szCs w:val="1"/>
                <w:color w:val="auto"/>
              </w:rPr>
            </w:pPr>
          </w:p>
        </w:tc>
        <w:tc>
          <w:tcPr>
            <w:tcW w:w="42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6264275</wp:posOffset>
            </wp:positionH>
            <wp:positionV relativeFrom="paragraph">
              <wp:posOffset>-38100</wp:posOffset>
            </wp:positionV>
            <wp:extent cx="3429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900"/>
          </w:cols>
          <w:pgMar w:left="1140" w:top="118" w:right="85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SIGNATURES</w:t>
      </w:r>
    </w:p>
    <w:p>
      <w:pPr>
        <w:spacing w:after="0" w:line="112" w:lineRule="exact"/>
        <w:rPr>
          <w:sz w:val="20"/>
          <w:szCs w:val="20"/>
          <w:color w:val="auto"/>
        </w:rPr>
      </w:pPr>
    </w:p>
    <w:p>
      <w:pPr>
        <w:spacing w:after="0" w:line="207"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executed on its behalf by the undersigned thereunto duly authorized.</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May 9, 2018</w:t>
      </w:r>
    </w:p>
    <w:p>
      <w:pPr>
        <w:spacing w:after="0" w:line="2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Aqua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-3175</wp:posOffset>
            </wp:positionV>
            <wp:extent cx="2735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1"/>
          <w:szCs w:val="21"/>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14605</wp:posOffset>
            </wp:positionV>
            <wp:extent cx="2735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Christopher H. Franklin</w:t>
      </w:r>
    </w:p>
    <w:p>
      <w:pPr>
        <w:ind w:left="5680"/>
        <w:spacing w:after="0" w:line="230" w:lineRule="auto"/>
        <w:rPr>
          <w:sz w:val="20"/>
          <w:szCs w:val="20"/>
          <w:color w:val="auto"/>
        </w:rPr>
      </w:pPr>
      <w:r>
        <w:rPr>
          <w:rFonts w:ascii="Arial" w:cs="Arial" w:eastAsia="Arial" w:hAnsi="Arial"/>
          <w:sz w:val="22"/>
          <w:szCs w:val="22"/>
          <w:color w:val="auto"/>
        </w:rPr>
        <w:t>Chairman, President and</w:t>
      </w:r>
    </w:p>
    <w:p>
      <w:pPr>
        <w:spacing w:after="0" w:line="1"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1"/>
          <w:szCs w:val="21"/>
          <w:color w:val="auto"/>
        </w:rPr>
        <w:t>David P. Smeltzer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14605</wp:posOffset>
            </wp:positionV>
            <wp:extent cx="2735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David P. Smeltzer</w:t>
      </w:r>
    </w:p>
    <w:p>
      <w:pPr>
        <w:ind w:left="5680"/>
        <w:spacing w:after="0" w:line="230" w:lineRule="auto"/>
        <w:rPr>
          <w:sz w:val="20"/>
          <w:szCs w:val="20"/>
          <w:color w:val="auto"/>
        </w:rPr>
      </w:pPr>
      <w:r>
        <w:rPr>
          <w:rFonts w:ascii="Arial" w:cs="Arial" w:eastAsia="Arial" w:hAnsi="Arial"/>
          <w:sz w:val="22"/>
          <w:szCs w:val="22"/>
          <w:color w:val="auto"/>
        </w:rPr>
        <w:t>Executive Vice President and</w:t>
      </w:r>
    </w:p>
    <w:p>
      <w:pPr>
        <w:spacing w:after="0" w:line="1"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Chief Financial Officer</w:t>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630301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03010" cy="51435"/>
                    </a:xfrm>
                    <a:prstGeom prst="rect">
                      <a:avLst/>
                    </a:prstGeom>
                    <a:noFill/>
                  </pic:spPr>
                </pic:pic>
              </a:graphicData>
            </a:graphic>
          </wp:anchor>
        </w:drawing>
      </w:r>
    </w:p>
    <w:p>
      <w:pPr>
        <w:sectPr>
          <w:pgSz w:w="11900" w:h="16838" w:orient="portrait"/>
          <w:cols w:equalWidth="0" w:num="1">
            <w:col w:w="9760"/>
          </w:cols>
          <w:pgMar w:left="1140" w:top="118" w:right="999" w:bottom="1440" w:gutter="0" w:footer="0" w:header="0"/>
        </w:sectPr>
      </w:pPr>
    </w:p>
    <w:bookmarkStart w:id="33" w:name="page34"/>
    <w:bookmarkEnd w:id="33"/>
    <w:p>
      <w:pPr>
        <w:jc w:val="right"/>
        <w:spacing w:after="0"/>
        <w:rPr>
          <w:sz w:val="20"/>
          <w:szCs w:val="20"/>
          <w:color w:val="auto"/>
        </w:rPr>
      </w:pPr>
      <w:r>
        <w:rPr>
          <w:rFonts w:ascii="Arial" w:cs="Arial" w:eastAsia="Arial" w:hAnsi="Arial"/>
          <w:sz w:val="20"/>
          <w:szCs w:val="20"/>
          <w:color w:val="auto"/>
        </w:rPr>
        <w:t>Exhibit 31.1</w:t>
      </w:r>
    </w:p>
    <w:p>
      <w:pPr>
        <w:spacing w:after="0" w:line="122" w:lineRule="exact"/>
        <w:rPr>
          <w:sz w:val="20"/>
          <w:szCs w:val="20"/>
          <w:color w:val="auto"/>
        </w:rPr>
      </w:pPr>
    </w:p>
    <w:p>
      <w:pPr>
        <w:ind w:left="204"/>
        <w:spacing w:after="0"/>
        <w:rPr>
          <w:sz w:val="20"/>
          <w:szCs w:val="20"/>
          <w:color w:val="auto"/>
        </w:rPr>
      </w:pPr>
      <w:r>
        <w:rPr>
          <w:rFonts w:ascii="Arial" w:cs="Arial" w:eastAsia="Arial" w:hAnsi="Arial"/>
          <w:sz w:val="19"/>
          <w:szCs w:val="19"/>
          <w:color w:val="auto"/>
        </w:rPr>
        <w:t>CERTIFICATION OF CHIEF EXECUTIVE OFFICER, PURSUANT TO RULE 13A-14(A) UNDER THE SECURITIES</w:t>
      </w:r>
    </w:p>
    <w:p>
      <w:pPr>
        <w:jc w:val="center"/>
        <w:ind w:right="-3"/>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Christopher H. Franklin, certify that:</w:t>
      </w:r>
    </w:p>
    <w:p>
      <w:pPr>
        <w:spacing w:after="0" w:line="123" w:lineRule="exact"/>
        <w:rPr>
          <w:sz w:val="20"/>
          <w:szCs w:val="20"/>
          <w:color w:val="auto"/>
        </w:rPr>
      </w:pPr>
    </w:p>
    <w:p>
      <w:pPr>
        <w:ind w:left="324" w:hanging="324"/>
        <w:spacing w:after="0"/>
        <w:tabs>
          <w:tab w:leader="none" w:pos="324" w:val="left"/>
        </w:tabs>
        <w:numPr>
          <w:ilvl w:val="0"/>
          <w:numId w:val="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Aqua America, Inc.;</w:t>
      </w:r>
    </w:p>
    <w:p>
      <w:pPr>
        <w:ind w:left="324" w:right="20" w:hanging="324"/>
        <w:spacing w:after="0" w:line="197" w:lineRule="auto"/>
        <w:tabs>
          <w:tab w:leader="none" w:pos="324" w:val="left"/>
        </w:tabs>
        <w:numPr>
          <w:ilvl w:val="0"/>
          <w:numId w:val="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40" w:hanging="324"/>
        <w:spacing w:after="0" w:line="197" w:lineRule="auto"/>
        <w:tabs>
          <w:tab w:leader="none" w:pos="324" w:val="left"/>
        </w:tabs>
        <w:numPr>
          <w:ilvl w:val="0"/>
          <w:numId w:val="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240" w:hanging="324"/>
        <w:spacing w:after="0" w:line="207" w:lineRule="auto"/>
        <w:tabs>
          <w:tab w:leader="none" w:pos="324"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140" w:hanging="320"/>
        <w:spacing w:after="0" w:line="197" w:lineRule="auto"/>
        <w:tabs>
          <w:tab w:leader="none" w:pos="644" w:val="left"/>
        </w:tabs>
        <w:numPr>
          <w:ilvl w:val="1"/>
          <w:numId w:val="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20"/>
          <w:szCs w:val="20"/>
          <w:color w:val="auto"/>
        </w:rPr>
      </w:pPr>
    </w:p>
    <w:p>
      <w:pPr>
        <w:ind w:left="644" w:right="40" w:hanging="320"/>
        <w:spacing w:after="0" w:line="246" w:lineRule="auto"/>
        <w:tabs>
          <w:tab w:leader="none" w:pos="644"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644" w:right="240" w:hanging="320"/>
        <w:spacing w:after="0" w:line="197" w:lineRule="auto"/>
        <w:tabs>
          <w:tab w:leader="none" w:pos="644" w:val="left"/>
        </w:tabs>
        <w:numPr>
          <w:ilvl w:val="1"/>
          <w:numId w:val="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20" w:hanging="320"/>
        <w:spacing w:after="0" w:line="197" w:lineRule="auto"/>
        <w:tabs>
          <w:tab w:leader="none" w:pos="644" w:val="left"/>
        </w:tabs>
        <w:numPr>
          <w:ilvl w:val="1"/>
          <w:numId w:val="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20"/>
          <w:szCs w:val="20"/>
          <w:color w:val="auto"/>
        </w:rPr>
      </w:pPr>
    </w:p>
    <w:p>
      <w:pPr>
        <w:ind w:left="324" w:right="180" w:hanging="324"/>
        <w:spacing w:after="0" w:line="197" w:lineRule="auto"/>
        <w:tabs>
          <w:tab w:leader="none" w:pos="324"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440" w:hanging="320"/>
        <w:spacing w:after="0" w:line="197" w:lineRule="auto"/>
        <w:tabs>
          <w:tab w:leader="none" w:pos="644" w:val="left"/>
        </w:tabs>
        <w:numPr>
          <w:ilvl w:val="1"/>
          <w:numId w:val="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220" w:hanging="320"/>
        <w:spacing w:after="0" w:line="220" w:lineRule="auto"/>
        <w:tabs>
          <w:tab w:leader="none" w:pos="644" w:val="left"/>
        </w:tabs>
        <w:numPr>
          <w:ilvl w:val="1"/>
          <w:numId w:val="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30873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May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46557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81" w:right="939" w:bottom="1440" w:gutter="0" w:footer="0" w:header="0"/>
        </w:sectPr>
      </w:pPr>
    </w:p>
    <w:bookmarkStart w:id="34" w:name="page35"/>
    <w:bookmarkEnd w:id="34"/>
    <w:p>
      <w:pPr>
        <w:jc w:val="right"/>
        <w:spacing w:after="0"/>
        <w:rPr>
          <w:sz w:val="20"/>
          <w:szCs w:val="20"/>
          <w:color w:val="auto"/>
        </w:rPr>
      </w:pPr>
      <w:r>
        <w:rPr>
          <w:rFonts w:ascii="Arial" w:cs="Arial" w:eastAsia="Arial" w:hAnsi="Arial"/>
          <w:sz w:val="20"/>
          <w:szCs w:val="20"/>
          <w:color w:val="auto"/>
        </w:rPr>
        <w:t>Exhibit 31.2</w:t>
      </w:r>
    </w:p>
    <w:p>
      <w:pPr>
        <w:spacing w:after="0" w:line="136" w:lineRule="exact"/>
        <w:rPr>
          <w:sz w:val="20"/>
          <w:szCs w:val="20"/>
          <w:color w:val="auto"/>
        </w:rPr>
      </w:pPr>
    </w:p>
    <w:p>
      <w:pPr>
        <w:ind w:left="224"/>
        <w:spacing w:after="0"/>
        <w:rPr>
          <w:sz w:val="20"/>
          <w:szCs w:val="20"/>
          <w:color w:val="auto"/>
        </w:rPr>
      </w:pPr>
      <w:r>
        <w:rPr>
          <w:rFonts w:ascii="Arial" w:cs="Arial" w:eastAsia="Arial" w:hAnsi="Arial"/>
          <w:sz w:val="19"/>
          <w:szCs w:val="19"/>
          <w:color w:val="auto"/>
        </w:rPr>
        <w:t>CERTIFICATION OF CHIEF FINANCIAL OFFICER, PURSUANT TO RULE 13A-14(A) UNDER THE SECURITIES</w:t>
      </w:r>
    </w:p>
    <w:p>
      <w:pPr>
        <w:jc w:val="center"/>
        <w:ind w:right="96"/>
        <w:spacing w:after="0"/>
        <w:rPr>
          <w:sz w:val="20"/>
          <w:szCs w:val="20"/>
          <w:color w:val="auto"/>
        </w:rPr>
      </w:pPr>
      <w:r>
        <w:rPr>
          <w:rFonts w:ascii="Arial" w:cs="Arial" w:eastAsia="Arial" w:hAnsi="Arial"/>
          <w:sz w:val="20"/>
          <w:szCs w:val="20"/>
          <w:color w:val="auto"/>
        </w:rPr>
        <w:t>AND EXCHANGE ACT OF 1934</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20"/>
          <w:szCs w:val="20"/>
          <w:color w:val="auto"/>
        </w:rPr>
        <w:t>I, David P. Smeltzer, certify that:</w:t>
      </w:r>
    </w:p>
    <w:p>
      <w:pPr>
        <w:spacing w:after="0" w:line="123" w:lineRule="exact"/>
        <w:rPr>
          <w:sz w:val="20"/>
          <w:szCs w:val="20"/>
          <w:color w:val="auto"/>
        </w:rPr>
      </w:pPr>
    </w:p>
    <w:p>
      <w:pPr>
        <w:ind w:left="324" w:hanging="324"/>
        <w:spacing w:after="0"/>
        <w:tabs>
          <w:tab w:leader="none" w:pos="324" w:val="left"/>
        </w:tabs>
        <w:numPr>
          <w:ilvl w:val="0"/>
          <w:numId w:val="1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Aqua America, Inc.;</w:t>
      </w:r>
    </w:p>
    <w:p>
      <w:pPr>
        <w:ind w:left="324" w:right="80" w:hanging="324"/>
        <w:spacing w:after="0" w:line="197" w:lineRule="auto"/>
        <w:tabs>
          <w:tab w:leader="none" w:pos="324" w:val="left"/>
        </w:tabs>
        <w:numPr>
          <w:ilvl w:val="0"/>
          <w:numId w:val="1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4" w:right="100" w:hanging="324"/>
        <w:spacing w:after="0" w:line="197" w:lineRule="auto"/>
        <w:tabs>
          <w:tab w:leader="none" w:pos="324" w:val="left"/>
        </w:tabs>
        <w:numPr>
          <w:ilvl w:val="0"/>
          <w:numId w:val="1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4" w:right="300" w:hanging="324"/>
        <w:spacing w:after="0" w:line="207" w:lineRule="auto"/>
        <w:tabs>
          <w:tab w:leader="none" w:pos="324"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200" w:hanging="320"/>
        <w:spacing w:after="0" w:line="197" w:lineRule="auto"/>
        <w:tabs>
          <w:tab w:leader="none" w:pos="644" w:val="left"/>
        </w:tabs>
        <w:numPr>
          <w:ilvl w:val="1"/>
          <w:numId w:val="1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20"/>
          <w:szCs w:val="20"/>
          <w:color w:val="auto"/>
        </w:rPr>
      </w:pPr>
    </w:p>
    <w:p>
      <w:pPr>
        <w:ind w:left="644" w:right="100" w:hanging="320"/>
        <w:spacing w:after="0" w:line="246" w:lineRule="auto"/>
        <w:tabs>
          <w:tab w:leader="none" w:pos="644"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644" w:right="300" w:hanging="320"/>
        <w:spacing w:after="0" w:line="197" w:lineRule="auto"/>
        <w:tabs>
          <w:tab w:leader="none" w:pos="644" w:val="left"/>
        </w:tabs>
        <w:numPr>
          <w:ilvl w:val="1"/>
          <w:numId w:val="1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4" w:right="80" w:hanging="320"/>
        <w:spacing w:after="0" w:line="197" w:lineRule="auto"/>
        <w:tabs>
          <w:tab w:leader="none" w:pos="644" w:val="left"/>
        </w:tabs>
        <w:numPr>
          <w:ilvl w:val="1"/>
          <w:numId w:val="1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20"/>
          <w:szCs w:val="20"/>
          <w:color w:val="auto"/>
        </w:rPr>
      </w:pPr>
    </w:p>
    <w:p>
      <w:pPr>
        <w:ind w:left="324" w:right="240" w:hanging="324"/>
        <w:spacing w:after="0" w:line="197" w:lineRule="auto"/>
        <w:tabs>
          <w:tab w:leader="none" w:pos="324"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4" w:right="500" w:hanging="320"/>
        <w:spacing w:after="0" w:line="197" w:lineRule="auto"/>
        <w:tabs>
          <w:tab w:leader="none" w:pos="644" w:val="left"/>
        </w:tabs>
        <w:numPr>
          <w:ilvl w:val="1"/>
          <w:numId w:val="1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4" w:right="280" w:hanging="320"/>
        <w:spacing w:after="0" w:line="220" w:lineRule="auto"/>
        <w:tabs>
          <w:tab w:leader="none" w:pos="644" w:val="left"/>
        </w:tabs>
        <w:numPr>
          <w:ilvl w:val="1"/>
          <w:numId w:val="1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David P. Smeltzer</w:t>
      </w:r>
    </w:p>
    <w:p>
      <w:pPr>
        <w:ind w:left="124"/>
        <w:spacing w:after="0" w:line="187" w:lineRule="auto"/>
        <w:rPr>
          <w:sz w:val="20"/>
          <w:szCs w:val="20"/>
          <w:color w:val="auto"/>
        </w:rPr>
      </w:pPr>
      <w:r>
        <w:rPr>
          <w:rFonts w:ascii="Arial" w:cs="Arial" w:eastAsia="Arial" w:hAnsi="Arial"/>
          <w:sz w:val="21"/>
          <w:szCs w:val="21"/>
          <w:color w:val="auto"/>
        </w:rPr>
        <w:t>David P. Smeltzer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310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May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46557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08" w:right="87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color w:val="auto"/>
        </w:rPr>
        <w:t>Exhibit 32.1</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EXECUTIVE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right="100"/>
        <w:spacing w:after="0" w:line="208" w:lineRule="auto"/>
        <w:rPr>
          <w:sz w:val="20"/>
          <w:szCs w:val="20"/>
          <w:color w:val="auto"/>
        </w:rPr>
      </w:pPr>
      <w:r>
        <w:rPr>
          <w:rFonts w:ascii="Arial" w:cs="Arial" w:eastAsia="Arial" w:hAnsi="Arial"/>
          <w:sz w:val="19"/>
          <w:szCs w:val="19"/>
          <w:color w:val="auto"/>
        </w:rPr>
        <w:t>In connection with the Quarterly Report on Form 10-Q for the period ended March 31, 2018 of Aqua America, Inc. (the “Company”) as filed with the Securities and Exchange Commission on the date hereof (the “Report”), I, Christopher H. Franklin, Chief Executive Officer of the Company, certify, pursuant to 18 U.S.C. Section 1350, as adopted pursuant to Section 906 of the Sarbanes-Oxley Act of 2002, that, to my knowledge:</w:t>
      </w:r>
    </w:p>
    <w:p>
      <w:pPr>
        <w:spacing w:after="0" w:line="215" w:lineRule="exact"/>
        <w:rPr>
          <w:sz w:val="20"/>
          <w:szCs w:val="20"/>
          <w:color w:val="auto"/>
        </w:rPr>
      </w:pPr>
    </w:p>
    <w:p>
      <w:pPr>
        <w:ind w:left="324" w:right="400" w:hanging="324"/>
        <w:spacing w:after="0" w:line="207" w:lineRule="auto"/>
        <w:tabs>
          <w:tab w:leader="none" w:pos="324"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 and</w:t>
      </w:r>
    </w:p>
    <w:p>
      <w:pPr>
        <w:spacing w:after="0" w:line="49" w:lineRule="exact"/>
        <w:rPr>
          <w:rFonts w:ascii="Arial" w:cs="Arial" w:eastAsia="Arial" w:hAnsi="Arial"/>
          <w:sz w:val="22"/>
          <w:szCs w:val="22"/>
          <w:color w:val="auto"/>
        </w:rPr>
      </w:pPr>
    </w:p>
    <w:p>
      <w:pPr>
        <w:ind w:left="324" w:right="500" w:hanging="324"/>
        <w:spacing w:after="0" w:line="207" w:lineRule="auto"/>
        <w:tabs>
          <w:tab w:leader="none" w:pos="324"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87" w:lineRule="auto"/>
        <w:rPr>
          <w:sz w:val="20"/>
          <w:szCs w:val="20"/>
          <w:color w:val="auto"/>
        </w:rPr>
      </w:pPr>
      <w:r>
        <w:rPr>
          <w:rFonts w:ascii="Arial" w:cs="Arial" w:eastAsia="Arial" w:hAnsi="Arial"/>
          <w:sz w:val="18"/>
          <w:szCs w:val="18"/>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29584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124"/>
        <w:spacing w:after="0" w:line="188"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May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46557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78" w:right="9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color w:val="auto"/>
        </w:rPr>
        <w:t>Exhibit 32.2</w:t>
      </w: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FINANCIAL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39" w:lineRule="exact"/>
        <w:rPr>
          <w:sz w:val="20"/>
          <w:szCs w:val="20"/>
          <w:color w:val="auto"/>
        </w:rPr>
      </w:pPr>
    </w:p>
    <w:p>
      <w:pPr>
        <w:ind w:left="4" w:right="80"/>
        <w:spacing w:after="0" w:line="208" w:lineRule="auto"/>
        <w:rPr>
          <w:sz w:val="20"/>
          <w:szCs w:val="20"/>
          <w:color w:val="auto"/>
        </w:rPr>
      </w:pPr>
      <w:r>
        <w:rPr>
          <w:rFonts w:ascii="Arial" w:cs="Arial" w:eastAsia="Arial" w:hAnsi="Arial"/>
          <w:sz w:val="19"/>
          <w:szCs w:val="19"/>
          <w:color w:val="auto"/>
        </w:rPr>
        <w:t>In connection with the Quarterly Report on Form 10-Q for the period ended March 31, 2018 of Aqua America, Inc. (the “Company”) as filed with the Securities and Exchange Commission on the date hereof (the “Report”), I, David P. Smeltzer, Chief Financial Officer of the Company, certify, pursuant to 18 U.S.C. Section 1350, as adopted pursuant to Section 906 of the Sarbanes-Oxley Act of 2002, that, to my knowledge:</w:t>
      </w:r>
    </w:p>
    <w:p>
      <w:pPr>
        <w:spacing w:after="0" w:line="215" w:lineRule="exact"/>
        <w:rPr>
          <w:sz w:val="20"/>
          <w:szCs w:val="20"/>
          <w:color w:val="auto"/>
        </w:rPr>
      </w:pPr>
    </w:p>
    <w:p>
      <w:pPr>
        <w:ind w:left="324" w:right="400" w:hanging="324"/>
        <w:spacing w:after="0" w:line="207" w:lineRule="auto"/>
        <w:tabs>
          <w:tab w:leader="none" w:pos="324"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 and</w:t>
      </w:r>
    </w:p>
    <w:p>
      <w:pPr>
        <w:spacing w:after="0" w:line="49" w:lineRule="exact"/>
        <w:rPr>
          <w:rFonts w:ascii="Arial" w:cs="Arial" w:eastAsia="Arial" w:hAnsi="Arial"/>
          <w:sz w:val="22"/>
          <w:szCs w:val="22"/>
          <w:color w:val="auto"/>
        </w:rPr>
      </w:pPr>
    </w:p>
    <w:p>
      <w:pPr>
        <w:ind w:left="324" w:right="500" w:hanging="324"/>
        <w:spacing w:after="0" w:line="207" w:lineRule="auto"/>
        <w:tabs>
          <w:tab w:leader="none" w:pos="324"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David P. Smeltzer</w:t>
      </w:r>
    </w:p>
    <w:p>
      <w:pPr>
        <w:ind w:left="124"/>
        <w:spacing w:after="0" w:line="187" w:lineRule="auto"/>
        <w:rPr>
          <w:sz w:val="20"/>
          <w:szCs w:val="20"/>
          <w:color w:val="auto"/>
        </w:rPr>
      </w:pPr>
      <w:r>
        <w:rPr>
          <w:rFonts w:ascii="Arial" w:cs="Arial" w:eastAsia="Arial" w:hAnsi="Arial"/>
          <w:sz w:val="21"/>
          <w:szCs w:val="21"/>
          <w:color w:val="auto"/>
        </w:rPr>
        <w:t>David P. Smeltzer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3404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May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46557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sectPr>
      <w:pgSz w:w="11900" w:h="16838" w:orient="portrait"/>
      <w:cols w:equalWidth="0" w:num="1">
        <w:col w:w="10064"/>
      </w:cols>
      <w:pgMar w:left="896" w:top="78"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2019-12-28T22:27:32Z</dcterms:created>
  <dcterms:modified xsi:type="dcterms:W3CDTF">2019-12-28T22:27:32Z</dcterms:modified>
</cp:coreProperties>
</file>