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10-Q</w:t>
      </w:r>
    </w:p>
    <w:p>
      <w:pPr>
        <w:ind w:left="4"/>
        <w:spacing w:after="0" w:line="203" w:lineRule="auto"/>
        <w:rPr>
          <w:sz w:val="20"/>
          <w:szCs w:val="20"/>
          <w:color w:val="auto"/>
        </w:rPr>
      </w:pPr>
      <w:r>
        <w:rPr>
          <w:rFonts w:ascii="Times New Roman" w:cs="Times New Roman" w:eastAsia="Times New Roman" w:hAnsi="Times New Roman"/>
          <w:sz w:val="20"/>
          <w:szCs w:val="20"/>
          <w:color w:val="auto"/>
        </w:rPr>
        <w:t>(Mark One)</w:t>
      </w:r>
    </w:p>
    <w:p>
      <w:pPr>
        <w:spacing w:after="0" w:line="1"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QUARTERLY REPORT PURSUANT TO SECTION 13 or 15 (d) OF THE SECURITIES EXCHANGE ACT OF 1934.</w:t>
      </w:r>
    </w:p>
    <w:p>
      <w:pPr>
        <w:spacing w:after="0" w:line="6" w:lineRule="exact"/>
        <w:rPr>
          <w:rFonts w:ascii="MS PGothic" w:cs="MS PGothic" w:eastAsia="MS PGothic" w:hAnsi="MS PGothic"/>
          <w:sz w:val="20"/>
          <w:szCs w:val="20"/>
          <w:color w:val="auto"/>
          <w:highlight w:val="black"/>
        </w:rPr>
      </w:pPr>
    </w:p>
    <w:p>
      <w:pPr>
        <w:ind w:left="3244"/>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For the quarterly period ended June 30, 2017</w:t>
      </w:r>
    </w:p>
    <w:p>
      <w:pPr>
        <w:spacing w:after="0" w:line="99"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21" w:lineRule="exact"/>
        <w:rPr>
          <w:rFonts w:ascii="MS PGothic" w:cs="MS PGothic" w:eastAsia="MS PGothic" w:hAnsi="MS PGothic"/>
          <w:sz w:val="20"/>
          <w:szCs w:val="20"/>
          <w:color w:val="auto"/>
          <w:highlight w:val="black"/>
        </w:rPr>
      </w:pPr>
    </w:p>
    <w:p>
      <w:pPr>
        <w:ind w:left="2264"/>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For the transition period from_______________ to _______________</w:t>
      </w:r>
    </w:p>
    <w:p>
      <w:pPr>
        <w:spacing w:after="0" w:line="86"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20"/>
          <w:szCs w:val="20"/>
          <w:color w:val="auto"/>
        </w:rPr>
        <w:t>Commission File Number 1-6659</w:t>
      </w:r>
    </w:p>
    <w:p>
      <w:pPr>
        <w:spacing w:after="0" w:line="185"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20"/>
          <w:szCs w:val="20"/>
          <w:b w:val="1"/>
          <w:bCs w:val="1"/>
          <w:u w:val="single" w:color="auto"/>
          <w:color w:val="auto"/>
        </w:rPr>
        <w:t>AQUA AMERICA, INC.</w:t>
      </w:r>
    </w:p>
    <w:p>
      <w:pPr>
        <w:spacing w:after="0" w:line="26"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43" w:lineRule="exact"/>
        <w:rPr>
          <w:sz w:val="24"/>
          <w:szCs w:val="24"/>
          <w:color w:val="auto"/>
        </w:rPr>
      </w:pPr>
    </w:p>
    <w:tbl>
      <w:tblPr>
        <w:tblLayout w:type="fixed"/>
        <w:tblInd w:w="364"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Pennsylvania</w:t>
            </w:r>
          </w:p>
        </w:tc>
        <w:tc>
          <w:tcPr>
            <w:tcW w:w="26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23-1702594</w:t>
            </w:r>
          </w:p>
        </w:tc>
        <w:tc>
          <w:tcPr>
            <w:tcW w:w="2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5320" w:type="dxa"/>
            <w:vAlign w:val="bottom"/>
            <w:gridSpan w:val="4"/>
          </w:tcPr>
          <w:p>
            <w:pPr>
              <w:jc w:val="center"/>
              <w:ind w:right="110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2580" w:type="dxa"/>
            <w:vAlign w:val="bottom"/>
            <w:gridSpan w:val="5"/>
          </w:tcPr>
          <w:p>
            <w:pPr>
              <w:jc w:val="center"/>
              <w:ind w:left="1001"/>
              <w:spacing w:after="0" w:line="228"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58"/>
        </w:trPr>
        <w:tc>
          <w:tcPr>
            <w:tcW w:w="5320" w:type="dxa"/>
            <w:vAlign w:val="bottom"/>
            <w:gridSpan w:val="4"/>
          </w:tcPr>
          <w:p>
            <w:pPr>
              <w:jc w:val="center"/>
              <w:ind w:right="1100"/>
              <w:spacing w:after="0"/>
              <w:rPr>
                <w:sz w:val="20"/>
                <w:szCs w:val="20"/>
                <w:color w:val="auto"/>
              </w:rPr>
            </w:pPr>
            <w:r>
              <w:rPr>
                <w:rFonts w:ascii="Times New Roman" w:cs="Times New Roman" w:eastAsia="Times New Roman" w:hAnsi="Times New Roman"/>
                <w:sz w:val="20"/>
                <w:szCs w:val="20"/>
                <w:color w:val="auto"/>
                <w:w w:val="98"/>
              </w:rPr>
              <w:t>incorporation or organization)</w:t>
            </w:r>
          </w:p>
        </w:tc>
        <w:tc>
          <w:tcPr>
            <w:tcW w:w="2580" w:type="dxa"/>
            <w:vAlign w:val="bottom"/>
            <w:gridSpan w:val="5"/>
          </w:tcPr>
          <w:p>
            <w:pPr>
              <w:jc w:val="center"/>
              <w:ind w:left="1001"/>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413"/>
        </w:trPr>
        <w:tc>
          <w:tcPr>
            <w:tcW w:w="5320" w:type="dxa"/>
            <w:vAlign w:val="bottom"/>
            <w:gridSpan w:val="4"/>
          </w:tcPr>
          <w:p>
            <w:pPr>
              <w:jc w:val="center"/>
              <w:ind w:right="1120"/>
              <w:spacing w:after="0"/>
              <w:rPr>
                <w:sz w:val="20"/>
                <w:szCs w:val="20"/>
                <w:color w:val="auto"/>
              </w:rPr>
            </w:pPr>
            <w:r>
              <w:rPr>
                <w:rFonts w:ascii="Times New Roman" w:cs="Times New Roman" w:eastAsia="Times New Roman" w:hAnsi="Times New Roman"/>
                <w:sz w:val="20"/>
                <w:szCs w:val="20"/>
                <w:color w:val="auto"/>
                <w:w w:val="98"/>
              </w:rPr>
              <w:t>762 W. Lancaster Avenue, Bryn Mawr, Pennsylvania</w:t>
            </w:r>
          </w:p>
        </w:tc>
        <w:tc>
          <w:tcPr>
            <w:tcW w:w="258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rPr>
              <w:t>19010 -3489</w:t>
            </w:r>
          </w:p>
        </w:tc>
      </w:tr>
      <w:tr>
        <w:trPr>
          <w:trHeight w:val="256"/>
        </w:trPr>
        <w:tc>
          <w:tcPr>
            <w:tcW w:w="42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(Zip Code)</w:t>
            </w:r>
          </w:p>
        </w:tc>
        <w:tc>
          <w:tcPr>
            <w:tcW w:w="240" w:type="dxa"/>
            <w:vAlign w:val="bottom"/>
          </w:tcPr>
          <w:p>
            <w:pPr>
              <w:spacing w:after="0"/>
              <w:rPr>
                <w:sz w:val="22"/>
                <w:szCs w:val="22"/>
                <w:color w:val="auto"/>
              </w:rPr>
            </w:pPr>
          </w:p>
        </w:tc>
      </w:tr>
    </w:tbl>
    <w:p>
      <w:pPr>
        <w:spacing w:after="0" w:line="2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(610) 527-8000</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7"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20"/>
          <w:szCs w:val="20"/>
          <w:color w:val="auto"/>
        </w:rPr>
        <w:t>(Former Name, former address and former fiscal year, if changed since last report.)</w:t>
      </w:r>
    </w:p>
    <w:p>
      <w:pPr>
        <w:spacing w:after="0" w:line="229" w:lineRule="exact"/>
        <w:rPr>
          <w:sz w:val="24"/>
          <w:szCs w:val="24"/>
          <w:color w:val="auto"/>
        </w:rPr>
      </w:pPr>
    </w:p>
    <w:p>
      <w:pPr>
        <w:ind w:left="4" w:right="100"/>
        <w:spacing w:after="0" w:line="251"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color w:val="auto"/>
          <w:highlight w:val="black"/>
        </w:rPr>
        <w:t>☐</w:t>
      </w:r>
    </w:p>
    <w:p>
      <w:pPr>
        <w:spacing w:after="0" w:line="182" w:lineRule="exact"/>
        <w:rPr>
          <w:sz w:val="24"/>
          <w:szCs w:val="24"/>
          <w:color w:val="auto"/>
        </w:rPr>
      </w:pPr>
    </w:p>
    <w:p>
      <w:pPr>
        <w:jc w:val="both"/>
        <w:ind w:left="4"/>
        <w:spacing w:after="0" w:line="245"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color w:val="auto"/>
          <w:highlight w:val="black"/>
        </w:rPr>
        <w:t>☐</w:t>
      </w:r>
    </w:p>
    <w:p>
      <w:pPr>
        <w:spacing w:after="0" w:line="184" w:lineRule="exact"/>
        <w:rPr>
          <w:sz w:val="24"/>
          <w:szCs w:val="24"/>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30" w:lineRule="exact"/>
        <w:tabs>
          <w:tab w:leader="none" w:pos="6683" w:val="left"/>
        </w:tabs>
        <w:rPr>
          <w:sz w:val="20"/>
          <w:szCs w:val="20"/>
          <w:color w:val="auto"/>
        </w:rPr>
      </w:pPr>
      <w:r>
        <w:rPr>
          <w:rFonts w:ascii="Times New Roman" w:cs="Times New Roman" w:eastAsia="Times New Roman" w:hAnsi="Times New Roman"/>
          <w:sz w:val="20"/>
          <w:szCs w:val="20"/>
          <w:color w:val="auto"/>
        </w:rPr>
        <w:t xml:space="preserve">Large accelerated filer </w:t>
      </w: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color w:val="auto"/>
        </w:rPr>
        <w:t xml:space="preserve">Accelerated filer </w:t>
      </w:r>
      <w:r>
        <w:rPr>
          <w:rFonts w:ascii="MS PGothic" w:cs="MS PGothic" w:eastAsia="MS PGothic" w:hAnsi="MS PGothic"/>
          <w:sz w:val="19"/>
          <w:szCs w:val="19"/>
          <w:color w:val="auto"/>
          <w:highlight w:val="black"/>
        </w:rPr>
        <w:t>☐</w:t>
      </w:r>
    </w:p>
    <w:p>
      <w:pPr>
        <w:spacing w:after="0" w:line="33" w:lineRule="exact"/>
        <w:rPr>
          <w:sz w:val="24"/>
          <w:szCs w:val="24"/>
          <w:color w:val="auto"/>
        </w:rPr>
      </w:pPr>
    </w:p>
    <w:p>
      <w:pPr>
        <w:ind w:left="4"/>
        <w:spacing w:after="0" w:line="230" w:lineRule="exact"/>
        <w:tabs>
          <w:tab w:leader="none" w:pos="6683" w:val="left"/>
        </w:tabs>
        <w:rPr>
          <w:sz w:val="20"/>
          <w:szCs w:val="20"/>
          <w:color w:val="auto"/>
        </w:rPr>
      </w:pPr>
      <w:r>
        <w:rPr>
          <w:rFonts w:ascii="Times New Roman" w:cs="Times New Roman" w:eastAsia="Times New Roman" w:hAnsi="Times New Roman"/>
          <w:sz w:val="20"/>
          <w:szCs w:val="20"/>
          <w:color w:val="auto"/>
        </w:rPr>
        <w:t xml:space="preserve">Non-accelerated filer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color w:val="auto"/>
        </w:rPr>
        <w:t xml:space="preserve"> (do not check if a smaller reporting company)</w:t>
      </w:r>
      <w:r>
        <w:rPr>
          <w:sz w:val="20"/>
          <w:szCs w:val="20"/>
          <w:color w:val="auto"/>
        </w:rPr>
        <w:tab/>
      </w:r>
      <w:r>
        <w:rPr>
          <w:rFonts w:ascii="Times New Roman" w:cs="Times New Roman" w:eastAsia="Times New Roman" w:hAnsi="Times New Roman"/>
          <w:sz w:val="19"/>
          <w:szCs w:val="19"/>
          <w:color w:val="auto"/>
        </w:rPr>
        <w:t xml:space="preserve">Smaller reporting company </w:t>
      </w:r>
      <w:r>
        <w:rPr>
          <w:rFonts w:ascii="MS PGothic" w:cs="MS PGothic" w:eastAsia="MS PGothic" w:hAnsi="MS PGothic"/>
          <w:sz w:val="19"/>
          <w:szCs w:val="19"/>
          <w:color w:val="auto"/>
          <w:highlight w:val="black"/>
        </w:rPr>
        <w:t>☐</w:t>
      </w:r>
    </w:p>
    <w:p>
      <w:pPr>
        <w:spacing w:after="0" w:line="13" w:lineRule="exact"/>
        <w:rPr>
          <w:sz w:val="24"/>
          <w:szCs w:val="24"/>
          <w:color w:val="auto"/>
        </w:rPr>
      </w:pPr>
    </w:p>
    <w:p>
      <w:pPr>
        <w:ind w:left="4"/>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07" w:lineRule="exact"/>
        <w:rPr>
          <w:sz w:val="24"/>
          <w:szCs w:val="24"/>
          <w:color w:val="auto"/>
        </w:rPr>
      </w:pPr>
    </w:p>
    <w:p>
      <w:pPr>
        <w:ind w:left="4" w:right="220"/>
        <w:spacing w:after="0" w:line="251"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ectPr>
          <w:pgSz w:w="11900" w:h="16838" w:orient="portrait"/>
          <w:cols w:equalWidth="0" w:num="1">
            <w:col w:w="10104"/>
          </w:cols>
          <w:pgMar w:left="896" w:top="220" w:right="899" w:bottom="1440" w:gutter="0" w:footer="0" w:header="0"/>
        </w:sectPr>
      </w:pP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20"/>
          <w:szCs w:val="20"/>
          <w:color w:val="auto"/>
        </w:rPr>
        <w:t>Indicate  by  check</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mark</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whether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the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registrant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is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  shell</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company</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defined</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in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Rule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12b-2</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of</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the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Exchange</w:t>
      </w:r>
    </w:p>
    <w:p>
      <w:pPr>
        <w:spacing w:after="0" w:line="39" w:lineRule="exact"/>
        <w:rPr>
          <w:sz w:val="24"/>
          <w:szCs w:val="24"/>
          <w:color w:val="auto"/>
        </w:rPr>
      </w:pPr>
    </w:p>
    <w:p>
      <w:pPr>
        <w:sectPr>
          <w:pgSz w:w="11900" w:h="16838" w:orient="portrait"/>
          <w:cols w:equalWidth="0" w:num="16">
            <w:col w:w="1564" w:space="140"/>
            <w:col w:w="400" w:space="140"/>
            <w:col w:w="640" w:space="140"/>
            <w:col w:w="240" w:space="140"/>
            <w:col w:w="740" w:space="140"/>
            <w:col w:w="140" w:space="140"/>
            <w:col w:w="580" w:space="140"/>
            <w:col w:w="740" w:space="120"/>
            <w:col w:w="240" w:space="140"/>
            <w:col w:w="580" w:space="140"/>
            <w:col w:w="160" w:space="140"/>
            <w:col w:w="360" w:space="140"/>
            <w:col w:w="460" w:space="140"/>
            <w:col w:w="160" w:space="140"/>
            <w:col w:w="240" w:space="140"/>
            <w:col w:w="780"/>
          </w:cols>
          <w:pgMar w:left="896" w:top="220" w:right="899" w:bottom="1440" w:gutter="0" w:footer="0" w:header="0"/>
          <w:type w:val="continuous"/>
        </w:sectPr>
      </w:pPr>
    </w:p>
    <w:p>
      <w:pPr>
        <w:ind w:left="4"/>
        <w:spacing w:after="0" w:line="219" w:lineRule="exact"/>
        <w:rPr>
          <w:sz w:val="20"/>
          <w:szCs w:val="20"/>
          <w:color w:val="auto"/>
        </w:rPr>
      </w:pPr>
      <w:r>
        <w:rPr>
          <w:rFonts w:ascii="Times New Roman" w:cs="Times New Roman" w:eastAsia="Times New Roman" w:hAnsi="Times New Roman"/>
          <w:sz w:val="19"/>
          <w:szCs w:val="19"/>
          <w:color w:val="auto"/>
        </w:rPr>
        <w:t xml:space="preserve">Act). Yes </w:t>
      </w: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highlight w:val="black"/>
        </w:rPr>
        <w:t>☒</w:t>
      </w:r>
    </w:p>
    <w:p>
      <w:pPr>
        <w:sectPr>
          <w:pgSz w:w="11900" w:h="16838" w:orient="portrait"/>
          <w:cols w:equalWidth="0" w:num="1">
            <w:col w:w="10104"/>
          </w:cols>
          <w:pgMar w:left="896" w:top="220" w:right="899" w:bottom="1440" w:gutter="0" w:footer="0" w:header="0"/>
          <w:type w:val="continuous"/>
        </w:sectPr>
      </w:pPr>
    </w:p>
    <w:p>
      <w:pPr>
        <w:spacing w:after="0" w:line="225" w:lineRule="exact"/>
        <w:rPr>
          <w:sz w:val="24"/>
          <w:szCs w:val="24"/>
          <w:color w:val="auto"/>
        </w:rPr>
      </w:pPr>
    </w:p>
    <w:p>
      <w:pPr>
        <w:ind w:left="4" w:right="2540"/>
        <w:spacing w:after="0" w:line="269" w:lineRule="auto"/>
        <w:rPr>
          <w:sz w:val="20"/>
          <w:szCs w:val="20"/>
          <w:color w:val="auto"/>
        </w:rPr>
      </w:pPr>
      <w:r>
        <w:rPr>
          <w:rFonts w:ascii="Times New Roman" w:cs="Times New Roman" w:eastAsia="Times New Roman" w:hAnsi="Times New Roman"/>
          <w:sz w:val="20"/>
          <w:szCs w:val="20"/>
          <w:color w:val="auto"/>
        </w:rPr>
        <w:t>Indicate the number of shares outstanding of each of the issuer's classes of common stock, as of July 24, 2017: 177,651,543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480695</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04"/>
          </w:cols>
          <w:pgMar w:left="896" w:top="220" w:right="89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40" w:type="dxa"/>
            <w:vAlign w:val="bottom"/>
            <w:gridSpan w:val="4"/>
          </w:tcPr>
          <w:p>
            <w:pPr>
              <w:ind w:left="8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700" w:type="dxa"/>
            <w:vAlign w:val="bottom"/>
            <w:gridSpan w:val="21"/>
            <w:shd w:val="clear" w:color="auto" w:fill="CCEEFF"/>
          </w:tcPr>
          <w:p>
            <w:pPr>
              <w:jc w:val="center"/>
              <w:ind w:right="1600"/>
              <w:spacing w:after="0" w:line="203" w:lineRule="exact"/>
              <w:rPr>
                <w:rFonts w:ascii="Times New Roman" w:cs="Times New Roman" w:eastAsia="Times New Roman" w:hAnsi="Times New Roman"/>
                <w:sz w:val="22"/>
                <w:szCs w:val="22"/>
                <w:color w:val="0000EE"/>
                <w:w w:val="98"/>
              </w:rPr>
            </w:pPr>
            <w:hyperlink w:anchor="page3">
              <w:r>
                <w:rPr>
                  <w:rFonts w:ascii="Times New Roman" w:cs="Times New Roman" w:eastAsia="Times New Roman" w:hAnsi="Times New Roman"/>
                  <w:sz w:val="22"/>
                  <w:szCs w:val="22"/>
                  <w:color w:val="0000EE"/>
                  <w:w w:val="98"/>
                </w:rPr>
                <w:t>Part I – Financial Information</w:t>
              </w:r>
            </w:hyperlink>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
              <w:r>
                <w:rPr>
                  <w:rFonts w:ascii="Times New Roman" w:cs="Times New Roman" w:eastAsia="Times New Roman" w:hAnsi="Times New Roman"/>
                  <w:sz w:val="22"/>
                  <w:szCs w:val="22"/>
                  <w:color w:val="0000EE"/>
                  <w:w w:val="99"/>
                </w:rPr>
                <w:t>Item 1.</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
              <w:r>
                <w:rPr>
                  <w:rFonts w:ascii="Times New Roman" w:cs="Times New Roman" w:eastAsia="Times New Roman" w:hAnsi="Times New Roman"/>
                  <w:sz w:val="22"/>
                  <w:szCs w:val="22"/>
                  <w:color w:val="0000EE"/>
                </w:rPr>
                <w:t>Financial Statements:</w:t>
              </w:r>
            </w:hyperlink>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3">
              <w:r>
                <w:rPr>
                  <w:rFonts w:ascii="Times New Roman" w:cs="Times New Roman" w:eastAsia="Times New Roman" w:hAnsi="Times New Roman"/>
                  <w:sz w:val="22"/>
                  <w:szCs w:val="22"/>
                  <w:color w:val="0000EE"/>
                </w:rPr>
                <w:t>Consolidated Balance Sheets (unaudited) – June 30, 2017 and December 31, 2016</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Consolidated Statements of Net Income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320" w:type="dxa"/>
            <w:vAlign w:val="bottom"/>
            <w:tcBorders>
              <w:top w:val="single" w:sz="8" w:color="0000EE"/>
            </w:tcBorders>
            <w:gridSpan w:val="17"/>
            <w:shd w:val="clear" w:color="auto" w:fill="CCEEFF"/>
          </w:tcPr>
          <w:p>
            <w:pPr>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Three Months Ended June 30, 2017 and 2016</w:t>
              </w:r>
            </w:hyperlink>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gridSpan w:val="2"/>
            <w:shd w:val="clear" w:color="auto" w:fill="CCEEFF"/>
          </w:tcPr>
          <w:p>
            <w:pPr>
              <w:spacing w:after="0"/>
              <w:rPr>
                <w:sz w:val="21"/>
                <w:szCs w:val="21"/>
                <w:color w:val="auto"/>
              </w:rPr>
            </w:pPr>
          </w:p>
        </w:tc>
        <w:tc>
          <w:tcPr>
            <w:tcW w:w="2180" w:type="dxa"/>
            <w:vAlign w:val="bottom"/>
            <w:tcBorders>
              <w:top w:val="single" w:sz="8" w:color="CCEEFF"/>
            </w:tcBorders>
            <w:gridSpan w:val="2"/>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Consolidated Statements of Net Income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320" w:type="dxa"/>
            <w:vAlign w:val="bottom"/>
            <w:tcBorders>
              <w:top w:val="single" w:sz="8" w:color="0000EE"/>
            </w:tcBorders>
            <w:gridSpan w:val="17"/>
            <w:shd w:val="clear" w:color="auto" w:fill="CCEEFF"/>
          </w:tcPr>
          <w:p>
            <w:pPr>
              <w:spacing w:after="0" w:line="223" w:lineRule="exact"/>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Six Months Ended June 30, 2017 and 2016</w:t>
              </w:r>
            </w:hyperlink>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gridSpan w:val="2"/>
            <w:shd w:val="clear" w:color="auto" w:fill="CCEEFF"/>
          </w:tcPr>
          <w:p>
            <w:pPr>
              <w:spacing w:after="0"/>
              <w:rPr>
                <w:sz w:val="21"/>
                <w:szCs w:val="21"/>
                <w:color w:val="auto"/>
              </w:rPr>
            </w:pPr>
          </w:p>
        </w:tc>
        <w:tc>
          <w:tcPr>
            <w:tcW w:w="2180" w:type="dxa"/>
            <w:vAlign w:val="bottom"/>
            <w:tcBorders>
              <w:top w:val="single" w:sz="8" w:color="CCEEFF"/>
            </w:tcBorders>
            <w:gridSpan w:val="2"/>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6">
              <w:r>
                <w:rPr>
                  <w:rFonts w:ascii="Times New Roman" w:cs="Times New Roman" w:eastAsia="Times New Roman" w:hAnsi="Times New Roman"/>
                  <w:sz w:val="22"/>
                  <w:szCs w:val="22"/>
                  <w:color w:val="0000EE"/>
                </w:rPr>
                <w:t>Consolidated Statements of Comprehensive Income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5380" w:type="dxa"/>
            <w:vAlign w:val="bottom"/>
            <w:tcBorders>
              <w:top w:val="single" w:sz="8" w:color="0000EE"/>
            </w:tcBorders>
            <w:gridSpan w:val="25"/>
            <w:shd w:val="clear" w:color="auto" w:fill="CCEEFF"/>
          </w:tcPr>
          <w:p>
            <w:pPr>
              <w:spacing w:after="0" w:line="223" w:lineRule="exact"/>
              <w:rPr>
                <w:rFonts w:ascii="Times New Roman" w:cs="Times New Roman" w:eastAsia="Times New Roman" w:hAnsi="Times New Roman"/>
                <w:sz w:val="22"/>
                <w:szCs w:val="22"/>
                <w:color w:val="0000EE"/>
              </w:rPr>
            </w:pPr>
            <w:hyperlink w:anchor="page6">
              <w:r>
                <w:rPr>
                  <w:rFonts w:ascii="Times New Roman" w:cs="Times New Roman" w:eastAsia="Times New Roman" w:hAnsi="Times New Roman"/>
                  <w:sz w:val="22"/>
                  <w:szCs w:val="22"/>
                  <w:color w:val="0000EE"/>
                </w:rPr>
                <w:t>Three and Six Months Ended June 30, 2017 and 2016</w:t>
              </w:r>
            </w:hyperlink>
          </w:p>
        </w:tc>
        <w:tc>
          <w:tcPr>
            <w:tcW w:w="2180" w:type="dxa"/>
            <w:vAlign w:val="bottom"/>
            <w:tcBorders>
              <w:top w:val="single" w:sz="8" w:color="CCEEFF"/>
            </w:tcBorders>
            <w:gridSpan w:val="2"/>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Consolidated Statements of Capitalization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520" w:type="dxa"/>
            <w:vAlign w:val="bottom"/>
            <w:tcBorders>
              <w:top w:val="single" w:sz="8" w:color="0000EE"/>
            </w:tcBorders>
            <w:gridSpan w:val="19"/>
            <w:shd w:val="clear" w:color="auto" w:fill="CCEEFF"/>
          </w:tcPr>
          <w:p>
            <w:pPr>
              <w:spacing w:after="0" w:line="223"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June 30, 2017 and December 31, 2016</w:t>
              </w:r>
            </w:hyperlink>
          </w:p>
        </w:tc>
        <w:tc>
          <w:tcPr>
            <w:tcW w:w="440" w:type="dxa"/>
            <w:vAlign w:val="bottom"/>
            <w:tcBorders>
              <w:top w:val="single" w:sz="8" w:color="CCEEFF"/>
            </w:tcBorders>
            <w:gridSpan w:val="2"/>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80" w:type="dxa"/>
            <w:vAlign w:val="bottom"/>
            <w:tcBorders>
              <w:top w:val="single" w:sz="8" w:color="CCEEFF"/>
            </w:tcBorders>
            <w:gridSpan w:val="4"/>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Consolidated Statement of Equity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3800" w:type="dxa"/>
            <w:vAlign w:val="bottom"/>
            <w:tcBorders>
              <w:top w:val="single" w:sz="8" w:color="0000EE"/>
            </w:tcBorders>
            <w:gridSpan w:val="13"/>
            <w:shd w:val="clear" w:color="auto" w:fill="CCEEFF"/>
          </w:tcPr>
          <w:p>
            <w:pPr>
              <w:spacing w:after="0" w:line="223" w:lineRule="exact"/>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Six Months Ended June 30, 2017</w:t>
              </w:r>
            </w:hyperlink>
          </w:p>
        </w:tc>
        <w:tc>
          <w:tcPr>
            <w:tcW w:w="440" w:type="dxa"/>
            <w:vAlign w:val="bottom"/>
            <w:tcBorders>
              <w:top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gridSpan w:val="2"/>
            <w:shd w:val="clear" w:color="auto" w:fill="CCEEFF"/>
          </w:tcPr>
          <w:p>
            <w:pPr>
              <w:spacing w:after="0"/>
              <w:rPr>
                <w:sz w:val="21"/>
                <w:szCs w:val="21"/>
                <w:color w:val="auto"/>
              </w:rPr>
            </w:pPr>
          </w:p>
        </w:tc>
        <w:tc>
          <w:tcPr>
            <w:tcW w:w="460" w:type="dxa"/>
            <w:vAlign w:val="bottom"/>
            <w:tcBorders>
              <w:top w:val="single" w:sz="8" w:color="CCEEFF"/>
            </w:tcBorders>
            <w:gridSpan w:val="3"/>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80" w:type="dxa"/>
            <w:vAlign w:val="bottom"/>
            <w:tcBorders>
              <w:top w:val="single" w:sz="8" w:color="CCEEFF"/>
            </w:tcBorders>
            <w:gridSpan w:val="4"/>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9">
              <w:r>
                <w:rPr>
                  <w:rFonts w:ascii="Times New Roman" w:cs="Times New Roman" w:eastAsia="Times New Roman" w:hAnsi="Times New Roman"/>
                  <w:sz w:val="22"/>
                  <w:szCs w:val="22"/>
                  <w:color w:val="0000EE"/>
                </w:rPr>
                <w:t>Consolidated Statements of Cash Flow (unaudited) –</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240" w:type="dxa"/>
            <w:vAlign w:val="bottom"/>
            <w:tcBorders>
              <w:top w:val="single" w:sz="8" w:color="0000EE"/>
            </w:tcBorders>
            <w:gridSpan w:val="15"/>
            <w:shd w:val="clear" w:color="auto" w:fill="CCEEFF"/>
          </w:tcPr>
          <w:p>
            <w:pPr>
              <w:spacing w:after="0" w:line="223" w:lineRule="exact"/>
              <w:rPr>
                <w:rFonts w:ascii="Times New Roman" w:cs="Times New Roman" w:eastAsia="Times New Roman" w:hAnsi="Times New Roman"/>
                <w:sz w:val="22"/>
                <w:szCs w:val="22"/>
                <w:color w:val="0000EE"/>
              </w:rPr>
            </w:pPr>
            <w:hyperlink w:anchor="page9">
              <w:r>
                <w:rPr>
                  <w:rFonts w:ascii="Times New Roman" w:cs="Times New Roman" w:eastAsia="Times New Roman" w:hAnsi="Times New Roman"/>
                  <w:sz w:val="22"/>
                  <w:szCs w:val="22"/>
                  <w:color w:val="0000EE"/>
                </w:rPr>
                <w:t>Six Months Ended June 30, 2017 and 2016</w:t>
              </w:r>
            </w:hyperlink>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gridSpan w:val="2"/>
            <w:shd w:val="clear" w:color="auto" w:fill="CCEEFF"/>
          </w:tcPr>
          <w:p>
            <w:pPr>
              <w:spacing w:after="0"/>
              <w:rPr>
                <w:sz w:val="21"/>
                <w:szCs w:val="21"/>
                <w:color w:val="auto"/>
              </w:rPr>
            </w:pPr>
          </w:p>
        </w:tc>
        <w:tc>
          <w:tcPr>
            <w:tcW w:w="460" w:type="dxa"/>
            <w:vAlign w:val="bottom"/>
            <w:tcBorders>
              <w:top w:val="single" w:sz="8" w:color="CCEEFF"/>
            </w:tcBorders>
            <w:gridSpan w:val="3"/>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80" w:type="dxa"/>
            <w:vAlign w:val="bottom"/>
            <w:tcBorders>
              <w:top w:val="single" w:sz="8" w:color="CCEEFF"/>
            </w:tcBorders>
            <w:gridSpan w:val="4"/>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00" w:type="dxa"/>
            <w:vAlign w:val="bottom"/>
            <w:gridSpan w:val="30"/>
            <w:shd w:val="clear" w:color="auto" w:fill="CCEEFF"/>
          </w:tcPr>
          <w:p>
            <w:pPr>
              <w:ind w:left="20"/>
              <w:spacing w:after="0" w:line="203" w:lineRule="exact"/>
              <w:rPr>
                <w:rFonts w:ascii="Times New Roman" w:cs="Times New Roman" w:eastAsia="Times New Roman" w:hAnsi="Times New Roman"/>
                <w:sz w:val="22"/>
                <w:szCs w:val="22"/>
                <w:color w:val="0000EE"/>
              </w:rPr>
            </w:pPr>
            <w:hyperlink w:anchor="page9">
              <w:r>
                <w:rPr>
                  <w:rFonts w:ascii="Times New Roman" w:cs="Times New Roman" w:eastAsia="Times New Roman" w:hAnsi="Times New Roman"/>
                  <w:sz w:val="22"/>
                  <w:szCs w:val="22"/>
                  <w:color w:val="0000EE"/>
                </w:rPr>
                <w:t>Notes to Consolidated Financial Statements (unaudited)</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gridSpan w:val="2"/>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8540" w:type="dxa"/>
            <w:vAlign w:val="bottom"/>
            <w:gridSpan w:val="31"/>
            <w:shd w:val="clear" w:color="auto" w:fill="CCEEFF"/>
          </w:tcPr>
          <w:p>
            <w:pPr>
              <w:spacing w:after="0" w:line="203" w:lineRule="exact"/>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Item 2. Management’s Discussion and Analysis of Financial</w:t>
              </w:r>
            </w:hyperlink>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0000EE"/>
            </w:tcBorders>
            <w:shd w:val="clear" w:color="auto" w:fill="CCEEFF"/>
          </w:tcPr>
          <w:p>
            <w:pPr>
              <w:spacing w:after="0"/>
              <w:rPr>
                <w:sz w:val="21"/>
                <w:szCs w:val="21"/>
                <w:color w:val="auto"/>
              </w:rPr>
            </w:pPr>
          </w:p>
        </w:tc>
        <w:tc>
          <w:tcPr>
            <w:tcW w:w="4620" w:type="dxa"/>
            <w:vAlign w:val="bottom"/>
            <w:tcBorders>
              <w:top w:val="single" w:sz="8" w:color="0000EE"/>
            </w:tcBorders>
            <w:gridSpan w:val="19"/>
            <w:shd w:val="clear" w:color="auto" w:fill="CCEEFF"/>
          </w:tcPr>
          <w:p>
            <w:pPr>
              <w:ind w:left="20"/>
              <w:spacing w:after="0" w:line="223" w:lineRule="exact"/>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Condition and Results of Operations</w:t>
              </w:r>
            </w:hyperlink>
          </w:p>
        </w:tc>
        <w:tc>
          <w:tcPr>
            <w:tcW w:w="680" w:type="dxa"/>
            <w:vAlign w:val="bottom"/>
            <w:tcBorders>
              <w:top w:val="single" w:sz="8" w:color="CCEEFF"/>
            </w:tcBorders>
            <w:gridSpan w:val="5"/>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80" w:type="dxa"/>
            <w:vAlign w:val="bottom"/>
            <w:tcBorders>
              <w:top w:val="single" w:sz="8" w:color="CCEEFF"/>
            </w:tcBorders>
            <w:gridSpan w:val="4"/>
            <w:shd w:val="clear" w:color="auto" w:fill="CCEEFF"/>
          </w:tcPr>
          <w:p>
            <w:pPr>
              <w:spacing w:after="0"/>
              <w:rPr>
                <w:sz w:val="21"/>
                <w:szCs w:val="21"/>
                <w:color w:val="auto"/>
              </w:rPr>
            </w:pPr>
          </w:p>
        </w:tc>
        <w:tc>
          <w:tcPr>
            <w:tcW w:w="1220" w:type="dxa"/>
            <w:vAlign w:val="bottom"/>
            <w:tcBorders>
              <w:top w:val="single" w:sz="8" w:color="CCEEFF"/>
            </w:tcBorders>
            <w:gridSpan w:val="3"/>
            <w:vMerge w:val="continue"/>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29">
              <w:r>
                <w:rPr>
                  <w:rFonts w:ascii="Times New Roman" w:cs="Times New Roman" w:eastAsia="Times New Roman" w:hAnsi="Times New Roman"/>
                  <w:sz w:val="22"/>
                  <w:szCs w:val="22"/>
                  <w:color w:val="0000EE"/>
                  <w:w w:val="99"/>
                </w:rPr>
                <w:t>Item 3.</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Quantitative and Qualitative Disclosures About Market Risk</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29">
              <w:r>
                <w:rPr>
                  <w:rFonts w:ascii="Times New Roman" w:cs="Times New Roman" w:eastAsia="Times New Roman" w:hAnsi="Times New Roman"/>
                  <w:sz w:val="22"/>
                  <w:szCs w:val="22"/>
                  <w:color w:val="0000EE"/>
                  <w:w w:val="99"/>
                </w:rPr>
                <w:t>Item 4.</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Controls and Procedures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940" w:type="dxa"/>
            <w:vAlign w:val="bottom"/>
            <w:gridSpan w:val="20"/>
            <w:shd w:val="clear" w:color="auto" w:fill="CCEEFF"/>
          </w:tcPr>
          <w:p>
            <w:pPr>
              <w:jc w:val="center"/>
              <w:ind w:right="2360"/>
              <w:spacing w:after="0" w:line="203" w:lineRule="exact"/>
              <w:rPr>
                <w:rFonts w:ascii="Times New Roman" w:cs="Times New Roman" w:eastAsia="Times New Roman" w:hAnsi="Times New Roman"/>
                <w:sz w:val="22"/>
                <w:szCs w:val="22"/>
                <w:color w:val="0000EE"/>
                <w:w w:val="98"/>
              </w:rPr>
            </w:pPr>
            <w:hyperlink w:anchor="page29">
              <w:r>
                <w:rPr>
                  <w:rFonts w:ascii="Times New Roman" w:cs="Times New Roman" w:eastAsia="Times New Roman" w:hAnsi="Times New Roman"/>
                  <w:sz w:val="22"/>
                  <w:szCs w:val="22"/>
                  <w:color w:val="0000EE"/>
                  <w:w w:val="98"/>
                </w:rPr>
                <w:t>Part II – Other Information</w:t>
              </w:r>
            </w:hyperlink>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29">
              <w:r>
                <w:rPr>
                  <w:rFonts w:ascii="Times New Roman" w:cs="Times New Roman" w:eastAsia="Times New Roman" w:hAnsi="Times New Roman"/>
                  <w:sz w:val="22"/>
                  <w:szCs w:val="22"/>
                  <w:color w:val="0000EE"/>
                  <w:w w:val="99"/>
                </w:rPr>
                <w:t>Item 1.</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Legal Proceedings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8540" w:type="dxa"/>
            <w:vAlign w:val="bottom"/>
            <w:gridSpan w:val="31"/>
            <w:shd w:val="clear" w:color="auto" w:fill="CCEEFF"/>
          </w:tcPr>
          <w:p>
            <w:pPr>
              <w:spacing w:after="0" w:line="203" w:lineRule="exact"/>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Item 1A. Risk Factors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0">
              <w:r>
                <w:rPr>
                  <w:rFonts w:ascii="Times New Roman" w:cs="Times New Roman" w:eastAsia="Times New Roman" w:hAnsi="Times New Roman"/>
                  <w:sz w:val="22"/>
                  <w:szCs w:val="22"/>
                  <w:color w:val="0000EE"/>
                  <w:w w:val="99"/>
                </w:rPr>
                <w:t>Item 2.</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0">
              <w:r>
                <w:rPr>
                  <w:rFonts w:ascii="Times New Roman" w:cs="Times New Roman" w:eastAsia="Times New Roman" w:hAnsi="Times New Roman"/>
                  <w:sz w:val="22"/>
                  <w:szCs w:val="22"/>
                  <w:color w:val="0000EE"/>
                </w:rPr>
                <w:t>Unregistered Sales of Equity Securities and Use of Proceeds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0">
              <w:r>
                <w:rPr>
                  <w:rFonts w:ascii="Times New Roman" w:cs="Times New Roman" w:eastAsia="Times New Roman" w:hAnsi="Times New Roman"/>
                  <w:sz w:val="22"/>
                  <w:szCs w:val="22"/>
                  <w:color w:val="0000EE"/>
                  <w:w w:val="99"/>
                </w:rPr>
                <w:t>Item 6.</w:t>
              </w:r>
            </w:hyperlink>
          </w:p>
        </w:tc>
        <w:tc>
          <w:tcPr>
            <w:tcW w:w="20" w:type="dxa"/>
            <w:vAlign w:val="bottom"/>
            <w:shd w:val="clear" w:color="auto" w:fill="CCEEFF"/>
          </w:tcPr>
          <w:p>
            <w:pPr>
              <w:spacing w:after="0"/>
              <w:rPr>
                <w:sz w:val="19"/>
                <w:szCs w:val="19"/>
                <w:color w:val="auto"/>
              </w:rPr>
            </w:pPr>
          </w:p>
        </w:tc>
        <w:tc>
          <w:tcPr>
            <w:tcW w:w="7880" w:type="dxa"/>
            <w:vAlign w:val="bottom"/>
            <w:gridSpan w:val="29"/>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0">
              <w:r>
                <w:rPr>
                  <w:rFonts w:ascii="Times New Roman" w:cs="Times New Roman" w:eastAsia="Times New Roman" w:hAnsi="Times New Roman"/>
                  <w:sz w:val="22"/>
                  <w:szCs w:val="22"/>
                  <w:color w:val="0000EE"/>
                </w:rPr>
                <w:t>Exhibits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8540" w:type="dxa"/>
            <w:vAlign w:val="bottom"/>
            <w:gridSpan w:val="31"/>
            <w:shd w:val="clear" w:color="auto" w:fill="CCEEFF"/>
          </w:tcPr>
          <w:p>
            <w:pPr>
              <w:spacing w:after="0" w:line="203" w:lineRule="exact"/>
              <w:rPr>
                <w:rFonts w:ascii="Times New Roman" w:cs="Times New Roman" w:eastAsia="Times New Roman" w:hAnsi="Times New Roman"/>
                <w:sz w:val="22"/>
                <w:szCs w:val="22"/>
                <w:color w:val="0000EE"/>
              </w:rPr>
            </w:pPr>
            <w:hyperlink w:anchor="page31">
              <w:r>
                <w:rPr>
                  <w:rFonts w:ascii="Times New Roman" w:cs="Times New Roman" w:eastAsia="Times New Roman" w:hAnsi="Times New Roman"/>
                  <w:sz w:val="22"/>
                  <w:szCs w:val="22"/>
                  <w:color w:val="0000EE"/>
                </w:rPr>
                <w:t>Signatures</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8540" w:type="dxa"/>
            <w:vAlign w:val="bottom"/>
            <w:gridSpan w:val="31"/>
            <w:shd w:val="clear" w:color="auto" w:fill="CCEEFF"/>
          </w:tcPr>
          <w:p>
            <w:pPr>
              <w:spacing w:after="0" w:line="203" w:lineRule="exact"/>
              <w:rPr>
                <w:rFonts w:ascii="Times New Roman" w:cs="Times New Roman" w:eastAsia="Times New Roman" w:hAnsi="Times New Roman"/>
                <w:sz w:val="22"/>
                <w:szCs w:val="22"/>
                <w:color w:val="0000EE"/>
              </w:rPr>
            </w:pPr>
            <w:hyperlink w:anchor="page32">
              <w:r>
                <w:rPr>
                  <w:rFonts w:ascii="Times New Roman" w:cs="Times New Roman" w:eastAsia="Times New Roman" w:hAnsi="Times New Roman"/>
                  <w:sz w:val="22"/>
                  <w:szCs w:val="22"/>
                  <w:color w:val="0000EE"/>
                </w:rPr>
                <w:t>Exhibit Index</w:t>
              </w:r>
            </w:hyperlink>
          </w:p>
        </w:tc>
        <w:tc>
          <w:tcPr>
            <w:tcW w:w="12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36"/>
        </w:trPr>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gridSpan w:val="4"/>
          </w:tcPr>
          <w:p>
            <w:pPr>
              <w:spacing w:after="0"/>
              <w:rPr>
                <w:sz w:val="24"/>
                <w:szCs w:val="24"/>
                <w:color w:val="auto"/>
              </w:rPr>
            </w:pPr>
          </w:p>
        </w:tc>
        <w:tc>
          <w:tcPr>
            <w:tcW w:w="3600" w:type="dxa"/>
            <w:vAlign w:val="bottom"/>
            <w:tcBorders>
              <w:top w:val="single" w:sz="8" w:color="CCEEFF"/>
            </w:tcBorders>
            <w:gridSpan w:val="12"/>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000"/>
          </w:cols>
          <w:pgMar w:left="1140" w:top="111" w:right="75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June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December 31,</w:t>
            </w:r>
          </w:p>
        </w:tc>
      </w:tr>
      <w:tr>
        <w:trPr>
          <w:trHeight w:val="186"/>
        </w:trPr>
        <w:tc>
          <w:tcPr>
            <w:tcW w:w="20" w:type="dxa"/>
            <w:vAlign w:val="bottom"/>
          </w:tcPr>
          <w:p>
            <w:pPr>
              <w:spacing w:after="0"/>
              <w:rPr>
                <w:sz w:val="16"/>
                <w:szCs w:val="16"/>
                <w:color w:val="auto"/>
              </w:rPr>
            </w:pPr>
          </w:p>
        </w:tc>
        <w:tc>
          <w:tcPr>
            <w:tcW w:w="5360" w:type="dxa"/>
            <w:vAlign w:val="bottom"/>
            <w:tcBorders>
              <w:bottom w:val="single" w:sz="8" w:color="CCEEFF"/>
            </w:tcBorders>
          </w:tcPr>
          <w:p>
            <w:pPr>
              <w:ind w:left="3240"/>
              <w:spacing w:after="0"/>
              <w:rPr>
                <w:sz w:val="20"/>
                <w:szCs w:val="20"/>
                <w:color w:val="auto"/>
              </w:rPr>
            </w:pPr>
            <w:r>
              <w:rPr>
                <w:rFonts w:ascii="Times New Roman" w:cs="Times New Roman" w:eastAsia="Times New Roman" w:hAnsi="Times New Roman"/>
                <w:sz w:val="14"/>
                <w:szCs w:val="14"/>
                <w:color w:val="auto"/>
              </w:rPr>
              <w:t>Assets</w:t>
            </w: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2016</w:t>
            </w: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at cost</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6,717,832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6,509,117</w:t>
            </w:r>
          </w:p>
        </w:tc>
      </w:tr>
      <w:tr>
        <w:trPr>
          <w:trHeight w:val="20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1,558,681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1,507,502</w:t>
            </w:r>
          </w:p>
        </w:tc>
      </w:tr>
      <w:tr>
        <w:trPr>
          <w:trHeight w:val="183"/>
        </w:trPr>
        <w:tc>
          <w:tcPr>
            <w:tcW w:w="20" w:type="dxa"/>
            <w:vAlign w:val="bottom"/>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5,159,151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5,001,615</w:t>
            </w:r>
          </w:p>
        </w:tc>
      </w:tr>
      <w:tr>
        <w:trPr>
          <w:trHeight w:val="18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r>
      <w:tr>
        <w:trPr>
          <w:trHeight w:val="203"/>
        </w:trPr>
        <w:tc>
          <w:tcPr>
            <w:tcW w:w="20" w:type="dxa"/>
            <w:vAlign w:val="bottom"/>
          </w:tcPr>
          <w:p>
            <w:pPr>
              <w:spacing w:after="0"/>
              <w:rPr>
                <w:sz w:val="17"/>
                <w:szCs w:val="17"/>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and unbilled revenues, net</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97,394</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Inventory, materials and supplies</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w:t>
            </w:r>
          </w:p>
        </w:tc>
      </w:tr>
      <w:tr>
        <w:trPr>
          <w:trHeight w:val="203"/>
        </w:trPr>
        <w:tc>
          <w:tcPr>
            <w:tcW w:w="20" w:type="dxa"/>
            <w:vAlign w:val="bottom"/>
          </w:tcPr>
          <w:p>
            <w:pPr>
              <w:spacing w:after="0"/>
              <w:rPr>
                <w:sz w:val="17"/>
                <w:szCs w:val="17"/>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12,804</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 held for sale</w:t>
            </w:r>
          </w:p>
        </w:tc>
        <w:tc>
          <w:tcPr>
            <w:tcW w:w="17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r>
      <w:tr>
        <w:trPr>
          <w:trHeight w:val="18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128,650</w:t>
            </w:r>
          </w:p>
        </w:tc>
      </w:tr>
      <w:tr>
        <w:trPr>
          <w:trHeight w:val="183"/>
        </w:trPr>
        <w:tc>
          <w:tcPr>
            <w:tcW w:w="20" w:type="dxa"/>
            <w:vAlign w:val="bottom"/>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bl>
    <w:p>
      <w:pPr>
        <w:spacing w:after="0" w:line="31" w:lineRule="exact"/>
        <w:rPr>
          <w:sz w:val="20"/>
          <w:szCs w:val="20"/>
          <w:color w:val="auto"/>
        </w:rPr>
      </w:pPr>
    </w:p>
    <w:p>
      <w:pPr>
        <w:sectPr>
          <w:pgSz w:w="11900" w:h="16838" w:orient="portrait"/>
          <w:cols w:equalWidth="0" w:num="1">
            <w:col w:w="9640"/>
          </w:cols>
          <w:pgMar w:left="1140" w:top="111" w:right="11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Regulatory assets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charges and other assets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in joint venture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32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1,003,808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948,647</w:t>
            </w:r>
          </w:p>
        </w:tc>
      </w:tr>
      <w:tr>
        <w:trPr>
          <w:trHeight w:val="203"/>
        </w:trPr>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30,845</w:t>
            </w:r>
          </w:p>
        </w:tc>
      </w:tr>
      <w:tr>
        <w:trPr>
          <w:trHeight w:val="203"/>
        </w:trPr>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w:t>
            </w:r>
          </w:p>
        </w:tc>
      </w:tr>
      <w:tr>
        <w:trPr>
          <w:trHeight w:val="186"/>
        </w:trPr>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42,266</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42,208</w:t>
            </w:r>
          </w:p>
        </w:tc>
      </w:tr>
      <w:tr>
        <w:trPr>
          <w:trHeight w:val="176"/>
        </w:trPr>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6,383,699</w:t>
            </w:r>
          </w:p>
        </w:tc>
        <w:tc>
          <w:tcPr>
            <w:tcW w:w="14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6,158,991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-522605</wp:posOffset>
            </wp:positionV>
            <wp:extent cx="611441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-265430</wp:posOffset>
            </wp:positionV>
            <wp:extent cx="611441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441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Liabilities and Equity</w:t>
      </w:r>
    </w:p>
    <w:p>
      <w:pPr>
        <w:spacing w:after="0" w:line="42" w:lineRule="exact"/>
        <w:rPr>
          <w:sz w:val="20"/>
          <w:szCs w:val="20"/>
          <w:color w:val="auto"/>
        </w:rPr>
      </w:pPr>
    </w:p>
    <w:p>
      <w:pPr>
        <w:sectPr>
          <w:pgSz w:w="11900" w:h="16838" w:orient="portrait"/>
          <w:cols w:equalWidth="0" w:num="2">
            <w:col w:w="2100" w:space="720"/>
            <w:col w:w="6820"/>
          </w:cols>
          <w:pgMar w:left="1140" w:top="111" w:right="11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Stockholders' equity:</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4"/>
                <w:szCs w:val="14"/>
                <w:color w:val="auto"/>
              </w:rPr>
              <w:t>Common stock at $.50 par value, authorized 300,000,000 shares, issued 180,635,368 and 180,311,345 as of June 30,</w:t>
            </w:r>
          </w:p>
        </w:tc>
        <w:tc>
          <w:tcPr>
            <w:tcW w:w="4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90,317</w:t>
            </w:r>
          </w:p>
        </w:tc>
        <w:tc>
          <w:tcPr>
            <w:tcW w:w="1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2017 and December 31, 2016</w:t>
            </w:r>
          </w:p>
        </w:tc>
        <w:tc>
          <w:tcPr>
            <w:tcW w:w="48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802,799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1,075,856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at cost, 2,984,264 and 2,916,969 shares as of June 30, 2017 and December 31, 2016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8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1,896,530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excluding current portion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1,844,342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debt issuance costs</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0" w:type="dxa"/>
            <w:vAlign w:val="bottom"/>
          </w:tcPr>
          <w:p>
            <w:pPr>
              <w:spacing w:after="0"/>
              <w:rPr>
                <w:sz w:val="1"/>
                <w:szCs w:val="1"/>
                <w:color w:val="auto"/>
              </w:rPr>
            </w:pPr>
          </w:p>
        </w:tc>
      </w:tr>
      <w:tr>
        <w:trPr>
          <w:trHeight w:val="18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excluding current portion, net of debt issuance costs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1,822,581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1,737,605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(See Note 13)</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9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143,567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payable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taxes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39,283</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40,484</w:t>
            </w:r>
          </w:p>
        </w:tc>
        <w:tc>
          <w:tcPr>
            <w:tcW w:w="0" w:type="dxa"/>
            <w:vAlign w:val="bottom"/>
          </w:tcPr>
          <w:p>
            <w:pPr>
              <w:spacing w:after="0"/>
              <w:rPr>
                <w:sz w:val="1"/>
                <w:szCs w:val="1"/>
                <w:color w:val="auto"/>
              </w:rPr>
            </w:pPr>
          </w:p>
        </w:tc>
      </w:tr>
      <w:tr>
        <w:trPr>
          <w:trHeight w:val="18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332,547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taxes and investment tax credits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1,339,583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Customers' advances for construction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Regulatory liabilities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244,613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1,780,378</w:t>
            </w: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1,727,314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Contributions in aid of construction</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551,663</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542,468</w:t>
            </w:r>
          </w:p>
        </w:tc>
        <w:tc>
          <w:tcPr>
            <w:tcW w:w="0" w:type="dxa"/>
            <w:vAlign w:val="bottom"/>
          </w:tcPr>
          <w:p>
            <w:pPr>
              <w:spacing w:after="0"/>
              <w:rPr>
                <w:sz w:val="1"/>
                <w:szCs w:val="1"/>
                <w:color w:val="auto"/>
              </w:rPr>
            </w:pPr>
          </w:p>
        </w:tc>
      </w:tr>
      <w:tr>
        <w:trPr>
          <w:trHeight w:val="169"/>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6,383,699</w:t>
            </w:r>
          </w:p>
        </w:tc>
        <w:tc>
          <w:tcPr>
            <w:tcW w:w="1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0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CONSOLIDATED STATEMENTS OF NET INCOME</w:t>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(In thousands, except per share amounts)</w:t>
      </w:r>
    </w:p>
    <w:p>
      <w:pPr>
        <w:ind w:left="4120"/>
        <w:spacing w:after="0"/>
        <w:rPr>
          <w:sz w:val="20"/>
          <w:szCs w:val="20"/>
          <w:color w:val="auto"/>
        </w:rPr>
      </w:pPr>
      <w:r>
        <w:rPr>
          <w:rFonts w:ascii="Times New Roman" w:cs="Times New Roman" w:eastAsia="Times New Roman" w:hAnsi="Times New Roman"/>
          <w:sz w:val="22"/>
          <w:szCs w:val="22"/>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gridSpan w:val="4"/>
          </w:tcPr>
          <w:p>
            <w:pPr>
              <w:jc w:val="right"/>
              <w:ind w:right="512"/>
              <w:spacing w:after="0"/>
              <w:rPr>
                <w:sz w:val="20"/>
                <w:szCs w:val="20"/>
                <w:color w:val="auto"/>
              </w:rPr>
            </w:pPr>
            <w:r>
              <w:rPr>
                <w:rFonts w:ascii="Times New Roman" w:cs="Times New Roman" w:eastAsia="Times New Roman" w:hAnsi="Times New Roman"/>
                <w:sz w:val="22"/>
                <w:szCs w:val="22"/>
                <w:color w:val="auto"/>
              </w:rPr>
              <w:t>Three Months Ended</w:t>
            </w:r>
          </w:p>
        </w:tc>
      </w:tr>
      <w:tr>
        <w:trPr>
          <w:trHeight w:val="272"/>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22"/>
                <w:szCs w:val="22"/>
                <w:color w:val="auto"/>
              </w:rPr>
              <w:t>June 30,</w:t>
            </w:r>
          </w:p>
        </w:tc>
        <w:tc>
          <w:tcPr>
            <w:tcW w:w="104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Operating revenues</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203,418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203,876</w:t>
            </w:r>
          </w:p>
        </w:tc>
      </w:tr>
      <w:tr>
        <w:trPr>
          <w:trHeight w:val="284"/>
        </w:trPr>
        <w:tc>
          <w:tcPr>
            <w:tcW w:w="65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Operations and maintenance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70,853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73,994</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Depreciation</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33,407</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31,619</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Amortization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528</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Taxes other than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14,419</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14,242</w:t>
            </w: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118,806</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120,383</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84"/>
        </w:trPr>
        <w:tc>
          <w:tcPr>
            <w:tcW w:w="6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84,612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83,493</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6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expense (income):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Interest expense, net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21,387</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20,115</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(1,871)</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Gain on sale of other assets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84"/>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Equity loss in joint venture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229</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66,537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65,141</w:t>
            </w:r>
          </w:p>
        </w:tc>
      </w:tr>
      <w:tr>
        <w:trPr>
          <w:trHeight w:val="284"/>
        </w:trPr>
        <w:tc>
          <w:tcPr>
            <w:tcW w:w="6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5,569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5,515</w:t>
            </w:r>
          </w:p>
        </w:tc>
      </w:tr>
      <w:tr>
        <w:trPr>
          <w:trHeight w:val="257"/>
        </w:trPr>
        <w:tc>
          <w:tcPr>
            <w:tcW w:w="20" w:type="dxa"/>
            <w:vAlign w:val="bottom"/>
          </w:tcPr>
          <w:p>
            <w:pPr>
              <w:spacing w:after="0"/>
              <w:rPr>
                <w:sz w:val="22"/>
                <w:szCs w:val="22"/>
                <w:color w:val="auto"/>
              </w:rPr>
            </w:pPr>
          </w:p>
        </w:tc>
        <w:tc>
          <w:tcPr>
            <w:tcW w:w="6540" w:type="dxa"/>
            <w:vAlign w:val="bottom"/>
            <w:tcBorders>
              <w:top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Net income</w:t>
            </w:r>
          </w:p>
        </w:tc>
        <w:tc>
          <w:tcPr>
            <w:tcW w:w="380" w:type="dxa"/>
            <w:vAlign w:val="bottom"/>
            <w:tcBorders>
              <w:top w:val="single" w:sz="8" w:color="auto"/>
              <w:bottom w:val="single" w:sz="8" w:color="auto"/>
            </w:tcBorders>
            <w:shd w:val="clear" w:color="auto" w:fill="CCEE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60,968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59,626</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Basic</w:t>
            </w: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0.34</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0.34</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Diluted</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0.34</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0.33</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Basic</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177,609</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177,288</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Diluted</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178,045</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178,084</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Cash dividends declared per common share</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0.1913</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0.178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CONSOLIDATED STATEMENTS OF NET INCOME</w:t>
      </w: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(In thousands, except per share amounts)</w:t>
      </w: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6620" w:type="dxa"/>
            <w:vAlign w:val="bottom"/>
          </w:tcPr>
          <w:p>
            <w:pPr>
              <w:ind w:left="4100"/>
              <w:spacing w:after="0"/>
              <w:rPr>
                <w:sz w:val="20"/>
                <w:szCs w:val="20"/>
                <w:color w:val="auto"/>
              </w:rPr>
            </w:pPr>
            <w:r>
              <w:rPr>
                <w:rFonts w:ascii="Times New Roman" w:cs="Times New Roman" w:eastAsia="Times New Roman" w:hAnsi="Times New Roman"/>
                <w:sz w:val="22"/>
                <w:szCs w:val="22"/>
                <w:color w:val="auto"/>
              </w:rPr>
              <w:t>(UNAUDITED)</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4"/>
          </w:tcPr>
          <w:p>
            <w:pPr>
              <w:jc w:val="right"/>
              <w:ind w:right="59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71"/>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color w:val="auto"/>
              </w:rPr>
              <w:t>June 30,</w:t>
            </w:r>
          </w:p>
        </w:tc>
        <w:tc>
          <w:tcPr>
            <w:tcW w:w="102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Operating revenues</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391,205</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396,483</w:t>
            </w:r>
          </w:p>
        </w:tc>
      </w:tr>
      <w:tr>
        <w:trPr>
          <w:trHeight w:val="284"/>
        </w:trPr>
        <w:tc>
          <w:tcPr>
            <w:tcW w:w="6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Operations and maintenance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139,981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147,535</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Depreciation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67,244</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63,764</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Amortization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978</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Taxes other than income taxes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29,156</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28,382</w:t>
            </w:r>
          </w:p>
        </w:tc>
      </w:tr>
      <w:tr>
        <w:trPr>
          <w:trHeight w:val="264"/>
        </w:trPr>
        <w:tc>
          <w:tcPr>
            <w:tcW w:w="6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236,697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240,659</w:t>
            </w: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84"/>
        </w:trPr>
        <w:tc>
          <w:tcPr>
            <w:tcW w:w="6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154,508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155,824</w:t>
            </w: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84"/>
        </w:trPr>
        <w:tc>
          <w:tcPr>
            <w:tcW w:w="6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expense (income):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Interest expense, net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42,713</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39,968</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(6,656)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(4,179)</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Gain on sale of other assets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(279)</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(328)</w:t>
            </w:r>
          </w:p>
        </w:tc>
      </w:tr>
      <w:tr>
        <w:trPr>
          <w:trHeight w:val="284"/>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Equity loss in joint venture</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478</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118,539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119,885</w:t>
            </w:r>
          </w:p>
        </w:tc>
      </w:tr>
      <w:tr>
        <w:trPr>
          <w:trHeight w:val="284"/>
        </w:trPr>
        <w:tc>
          <w:tcPr>
            <w:tcW w:w="6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8,499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8,522</w:t>
            </w:r>
          </w:p>
        </w:tc>
      </w:tr>
      <w:tr>
        <w:trPr>
          <w:trHeight w:val="257"/>
        </w:trPr>
        <w:tc>
          <w:tcPr>
            <w:tcW w:w="20" w:type="dxa"/>
            <w:vAlign w:val="bottom"/>
          </w:tcPr>
          <w:p>
            <w:pPr>
              <w:spacing w:after="0"/>
              <w:rPr>
                <w:sz w:val="22"/>
                <w:szCs w:val="22"/>
                <w:color w:val="auto"/>
              </w:rPr>
            </w:pPr>
          </w:p>
        </w:tc>
        <w:tc>
          <w:tcPr>
            <w:tcW w:w="6620" w:type="dxa"/>
            <w:vAlign w:val="bottom"/>
            <w:tcBorders>
              <w:top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Net income</w:t>
            </w:r>
          </w:p>
        </w:tc>
        <w:tc>
          <w:tcPr>
            <w:tcW w:w="360" w:type="dxa"/>
            <w:vAlign w:val="bottom"/>
            <w:tcBorders>
              <w:top w:val="single" w:sz="8" w:color="auto"/>
              <w:bottom w:val="single" w:sz="8" w:color="auto"/>
            </w:tcBorders>
            <w:shd w:val="clear" w:color="auto" w:fill="CCEE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110,040</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111,363</w:t>
            </w:r>
          </w:p>
        </w:tc>
      </w:tr>
      <w:tr>
        <w:trPr>
          <w:trHeight w:val="270"/>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Basic</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0.62</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0.63</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Diluted</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0.62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0.63</w:t>
            </w: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Basic</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177,545</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177,196</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178,042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177,920</w:t>
            </w: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Cash dividends declared per common share</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0.3826</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0.356</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67310</wp:posOffset>
            </wp:positionV>
            <wp:extent cx="63112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265"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CONSOLIDATED STATEMENTS OF COMPREHENSIVE INCOME</w:t>
      </w:r>
    </w:p>
    <w:p>
      <w:pPr>
        <w:ind w:left="3840"/>
        <w:spacing w:after="0" w:line="192" w:lineRule="auto"/>
        <w:rPr>
          <w:sz w:val="20"/>
          <w:szCs w:val="20"/>
          <w:color w:val="auto"/>
        </w:rPr>
      </w:pPr>
      <w:r>
        <w:rPr>
          <w:rFonts w:ascii="Times New Roman" w:cs="Times New Roman" w:eastAsia="Times New Roman" w:hAnsi="Times New Roman"/>
          <w:sz w:val="22"/>
          <w:szCs w:val="22"/>
          <w:color w:val="auto"/>
        </w:rPr>
        <w:t>(In thousands of dollars)</w:t>
      </w:r>
    </w:p>
    <w:p>
      <w:pPr>
        <w:ind w:left="4220"/>
        <w:spacing w:after="0"/>
        <w:rPr>
          <w:sz w:val="20"/>
          <w:szCs w:val="20"/>
          <w:color w:val="auto"/>
        </w:rPr>
      </w:pPr>
      <w:r>
        <w:rPr>
          <w:rFonts w:ascii="Times New Roman" w:cs="Times New Roman" w:eastAsia="Times New Roman" w:hAnsi="Times New Roman"/>
          <w:sz w:val="22"/>
          <w:szCs w:val="22"/>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2"/>
                <w:szCs w:val="22"/>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71"/>
        </w:trPr>
        <w:tc>
          <w:tcPr>
            <w:tcW w:w="5880" w:type="dxa"/>
            <w:vAlign w:val="bottom"/>
          </w:tcPr>
          <w:p>
            <w:pPr>
              <w:spacing w:after="0"/>
              <w:rPr>
                <w:sz w:val="23"/>
                <w:szCs w:val="23"/>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22"/>
                <w:szCs w:val="22"/>
                <w:color w:val="auto"/>
                <w:w w:val="98"/>
              </w:rPr>
              <w:t>June 30,</w:t>
            </w:r>
          </w:p>
        </w:tc>
        <w:tc>
          <w:tcPr>
            <w:tcW w:w="1820" w:type="dxa"/>
            <w:vAlign w:val="bottom"/>
            <w:gridSpan w:val="3"/>
          </w:tcPr>
          <w:p>
            <w:pPr>
              <w:jc w:val="right"/>
              <w:ind w:right="452"/>
              <w:spacing w:after="0"/>
              <w:rPr>
                <w:sz w:val="20"/>
                <w:szCs w:val="20"/>
                <w:color w:val="auto"/>
              </w:rPr>
            </w:pPr>
            <w:r>
              <w:rPr>
                <w:rFonts w:ascii="Times New Roman" w:cs="Times New Roman" w:eastAsia="Times New Roman" w:hAnsi="Times New Roman"/>
                <w:sz w:val="22"/>
                <w:szCs w:val="22"/>
                <w:color w:val="auto"/>
              </w:rPr>
              <w:t>June 30,</w:t>
            </w:r>
          </w:p>
        </w:tc>
      </w:tr>
      <w:tr>
        <w:trPr>
          <w:trHeight w:val="264"/>
        </w:trPr>
        <w:tc>
          <w:tcPr>
            <w:tcW w:w="58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2016</w:t>
            </w:r>
          </w:p>
        </w:tc>
        <w:tc>
          <w:tcPr>
            <w:tcW w:w="2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$ 60,968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59,626</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4"/>
              </w:rPr>
              <w:t>$110,040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4"/>
              </w:rPr>
              <w:t>$111,363</w:t>
            </w:r>
          </w:p>
        </w:tc>
      </w:tr>
      <w:tr>
        <w:trPr>
          <w:trHeight w:val="284"/>
        </w:trPr>
        <w:tc>
          <w:tcPr>
            <w:tcW w:w="5880" w:type="dxa"/>
            <w:vAlign w:val="bottom"/>
          </w:tcPr>
          <w:p>
            <w:pPr>
              <w:spacing w:after="0"/>
              <w:rPr>
                <w:sz w:val="20"/>
                <w:szCs w:val="20"/>
                <w:color w:val="auto"/>
              </w:rPr>
            </w:pPr>
            <w:r>
              <w:rPr>
                <w:rFonts w:ascii="Times New Roman" w:cs="Times New Roman" w:eastAsia="Times New Roman" w:hAnsi="Times New Roman"/>
                <w:sz w:val="22"/>
                <w:szCs w:val="22"/>
                <w:color w:val="auto"/>
              </w:rPr>
              <w:t>Other comprehensive income, net of tax: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58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2"/>
                <w:szCs w:val="22"/>
                <w:color w:val="auto"/>
              </w:rPr>
              <w:t>Unrealized holding gain on investments, net of tax expense of</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58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$20 and $7 for the three months, and $51 and $3 for the six</w:t>
            </w: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1"/>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months ended June 30, 2017 and 2016,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16"/>
        </w:trPr>
        <w:tc>
          <w:tcPr>
            <w:tcW w:w="588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rPr>
              <w:t>Reclassification of gain on sale of investment to net income,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1"/>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2"/>
                <w:szCs w:val="22"/>
                <w:color w:val="auto"/>
              </w:rPr>
              <w:t>of tax of $30 for the six months ended June 30, 2016 (1)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57"/>
        </w:trPr>
        <w:tc>
          <w:tcPr>
            <w:tcW w:w="588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Comprehensive income</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$ 61,005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59,638</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110,135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111,312</w:t>
            </w:r>
          </w:p>
        </w:tc>
      </w:tr>
    </w:tbl>
    <w:p>
      <w:pPr>
        <w:spacing w:after="0" w:line="243" w:lineRule="exact"/>
        <w:rPr>
          <w:sz w:val="20"/>
          <w:szCs w:val="20"/>
          <w:color w:val="auto"/>
        </w:rPr>
      </w:pPr>
    </w:p>
    <w:p>
      <w:pPr>
        <w:ind w:right="160" w:firstLine="2"/>
        <w:spacing w:after="0" w:line="258"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pre-tax gain of $87 reclassified from accumulated other comprehensive income to gain on sale of other assets on the consolidated statements of net income for the six months ended June 30,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15696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860"/>
          </w:cols>
          <w:pgMar w:left="1020" w:top="111" w:right="101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57"/>
        </w:trPr>
        <w:tc>
          <w:tcPr>
            <w:tcW w:w="4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196"/>
        </w:trPr>
        <w:tc>
          <w:tcPr>
            <w:tcW w:w="45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$.50 par value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1,896,530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1,850,068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174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 to 0.99%</w:t>
            </w:r>
          </w:p>
        </w:tc>
        <w:tc>
          <w:tcPr>
            <w:tcW w:w="1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 to 2033</w:t>
            </w: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1.00% to 1.99%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2019 to 2035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2.00% to 2.99%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2024 to 2033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3.00% to 3.99%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2019 to 2056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4.00% to 4.99%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2020 to 2054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5.00% to 5.99%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2019 to 2043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6.00% to 6.99%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2017 to 2036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7.00% to 7.99%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2022 to 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8.00% to 8.99%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2021 to 2025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9.00% to 9.99%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2018 to 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10.00% to 10.99%</w:t>
            </w:r>
          </w:p>
        </w:tc>
        <w:tc>
          <w:tcPr>
            <w:tcW w:w="16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1,247,224</w:t>
            </w: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9"/>
                <w:szCs w:val="9"/>
                <w:color w:val="auto"/>
              </w:rPr>
            </w:pPr>
          </w:p>
        </w:tc>
        <w:tc>
          <w:tcPr>
            <w:tcW w:w="142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2021</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notes payable: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notes at 1.921% and 1.975% due 2017 and 2018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Notes ranging from 3.01% to 3.59% due 2027 through 2041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ranging from 4.62% to 4.87%, due 2017 through 2024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Notes ranging from 5.20% to 5.95%, due 2018 through 2037</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1,822,581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3,719,111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3,587,673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67310</wp:posOffset>
            </wp:positionV>
            <wp:extent cx="618299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CONSOLIDATED STATEMENT OF EQUITY</w:t>
      </w:r>
    </w:p>
    <w:p>
      <w:pPr>
        <w:jc w:val="center"/>
        <w:ind w:right="-19"/>
        <w:spacing w:after="0" w:line="192" w:lineRule="auto"/>
        <w:rPr>
          <w:sz w:val="20"/>
          <w:szCs w:val="20"/>
          <w:color w:val="auto"/>
        </w:rPr>
      </w:pPr>
      <w:r>
        <w:rPr>
          <w:rFonts w:ascii="Times New Roman" w:cs="Times New Roman" w:eastAsia="Times New Roman" w:hAnsi="Times New Roman"/>
          <w:sz w:val="22"/>
          <w:szCs w:val="22"/>
          <w:color w:val="auto"/>
        </w:rPr>
        <w:t>(In thousands of dollars)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9"/>
              </w:rPr>
              <w:t>Accumulated</w:t>
            </w:r>
          </w:p>
        </w:tc>
        <w:tc>
          <w:tcPr>
            <w:tcW w:w="1000" w:type="dxa"/>
            <w:vAlign w:val="bottom"/>
          </w:tcPr>
          <w:p>
            <w:pPr>
              <w:spacing w:after="0"/>
              <w:rPr>
                <w:sz w:val="22"/>
                <w:szCs w:val="22"/>
                <w:color w:val="auto"/>
              </w:rPr>
            </w:pPr>
          </w:p>
        </w:tc>
      </w:tr>
      <w:tr>
        <w:trPr>
          <w:trHeight w:val="270"/>
        </w:trPr>
        <w:tc>
          <w:tcPr>
            <w:tcW w:w="3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Capital in</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Other</w:t>
            </w:r>
          </w:p>
        </w:tc>
        <w:tc>
          <w:tcPr>
            <w:tcW w:w="1000" w:type="dxa"/>
            <w:vAlign w:val="bottom"/>
          </w:tcPr>
          <w:p>
            <w:pPr>
              <w:spacing w:after="0"/>
              <w:rPr>
                <w:sz w:val="23"/>
                <w:szCs w:val="23"/>
                <w:color w:val="auto"/>
              </w:rPr>
            </w:pPr>
          </w:p>
        </w:tc>
      </w:tr>
      <w:tr>
        <w:trPr>
          <w:trHeight w:val="270"/>
        </w:trPr>
        <w:tc>
          <w:tcPr>
            <w:tcW w:w="3100" w:type="dxa"/>
            <w:vAlign w:val="bottom"/>
          </w:tcPr>
          <w:p>
            <w:pPr>
              <w:spacing w:after="0"/>
              <w:rPr>
                <w:sz w:val="23"/>
                <w:szCs w:val="23"/>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Common</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Excess of</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Retained</w:t>
            </w:r>
          </w:p>
        </w:tc>
        <w:tc>
          <w:tcPr>
            <w:tcW w:w="1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5"/>
              </w:rPr>
              <w:t>Treasury</w:t>
            </w: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Comprehensive</w:t>
            </w:r>
          </w:p>
        </w:tc>
        <w:tc>
          <w:tcPr>
            <w:tcW w:w="1000" w:type="dxa"/>
            <w:vAlign w:val="bottom"/>
          </w:tcPr>
          <w:p>
            <w:pPr>
              <w:spacing w:after="0"/>
              <w:rPr>
                <w:sz w:val="23"/>
                <w:szCs w:val="23"/>
                <w:color w:val="auto"/>
              </w:rPr>
            </w:pPr>
          </w:p>
        </w:tc>
      </w:tr>
      <w:tr>
        <w:trPr>
          <w:trHeight w:val="264"/>
        </w:trPr>
        <w:tc>
          <w:tcPr>
            <w:tcW w:w="3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Stock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Par Value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Earnings</w:t>
            </w:r>
          </w:p>
        </w:tc>
        <w:tc>
          <w:tcPr>
            <w:tcW w:w="160" w:type="dxa"/>
            <w:vAlign w:val="bottom"/>
          </w:tcPr>
          <w:p>
            <w:pPr>
              <w:spacing w:after="0"/>
              <w:rPr>
                <w:sz w:val="22"/>
                <w:szCs w:val="22"/>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Stock</w:t>
            </w:r>
          </w:p>
        </w:tc>
        <w:tc>
          <w:tcPr>
            <w:tcW w:w="22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6"/>
              </w:rPr>
              <w:t>Income</w:t>
            </w: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Total</w:t>
            </w:r>
          </w:p>
        </w:tc>
      </w:tr>
      <w:tr>
        <w:trPr>
          <w:trHeight w:val="237"/>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2016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90,155</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797,513</w:t>
            </w:r>
          </w:p>
        </w:tc>
        <w:tc>
          <w:tcPr>
            <w:tcW w:w="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$ 1,032,844</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(71,113)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$1,850,068</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110,040</w:t>
            </w:r>
          </w:p>
        </w:tc>
      </w:tr>
      <w:tr>
        <w:trPr>
          <w:trHeight w:val="207"/>
        </w:trPr>
        <w:tc>
          <w:tcPr>
            <w:tcW w:w="3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Other comprehensive income, net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of $51</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Dividends</w:t>
            </w:r>
          </w:p>
        </w:tc>
        <w:tc>
          <w:tcPr>
            <w:tcW w:w="2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(67,920)</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(67,920)</w:t>
            </w: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 of stock (23,194 shares)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715</w:t>
            </w:r>
          </w:p>
        </w:tc>
      </w:tr>
      <w:tr>
        <w:trPr>
          <w:trHeight w:val="207"/>
        </w:trPr>
        <w:tc>
          <w:tcPr>
            <w:tcW w:w="31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Repurchase of stock (67,295</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(2,093)</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w:t>
            </w:r>
          </w:p>
        </w:tc>
      </w:tr>
      <w:tr>
        <w:trPr>
          <w:trHeight w:val="207"/>
        </w:trPr>
        <w:tc>
          <w:tcPr>
            <w:tcW w:w="3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Equity compensation plan (160,279</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7"/>
        </w:trPr>
        <w:tc>
          <w:tcPr>
            <w:tcW w:w="31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Exercise of stock options (140,550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2,257</w:t>
            </w:r>
          </w:p>
        </w:tc>
        <w:tc>
          <w:tcPr>
            <w:tcW w:w="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2,327</w:t>
            </w:r>
          </w:p>
        </w:tc>
      </w:tr>
      <w:tr>
        <w:trPr>
          <w:trHeight w:val="2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(90)</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2,720</w:t>
            </w:r>
          </w:p>
        </w:tc>
      </w:tr>
      <w:tr>
        <w:trPr>
          <w:trHeight w:val="207"/>
        </w:trPr>
        <w:tc>
          <w:tcPr>
            <w:tcW w:w="31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Cumulative effect of change 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accounting principle - windfall tax</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benefit</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w:t>
            </w:r>
          </w:p>
        </w:tc>
      </w:tr>
      <w:tr>
        <w:trPr>
          <w:trHeight w:val="2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(404)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w:t>
            </w:r>
          </w:p>
        </w:tc>
      </w:tr>
      <w:tr>
        <w:trPr>
          <w:trHeight w:val="230"/>
        </w:trPr>
        <w:tc>
          <w:tcPr>
            <w:tcW w:w="3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at June 30, 2017</w:t>
            </w: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90,317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802,799</w:t>
            </w:r>
          </w:p>
        </w:tc>
        <w:tc>
          <w:tcPr>
            <w:tcW w:w="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 xml:space="preserve"> 1,075,856</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(73,206)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764</w:t>
            </w:r>
          </w:p>
        </w:tc>
        <w:tc>
          <w:tcPr>
            <w:tcW w:w="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1,896,530</w:t>
            </w:r>
          </w:p>
        </w:tc>
      </w:tr>
    </w:tbl>
    <w:p>
      <w:pPr>
        <w:spacing w:after="0" w:line="2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Refer to Note 15 - Recent Accounting Pronouncements for a discussion of the cumulative effect of change in accounting principle - windfall tax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15696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1" w:right="121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CONSOLIDATED STATEMENTS OF CASH FLOW</w:t>
      </w:r>
    </w:p>
    <w:p>
      <w:pPr>
        <w:ind w:left="386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20" w:type="dxa"/>
            <w:vAlign w:val="bottom"/>
            <w:tcBorders>
              <w:bottom w:val="single" w:sz="8" w:color="auto"/>
            </w:tcBorders>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2016</w:t>
            </w:r>
          </w:p>
        </w:tc>
      </w:tr>
      <w:tr>
        <w:trPr>
          <w:trHeight w:val="190"/>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110,040</w:t>
            </w:r>
          </w:p>
        </w:tc>
        <w:tc>
          <w:tcPr>
            <w:tcW w:w="4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111,363</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64,742</w:t>
            </w:r>
          </w:p>
        </w:tc>
      </w:tr>
      <w:tr>
        <w:trPr>
          <w:trHeight w:val="213"/>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r>
      <w:tr>
        <w:trPr>
          <w:trHeight w:val="213"/>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(gain) on sale of utility system and market-based business unit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13"/>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other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r>
      <w:tr>
        <w:trPr>
          <w:trHeight w:val="213"/>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Postretirement benefit contributions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7,923</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157,261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177,658</w:t>
            </w:r>
          </w:p>
        </w:tc>
      </w:tr>
      <w:tr>
        <w:trPr>
          <w:trHeight w:val="193"/>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of $1,543 and $1,097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(168,587)</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 of utility systems and other, net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from the sale of utility system and other assets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w:t>
            </w: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(213,279)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(167,819)</w:t>
            </w:r>
          </w:p>
        </w:tc>
      </w:tr>
      <w:tr>
        <w:trPr>
          <w:trHeight w:val="193"/>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customers' advances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of short-term debt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169,297</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(112,650)</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cash overdraft position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(15,338)</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issuing common stock</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 windfall tax benefits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3"/>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(63,071)</w:t>
            </w: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from (used in) financing activities</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60,066</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(8,145)</w:t>
            </w:r>
          </w:p>
        </w:tc>
      </w:tr>
      <w:tr>
        <w:trPr>
          <w:trHeight w:val="196"/>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r>
      <w:tr>
        <w:trPr>
          <w:trHeight w:val="203"/>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4,923</w:t>
            </w:r>
          </w:p>
        </w:tc>
      </w:tr>
      <w:tr>
        <w:trPr>
          <w:trHeight w:val="416"/>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32,770</w:t>
            </w:r>
          </w:p>
        </w:tc>
        <w:tc>
          <w:tcPr>
            <w:tcW w:w="4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20,863</w:t>
            </w:r>
          </w:p>
        </w:tc>
      </w:tr>
      <w:tr>
        <w:trPr>
          <w:trHeight w:val="210"/>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customer advances and contributions in aid of construction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3 - Acquisitions for a description of non-cash activities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67310</wp:posOffset>
            </wp:positionV>
            <wp:extent cx="61144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NOTES TO CONSOLIDATED FINANCIAL STATEMENTS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The accompanying consolidated balance sheets and statements of capitalization of Aqua America, Inc. and subsidiaries (the “Company”) at June 30, 2017, the consolidated statements of net income and comprehensive income for the three and six months ended June 30, 2017 and 2016 the consolidated statements of cash flow for the six months ended June 30, 2017 and 2016, and the consolidated statement of equity for the six months ended June 30, 2017 are unaudited, but reflect all adjustments, consisting of only normal recurring accruals, which are, in the opinion of management, necessary to present a fair statement of our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2016. The results of operations for interim periods may not be indicative of the results that may be expected for the entire year. The December 31, 2016 consolidated balance sheet data presented herein was derived from the Company’s December 31, 2016 audited consolidated financial statements, but does not include all disclosures and notes normally provided in annual financial statements. Certain prior period amounts have been reclassified to conform to the current period presentation of postretirement benefit contributions in the consolidated statements of cash flows.</w:t>
      </w:r>
    </w:p>
    <w:p>
      <w:pPr>
        <w:spacing w:after="0" w:line="220"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our consolidated balance sheets, the revenues and expenses in our consolidated statements of net income, and the information that is contained in our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summary of significant accounting policies, and notes.</w:t>
      </w:r>
    </w:p>
    <w:p>
      <w:pPr>
        <w:spacing w:after="0" w:line="21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color w:val="auto"/>
                <w:w w:val="98"/>
              </w:rPr>
              <w:t>Regulated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5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color w:val="auto"/>
                <w:w w:val="98"/>
              </w:rPr>
              <w:t>Segment</w:t>
            </w:r>
          </w:p>
        </w:tc>
        <w:tc>
          <w:tcPr>
            <w:tcW w:w="26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Other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Consolidated</w:t>
            </w: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Balance at December 31, 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37,367</w:t>
            </w:r>
          </w:p>
        </w:tc>
        <w:tc>
          <w:tcPr>
            <w:tcW w:w="1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4,841</w:t>
            </w: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42,208</w:t>
            </w:r>
          </w:p>
        </w:tc>
      </w:tr>
      <w:tr>
        <w:trPr>
          <w:trHeight w:val="284"/>
        </w:trPr>
        <w:tc>
          <w:tcPr>
            <w:tcW w:w="5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Goodwill acquired</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4"/>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Reclassification to utility plant acquisition adjustment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(14)</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57"/>
        </w:trPr>
        <w:tc>
          <w:tcPr>
            <w:tcW w:w="53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Balance at June 30, 2017</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37,425</w:t>
            </w:r>
          </w:p>
        </w:tc>
        <w:tc>
          <w:tcPr>
            <w:tcW w:w="1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4,841</w:t>
            </w:r>
          </w:p>
        </w:tc>
        <w:tc>
          <w:tcPr>
            <w:tcW w:w="1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42,266</w:t>
            </w:r>
          </w:p>
        </w:tc>
      </w:tr>
    </w:tbl>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left="1240" w:right="154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recovery through customer rates, of goodwill associated with some acquisitions upon achieving specific objectives.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color w:val="auto"/>
        </w:rPr>
        <w:t>During the first half of 2017, the Company completed three acquisitions of water and wastewater utility systems in various states adding 1,002 customers. The total purchase price of these utility systems consisted of $5,765 in cash, which resulted in $72 of goodwill being recorded. The pro forma effect of the businesses acquired is not material either individually or collectively to the Company’s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Pursuant to our strategy to grow through acquisitions, in January 2016, the Company acquired Superior Water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Inc., which provides public water service to approximately 3,900 customers in portions of Berks,</w:t>
      </w:r>
    </w:p>
    <w:p>
      <w:pPr>
        <w:spacing w:after="0" w:line="230" w:lineRule="auto"/>
        <w:rPr>
          <w:sz w:val="20"/>
          <w:szCs w:val="20"/>
          <w:color w:val="auto"/>
        </w:rPr>
      </w:pPr>
      <w:r>
        <w:rPr>
          <w:rFonts w:ascii="Times New Roman" w:cs="Times New Roman" w:eastAsia="Times New Roman" w:hAnsi="Times New Roman"/>
          <w:sz w:val="22"/>
          <w:szCs w:val="22"/>
          <w:color w:val="auto"/>
        </w:rPr>
        <w:t>Chester, and Montgomery counties in Pennsylvania. The total purchase price for the utility system was</w:t>
      </w:r>
    </w:p>
    <w:p>
      <w:pPr>
        <w:spacing w:after="0" w:line="231" w:lineRule="auto"/>
        <w:rPr>
          <w:sz w:val="20"/>
          <w:szCs w:val="20"/>
          <w:color w:val="auto"/>
        </w:rPr>
      </w:pPr>
      <w:r>
        <w:rPr>
          <w:rFonts w:ascii="Times New Roman" w:cs="Times New Roman" w:eastAsia="Times New Roman" w:hAnsi="Times New Roman"/>
          <w:sz w:val="22"/>
          <w:szCs w:val="22"/>
          <w:color w:val="auto"/>
        </w:rPr>
        <w:t>$16,750, which consisted of the issuance of 439,943 shares of the Company’s common stock and $3,905 in</w:t>
      </w:r>
    </w:p>
    <w:p>
      <w:pPr>
        <w:spacing w:after="0" w:line="230" w:lineRule="auto"/>
        <w:rPr>
          <w:sz w:val="20"/>
          <w:szCs w:val="20"/>
          <w:color w:val="auto"/>
        </w:rPr>
      </w:pPr>
      <w:r>
        <w:rPr>
          <w:rFonts w:ascii="Times New Roman" w:cs="Times New Roman" w:eastAsia="Times New Roman" w:hAnsi="Times New Roman"/>
          <w:sz w:val="22"/>
          <w:szCs w:val="22"/>
          <w:color w:val="auto"/>
        </w:rPr>
        <w:t>cash. The purchase price allocation for this acquisition consisted primarily of acquired property, plant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equipment of $25,167, contributions in aid of construction of $16,565, and goodwill of $8,622. Additionally,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during 2016, the Company completed eighteen acquisitions of water and wastewater utility systems in various</w:t>
      </w:r>
    </w:p>
    <w:p>
      <w:pPr>
        <w:spacing w:after="0" w:line="232" w:lineRule="auto"/>
        <w:rPr>
          <w:sz w:val="20"/>
          <w:szCs w:val="20"/>
          <w:color w:val="auto"/>
        </w:rPr>
      </w:pPr>
      <w:r>
        <w:rPr>
          <w:rFonts w:ascii="Times New Roman" w:cs="Times New Roman" w:eastAsia="Times New Roman" w:hAnsi="Times New Roman"/>
          <w:sz w:val="22"/>
          <w:szCs w:val="22"/>
          <w:color w:val="auto"/>
        </w:rPr>
        <w:t>states adding 2,469 customers. The total purchase price of these utility systems consisted of $5,518 in cash,</w:t>
      </w:r>
    </w:p>
    <w:p>
      <w:pPr>
        <w:spacing w:after="0" w:line="230" w:lineRule="auto"/>
        <w:rPr>
          <w:sz w:val="20"/>
          <w:szCs w:val="20"/>
          <w:color w:val="auto"/>
        </w:rPr>
      </w:pPr>
      <w:r>
        <w:rPr>
          <w:rFonts w:ascii="Times New Roman" w:cs="Times New Roman" w:eastAsia="Times New Roman" w:hAnsi="Times New Roman"/>
          <w:sz w:val="22"/>
          <w:szCs w:val="22"/>
          <w:color w:val="auto"/>
        </w:rPr>
        <w:t>which resulted in $1,756 of goodwill being recorded. The pro forma effect of the businesses acquired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either individually or collectively to the Company’s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Assets Held for Sale</w:t>
      </w:r>
    </w:p>
    <w:p>
      <w:pPr>
        <w:spacing w:after="0" w:line="23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the first quarter of 2017, the Company decided to market for sale a water system that serves approximately 265 customers. This water system is reported as assets held for sale in the Company’s consolidated balance sheet.</w:t>
      </w:r>
    </w:p>
    <w:p>
      <w:pPr>
        <w:spacing w:after="0" w:line="20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In the second quarter of 2016, the Company decided to market for sale two business units that are reported within the Company’s market-based subsidiary, Aqua Resources. One business unit installed and tested devices that prevent the contamination of potable water and repaired water and wastewater systems, for which the sale was completed in January 2017. The other business unit repairs and performs maintenance on water and wastewater systems, for which the sale was completed in June 2017.</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2" w:right="115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Capitalization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July 2017, Aqua Illinois issued $100,000 of first mortgage bonds consisting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9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Amount</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Interest Rate</w:t>
            </w:r>
          </w:p>
        </w:tc>
        <w:tc>
          <w:tcPr>
            <w:tcW w:w="30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6"/>
              </w:rPr>
              <w:t>Maturity</w:t>
            </w:r>
          </w:p>
        </w:tc>
      </w:tr>
      <w:tr>
        <w:trPr>
          <w:trHeight w:val="237"/>
        </w:trPr>
        <w:tc>
          <w:tcPr>
            <w:tcW w:w="2940" w:type="dxa"/>
            <w:vAlign w:val="bottom"/>
            <w:shd w:val="clear" w:color="auto" w:fill="CCEEFF"/>
          </w:tcPr>
          <w:p>
            <w:pPr>
              <w:jc w:val="center"/>
              <w:ind w:right="92"/>
              <w:spacing w:after="0" w:line="237" w:lineRule="exact"/>
              <w:rPr>
                <w:sz w:val="20"/>
                <w:szCs w:val="20"/>
                <w:color w:val="auto"/>
              </w:rPr>
            </w:pPr>
            <w:r>
              <w:rPr>
                <w:rFonts w:ascii="Times New Roman" w:cs="Times New Roman" w:eastAsia="Times New Roman" w:hAnsi="Times New Roman"/>
                <w:sz w:val="22"/>
                <w:szCs w:val="22"/>
                <w:color w:val="auto"/>
                <w:w w:val="97"/>
              </w:rPr>
              <w:t>$25,000</w:t>
            </w:r>
          </w:p>
        </w:tc>
        <w:tc>
          <w:tcPr>
            <w:tcW w:w="3560" w:type="dxa"/>
            <w:vAlign w:val="bottom"/>
            <w:shd w:val="clear" w:color="auto" w:fill="CCEEFF"/>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3.64%</w:t>
            </w:r>
          </w:p>
        </w:tc>
        <w:tc>
          <w:tcPr>
            <w:tcW w:w="3040" w:type="dxa"/>
            <w:vAlign w:val="bottom"/>
            <w:shd w:val="clear" w:color="auto" w:fill="CCEEFF"/>
          </w:tcPr>
          <w:p>
            <w:pPr>
              <w:jc w:val="center"/>
              <w:ind w:left="72"/>
              <w:spacing w:after="0" w:line="237" w:lineRule="exact"/>
              <w:rPr>
                <w:sz w:val="20"/>
                <w:szCs w:val="20"/>
                <w:color w:val="auto"/>
              </w:rPr>
            </w:pPr>
            <w:r>
              <w:rPr>
                <w:rFonts w:ascii="Times New Roman" w:cs="Times New Roman" w:eastAsia="Times New Roman" w:hAnsi="Times New Roman"/>
                <w:sz w:val="22"/>
                <w:szCs w:val="22"/>
                <w:color w:val="auto"/>
                <w:w w:val="95"/>
              </w:rPr>
              <w:t>2032</w:t>
            </w:r>
          </w:p>
        </w:tc>
      </w:tr>
      <w:tr>
        <w:trPr>
          <w:trHeight w:val="243"/>
        </w:trPr>
        <w:tc>
          <w:tcPr>
            <w:tcW w:w="294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5"/>
              </w:rPr>
              <w:t>$6,000</w:t>
            </w:r>
          </w:p>
        </w:tc>
        <w:tc>
          <w:tcPr>
            <w:tcW w:w="3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3.89%</w:t>
            </w:r>
          </w:p>
        </w:tc>
        <w:tc>
          <w:tcPr>
            <w:tcW w:w="30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5"/>
              </w:rPr>
              <w:t>2037</w:t>
            </w:r>
          </w:p>
        </w:tc>
      </w:tr>
      <w:tr>
        <w:trPr>
          <w:trHeight w:val="243"/>
        </w:trPr>
        <w:tc>
          <w:tcPr>
            <w:tcW w:w="2940" w:type="dxa"/>
            <w:vAlign w:val="bottom"/>
            <w:shd w:val="clear" w:color="auto" w:fill="CCEEFF"/>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7"/>
              </w:rPr>
              <w:t>$15,000</w:t>
            </w:r>
          </w:p>
        </w:tc>
        <w:tc>
          <w:tcPr>
            <w:tcW w:w="356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3.90%</w:t>
            </w:r>
          </w:p>
        </w:tc>
        <w:tc>
          <w:tcPr>
            <w:tcW w:w="3040" w:type="dxa"/>
            <w:vAlign w:val="bottom"/>
            <w:shd w:val="clear" w:color="auto" w:fill="CCEEFF"/>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5"/>
              </w:rPr>
              <w:t>2038</w:t>
            </w:r>
          </w:p>
        </w:tc>
      </w:tr>
      <w:tr>
        <w:trPr>
          <w:trHeight w:val="243"/>
        </w:trPr>
        <w:tc>
          <w:tcPr>
            <w:tcW w:w="294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7"/>
              </w:rPr>
              <w:t>$10,000</w:t>
            </w:r>
          </w:p>
        </w:tc>
        <w:tc>
          <w:tcPr>
            <w:tcW w:w="3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4.18%</w:t>
            </w:r>
          </w:p>
        </w:tc>
        <w:tc>
          <w:tcPr>
            <w:tcW w:w="30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5"/>
              </w:rPr>
              <w:t>2047</w:t>
            </w:r>
          </w:p>
        </w:tc>
      </w:tr>
      <w:tr>
        <w:trPr>
          <w:trHeight w:val="243"/>
        </w:trPr>
        <w:tc>
          <w:tcPr>
            <w:tcW w:w="2940" w:type="dxa"/>
            <w:vAlign w:val="bottom"/>
            <w:shd w:val="clear" w:color="auto" w:fill="CCEEFF"/>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7"/>
              </w:rPr>
              <w:t>$22,000</w:t>
            </w:r>
          </w:p>
        </w:tc>
        <w:tc>
          <w:tcPr>
            <w:tcW w:w="356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4.22%</w:t>
            </w:r>
          </w:p>
        </w:tc>
        <w:tc>
          <w:tcPr>
            <w:tcW w:w="3040" w:type="dxa"/>
            <w:vAlign w:val="bottom"/>
            <w:shd w:val="clear" w:color="auto" w:fill="CCEEFF"/>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5"/>
              </w:rPr>
              <w:t>2049</w:t>
            </w:r>
          </w:p>
        </w:tc>
      </w:tr>
      <w:tr>
        <w:trPr>
          <w:trHeight w:val="283"/>
        </w:trPr>
        <w:tc>
          <w:tcPr>
            <w:tcW w:w="29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7"/>
              </w:rPr>
              <w:t>$22,000</w:t>
            </w:r>
          </w:p>
        </w:tc>
        <w:tc>
          <w:tcPr>
            <w:tcW w:w="3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4.24%</w:t>
            </w:r>
          </w:p>
        </w:tc>
        <w:tc>
          <w:tcPr>
            <w:tcW w:w="304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5"/>
              </w:rPr>
              <w:t>2050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proceeds from these bonds were used to repay existing indebtedness and for general corporate purposes.</w:t>
      </w:r>
    </w:p>
    <w:p>
      <w:pPr>
        <w:spacing w:after="0" w:line="24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In July 2017, Aqua Pennsylvania issued $80,000 of first mortgage bonds, of which $40,000 is due in 2055 and $40,000 is due in 2057 with interest rates of 4.04% and 4.06%, respectively. The proceeds from these bonds were used to repay existing indebtedness and for general corporate purposes.</w:t>
      </w:r>
    </w:p>
    <w:p>
      <w:pPr>
        <w:spacing w:after="0" w:line="20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January 2017, Aqua Pennsylvania issued $50,000 of first mortgage bonds, of which $10,000 is due in 2042 and $40,000 is due in 2044 with interest rates of 3.65% and 3.69%, respectively. The proceeds from these bonds were used to repay existing indebtedness and for general corporate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Fair Value of Financial Instruments</w:t>
      </w:r>
    </w:p>
    <w:p>
      <w:pPr>
        <w:spacing w:after="0" w:line="23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The Company follows the Financial Accounting Standards Board’s (“FASB”)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98" w:lineRule="exact"/>
        <w:rPr>
          <w:sz w:val="20"/>
          <w:szCs w:val="20"/>
          <w:color w:val="auto"/>
        </w:rPr>
      </w:pPr>
    </w:p>
    <w:p>
      <w:pPr>
        <w:ind w:left="320" w:right="40" w:hanging="320"/>
        <w:spacing w:after="0" w:line="258"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1: unadjusted quoted prices in active markets for identical assets or liabilities that the Company has the ability to access;</w:t>
      </w:r>
    </w:p>
    <w:p>
      <w:pPr>
        <w:spacing w:after="0" w:line="185" w:lineRule="exact"/>
        <w:rPr>
          <w:rFonts w:ascii="Times New Roman" w:cs="Times New Roman" w:eastAsia="Times New Roman" w:hAnsi="Times New Roman"/>
          <w:sz w:val="22"/>
          <w:szCs w:val="22"/>
          <w:color w:val="auto"/>
        </w:rPr>
      </w:pPr>
    </w:p>
    <w:p>
      <w:pPr>
        <w:ind w:left="320" w:right="120" w:hanging="320"/>
        <w:spacing w:after="0" w:line="239"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207"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3: inputs that are unobservable and significant to the fair value measurement.</w:t>
      </w:r>
    </w:p>
    <w:p>
      <w:pPr>
        <w:spacing w:after="0" w:line="233"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been no changes in the valuation techniques used to measure fair value, or asset or liability transfers between the levels of the fair value hierarchy for the quarter ended June 30, 2017.</w:t>
      </w:r>
    </w:p>
    <w:p>
      <w:pPr>
        <w:spacing w:after="0" w:line="18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20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June 30, 2017 and December 31, 2016, the carrying amount of the Company’s loans payable was $67,456 and $6,535, respectively, which equates to their estimated fair value. The fair value of mutual funds to fund our deferred compensation plan liability is determined based on quoted market prices from active markets utilizing Level 1 methods and assumptions. As of June 30, 2017 and December 31, 2016, the carrying amount of these securities was $18,000 and $17,072, which equates to their fair value, and is reported in the consolidated balance sheet in deferred charges and other assets. The fair value of cash and cash equivalents, which is comprised of a money market fund, is determined based on the net asset value per unit utilizing Level 2 methods and assumptions. As of June 30, 2017 and December 31, 2016, the carrying amounts of the Company's cash and cash equivalents was $7,811 and $3,763, respectively, which equates to their fair value.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80" w:type="dxa"/>
            <w:vAlign w:val="bottom"/>
          </w:tcPr>
          <w:p>
            <w:pPr>
              <w:spacing w:after="0"/>
              <w:rPr>
                <w:sz w:val="24"/>
                <w:szCs w:val="24"/>
                <w:color w:val="auto"/>
              </w:rPr>
            </w:pPr>
          </w:p>
        </w:tc>
        <w:tc>
          <w:tcPr>
            <w:tcW w:w="1660" w:type="dxa"/>
            <w:vAlign w:val="bottom"/>
          </w:tcPr>
          <w:p>
            <w:pPr>
              <w:jc w:val="center"/>
              <w:ind w:left="832"/>
              <w:spacing w:after="0"/>
              <w:rPr>
                <w:sz w:val="20"/>
                <w:szCs w:val="20"/>
                <w:color w:val="auto"/>
              </w:rPr>
            </w:pPr>
            <w:r>
              <w:rPr>
                <w:rFonts w:ascii="Times New Roman" w:cs="Times New Roman" w:eastAsia="Times New Roman" w:hAnsi="Times New Roman"/>
                <w:sz w:val="22"/>
                <w:szCs w:val="22"/>
                <w:color w:val="auto"/>
                <w:w w:val="98"/>
              </w:rPr>
              <w:t>June 30,</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December 31,</w:t>
            </w:r>
          </w:p>
        </w:tc>
      </w:tr>
      <w:tr>
        <w:trPr>
          <w:trHeight w:val="272"/>
        </w:trPr>
        <w:tc>
          <w:tcPr>
            <w:tcW w:w="408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2017</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Carrying Amount</w:t>
            </w:r>
          </w:p>
        </w:tc>
        <w:tc>
          <w:tcPr>
            <w:tcW w:w="166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7"/>
              </w:rPr>
              <w:t>1,987,909</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1,910,633</w:t>
            </w:r>
          </w:p>
        </w:tc>
      </w:tr>
      <w:tr>
        <w:trPr>
          <w:trHeight w:val="296"/>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1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2,049,090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2,018,933</w:t>
            </w:r>
          </w:p>
        </w:tc>
      </w:tr>
    </w:tbl>
    <w:p>
      <w:pPr>
        <w:spacing w:after="0" w:line="21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$91,131 as of June 30, 2017, and $91,843 as of December 31, 2016. Their relative fair values cannot be accurately estimated because future refund payments depend on several variables, including new customer connections, customer consumption levels, and future rate increases. Portions of these non-interest bearing instruments are payable annually through 2027 and amounts not paid by the respective contract expiration dates become non-refundable. The fair value of these amounts would, however, be less than their carrying value due to the non-interest bearing feature.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Net Income per Common Share</w:t>
      </w:r>
    </w:p>
    <w:p>
      <w:pPr>
        <w:spacing w:after="0" w:line="23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average market price during the period. The following table summarizes the shares, in thousands, used in computing basic and diluted net income per common share: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2"/>
                <w:szCs w:val="22"/>
                <w:color w:val="auto"/>
              </w:rPr>
            </w:pPr>
          </w:p>
        </w:tc>
        <w:tc>
          <w:tcPr>
            <w:tcW w:w="2320" w:type="dxa"/>
            <w:vAlign w:val="bottom"/>
            <w:gridSpan w:val="4"/>
          </w:tcPr>
          <w:p>
            <w:pPr>
              <w:jc w:val="center"/>
              <w:ind w:right="18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1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Six Months Ended</w:t>
            </w:r>
          </w:p>
        </w:tc>
        <w:tc>
          <w:tcPr>
            <w:tcW w:w="0" w:type="dxa"/>
            <w:vAlign w:val="bottom"/>
          </w:tcPr>
          <w:p>
            <w:pPr>
              <w:spacing w:after="0"/>
              <w:rPr>
                <w:sz w:val="1"/>
                <w:szCs w:val="1"/>
                <w:color w:val="auto"/>
              </w:rPr>
            </w:pPr>
          </w:p>
        </w:tc>
      </w:tr>
      <w:tr>
        <w:trPr>
          <w:trHeight w:val="271"/>
        </w:trPr>
        <w:tc>
          <w:tcPr>
            <w:tcW w:w="5100" w:type="dxa"/>
            <w:vAlign w:val="bottom"/>
          </w:tcPr>
          <w:p>
            <w:pPr>
              <w:spacing w:after="0"/>
              <w:rPr>
                <w:sz w:val="23"/>
                <w:szCs w:val="23"/>
                <w:color w:val="auto"/>
              </w:rPr>
            </w:pPr>
          </w:p>
        </w:tc>
        <w:tc>
          <w:tcPr>
            <w:tcW w:w="2320" w:type="dxa"/>
            <w:vAlign w:val="bottom"/>
            <w:gridSpan w:val="4"/>
          </w:tcPr>
          <w:p>
            <w:pPr>
              <w:jc w:val="center"/>
              <w:ind w:right="160"/>
              <w:spacing w:after="0"/>
              <w:rPr>
                <w:sz w:val="20"/>
                <w:szCs w:val="20"/>
                <w:color w:val="auto"/>
              </w:rPr>
            </w:pPr>
            <w:r>
              <w:rPr>
                <w:rFonts w:ascii="Times New Roman" w:cs="Times New Roman" w:eastAsia="Times New Roman" w:hAnsi="Times New Roman"/>
                <w:sz w:val="22"/>
                <w:szCs w:val="22"/>
                <w:color w:val="auto"/>
                <w:w w:val="98"/>
              </w:rPr>
              <w:t>June 30,</w:t>
            </w:r>
          </w:p>
        </w:tc>
        <w:tc>
          <w:tcPr>
            <w:tcW w:w="2120" w:type="dxa"/>
            <w:vAlign w:val="bottom"/>
            <w:gridSpan w:val="3"/>
          </w:tcPr>
          <w:p>
            <w:pPr>
              <w:jc w:val="right"/>
              <w:ind w:right="592"/>
              <w:spacing w:after="0"/>
              <w:rPr>
                <w:sz w:val="20"/>
                <w:szCs w:val="20"/>
                <w:color w:val="auto"/>
              </w:rPr>
            </w:pPr>
            <w:r>
              <w:rPr>
                <w:rFonts w:ascii="Times New Roman" w:cs="Times New Roman" w:eastAsia="Times New Roman" w:hAnsi="Times New Roman"/>
                <w:sz w:val="22"/>
                <w:szCs w:val="22"/>
                <w:color w:val="auto"/>
              </w:rPr>
              <w:t>June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2016</w:t>
            </w:r>
          </w:p>
        </w:tc>
        <w:tc>
          <w:tcPr>
            <w:tcW w:w="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22"/>
                <w:szCs w:val="22"/>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2016</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for basic computation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177,609</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177,288</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177,545</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177,196</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Dilutive effect of employee stock-based compensation</w:t>
            </w: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436</w:t>
            </w: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796</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497</w:t>
            </w: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724</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178,045</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178,084</w:t>
            </w:r>
          </w:p>
        </w:tc>
        <w:tc>
          <w:tcPr>
            <w:tcW w:w="1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178,042</w:t>
            </w: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177,920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for diluted computation</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1"/>
          <w:szCs w:val="21"/>
          <w:color w:val="auto"/>
        </w:rPr>
        <w:t>For the three and six months ended June 30, 2017 and 2016, all of the Company’s employee stock options were included in the calculations of diluted net income per share as the calculated cost to exercise the stock options was less than the average market price of the Company’s common stock during these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Stock-based Compensation</w:t>
      </w:r>
    </w:p>
    <w:p>
      <w:pPr>
        <w:spacing w:after="0" w:line="2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The 2009 Plan authorizes 6,250,000 shares for issuance under the plan. A maximum of 3,125,000 shares under the 2009 Plan may be issued pursuant to stock awards, stock units and other stock-based awards, subject to adjustment as provided in the 2009 Plan. During any calendar year, no individual may be granted</w:t>
      </w:r>
    </w:p>
    <w:p>
      <w:pPr>
        <w:ind w:right="60"/>
        <w:spacing w:after="0" w:line="232"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2017, 3,741,035 shares were still available for issuance under the 2009 Plan. No further grants may be made under the 2004 Plan.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common stock if specified performance goals are met over the three-year performance period specified in the grant, subject to exceptions through the respective vesting period,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60" w:type="dxa"/>
            <w:vAlign w:val="bottom"/>
          </w:tcPr>
          <w:p>
            <w:pPr>
              <w:spacing w:after="0"/>
              <w:rPr>
                <w:sz w:val="24"/>
                <w:szCs w:val="24"/>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jc w:val="center"/>
              <w:ind w:right="172"/>
              <w:spacing w:after="0"/>
              <w:rPr>
                <w:sz w:val="20"/>
                <w:szCs w:val="20"/>
                <w:color w:val="auto"/>
              </w:rPr>
            </w:pPr>
            <w:r>
              <w:rPr>
                <w:rFonts w:ascii="Times New Roman" w:cs="Times New Roman" w:eastAsia="Times New Roman" w:hAnsi="Times New Roman"/>
                <w:sz w:val="22"/>
                <w:szCs w:val="22"/>
                <w:color w:val="auto"/>
                <w:w w:val="98"/>
              </w:rPr>
              <w:t>Six Months Ended</w:t>
            </w:r>
          </w:p>
        </w:tc>
      </w:tr>
      <w:tr>
        <w:trPr>
          <w:trHeight w:val="272"/>
        </w:trPr>
        <w:tc>
          <w:tcPr>
            <w:tcW w:w="40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22"/>
                <w:szCs w:val="22"/>
                <w:color w:val="auto"/>
              </w:rPr>
              <w:t>June 30,</w:t>
            </w:r>
          </w:p>
        </w:tc>
        <w:tc>
          <w:tcPr>
            <w:tcW w:w="4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June 30,</w:t>
            </w:r>
          </w:p>
        </w:tc>
        <w:tc>
          <w:tcPr>
            <w:tcW w:w="880" w:type="dxa"/>
            <w:vAlign w:val="bottom"/>
            <w:tcBorders>
              <w:bottom w:val="single" w:sz="8" w:color="auto"/>
            </w:tcBorders>
          </w:tcPr>
          <w:p>
            <w:pPr>
              <w:spacing w:after="0"/>
              <w:rPr>
                <w:sz w:val="23"/>
                <w:szCs w:val="23"/>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w w:val="95"/>
              </w:rPr>
              <w:t>2017</w:t>
            </w: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2016</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2017</w:t>
            </w: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2016</w:t>
            </w:r>
          </w:p>
        </w:tc>
      </w:tr>
      <w:tr>
        <w:trPr>
          <w:trHeight w:val="196"/>
        </w:trPr>
        <w:tc>
          <w:tcPr>
            <w:tcW w:w="4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7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and maintenance expenses</w:t>
            </w:r>
          </w:p>
        </w:tc>
        <w:tc>
          <w:tcPr>
            <w:tcW w:w="8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6"/>
              </w:rPr>
              <w:t>971</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967</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1,841</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1,492</w:t>
            </w:r>
          </w:p>
        </w:tc>
      </w:tr>
      <w:tr>
        <w:trPr>
          <w:trHeight w:val="296"/>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394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six months ended June 30,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84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7"/>
              </w:rPr>
              <w:t>Number</w:t>
            </w:r>
          </w:p>
        </w:tc>
        <w:tc>
          <w:tcPr>
            <w:tcW w:w="200" w:type="dxa"/>
            <w:vAlign w:val="bottom"/>
          </w:tcPr>
          <w:p>
            <w:pPr>
              <w:spacing w:after="0"/>
              <w:rPr>
                <w:sz w:val="24"/>
                <w:szCs w:val="24"/>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84"/>
        </w:trPr>
        <w:tc>
          <w:tcPr>
            <w:tcW w:w="684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24"/>
                <w:szCs w:val="24"/>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6"/>
              </w:rPr>
              <w:t>Average</w:t>
            </w:r>
          </w:p>
        </w:tc>
      </w:tr>
      <w:tr>
        <w:trPr>
          <w:trHeight w:val="272"/>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8"/>
              </w:rPr>
              <w:t>Share Units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64"/>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476,896</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27.96</w:t>
            </w:r>
          </w:p>
        </w:tc>
      </w:tr>
      <w:tr>
        <w:trPr>
          <w:trHeight w:val="284"/>
        </w:trPr>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125,202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30.79</w:t>
            </w:r>
          </w:p>
        </w:tc>
      </w:tr>
      <w:tr>
        <w:trPr>
          <w:trHeight w:val="284"/>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Performance criteria adjustment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(64,034)</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27.75</w:t>
            </w:r>
          </w:p>
        </w:tc>
      </w:tr>
      <w:tr>
        <w:trPr>
          <w:trHeight w:val="284"/>
        </w:trPr>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Forfeited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(12,915)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28.01</w:t>
            </w:r>
          </w:p>
        </w:tc>
      </w:tr>
      <w:tr>
        <w:trPr>
          <w:trHeight w:val="284"/>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Share units vested in prior period and issued in current period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32,400</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25.31</w:t>
            </w:r>
          </w:p>
        </w:tc>
      </w:tr>
      <w:tr>
        <w:trPr>
          <w:trHeight w:val="284"/>
        </w:trPr>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 units issued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(125,999)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36.37</w:t>
            </w:r>
          </w:p>
        </w:tc>
      </w:tr>
      <w:tr>
        <w:trPr>
          <w:trHeight w:val="257"/>
        </w:trPr>
        <w:tc>
          <w:tcPr>
            <w:tcW w:w="684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13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431,550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26.16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market-based conditions using the Monte Carlo valuation method, which assesses probabilities of various</w:t>
      </w:r>
    </w:p>
    <w:p>
      <w:pPr>
        <w:spacing w:after="0" w:line="230" w:lineRule="auto"/>
        <w:rPr>
          <w:sz w:val="20"/>
          <w:szCs w:val="20"/>
          <w:color w:val="auto"/>
        </w:rPr>
      </w:pPr>
      <w:r>
        <w:rPr>
          <w:rFonts w:ascii="Times New Roman" w:cs="Times New Roman" w:eastAsia="Times New Roman" w:hAnsi="Times New Roman"/>
          <w:sz w:val="22"/>
          <w:szCs w:val="22"/>
          <w:color w:val="auto"/>
        </w:rPr>
        <w:t>outcomes of market conditions. The other portion of the fair value of the PSUs is based on the fair market</w:t>
      </w:r>
    </w:p>
    <w:p>
      <w:pPr>
        <w:spacing w:after="0" w:line="231" w:lineRule="auto"/>
        <w:rPr>
          <w:sz w:val="20"/>
          <w:szCs w:val="20"/>
          <w:color w:val="auto"/>
        </w:rPr>
      </w:pPr>
      <w:r>
        <w:rPr>
          <w:rFonts w:ascii="Times New Roman" w:cs="Times New Roman" w:eastAsia="Times New Roman" w:hAnsi="Times New Roman"/>
          <w:sz w:val="22"/>
          <w:szCs w:val="22"/>
          <w:color w:val="auto"/>
        </w:rPr>
        <w:t>value of the Company’s stock at the grant date, regardless of whether the market-based condition is</w:t>
      </w:r>
    </w:p>
    <w:p>
      <w:pPr>
        <w:spacing w:after="0"/>
        <w:rPr>
          <w:sz w:val="20"/>
          <w:szCs w:val="20"/>
          <w:color w:val="auto"/>
        </w:rPr>
      </w:pPr>
      <w:r>
        <w:rPr>
          <w:rFonts w:ascii="Times New Roman" w:cs="Times New Roman" w:eastAsia="Times New Roman" w:hAnsi="Times New Roman"/>
          <w:sz w:val="21"/>
          <w:szCs w:val="21"/>
          <w:color w:val="auto"/>
        </w:rPr>
        <w:t>satisfied. The per unit weighted-average fair value at the date of grant for PSUs granted during the six months</w:t>
      </w:r>
    </w:p>
    <w:p>
      <w:pPr>
        <w:spacing w:after="0" w:line="232" w:lineRule="auto"/>
        <w:rPr>
          <w:sz w:val="20"/>
          <w:szCs w:val="20"/>
          <w:color w:val="auto"/>
        </w:rPr>
      </w:pPr>
      <w:r>
        <w:rPr>
          <w:rFonts w:ascii="Times New Roman" w:cs="Times New Roman" w:eastAsia="Times New Roman" w:hAnsi="Times New Roman"/>
          <w:sz w:val="22"/>
          <w:szCs w:val="22"/>
          <w:color w:val="auto"/>
        </w:rPr>
        <w:t>ended June 30, 2017 and 2016 was $30.79 and $28.89, respectively. The fair value of each PSU grant is</w:t>
      </w:r>
    </w:p>
    <w:p>
      <w:pPr>
        <w:spacing w:after="0" w:line="230" w:lineRule="auto"/>
        <w:rPr>
          <w:sz w:val="20"/>
          <w:szCs w:val="20"/>
          <w:color w:val="auto"/>
        </w:rPr>
      </w:pPr>
      <w:r>
        <w:rPr>
          <w:rFonts w:ascii="Times New Roman" w:cs="Times New Roman" w:eastAsia="Times New Roman" w:hAnsi="Times New Roman"/>
          <w:sz w:val="22"/>
          <w:szCs w:val="22"/>
          <w:color w:val="auto"/>
        </w:rPr>
        <w:t>amortized monthly into compensation expense on a straight-line basis over their respective vesting periods,</w:t>
      </w:r>
    </w:p>
    <w:p>
      <w:pPr>
        <w:spacing w:after="0" w:line="231" w:lineRule="auto"/>
        <w:rPr>
          <w:sz w:val="20"/>
          <w:szCs w:val="20"/>
          <w:color w:val="auto"/>
        </w:rPr>
      </w:pPr>
      <w:r>
        <w:rPr>
          <w:rFonts w:ascii="Times New Roman" w:cs="Times New Roman" w:eastAsia="Times New Roman" w:hAnsi="Times New Roman"/>
          <w:sz w:val="22"/>
          <w:szCs w:val="22"/>
          <w:color w:val="auto"/>
        </w:rPr>
        <w:t>generally 36 months. The accrual of compensation costs is based on our estimate of the final expected value</w:t>
      </w:r>
    </w:p>
    <w:p>
      <w:pPr>
        <w:spacing w:after="0" w:line="231" w:lineRule="auto"/>
        <w:rPr>
          <w:sz w:val="20"/>
          <w:szCs w:val="20"/>
          <w:color w:val="auto"/>
        </w:rPr>
      </w:pPr>
      <w:r>
        <w:rPr>
          <w:rFonts w:ascii="Times New Roman" w:cs="Times New Roman" w:eastAsia="Times New Roman" w:hAnsi="Times New Roman"/>
          <w:sz w:val="22"/>
          <w:szCs w:val="22"/>
          <w:color w:val="auto"/>
        </w:rPr>
        <w:t>of the award, and is adjusted as required for the portion based on the performance-based condition. The</w:t>
      </w:r>
    </w:p>
    <w:p>
      <w:pPr>
        <w:spacing w:after="0"/>
        <w:rPr>
          <w:sz w:val="20"/>
          <w:szCs w:val="20"/>
          <w:color w:val="auto"/>
        </w:rPr>
      </w:pPr>
      <w:r>
        <w:rPr>
          <w:rFonts w:ascii="Times New Roman" w:cs="Times New Roman" w:eastAsia="Times New Roman" w:hAnsi="Times New Roman"/>
          <w:sz w:val="21"/>
          <w:szCs w:val="21"/>
          <w:color w:val="auto"/>
        </w:rPr>
        <w:t>Company assumes that forfeitures will be minimal, and recognizes forfeitures as they occur, which results in a</w:t>
      </w:r>
    </w:p>
    <w:p>
      <w:pPr>
        <w:spacing w:after="0" w:line="232" w:lineRule="auto"/>
        <w:rPr>
          <w:sz w:val="20"/>
          <w:szCs w:val="20"/>
          <w:color w:val="auto"/>
        </w:rPr>
      </w:pPr>
      <w:r>
        <w:rPr>
          <w:rFonts w:ascii="Times New Roman" w:cs="Times New Roman" w:eastAsia="Times New Roman" w:hAnsi="Times New Roman"/>
          <w:sz w:val="22"/>
          <w:szCs w:val="22"/>
          <w:color w:val="auto"/>
        </w:rPr>
        <w:t>reduction in compensation expense. As the payout of the PSUs includes dividend equivalents, no separate</w:t>
      </w:r>
    </w:p>
    <w:p>
      <w:pPr>
        <w:spacing w:after="0" w:line="230" w:lineRule="auto"/>
        <w:rPr>
          <w:sz w:val="20"/>
          <w:szCs w:val="20"/>
          <w:color w:val="auto"/>
        </w:rPr>
      </w:pPr>
      <w:r>
        <w:rPr>
          <w:rFonts w:ascii="Times New Roman" w:cs="Times New Roman" w:eastAsia="Times New Roman" w:hAnsi="Times New Roman"/>
          <w:sz w:val="22"/>
          <w:szCs w:val="22"/>
          <w:color w:val="auto"/>
        </w:rPr>
        <w:t>dividend yield assumption is required in calculating the fair value of the PSUs. The recording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expense for PSUs has no impact on net cash flows.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common stock. RSUs are eligible to be earned at the end of a specified restricted period,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center"/>
              <w:ind w:right="46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80" w:type="dxa"/>
            <w:vAlign w:val="bottom"/>
          </w:tcPr>
          <w:p>
            <w:pPr>
              <w:spacing w:after="0"/>
              <w:rPr>
                <w:sz w:val="24"/>
                <w:szCs w:val="24"/>
                <w:color w:val="auto"/>
              </w:rPr>
            </w:pPr>
          </w:p>
        </w:tc>
        <w:tc>
          <w:tcPr>
            <w:tcW w:w="2520" w:type="dxa"/>
            <w:vAlign w:val="bottom"/>
            <w:gridSpan w:val="4"/>
          </w:tcPr>
          <w:p>
            <w:pPr>
              <w:jc w:val="center"/>
              <w:ind w:right="172"/>
              <w:spacing w:after="0"/>
              <w:rPr>
                <w:sz w:val="20"/>
                <w:szCs w:val="20"/>
                <w:color w:val="auto"/>
              </w:rPr>
            </w:pPr>
            <w:r>
              <w:rPr>
                <w:rFonts w:ascii="Times New Roman" w:cs="Times New Roman" w:eastAsia="Times New Roman" w:hAnsi="Times New Roman"/>
                <w:sz w:val="22"/>
                <w:szCs w:val="22"/>
                <w:color w:val="auto"/>
                <w:w w:val="97"/>
              </w:rPr>
              <w:t>Six Months Ended</w:t>
            </w:r>
          </w:p>
        </w:tc>
      </w:tr>
      <w:tr>
        <w:trPr>
          <w:trHeight w:val="272"/>
        </w:trPr>
        <w:tc>
          <w:tcPr>
            <w:tcW w:w="4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22"/>
                <w:szCs w:val="22"/>
                <w:color w:val="auto"/>
                <w:w w:val="98"/>
              </w:rPr>
              <w:t>June 30,</w:t>
            </w:r>
          </w:p>
        </w:tc>
        <w:tc>
          <w:tcPr>
            <w:tcW w:w="8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left="552"/>
              <w:spacing w:after="0"/>
              <w:rPr>
                <w:sz w:val="20"/>
                <w:szCs w:val="20"/>
                <w:color w:val="auto"/>
              </w:rPr>
            </w:pPr>
            <w:r>
              <w:rPr>
                <w:rFonts w:ascii="Times New Roman" w:cs="Times New Roman" w:eastAsia="Times New Roman" w:hAnsi="Times New Roman"/>
                <w:sz w:val="22"/>
                <w:szCs w:val="22"/>
                <w:color w:val="auto"/>
                <w:w w:val="98"/>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9"/>
              </w:rPr>
              <w:t>2016</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2016</w:t>
            </w: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7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and maintenance expenses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322</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296</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603</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464</w:t>
            </w:r>
          </w:p>
        </w:tc>
      </w:tr>
      <w:tr>
        <w:trPr>
          <w:trHeight w:val="296"/>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six months ended June 30,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06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w:t>
            </w:r>
          </w:p>
        </w:tc>
        <w:tc>
          <w:tcPr>
            <w:tcW w:w="320" w:type="dxa"/>
            <w:vAlign w:val="bottom"/>
          </w:tcPr>
          <w:p>
            <w:pPr>
              <w:spacing w:after="0"/>
              <w:rPr>
                <w:sz w:val="24"/>
                <w:szCs w:val="24"/>
                <w:color w:val="auto"/>
              </w:rPr>
            </w:pPr>
          </w:p>
        </w:tc>
        <w:tc>
          <w:tcPr>
            <w:tcW w:w="14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84"/>
        </w:trPr>
        <w:tc>
          <w:tcPr>
            <w:tcW w:w="606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of</w:t>
            </w:r>
          </w:p>
        </w:tc>
        <w:tc>
          <w:tcPr>
            <w:tcW w:w="320" w:type="dxa"/>
            <w:vAlign w:val="bottom"/>
          </w:tcPr>
          <w:p>
            <w:pPr>
              <w:spacing w:after="0"/>
              <w:rPr>
                <w:sz w:val="24"/>
                <w:szCs w:val="24"/>
                <w:color w:val="auto"/>
              </w:rPr>
            </w:pPr>
          </w:p>
        </w:tc>
        <w:tc>
          <w:tcPr>
            <w:tcW w:w="140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Average</w:t>
            </w:r>
          </w:p>
        </w:tc>
      </w:tr>
      <w:tr>
        <w:trPr>
          <w:trHeight w:val="272"/>
        </w:trPr>
        <w:tc>
          <w:tcPr>
            <w:tcW w:w="6060" w:type="dxa"/>
            <w:vAlign w:val="bottom"/>
          </w:tcPr>
          <w:p>
            <w:pPr>
              <w:spacing w:after="0"/>
              <w:rPr>
                <w:sz w:val="23"/>
                <w:szCs w:val="23"/>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8"/>
              </w:rPr>
              <w:t>Stock Units</w:t>
            </w:r>
          </w:p>
        </w:tc>
        <w:tc>
          <w:tcPr>
            <w:tcW w:w="320" w:type="dxa"/>
            <w:vAlign w:val="bottom"/>
          </w:tcPr>
          <w:p>
            <w:pPr>
              <w:spacing w:after="0"/>
              <w:rPr>
                <w:sz w:val="23"/>
                <w:szCs w:val="23"/>
                <w:color w:val="auto"/>
              </w:rPr>
            </w:pPr>
          </w:p>
        </w:tc>
        <w:tc>
          <w:tcPr>
            <w:tcW w:w="14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64"/>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109,273</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28.48</w:t>
            </w:r>
          </w:p>
        </w:tc>
      </w:tr>
      <w:tr>
        <w:trPr>
          <w:trHeight w:val="284"/>
        </w:trPr>
        <w:tc>
          <w:tcPr>
            <w:tcW w:w="6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41,293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30.37</w:t>
            </w:r>
          </w:p>
        </w:tc>
      </w:tr>
      <w:tr>
        <w:trPr>
          <w:trHeight w:val="284"/>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Stock units vested and issued</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2"/>
                <w:szCs w:val="22"/>
                <w:color w:val="auto"/>
              </w:rPr>
              <w:t>(26,279)</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26.12</w:t>
            </w:r>
          </w:p>
        </w:tc>
      </w:tr>
      <w:tr>
        <w:trPr>
          <w:trHeight w:val="284"/>
        </w:trPr>
        <w:tc>
          <w:tcPr>
            <w:tcW w:w="6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Forfeited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(2,287)</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30.52</w:t>
            </w:r>
          </w:p>
        </w:tc>
      </w:tr>
      <w:tr>
        <w:trPr>
          <w:trHeight w:val="257"/>
        </w:trPr>
        <w:tc>
          <w:tcPr>
            <w:tcW w:w="606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5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122,000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29.59</w:t>
            </w:r>
          </w:p>
        </w:tc>
      </w:tr>
    </w:tbl>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six months ended June 30, 2017 and 2016 was $30.37 and $32.09,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50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27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72"/>
        </w:trPr>
        <w:tc>
          <w:tcPr>
            <w:tcW w:w="45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June 30,</w:t>
            </w:r>
          </w:p>
        </w:tc>
        <w:tc>
          <w:tcPr>
            <w:tcW w:w="3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22"/>
                <w:szCs w:val="22"/>
                <w:color w:val="auto"/>
              </w:rPr>
              <w:t>June 30,</w:t>
            </w:r>
          </w:p>
        </w:tc>
      </w:tr>
      <w:tr>
        <w:trPr>
          <w:trHeight w:val="264"/>
        </w:trPr>
        <w:tc>
          <w:tcPr>
            <w:tcW w:w="45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2017</w:t>
            </w: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2016</w:t>
            </w: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2016</w:t>
            </w: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7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8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74</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9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8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w:t>
            </w:r>
          </w:p>
        </w:tc>
      </w:tr>
    </w:tbl>
    <w:p>
      <w:pPr>
        <w:spacing w:after="0" w:line="24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08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2017</w:t>
            </w:r>
          </w:p>
        </w:tc>
        <w:tc>
          <w:tcPr>
            <w:tcW w:w="700" w:type="dxa"/>
            <w:vAlign w:val="bottom"/>
            <w:tcBorders>
              <w:bottom w:val="single" w:sz="8" w:color="auto"/>
            </w:tcBorders>
          </w:tcPr>
          <w:p>
            <w:pPr>
              <w:spacing w:after="0"/>
              <w:rPr>
                <w:sz w:val="23"/>
                <w:szCs w:val="23"/>
                <w:color w:val="auto"/>
              </w:rPr>
            </w:pPr>
          </w:p>
        </w:tc>
      </w:tr>
      <w:tr>
        <w:trPr>
          <w:trHeight w:val="26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term (years)</w:t>
            </w:r>
          </w:p>
        </w:tc>
        <w:tc>
          <w:tcPr>
            <w:tcW w:w="17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5.45</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Risk-free interest rate</w:t>
            </w:r>
          </w:p>
        </w:tc>
        <w:tc>
          <w:tcPr>
            <w:tcW w:w="1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w:t>
            </w:r>
          </w:p>
        </w:tc>
      </w:tr>
      <w:tr>
        <w:trPr>
          <w:trHeight w:val="28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volatility</w:t>
            </w: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Dividend yield</w:t>
            </w:r>
          </w:p>
        </w:tc>
        <w:tc>
          <w:tcPr>
            <w:tcW w:w="1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w:t>
            </w:r>
          </w:p>
        </w:tc>
      </w:tr>
      <w:tr>
        <w:trPr>
          <w:trHeight w:val="28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Grant date fair value per option</w:t>
            </w:r>
          </w:p>
        </w:tc>
        <w:tc>
          <w:tcPr>
            <w:tcW w:w="1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4.07</w:t>
            </w:r>
          </w:p>
        </w:tc>
      </w:tr>
    </w:tbl>
    <w:p>
      <w:pPr>
        <w:spacing w:after="0" w:line="21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1"/>
          <w:szCs w:val="21"/>
          <w:color w:val="auto"/>
        </w:rPr>
        <w:t>For the six months ended June 30, 2016, there were no compensation costs for stock-based compensation related to stock options, as the previous stock option grant that occurred in 2010 became fully amortized in 2013. Additionally, there were no stock options granted during the six months ended June 30, 2016.</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six months ended June 30,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22"/>
                <w:szCs w:val="22"/>
                <w:color w:val="auto"/>
                <w:w w:val="95"/>
              </w:rPr>
              <w:t>Weighted</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color w:val="auto"/>
                <w:w w:val="93"/>
              </w:rPr>
              <w:t>Average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color w:val="auto"/>
                <w:w w:val="93"/>
              </w:rPr>
              <w:t>Average</w:t>
            </w:r>
          </w:p>
        </w:tc>
        <w:tc>
          <w:tcPr>
            <w:tcW w:w="18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Aggregate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line="244" w:lineRule="exact"/>
              <w:rPr>
                <w:sz w:val="20"/>
                <w:szCs w:val="20"/>
                <w:color w:val="auto"/>
              </w:rPr>
            </w:pPr>
            <w:r>
              <w:rPr>
                <w:rFonts w:ascii="Times New Roman" w:cs="Times New Roman" w:eastAsia="Times New Roman" w:hAnsi="Times New Roman"/>
                <w:sz w:val="22"/>
                <w:szCs w:val="22"/>
                <w:color w:val="auto"/>
                <w:w w:val="97"/>
              </w:rPr>
              <w:t>Exercise</w:t>
            </w:r>
          </w:p>
        </w:tc>
        <w:tc>
          <w:tcPr>
            <w:tcW w:w="1180" w:type="dxa"/>
            <w:vAlign w:val="bottom"/>
            <w:gridSpan w:val="2"/>
          </w:tcPr>
          <w:p>
            <w:pPr>
              <w:jc w:val="center"/>
              <w:ind w:right="160"/>
              <w:spacing w:after="0" w:line="244" w:lineRule="exact"/>
              <w:rPr>
                <w:sz w:val="20"/>
                <w:szCs w:val="20"/>
                <w:color w:val="auto"/>
              </w:rPr>
            </w:pPr>
            <w:r>
              <w:rPr>
                <w:rFonts w:ascii="Times New Roman" w:cs="Times New Roman" w:eastAsia="Times New Roman" w:hAnsi="Times New Roman"/>
                <w:sz w:val="22"/>
                <w:szCs w:val="22"/>
                <w:color w:val="auto"/>
                <w:w w:val="97"/>
              </w:rPr>
              <w:t>Remaining</w:t>
            </w:r>
          </w:p>
        </w:tc>
        <w:tc>
          <w:tcPr>
            <w:tcW w:w="180" w:type="dxa"/>
            <w:vAlign w:val="bottom"/>
          </w:tcPr>
          <w:p>
            <w:pPr>
              <w:spacing w:after="0"/>
              <w:rPr>
                <w:sz w:val="21"/>
                <w:szCs w:val="21"/>
                <w:color w:val="auto"/>
              </w:rPr>
            </w:pPr>
          </w:p>
        </w:tc>
        <w:tc>
          <w:tcPr>
            <w:tcW w:w="1080" w:type="dxa"/>
            <w:vAlign w:val="bottom"/>
          </w:tcPr>
          <w:p>
            <w:pPr>
              <w:jc w:val="center"/>
              <w:ind w:right="52"/>
              <w:spacing w:after="0" w:line="244" w:lineRule="exact"/>
              <w:rPr>
                <w:sz w:val="20"/>
                <w:szCs w:val="20"/>
                <w:color w:val="auto"/>
              </w:rPr>
            </w:pPr>
            <w:r>
              <w:rPr>
                <w:rFonts w:ascii="Times New Roman" w:cs="Times New Roman" w:eastAsia="Times New Roman" w:hAnsi="Times New Roman"/>
                <w:sz w:val="22"/>
                <w:szCs w:val="22"/>
                <w:color w:val="auto"/>
                <w:w w:val="98"/>
              </w:rPr>
              <w:t>Intrinsic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color w:val="auto"/>
                <w:w w:val="98"/>
              </w:rPr>
              <w:t>Life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Shares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color w:val="auto"/>
              </w:rPr>
              <w:t>Price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color w:val="auto"/>
                <w:w w:val="98"/>
              </w:rPr>
              <w:t>(years)</w:t>
            </w:r>
          </w:p>
        </w:tc>
        <w:tc>
          <w:tcPr>
            <w:tcW w:w="180" w:type="dxa"/>
            <w:vAlign w:val="bottom"/>
          </w:tcPr>
          <w:p>
            <w:pPr>
              <w:spacing w:after="0"/>
              <w:rPr>
                <w:sz w:val="23"/>
                <w:szCs w:val="23"/>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427,335</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15.55</w:t>
            </w:r>
          </w:p>
        </w:tc>
        <w:tc>
          <w:tcPr>
            <w:tcW w:w="1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120,127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30.47</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(1,053)</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30.47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Expired / Cancelled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(2,812)</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(140,550)</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16.56</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Outstanding at end of period</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403,047</w:t>
            </w:r>
          </w:p>
        </w:tc>
        <w:tc>
          <w:tcPr>
            <w:tcW w:w="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19.62</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5,514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0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283,973</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15.07</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5,177</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our common stock, without restriction.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80" w:type="dxa"/>
            <w:vAlign w:val="bottom"/>
          </w:tcPr>
          <w:p>
            <w:pPr>
              <w:spacing w:after="0"/>
              <w:rPr>
                <w:sz w:val="24"/>
                <w:szCs w:val="24"/>
                <w:color w:val="auto"/>
              </w:rPr>
            </w:pPr>
          </w:p>
        </w:tc>
        <w:tc>
          <w:tcPr>
            <w:tcW w:w="2580" w:type="dxa"/>
            <w:vAlign w:val="bottom"/>
            <w:gridSpan w:val="4"/>
          </w:tcPr>
          <w:p>
            <w:pPr>
              <w:jc w:val="center"/>
              <w:ind w:right="172"/>
              <w:spacing w:after="0"/>
              <w:rPr>
                <w:sz w:val="20"/>
                <w:szCs w:val="20"/>
                <w:color w:val="auto"/>
              </w:rPr>
            </w:pPr>
            <w:r>
              <w:rPr>
                <w:rFonts w:ascii="Times New Roman" w:cs="Times New Roman" w:eastAsia="Times New Roman" w:hAnsi="Times New Roman"/>
                <w:sz w:val="22"/>
                <w:szCs w:val="22"/>
                <w:color w:val="auto"/>
                <w:w w:val="98"/>
              </w:rPr>
              <w:t>Six Months Ended</w:t>
            </w:r>
          </w:p>
        </w:tc>
      </w:tr>
      <w:tr>
        <w:trPr>
          <w:trHeight w:val="272"/>
        </w:trPr>
        <w:tc>
          <w:tcPr>
            <w:tcW w:w="39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8"/>
              </w:rPr>
              <w:t>June 30,</w:t>
            </w:r>
          </w:p>
        </w:tc>
        <w:tc>
          <w:tcPr>
            <w:tcW w:w="8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22"/>
                <w:szCs w:val="22"/>
                <w:color w:val="auto"/>
                <w:w w:val="98"/>
              </w:rPr>
              <w:t>June 30,</w:t>
            </w:r>
          </w:p>
        </w:tc>
        <w:tc>
          <w:tcPr>
            <w:tcW w:w="980" w:type="dxa"/>
            <w:vAlign w:val="bottom"/>
            <w:tcBorders>
              <w:bottom w:val="single" w:sz="8" w:color="auto"/>
            </w:tcBorders>
          </w:tcPr>
          <w:p>
            <w:pPr>
              <w:spacing w:after="0"/>
              <w:rPr>
                <w:sz w:val="23"/>
                <w:szCs w:val="23"/>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2016</w:t>
            </w:r>
          </w:p>
        </w:tc>
      </w:tr>
      <w:tr>
        <w:trPr>
          <w:trHeight w:val="196"/>
        </w:trPr>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operations and maintenance expenses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262</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244</w:t>
            </w:r>
          </w:p>
        </w:tc>
      </w:tr>
      <w:tr>
        <w:trPr>
          <w:trHeight w:val="296"/>
        </w:trPr>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six months ended June 30,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60" w:type="dxa"/>
            <w:vAlign w:val="bottom"/>
          </w:tcPr>
          <w:p>
            <w:pPr>
              <w:spacing w:after="0"/>
              <w:rPr>
                <w:sz w:val="22"/>
                <w:szCs w:val="22"/>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Number</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w w:val="97"/>
              </w:rPr>
              <w:t>Weighted</w:t>
            </w:r>
          </w:p>
        </w:tc>
      </w:tr>
      <w:tr>
        <w:trPr>
          <w:trHeight w:val="270"/>
        </w:trPr>
        <w:tc>
          <w:tcPr>
            <w:tcW w:w="6060" w:type="dxa"/>
            <w:vAlign w:val="bottom"/>
          </w:tcPr>
          <w:p>
            <w:pPr>
              <w:spacing w:after="0"/>
              <w:rPr>
                <w:sz w:val="23"/>
                <w:szCs w:val="2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of</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7"/>
              </w:rPr>
              <w:t>Average</w:t>
            </w:r>
          </w:p>
        </w:tc>
      </w:tr>
      <w:tr>
        <w:trPr>
          <w:trHeight w:val="264"/>
        </w:trPr>
        <w:tc>
          <w:tcPr>
            <w:tcW w:w="606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Stock Awards</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w w:val="96"/>
              </w:rPr>
              <w:t>Fair Value</w:t>
            </w: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Nonvested stock awards at beginning of period</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6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32.79</w:t>
            </w:r>
          </w:p>
        </w:tc>
      </w:tr>
      <w:tr>
        <w:trPr>
          <w:trHeight w:val="27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(8,001)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32.79</w:t>
            </w:r>
          </w:p>
        </w:tc>
      </w:tr>
      <w:tr>
        <w:trPr>
          <w:trHeight w:val="244"/>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Nonvested stock awards at end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stock awards granted during the six months ended June 30, 2017 and 2016 was $32.79 and $33.64,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3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09"/>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420"/>
              <w:spacing w:after="0" w:line="209" w:lineRule="exact"/>
              <w:rPr>
                <w:sz w:val="20"/>
                <w:szCs w:val="20"/>
                <w:color w:val="auto"/>
              </w:rPr>
            </w:pPr>
            <w:r>
              <w:rPr>
                <w:rFonts w:ascii="Times New Roman" w:cs="Times New Roman" w:eastAsia="Times New Roman" w:hAnsi="Times New Roman"/>
                <w:sz w:val="22"/>
                <w:szCs w:val="22"/>
                <w:color w:val="auto"/>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552"/>
              <w:spacing w:after="0" w:line="209" w:lineRule="exact"/>
              <w:rPr>
                <w:sz w:val="20"/>
                <w:szCs w:val="20"/>
                <w:color w:val="auto"/>
              </w:rPr>
            </w:pPr>
            <w:r>
              <w:rPr>
                <w:rFonts w:ascii="Times New Roman" w:cs="Times New Roman" w:eastAsia="Times New Roman" w:hAnsi="Times New Roman"/>
                <w:sz w:val="22"/>
                <w:szCs w:val="22"/>
                <w:color w:val="auto"/>
              </w:rPr>
              <w:t>Six Months Ended</w:t>
            </w:r>
          </w:p>
        </w:tc>
      </w:tr>
      <w:tr>
        <w:trPr>
          <w:trHeight w:val="271"/>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color w:val="auto"/>
              </w:rPr>
              <w:t>June 30,</w:t>
            </w:r>
          </w:p>
        </w:tc>
        <w:tc>
          <w:tcPr>
            <w:tcW w:w="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22"/>
                <w:szCs w:val="22"/>
                <w:color w:val="auto"/>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9"/>
              </w:rPr>
              <w:t>2016</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794</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784</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1,587</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1,610</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6,217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6,536</w:t>
            </w:r>
          </w:p>
        </w:tc>
      </w:tr>
      <w:tr>
        <w:trPr>
          <w:trHeight w:val="2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(4,270)</w:t>
            </w:r>
          </w:p>
        </w:tc>
        <w:tc>
          <w:tcPr>
            <w:tcW w:w="3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(4,215)</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(8,539)</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(8,481)</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prior service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w:t>
            </w:r>
          </w:p>
        </w:tc>
      </w:tr>
      <w:tr>
        <w:trPr>
          <w:trHeight w:val="2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Amortization of actuarial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2,001</w:t>
            </w: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1,797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4,002</w:t>
            </w: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3,557</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Settlement charge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3,028</w:t>
            </w:r>
          </w:p>
        </w:tc>
      </w:tr>
      <w:tr>
        <w:trPr>
          <w:trHeight w:val="2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Special termination benefit charge</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302</w:t>
            </w:r>
          </w:p>
        </w:tc>
      </w:tr>
      <w:tr>
        <w:trPr>
          <w:trHeight w:val="257"/>
        </w:trPr>
        <w:tc>
          <w:tcPr>
            <w:tcW w:w="37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1,778</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1,762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3,557</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6,842</w:t>
            </w:r>
          </w:p>
        </w:tc>
      </w:tr>
      <w:tr>
        <w:trPr>
          <w:trHeight w:val="445"/>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Other</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1"/>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09"/>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300"/>
              <w:spacing w:after="0" w:line="209" w:lineRule="exact"/>
              <w:rPr>
                <w:sz w:val="20"/>
                <w:szCs w:val="20"/>
                <w:color w:val="auto"/>
              </w:rPr>
            </w:pPr>
            <w:r>
              <w:rPr>
                <w:rFonts w:ascii="Times New Roman" w:cs="Times New Roman" w:eastAsia="Times New Roman" w:hAnsi="Times New Roman"/>
                <w:sz w:val="22"/>
                <w:szCs w:val="22"/>
                <w:color w:val="auto"/>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452"/>
              <w:spacing w:after="0" w:line="209" w:lineRule="exact"/>
              <w:rPr>
                <w:sz w:val="20"/>
                <w:szCs w:val="20"/>
                <w:color w:val="auto"/>
              </w:rPr>
            </w:pPr>
            <w:r>
              <w:rPr>
                <w:rFonts w:ascii="Times New Roman" w:cs="Times New Roman" w:eastAsia="Times New Roman" w:hAnsi="Times New Roman"/>
                <w:sz w:val="22"/>
                <w:szCs w:val="22"/>
                <w:color w:val="auto"/>
              </w:rPr>
              <w:t>Six Months Ended</w:t>
            </w:r>
          </w:p>
        </w:tc>
      </w:tr>
      <w:tr>
        <w:trPr>
          <w:trHeight w:val="271"/>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9"/>
              </w:rPr>
              <w:t>2016</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255</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253</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510</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1,473</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1,476</w:t>
            </w:r>
          </w:p>
        </w:tc>
      </w:tr>
      <w:tr>
        <w:trPr>
          <w:trHeight w:val="2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(647)</w:t>
            </w:r>
          </w:p>
        </w:tc>
        <w:tc>
          <w:tcPr>
            <w:tcW w:w="3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(645)</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(1,294)</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(1,356)</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prior service cost</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(127)</w:t>
            </w:r>
          </w:p>
        </w:tc>
        <w:tc>
          <w:tcPr>
            <w:tcW w:w="3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(137)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(254)</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(274)</w:t>
            </w:r>
          </w:p>
        </w:tc>
      </w:tr>
      <w:tr>
        <w:trPr>
          <w:trHeight w:val="2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291</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220</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583</w:t>
            </w:r>
          </w:p>
        </w:tc>
        <w:tc>
          <w:tcPr>
            <w:tcW w:w="1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487</w:t>
            </w:r>
          </w:p>
        </w:tc>
      </w:tr>
      <w:tr>
        <w:trPr>
          <w:trHeight w:val="257"/>
        </w:trPr>
        <w:tc>
          <w:tcPr>
            <w:tcW w:w="37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509</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417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1,018</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841</w:t>
            </w:r>
          </w:p>
        </w:tc>
      </w:tr>
    </w:tbl>
    <w:p>
      <w:pPr>
        <w:spacing w:after="0" w:line="21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Effective July 1, 2015, the Company added a permanent lump sum option to the form of benefit payments offered to participants of the qualified defined benefit pension plan and non-qualified retirement plans upon retirement or termination. During the first quarter of 2016, the lump sum payments paid to participants who elected this option for payments from the non-qualified retirement plans resulted in a settlement charge.</w:t>
      </w:r>
    </w:p>
    <w:p>
      <w:pPr>
        <w:spacing w:after="0" w:line="189" w:lineRule="exact"/>
        <w:rPr>
          <w:sz w:val="20"/>
          <w:szCs w:val="20"/>
          <w:color w:val="auto"/>
        </w:rPr>
      </w:pPr>
    </w:p>
    <w:p>
      <w:pPr>
        <w:ind w:left="60" w:right="400" w:hanging="53"/>
        <w:spacing w:after="0" w:line="258" w:lineRule="auto"/>
        <w:rPr>
          <w:sz w:val="20"/>
          <w:szCs w:val="20"/>
          <w:color w:val="auto"/>
        </w:rPr>
      </w:pPr>
      <w:r>
        <w:rPr>
          <w:rFonts w:ascii="Times New Roman" w:cs="Times New Roman" w:eastAsia="Times New Roman" w:hAnsi="Times New Roman"/>
          <w:sz w:val="22"/>
          <w:szCs w:val="22"/>
          <w:color w:val="auto"/>
        </w:rPr>
        <w:t>The Company made cash contributions of $15,421 to its Pension Plan during the first six months of 2017, which completed the Company’s 2017 cash contributions.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Water and Wastewater Rates</w:t>
      </w:r>
    </w:p>
    <w:p>
      <w:pPr>
        <w:spacing w:after="0" w:line="2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During the first six months of 2017, the Company’s operating divisions in Indiana and Ohio were granted base rate increases designed to increase total operating revenues on an annual basis by $7,403. Further, during the first six months of 2017, the Company’s operating divisions in Illinois, New Jersey, and North Carolina received approval to bill infrastructure rehabilitation surcharges designed to increase total operating revenues on an annual basis by $3,659.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Three Months Ended</w:t>
            </w:r>
          </w:p>
        </w:tc>
        <w:tc>
          <w:tcPr>
            <w:tcW w:w="320" w:type="dxa"/>
            <w:vAlign w:val="bottom"/>
          </w:tcPr>
          <w:p>
            <w:pPr>
              <w:spacing w:after="0"/>
              <w:rPr>
                <w:sz w:val="22"/>
                <w:szCs w:val="22"/>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71"/>
        </w:trPr>
        <w:tc>
          <w:tcPr>
            <w:tcW w:w="3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22"/>
                <w:szCs w:val="22"/>
                <w:color w:val="auto"/>
              </w:rPr>
              <w:t>June 30,</w:t>
            </w:r>
          </w:p>
        </w:tc>
        <w:tc>
          <w:tcPr>
            <w:tcW w:w="8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1000" w:type="dxa"/>
            <w:vAlign w:val="bottom"/>
            <w:tcBorders>
              <w:bottom w:val="single" w:sz="8" w:color="auto"/>
            </w:tcBorders>
          </w:tcPr>
          <w:p>
            <w:pPr>
              <w:spacing w:after="0"/>
              <w:rPr>
                <w:sz w:val="23"/>
                <w:szCs w:val="23"/>
                <w:color w:val="auto"/>
              </w:rPr>
            </w:pPr>
          </w:p>
        </w:tc>
      </w:tr>
      <w:tr>
        <w:trPr>
          <w:trHeight w:val="264"/>
        </w:trPr>
        <w:tc>
          <w:tcPr>
            <w:tcW w:w="3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2016</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2016</w:t>
            </w:r>
          </w:p>
        </w:tc>
      </w:tr>
      <w:tr>
        <w:trPr>
          <w:trHeight w:val="237"/>
        </w:trPr>
        <w:tc>
          <w:tcPr>
            <w:tcW w:w="382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Property</w:t>
            </w:r>
          </w:p>
        </w:tc>
        <w:tc>
          <w:tcPr>
            <w:tcW w:w="3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6,867</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6,928</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13,652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13,113</w:t>
            </w:r>
          </w:p>
        </w:tc>
      </w:tr>
      <w:tr>
        <w:trPr>
          <w:trHeight w:val="243"/>
        </w:trPr>
        <w:tc>
          <w:tcPr>
            <w:tcW w:w="3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3,363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3,113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6,538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6,059</w:t>
            </w:r>
          </w:p>
        </w:tc>
      </w:tr>
      <w:tr>
        <w:trPr>
          <w:trHeight w:val="243"/>
        </w:trPr>
        <w:tc>
          <w:tcPr>
            <w:tcW w:w="3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Payroll</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2,132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2,299</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5,256</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5,635</w:t>
            </w:r>
          </w:p>
        </w:tc>
      </w:tr>
      <w:tr>
        <w:trPr>
          <w:trHeight w:val="243"/>
        </w:trPr>
        <w:tc>
          <w:tcPr>
            <w:tcW w:w="3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Regulatory assessments</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1,352</w:t>
            </w:r>
          </w:p>
        </w:tc>
      </w:tr>
      <w:tr>
        <w:trPr>
          <w:trHeight w:val="243"/>
        </w:trPr>
        <w:tc>
          <w:tcPr>
            <w:tcW w:w="3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Pumping fees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1,350</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1,140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2,294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2,059</w:t>
            </w:r>
          </w:p>
        </w:tc>
      </w:tr>
      <w:tr>
        <w:trPr>
          <w:trHeight w:val="243"/>
        </w:trPr>
        <w:tc>
          <w:tcPr>
            <w:tcW w:w="382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164</w:t>
            </w:r>
          </w:p>
        </w:tc>
      </w:tr>
      <w:tr>
        <w:trPr>
          <w:trHeight w:val="257"/>
        </w:trPr>
        <w:tc>
          <w:tcPr>
            <w:tcW w:w="382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14,419</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14,242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29,156</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28,382</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Segment Information</w:t>
      </w:r>
    </w:p>
    <w:p>
      <w:pPr>
        <w:spacing w:after="0" w:line="239"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The Company has ten operating segments and one reportable segment. The Regulated segment, the Company’s single reportable segment, is comprised of eight operating segments representing our water and wastewater regulated utility companies which are organized by the states where we provide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Two operating segments are included within the Other category below. These segments are not quantitatively significant and are comprised of Aqua Resources and Aqua Infrastructure. Aqua Resources provides water and wastewater service through operating and maintenance contracts with municipal authorities and other parties close to our utility companies’ service territories; and offers, through a third party, water and sewer line repair service and protection solutions to households. Aqua Infrastructure provides non-utility raw water supply services for firms in the natural gas drilling industry. 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 Additionally, contained within total assets for the Other category, in the table below, is a regulatory asset for postretirement benefits for the underfunded status of the Company’s pension and other postretirement benefit plans and an intercompany receivable.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6"/>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June 30, 2017</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June 30, 2016</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Consolidated</w:t>
            </w:r>
          </w:p>
        </w:tc>
      </w:tr>
      <w:tr>
        <w:trPr>
          <w:trHeight w:val="1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203,418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203,876</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72,560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(1,707)</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73,994</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(734)</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(595)</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31,619</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81,152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83,493</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20,115</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(395)</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r>
      <w:tr>
        <w:trPr>
          <w:trHeight w:val="22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59,626</w:t>
            </w:r>
          </w:p>
        </w:tc>
      </w:tr>
      <w:tr>
        <w:trPr>
          <w:trHeight w:val="405"/>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June 30, 2017</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June 30, 2016</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Consolidated</w:t>
            </w:r>
          </w:p>
        </w:tc>
      </w:tr>
      <w:tr>
        <w:trPr>
          <w:trHeight w:val="1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388,309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384,092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396,483</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137,001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147,535</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(563)</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(656)</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63,764</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154,868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155,824</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39,968</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(606)</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(1,061)</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8,522</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110,525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(485)</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111,363</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208,174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168,587</w:t>
            </w:r>
          </w:p>
        </w:tc>
      </w:tr>
    </w:tbl>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December 31,</w:t>
            </w:r>
          </w:p>
        </w:tc>
      </w:tr>
      <w:tr>
        <w:trPr>
          <w:trHeight w:val="271"/>
        </w:trPr>
        <w:tc>
          <w:tcPr>
            <w:tcW w:w="4260" w:type="dxa"/>
            <w:vAlign w:val="bottom"/>
          </w:tcPr>
          <w:p>
            <w:pPr>
              <w:spacing w:after="0"/>
              <w:rPr>
                <w:sz w:val="23"/>
                <w:szCs w:val="23"/>
                <w:color w:val="auto"/>
              </w:rPr>
            </w:pPr>
          </w:p>
        </w:tc>
        <w:tc>
          <w:tcPr>
            <w:tcW w:w="1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2017</w:t>
            </w:r>
          </w:p>
        </w:tc>
        <w:tc>
          <w:tcPr>
            <w:tcW w:w="9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2016</w:t>
            </w: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84"/>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Regulated</w:t>
            </w:r>
          </w:p>
        </w:tc>
        <w:tc>
          <w:tcPr>
            <w:tcW w:w="166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5"/>
              </w:rPr>
              <w:t>6,145,289</w:t>
            </w: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5,953,702</w:t>
            </w:r>
          </w:p>
        </w:tc>
      </w:tr>
      <w:tr>
        <w:trPr>
          <w:trHeight w:val="284"/>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2"/>
                <w:szCs w:val="22"/>
                <w:color w:val="auto"/>
              </w:rPr>
              <w:t>Other</w:t>
            </w:r>
          </w:p>
        </w:tc>
        <w:tc>
          <w:tcPr>
            <w:tcW w:w="1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238,410</w:t>
            </w: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205,289</w:t>
            </w:r>
          </w:p>
        </w:tc>
      </w:tr>
      <w:tr>
        <w:trPr>
          <w:trHeight w:val="257"/>
        </w:trPr>
        <w:tc>
          <w:tcPr>
            <w:tcW w:w="4260" w:type="dxa"/>
            <w:vAlign w:val="bottom"/>
            <w:tcBorders>
              <w:bottom w:val="single" w:sz="8" w:color="CCEEFF"/>
            </w:tcBorders>
            <w:shd w:val="clear" w:color="auto" w:fill="CCEEFF"/>
          </w:tcPr>
          <w:p>
            <w:pPr>
              <w:ind w:left="100"/>
              <w:spacing w:after="0" w:line="250" w:lineRule="exact"/>
              <w:rPr>
                <w:sz w:val="20"/>
                <w:szCs w:val="20"/>
                <w:color w:val="auto"/>
              </w:rPr>
            </w:pPr>
            <w:r>
              <w:rPr>
                <w:rFonts w:ascii="Times New Roman" w:cs="Times New Roman" w:eastAsia="Times New Roman" w:hAnsi="Times New Roman"/>
                <w:sz w:val="22"/>
                <w:szCs w:val="22"/>
                <w:color w:val="auto"/>
              </w:rPr>
              <w:t>Consolidated</w:t>
            </w:r>
          </w:p>
        </w:tc>
        <w:tc>
          <w:tcPr>
            <w:tcW w:w="1660" w:type="dxa"/>
            <w:vAlign w:val="bottom"/>
            <w:tcBorders>
              <w:bottom w:val="single" w:sz="8" w:color="auto"/>
            </w:tcBorders>
            <w:shd w:val="clear" w:color="auto" w:fill="CCEEFF"/>
          </w:tcPr>
          <w:p>
            <w:pPr>
              <w:jc w:val="right"/>
              <w:ind w:right="12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95"/>
              </w:rPr>
              <w:t>6,383,699</w:t>
            </w:r>
          </w:p>
        </w:tc>
        <w:tc>
          <w:tcPr>
            <w:tcW w:w="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9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6,158,991</w:t>
            </w: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2017, the aggregate amount of $15,259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jc w:val="both"/>
        <w:ind w:right="260"/>
        <w:spacing w:after="0" w:line="239" w:lineRule="auto"/>
        <w:rPr>
          <w:sz w:val="20"/>
          <w:szCs w:val="20"/>
          <w:color w:val="auto"/>
        </w:rPr>
      </w:pPr>
      <w:r>
        <w:rPr>
          <w:rFonts w:ascii="Times New Roman" w:cs="Times New Roman" w:eastAsia="Times New Roman" w:hAnsi="Times New Roman"/>
          <w:sz w:val="22"/>
          <w:szCs w:val="22"/>
          <w:color w:val="auto"/>
        </w:rPr>
        <w:t>cash flows. Further, the Company has insurance coverage for certain of these loss contingencies, and as of June 30, 2017, estimates that approximately $3,407 of the amount accrued for these matters are probable of recovery through insurance, which amount is also reported in the Company’s consolidated balance sheet as deferred charges and other assets.</w:t>
      </w:r>
    </w:p>
    <w:p>
      <w:pPr>
        <w:spacing w:after="0" w:line="20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$1,770 at June 30, 2017 and represents a reserve for unpaid claim costs, including an estimate for the cost of incurred but not reported claims.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Income Taxes</w:t>
      </w:r>
    </w:p>
    <w:p>
      <w:pPr>
        <w:spacing w:after="0" w:line="2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During the six months ended June 30, 2017, the Company’s Federal net operating loss (“NOL”) carryforward decreased by $15,986. In addition, during the six months ended June 30, 2017, the Company’s state NOL carryforward increased by $11,925. As of June 30, 2017, the balance of the Company’s Federal NOL was $97,158. The Company believes its Federal NOL carryforward is more likely than not to be recovered and requires no valuation allowance. As of June 30, 2017, the balance of the Company’s gross state NOL was $587,066, a portion of which is offset by a valuation 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$63,631 and $85,232, respectively. The amounts of the Company’s Federal and state NOL carryforwards prior to being reduced by the unrecognized tax positions were $160,789 and $672,298 respectively. The Company records its unrecognized tax benefit as a reduction to its deferred income tax liability.</w:t>
      </w:r>
    </w:p>
    <w:p>
      <w:pPr>
        <w:spacing w:after="0" w:line="21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In accordance with a 2012 settlement agreement with the Pennsylvania Public Utility Commission, Aqua Pennsylvania expenses, for tax purposes, qualifying utility asset improvement costs, which results in a substantial reduction in income tax expense and greater net income and cash flows. The Company’s effective income tax rate for the second quarter of 2017 and 2016 was 8.4% and 8.5%, respectively, and for the first six months of 2017 and 2016 was 7.2% and 7.1%, respectively.</w:t>
      </w:r>
    </w:p>
    <w:p>
      <w:pPr>
        <w:spacing w:after="0" w:line="204"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As of June 30, 2017, the total gross unrecognized tax benefit was $28,464, of which $22,364, if recognized, would affect the Company’s effective tax rate as a result of the regulatory treatment afforded for qualifying infrastructure improvements in Pennsylvania. At December 31, 2016, the Company had unrecognized tax benefits of $28,099.</w:t>
      </w:r>
    </w:p>
    <w:p>
      <w:pPr>
        <w:spacing w:after="0" w:line="20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2"/>
          <w:szCs w:val="22"/>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Recent Accounting Pronouncements</w:t>
      </w:r>
    </w:p>
    <w:p>
      <w:pPr>
        <w:spacing w:after="0" w:line="23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The guidance is effective for annual reporting periods beginning after December 15, 2017, and interim periods within that reporting period. The Company is evaluating the requirements of the updated guidance to determine the impact of adoption.</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January 2017, the FASB issued updated accounting guidance that eliminates step 2 of the current goodwill impairment test, which requires a hypothetical purchase price allocation to measure goodwill impairment. A goodwill impairment loss will instead be measured at the amount by which a reporting unit’s carrying amount exceeds its fair value, not to exceed the carrying amount of goodwill. The guidance will be effective for annual reporting periods beginning after December 15, 2019, and interim periods within that reporting period, with early adoption permitted for any impairment test performed on testing dates after January 1, 2017. The Company has elected to early adopt the provisions of the updated guidance, for its annual impairment valuation to be performed in the third quarter of 2017, and does not expect the provisions of the updated guidance to have an impact on its results of operations or financial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August 2016, the FASB issued updated accounting guidance on the classification of certain cash receipts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cash payments in the statement of cash flows, which is intended to reduce diversity in practice in how</w:t>
      </w:r>
    </w:p>
    <w:p>
      <w:pPr>
        <w:spacing w:after="0" w:line="230" w:lineRule="auto"/>
        <w:rPr>
          <w:sz w:val="20"/>
          <w:szCs w:val="20"/>
          <w:color w:val="auto"/>
        </w:rPr>
      </w:pPr>
      <w:r>
        <w:rPr>
          <w:rFonts w:ascii="Times New Roman" w:cs="Times New Roman" w:eastAsia="Times New Roman" w:hAnsi="Times New Roman"/>
          <w:sz w:val="22"/>
          <w:szCs w:val="22"/>
          <w:color w:val="auto"/>
        </w:rPr>
        <w:t>certain transactions are classified in the statement of cash flows. This guidance is effective for fiscal years,</w:t>
      </w:r>
    </w:p>
    <w:p>
      <w:pPr>
        <w:spacing w:after="0" w:line="231" w:lineRule="auto"/>
        <w:rPr>
          <w:sz w:val="20"/>
          <w:szCs w:val="20"/>
          <w:color w:val="auto"/>
        </w:rPr>
      </w:pPr>
      <w:r>
        <w:rPr>
          <w:rFonts w:ascii="Times New Roman" w:cs="Times New Roman" w:eastAsia="Times New Roman" w:hAnsi="Times New Roman"/>
          <w:sz w:val="22"/>
          <w:szCs w:val="22"/>
          <w:color w:val="auto"/>
        </w:rPr>
        <w:t>and interim periods within those years, beginning after December 15, 2017, and early adoption is</w:t>
      </w:r>
    </w:p>
    <w:p>
      <w:pPr>
        <w:spacing w:after="0"/>
        <w:rPr>
          <w:sz w:val="20"/>
          <w:szCs w:val="20"/>
          <w:color w:val="auto"/>
        </w:rPr>
      </w:pPr>
      <w:r>
        <w:rPr>
          <w:rFonts w:ascii="Times New Roman" w:cs="Times New Roman" w:eastAsia="Times New Roman" w:hAnsi="Times New Roman"/>
          <w:sz w:val="21"/>
          <w:szCs w:val="21"/>
          <w:color w:val="auto"/>
        </w:rPr>
        <w:t>permitted. The Company is currently evaluating the impact of this new standard on its consolidated cash flow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but does not expect there to be a significant impact.</w:t>
      </w:r>
    </w:p>
    <w:p>
      <w:pPr>
        <w:spacing w:after="0" w:line="20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auto"/>
        </w:rPr>
        <w:t>In March 2016, the FASB issued updated accounting guidance on simplifying the accounting for share-based payments, which includes several aspects of the accounting for share-based payment transactions, including the income tax consequences, classification of awards as either equity or liabilities, and classification on the statement of cash flows. The updated guidance was effective for fiscal years beginning after December 15, 2016, and interim periods within those fiscal years, with early adoption available. On January 1, 2017, the Company adopted the updated guidance, prospectively, and recognized a previously unrecognized windfall tax benefit for stock-based compensation of $982 associated with the Company’s 2012 Federal net operating loss, which was recorded as an adjustment to deferred income taxes and retained earnings (refer to the presentation of “cumulative effect of change in accounting principle - windfall tax benefit” on our Consolidated Statement of Equity). Additionally, income tax benefits in excess of compensation costs or tax deficiencies for share-based compensation are now recorded to our income tax provision, instead of historically to stockholder’s equity, which impacts our effective tax rate. Lastly, all tax-related cash flows resulting from share-based payments are reported prospectively as operating activities on the statement of cash flows, a change from the historical requirement to present tax benefits as an inflow from financing activities and an outflow from operating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evaluating the requirements of the updated guidance to determine the impact of adoption.</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The Company does not expect the provisions of the updated guidance to have a material impact on its results of operations or financial position.</w:t>
      </w:r>
    </w:p>
    <w:p>
      <w:pPr>
        <w:spacing w:after="0" w:line="21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The updated guidance also requires additional disclosure about the nature, amount, timing, and uncertainty of revenue and cash flows arising from customer contracts, including significant judgments and changes in judgments and assets recognized from costs incurred to fulfill a contract. Additionally, the accounting for contributions in aid of construction may be impacted by the updated accounting guidance if the contributions are determined to be in scope. In July 2015, the FASB approved a one year deferral to the original effective date of this guidance. The updated guidance is effective for annual periods beginning after December 15, 2017, and interim periods therein, using either of the following transition methods: (i) a full retrospective approach reflecting the application of the updated guidance in each prior reporting period, or (ii) a modified retrospective approach with the cumulative effect of initially adopting the updated guidance recognized through retained earnings at the date of adoption. In 2016, the Company performed an evaluation of the requirements of the updated guidance and based on current interpretations of the updated guidance believes that the impact of adoption may not result in a material change in our measurement of revenue and timing of recognition if contributions in aid of construction are determined to not be in scope. In 2017, the American Institute of Certified Public Accountants (AICPA) power and utility entities revenue recognition task force has determined that contributions in aid of construction are not in the scope of the new standard, and submitted its determination to the AICPA’s revenue recognition working group for approval. We plan to implement the updated guidance using the modified retrospective approach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0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p>
    <w:p>
      <w:pPr>
        <w:spacing w:after="0" w:line="2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changes in capital requirements and funding, acquisitions, changes to the capital markets, and our ability to assimilate acquired operations, as well as those risks, uncertainties and other factors discussed in our Annual Report on Form 10-K for the fiscal year ended December 31, 2016 under the captions “Risk Factors” and “Management’s Discussion and Analysis of Financial Condition and Results of Operations” and elsewhere in such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General Information</w:t>
      </w:r>
    </w:p>
    <w:p>
      <w:pPr>
        <w:spacing w:after="0" w:line="23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 party, water and wastewater line repair service and protection solutions to households.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During 2016, we completed the sale of business units within Aqua Resources which provided liquid waste hauling and disposal services, and inspection, cleaning and repair of storm and sanitary wastewater lines. Additionally, in 2016, we decided to market for sale two business units that are reported within the Company’s market-based subsidiary, Aqua Resources. One business unit installed and tested devices that prevent the contamination of potable water and repaired water and wastewater systems, for which the sale was completed in January 2017. The other business unit repairs and performs maintenance on water and wastewater systems, for which the sale was completed in June 2017.</w:t>
      </w:r>
    </w:p>
    <w:p>
      <w:pPr>
        <w:spacing w:after="0" w:line="21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Currently,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w:t>
      </w:r>
    </w:p>
    <w:p>
      <w:pPr>
        <w:spacing w:after="0" w:line="204"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Financial Condition</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During the first six months of 2017, we had $208,472 of capital expenditures, expended $5,765 for the acquisition of water and wastewater utility systems, issued $222,780 of long-term debt, and repaid debt and made sinking fund contributions and other loan repayments of $145,499.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 and the issuance of $50,000 of first mortgage bonds by Aqua Pennsylvania in January 2017.</w:t>
      </w:r>
    </w:p>
    <w:p>
      <w:pPr>
        <w:spacing w:after="0" w:line="211"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At June 30, 2017, we had $7,811 of cash and cash equivalents compared to $3,763 at December 31, 2016. During the first six months of 2017, we used the proceeds from the issuance of long-term debt and internally generated funds to fund the cash requirements discussed above and to pay dividends.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ind w:left="1240" w:right="1420"/>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June 30, 2017, our $250,000 unsecured revolving credit facility, which expires in February 2021, had</w:t>
      </w:r>
    </w:p>
    <w:p>
      <w:pPr>
        <w:spacing w:after="0" w:line="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$97,547 available for borrowing. At June 30, 2017, we had short-term lines of credit of $135,500, of which $68,044 was available for borrowing. One of our short-term lines of credit is an Aqua Pennsylvania $100,000 364-day unsecured revolving credit facility with four banks, which is used to provide working capital, and as of June 30, 2017, $33,534 was available for borrowing. Subsequently, in July we issued $180,000 of long-term debt, the proceeds of which were used to reduce our borrowings under our revolving credit facilities.</w:t>
      </w:r>
    </w:p>
    <w:p>
      <w:pPr>
        <w:spacing w:after="0" w:line="202"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01"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Results of Operations</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Analysis of Second Quarter of 2017 Compared to Second Quarter of 2016</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Revenues decreased by $458 or 0.2%, primarily due to a decrease in market-based activities revenue of $4,376 associated with the dispositions of business units, offset by an increase in customer water consumption, an increase in water and wastewater rates and infrastructure rehabilitation surcharges of $1,840, and additional water and wastewater revenues from organic growth of $733.</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expenses decreased by $3,141 or 4.2%, due to a reduction in operating expenses for Aqua Resources of $4,174 associated with the disposition of business units.</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Depreciation expense increased by $1,788 or 5.7%, primarily due to the utility plant placed in service since June 30, 2016.</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Interest expense increased by $1,272 or 6.3%, primarily due to an increase in average borrowings, offset by a decrease in our effective interest rate.</w:t>
      </w:r>
    </w:p>
    <w:p>
      <w:pPr>
        <w:spacing w:after="0" w:line="18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$1,592, due to an increase in the average balance of utility plant construction work in progress, to which AFUDC is applied, and an increase in the AFUDC rate as a result of an increase in the amount of AFUDC related to equity.</w:t>
      </w:r>
    </w:p>
    <w:p>
      <w:pPr>
        <w:spacing w:after="0" w:line="20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Our effective income tax rate was 8.4% in the second quarter of 2017 and 8.5% in the second quarter of 2016. The effective income tax rate decreased due to the effect of additional tax deductions recognized in the second quarter of 2017 for certain qualifying infrastructure improvements for Aqua Pennsylvania.</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ind w:left="1280" w:right="1380"/>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income increased by $1,342 or 2.3%, primarily as a result of the factors described above.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Analysis of First Six Months of 2017 Compared to First Six Months of 2016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Revenues decreased by $5,278 or 1.3%, primarily due to a decrease in market-based activities revenue of</w:t>
      </w:r>
    </w:p>
    <w:p>
      <w:pPr>
        <w:spacing w:after="0" w:line="1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$9,539 associated with the dispositions of business units, offset by an increase in water and wastewater rates and infrastructure rehabilitation surcharges of $2,827, and additional water and wastewater revenues from organic growth of $1,800.</w:t>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Operations and maintenance expenses decreased by $7,554 or 5.1%, due to a reduction in operating expenses for Aqua Resources of $8,732 associated with the disposition of business units, offset by the prior year effect of a gain on sale of a utility system of $1,215. The gain on sale of a utility system is reported in the consolidated statement of net income as a component of operations and maintenance expense.</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Depreciation expense increased by $3,480 or 5.5%, primarily due to the utility plant placed in service since June 30, 2016.</w:t>
      </w:r>
    </w:p>
    <w:p>
      <w:pPr>
        <w:spacing w:after="0" w:line="185"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Taxes other than income taxes increased by $774 or 2.7% primarily due to an increase in property taxes of $539 primarily due to the effect of a benefit recorded in 2016 for Ohio based on the final settlement of a property tax bill.</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Interest expense increased by $2,745 or 6.9%, primarily due to an increase in average borrowings, offset by a decrease in our effective interest rate.</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$2,477, due to an increase in the average balance of utility plant construction work in progress, to which AFUDC is applied, and an increase in the AFUDC rate as a result of an increase in the amount of AFUDC related to equity.</w:t>
      </w:r>
    </w:p>
    <w:p>
      <w:pPr>
        <w:spacing w:after="0" w:line="20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Our effective income tax rate was 7.2% in the first six months of 2017 and 7.1% in the first six months of 2016. The effective income tax rate increased due to the effect of less tax deductions recognized in the first six months of 2017 for certain qualifying infrastructure improvements for Aqua Pennsylvania.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income decreased by $1,323 or 1.2%, primarily as a result of the factors described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29" w:lineRule="exact"/>
        <w:rPr>
          <w:sz w:val="20"/>
          <w:szCs w:val="20"/>
          <w:color w:val="auto"/>
        </w:rPr>
      </w:pPr>
    </w:p>
    <w:p>
      <w:pPr>
        <w:ind w:right="1480"/>
        <w:spacing w:after="0" w:line="262"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15, </w:t>
      </w:r>
      <w:r>
        <w:rPr>
          <w:rFonts w:ascii="Times New Roman" w:cs="Times New Roman" w:eastAsia="Times New Roman" w:hAnsi="Times New Roman"/>
          <w:sz w:val="22"/>
          <w:szCs w:val="22"/>
          <w:i w:val="1"/>
          <w:iCs w:val="1"/>
          <w:color w:val="auto"/>
        </w:rPr>
        <w:t>Recent 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Pronouncements</w:t>
      </w:r>
      <w:r>
        <w:rPr>
          <w:rFonts w:ascii="Times New Roman" w:cs="Times New Roman" w:eastAsia="Times New Roman" w:hAnsi="Times New Roman"/>
          <w:sz w:val="22"/>
          <w:szCs w:val="22"/>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67310</wp:posOffset>
            </wp:positionV>
            <wp:extent cx="615696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500"/>
          </w:cols>
          <w:pgMar w:left="1220" w:top="111" w:right="117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3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There have been no significant changes in our exposure to market risks since December 31, 2016. Refer to Item 7A of the Company’s Annual Report on Form 10-K for the year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2016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211"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risks disclosed in our Annual Report on Form 10-K for the year ended December 31, 2016 under “Part 1, Item 1A – Risk Factors.”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Unregistered Sales of Equity Securities and Use of Proceeds</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purchases of its common stock for the quarter ended June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580" w:type="dxa"/>
            <w:vAlign w:val="bottom"/>
            <w:gridSpan w:val="7"/>
          </w:tcPr>
          <w:p>
            <w:pPr>
              <w:jc w:val="right"/>
              <w:ind w:right="360"/>
              <w:spacing w:after="0"/>
              <w:rPr>
                <w:sz w:val="20"/>
                <w:szCs w:val="20"/>
                <w:color w:val="auto"/>
              </w:rPr>
            </w:pPr>
            <w:r>
              <w:rPr>
                <w:rFonts w:ascii="Times New Roman" w:cs="Times New Roman" w:eastAsia="Times New Roman" w:hAnsi="Times New Roman"/>
                <w:sz w:val="22"/>
                <w:szCs w:val="22"/>
                <w:color w:val="auto"/>
                <w:w w:val="98"/>
              </w:rPr>
              <w:t>Issuer Purchases of Equity Securities</w:t>
            </w: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1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Total</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Maximum</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Number of</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Number of</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Shares</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Purchased</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that May</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as Part of</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Yet be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Total</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Publicly</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Purchased</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Number</w:t>
            </w:r>
          </w:p>
        </w:tc>
        <w:tc>
          <w:tcPr>
            <w:tcW w:w="38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22"/>
                <w:szCs w:val="22"/>
                <w:color w:val="auto"/>
              </w:rPr>
              <w:t>Average</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Announced</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Under the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of Shares</w:t>
            </w:r>
          </w:p>
        </w:tc>
        <w:tc>
          <w:tcPr>
            <w:tcW w:w="38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22"/>
                <w:szCs w:val="22"/>
                <w:color w:val="auto"/>
              </w:rPr>
              <w:t>Price Paid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Plans or</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Plan or</w:t>
            </w:r>
          </w:p>
        </w:tc>
      </w:tr>
      <w:tr>
        <w:trPr>
          <w:trHeight w:val="231"/>
        </w:trPr>
        <w:tc>
          <w:tcPr>
            <w:tcW w:w="2920" w:type="dxa"/>
            <w:vAlign w:val="bottom"/>
            <w:gridSpan w:val="3"/>
          </w:tcPr>
          <w:p>
            <w:pPr>
              <w:spacing w:after="0" w:line="231" w:lineRule="exact"/>
              <w:rPr>
                <w:sz w:val="20"/>
                <w:szCs w:val="20"/>
                <w:color w:val="auto"/>
              </w:rPr>
            </w:pPr>
            <w:r>
              <w:rPr>
                <w:rFonts w:ascii="Times New Roman" w:cs="Times New Roman" w:eastAsia="Times New Roman" w:hAnsi="Times New Roman"/>
                <w:sz w:val="22"/>
                <w:szCs w:val="22"/>
                <w:color w:val="auto"/>
              </w:rPr>
              <w:t>Period</w:t>
            </w:r>
          </w:p>
        </w:tc>
        <w:tc>
          <w:tcPr>
            <w:tcW w:w="20" w:type="dxa"/>
            <w:vAlign w:val="bottom"/>
          </w:tcPr>
          <w:p>
            <w:pPr>
              <w:spacing w:after="0"/>
              <w:rPr>
                <w:sz w:val="20"/>
                <w:szCs w:val="20"/>
                <w:color w:val="auto"/>
              </w:rPr>
            </w:pPr>
          </w:p>
        </w:tc>
        <w:tc>
          <w:tcPr>
            <w:tcW w:w="1860" w:type="dxa"/>
            <w:vAlign w:val="bottom"/>
            <w:gridSpan w:val="2"/>
          </w:tcPr>
          <w:p>
            <w:pPr>
              <w:jc w:val="right"/>
              <w:ind w:right="220"/>
              <w:spacing w:after="0" w:line="231" w:lineRule="exact"/>
              <w:rPr>
                <w:sz w:val="20"/>
                <w:szCs w:val="20"/>
                <w:color w:val="auto"/>
              </w:rPr>
            </w:pPr>
            <w:r>
              <w:rPr>
                <w:rFonts w:ascii="Times New Roman" w:cs="Times New Roman" w:eastAsia="Times New Roman" w:hAnsi="Times New Roman"/>
                <w:sz w:val="22"/>
                <w:szCs w:val="22"/>
                <w:color w:val="auto"/>
              </w:rPr>
              <w:t>Purchased (1)</w:t>
            </w:r>
          </w:p>
        </w:tc>
        <w:tc>
          <w:tcPr>
            <w:tcW w:w="380" w:type="dxa"/>
            <w:vAlign w:val="bottom"/>
          </w:tcPr>
          <w:p>
            <w:pPr>
              <w:spacing w:after="0"/>
              <w:rPr>
                <w:sz w:val="20"/>
                <w:szCs w:val="20"/>
                <w:color w:val="auto"/>
              </w:rPr>
            </w:pPr>
          </w:p>
        </w:tc>
        <w:tc>
          <w:tcPr>
            <w:tcW w:w="1320" w:type="dxa"/>
            <w:vAlign w:val="bottom"/>
            <w:gridSpan w:val="3"/>
          </w:tcPr>
          <w:p>
            <w:pPr>
              <w:jc w:val="right"/>
              <w:ind w:right="240"/>
              <w:spacing w:after="0" w:line="231" w:lineRule="exact"/>
              <w:rPr>
                <w:sz w:val="20"/>
                <w:szCs w:val="20"/>
                <w:color w:val="auto"/>
              </w:rPr>
            </w:pPr>
            <w:r>
              <w:rPr>
                <w:rFonts w:ascii="Times New Roman" w:cs="Times New Roman" w:eastAsia="Times New Roman" w:hAnsi="Times New Roman"/>
                <w:sz w:val="22"/>
                <w:szCs w:val="22"/>
                <w:color w:val="auto"/>
              </w:rPr>
              <w:t>per Share</w:t>
            </w:r>
          </w:p>
        </w:tc>
        <w:tc>
          <w:tcPr>
            <w:tcW w:w="1580" w:type="dxa"/>
            <w:vAlign w:val="bottom"/>
            <w:gridSpan w:val="2"/>
          </w:tcPr>
          <w:p>
            <w:pPr>
              <w:jc w:val="right"/>
              <w:ind w:right="220"/>
              <w:spacing w:after="0" w:line="231" w:lineRule="exact"/>
              <w:rPr>
                <w:sz w:val="20"/>
                <w:szCs w:val="20"/>
                <w:color w:val="auto"/>
              </w:rPr>
            </w:pPr>
            <w:r>
              <w:rPr>
                <w:rFonts w:ascii="Times New Roman" w:cs="Times New Roman" w:eastAsia="Times New Roman" w:hAnsi="Times New Roman"/>
                <w:sz w:val="22"/>
                <w:szCs w:val="22"/>
                <w:color w:val="auto"/>
              </w:rPr>
              <w:t>Programs</w:t>
            </w:r>
          </w:p>
        </w:tc>
        <w:tc>
          <w:tcPr>
            <w:tcW w:w="1560" w:type="dxa"/>
            <w:vAlign w:val="bottom"/>
          </w:tcPr>
          <w:p>
            <w:pPr>
              <w:jc w:val="right"/>
              <w:spacing w:after="0" w:line="231" w:lineRule="exact"/>
              <w:rPr>
                <w:sz w:val="20"/>
                <w:szCs w:val="20"/>
                <w:color w:val="auto"/>
              </w:rPr>
            </w:pPr>
            <w:r>
              <w:rPr>
                <w:rFonts w:ascii="Times New Roman" w:cs="Times New Roman" w:eastAsia="Times New Roman" w:hAnsi="Times New Roman"/>
                <w:sz w:val="22"/>
                <w:szCs w:val="22"/>
                <w:color w:val="auto"/>
              </w:rPr>
              <w:t>Programs</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April 1-30, 2017</w:t>
            </w:r>
          </w:p>
        </w:tc>
        <w:tc>
          <w:tcPr>
            <w:tcW w:w="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4"/>
        </w:trPr>
        <w:tc>
          <w:tcPr>
            <w:tcW w:w="2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May 1-31, 2017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1,259</w:t>
            </w:r>
          </w:p>
        </w:tc>
        <w:tc>
          <w:tcPr>
            <w:tcW w:w="220" w:type="dxa"/>
            <w:vAlign w:val="bottom"/>
          </w:tcPr>
          <w:p>
            <w:pPr>
              <w:spacing w:after="0"/>
              <w:rPr>
                <w:sz w:val="24"/>
                <w:szCs w:val="24"/>
                <w:color w:val="auto"/>
              </w:rPr>
            </w:pP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31.49</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4"/>
        </w:trPr>
        <w:tc>
          <w:tcPr>
            <w:tcW w:w="2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June 1-30, 2017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292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1,259</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bottom w:val="single" w:sz="8" w:color="auto"/>
            </w:tcBorders>
            <w:gridSpan w:val="2"/>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31.49</w:t>
            </w:r>
          </w:p>
        </w:tc>
        <w:tc>
          <w:tcPr>
            <w:tcW w:w="2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bl>
    <w:p>
      <w:pPr>
        <w:spacing w:after="0" w:line="229" w:lineRule="exact"/>
        <w:rPr>
          <w:sz w:val="20"/>
          <w:szCs w:val="20"/>
          <w:color w:val="auto"/>
        </w:rPr>
      </w:pPr>
    </w:p>
    <w:p>
      <w:pPr>
        <w:jc w:val="both"/>
        <w:ind w:left="400" w:hanging="392"/>
        <w:spacing w:after="0" w:line="253" w:lineRule="auto"/>
        <w:tabs>
          <w:tab w:leader="none" w:pos="4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include the following: (a) 281 shares we acquired from employees associated with the withholding of shares to pay certain withholding taxes upon the vesting of stock-based compensation; and</w:t>
      </w:r>
    </w:p>
    <w:p>
      <w:pPr>
        <w:spacing w:after="0" w:line="1" w:lineRule="exact"/>
        <w:rPr>
          <w:rFonts w:ascii="Times New Roman" w:cs="Times New Roman" w:eastAsia="Times New Roman" w:hAnsi="Times New Roman"/>
          <w:sz w:val="21"/>
          <w:szCs w:val="21"/>
          <w:color w:val="auto"/>
        </w:rPr>
      </w:pPr>
    </w:p>
    <w:p>
      <w:pPr>
        <w:jc w:val="both"/>
        <w:ind w:left="40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978 shares we acquired from our employees who elected to pay the exercise price of their stock options (and then hold shares of the stock), upon exercise, by delivering to us shares of our common stock in accordance with the terms of our equity compensation plan that were previously approved by our shareholders and disclosed in our proxy statements. These features of our equity compensation plan are available to all employees who receive stock-based compensation under the plan. We purchased these shares at their fair market value, as determined by reference to the closing price of our common stock on the day prior to the option exercise.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is set forth in the Exhibit Index hereto which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1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3, 2017</w:t>
      </w:r>
    </w:p>
    <w:p>
      <w:pPr>
        <w:spacing w:after="0" w:line="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-3175</wp:posOffset>
            </wp:positionV>
            <wp:extent cx="267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11430</wp:posOffset>
            </wp:positionV>
            <wp:extent cx="2675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22"/>
          <w:szCs w:val="22"/>
          <w:color w:val="auto"/>
        </w:rPr>
        <w:t>Christopher H. Franklin</w:t>
      </w:r>
    </w:p>
    <w:p>
      <w:pPr>
        <w:ind w:left="5540"/>
        <w:spacing w:after="0" w:line="230" w:lineRule="auto"/>
        <w:rPr>
          <w:sz w:val="20"/>
          <w:szCs w:val="20"/>
          <w:color w:val="auto"/>
        </w:rPr>
      </w:pPr>
      <w:r>
        <w:rPr>
          <w:rFonts w:ascii="Times New Roman" w:cs="Times New Roman" w:eastAsia="Times New Roman" w:hAnsi="Times New Roman"/>
          <w:sz w:val="22"/>
          <w:szCs w:val="22"/>
          <w:color w:val="auto"/>
        </w:rPr>
        <w:t>President and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 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11430</wp:posOffset>
            </wp:positionV>
            <wp:extent cx="2675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22"/>
          <w:szCs w:val="22"/>
          <w:color w:val="auto"/>
        </w:rPr>
        <w:t>David P. Smeltzer</w:t>
      </w:r>
    </w:p>
    <w:p>
      <w:pPr>
        <w:ind w:left="5540"/>
        <w:spacing w:after="0" w:line="230"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540"/>
          </w:cols>
          <w:pgMar w:left="1140" w:top="111" w:right="121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0" w:type="dxa"/>
            <w:vAlign w:val="bottom"/>
          </w:tcPr>
          <w:p>
            <w:pPr>
              <w:ind w:left="220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96"/>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0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9"/>
        </w:trPr>
        <w:tc>
          <w:tcPr>
            <w:tcW w:w="1480" w:type="dxa"/>
            <w:vAlign w:val="bottom"/>
            <w:tcBorders>
              <w:top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31.1</w:t>
            </w:r>
          </w:p>
        </w:tc>
        <w:tc>
          <w:tcPr>
            <w:tcW w:w="380" w:type="dxa"/>
            <w:vAlign w:val="bottom"/>
          </w:tcPr>
          <w:p>
            <w:pPr>
              <w:spacing w:after="0"/>
              <w:rPr>
                <w:sz w:val="18"/>
                <w:szCs w:val="18"/>
                <w:color w:val="auto"/>
              </w:rPr>
            </w:pPr>
          </w:p>
        </w:tc>
        <w:tc>
          <w:tcPr>
            <w:tcW w:w="8000" w:type="dxa"/>
            <w:vAlign w:val="bottom"/>
            <w:tcBorders>
              <w:top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Certification of Chief Executive Officer, pursuant to Rule 13a-14(a) under the Securities</w:t>
            </w:r>
          </w:p>
        </w:tc>
      </w:tr>
      <w:tr>
        <w:trPr>
          <w:trHeight w:val="243"/>
        </w:trPr>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and Exchange Act of 1934.</w:t>
            </w:r>
          </w:p>
        </w:tc>
      </w:tr>
      <w:tr>
        <w:trPr>
          <w:trHeight w:val="243"/>
        </w:trPr>
        <w:tc>
          <w:tcPr>
            <w:tcW w:w="14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w:t>
            </w:r>
          </w:p>
        </w:tc>
        <w:tc>
          <w:tcPr>
            <w:tcW w:w="380" w:type="dxa"/>
            <w:vAlign w:val="bottom"/>
          </w:tcPr>
          <w:p>
            <w:pPr>
              <w:spacing w:after="0"/>
              <w:rPr>
                <w:sz w:val="21"/>
                <w:szCs w:val="21"/>
                <w:color w:val="auto"/>
              </w:rPr>
            </w:pP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Certification of Chief Financial Officer, pursuant to Rule 13a-14(a) under the Securities</w:t>
            </w:r>
          </w:p>
        </w:tc>
      </w:tr>
      <w:tr>
        <w:trPr>
          <w:trHeight w:val="243"/>
        </w:trPr>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and Exchange Act of 1934.</w:t>
            </w:r>
          </w:p>
        </w:tc>
      </w:tr>
      <w:tr>
        <w:trPr>
          <w:trHeight w:val="243"/>
        </w:trPr>
        <w:tc>
          <w:tcPr>
            <w:tcW w:w="14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380" w:type="dxa"/>
            <w:vAlign w:val="bottom"/>
          </w:tcPr>
          <w:p>
            <w:pPr>
              <w:spacing w:after="0"/>
              <w:rPr>
                <w:sz w:val="21"/>
                <w:szCs w:val="21"/>
                <w:color w:val="auto"/>
              </w:rPr>
            </w:pP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Certification of Chief Executive Officer, pursuant to 18 U.S.C. Section 1350.</w:t>
            </w:r>
          </w:p>
        </w:tc>
      </w:tr>
      <w:tr>
        <w:trPr>
          <w:trHeight w:val="243"/>
        </w:trPr>
        <w:tc>
          <w:tcPr>
            <w:tcW w:w="14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32.2</w:t>
            </w:r>
          </w:p>
        </w:tc>
        <w:tc>
          <w:tcPr>
            <w:tcW w:w="380" w:type="dxa"/>
            <w:vAlign w:val="bottom"/>
          </w:tcPr>
          <w:p>
            <w:pPr>
              <w:spacing w:after="0"/>
              <w:rPr>
                <w:sz w:val="21"/>
                <w:szCs w:val="21"/>
                <w:color w:val="auto"/>
              </w:rPr>
            </w:pP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Certification of Chief Financial Officer, pursuant to 18 U.S.C. Section 1350.</w:t>
            </w:r>
          </w:p>
        </w:tc>
      </w:tr>
      <w:tr>
        <w:trPr>
          <w:trHeight w:val="243"/>
        </w:trPr>
        <w:tc>
          <w:tcPr>
            <w:tcW w:w="18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101.INS</w:t>
            </w: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XBRL Instance Document</w:t>
            </w:r>
          </w:p>
        </w:tc>
      </w:tr>
      <w:tr>
        <w:trPr>
          <w:trHeight w:val="243"/>
        </w:trPr>
        <w:tc>
          <w:tcPr>
            <w:tcW w:w="18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101.SCH</w:t>
            </w: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XBRL Taxonomy Extension Schema Document</w:t>
            </w:r>
          </w:p>
        </w:tc>
      </w:tr>
      <w:tr>
        <w:trPr>
          <w:trHeight w:val="243"/>
        </w:trPr>
        <w:tc>
          <w:tcPr>
            <w:tcW w:w="18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101.CAL</w:t>
            </w: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XBRL Taxonomy Extension Calculation Linkbase Document</w:t>
            </w:r>
          </w:p>
        </w:tc>
      </w:tr>
      <w:tr>
        <w:trPr>
          <w:trHeight w:val="243"/>
        </w:trPr>
        <w:tc>
          <w:tcPr>
            <w:tcW w:w="18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101.DEF</w:t>
            </w: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XBRL Taxonomy Extension Definition Linkbase Document</w:t>
            </w:r>
          </w:p>
        </w:tc>
      </w:tr>
      <w:tr>
        <w:trPr>
          <w:trHeight w:val="243"/>
        </w:trPr>
        <w:tc>
          <w:tcPr>
            <w:tcW w:w="18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101.LAB</w:t>
            </w:r>
          </w:p>
        </w:tc>
        <w:tc>
          <w:tcPr>
            <w:tcW w:w="80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XBRL Taxonomy Extension Label Linkbase Document</w:t>
            </w:r>
          </w:p>
        </w:tc>
      </w:tr>
      <w:tr>
        <w:trPr>
          <w:trHeight w:val="283"/>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101.PRES</w:t>
            </w:r>
          </w:p>
        </w:tc>
        <w:tc>
          <w:tcPr>
            <w:tcW w:w="80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1"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16"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 13A-14(A) UNDER THE SECURITIES</w:t>
      </w:r>
    </w:p>
    <w:p>
      <w:pPr>
        <w:jc w:val="center"/>
        <w:ind w:right="-3"/>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29" w:lineRule="exact"/>
        <w:rPr>
          <w:sz w:val="20"/>
          <w:szCs w:val="20"/>
          <w:color w:val="auto"/>
        </w:rPr>
      </w:pPr>
    </w:p>
    <w:p>
      <w:pPr>
        <w:ind w:left="324" w:hanging="324"/>
        <w:spacing w:after="0"/>
        <w:tabs>
          <w:tab w:leader="none" w:pos="3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197" w:lineRule="auto"/>
        <w:tabs>
          <w:tab w:leader="none" w:pos="3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44" w:right="140" w:hanging="320"/>
        <w:spacing w:after="0" w:line="197" w:lineRule="auto"/>
        <w:tabs>
          <w:tab w:leader="none" w:pos="64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44" w:right="40" w:hanging="320"/>
        <w:spacing w:after="0" w:line="207" w:lineRule="auto"/>
        <w:tabs>
          <w:tab w:leader="none" w:pos="644"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4" w:right="240" w:hanging="320"/>
        <w:spacing w:after="0" w:line="197" w:lineRule="auto"/>
        <w:tabs>
          <w:tab w:leader="none" w:pos="64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24" w:right="180" w:hanging="324"/>
        <w:spacing w:after="0" w:line="197" w:lineRule="auto"/>
        <w:tabs>
          <w:tab w:leader="none" w:pos="3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2" w:lineRule="auto"/>
        <w:tabs>
          <w:tab w:leader="none" w:pos="64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87"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5" w:right="9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David P. Smeltzer, certify that:</w:t>
      </w:r>
    </w:p>
    <w:p>
      <w:pPr>
        <w:spacing w:after="0" w:line="129" w:lineRule="exact"/>
        <w:rPr>
          <w:sz w:val="20"/>
          <w:szCs w:val="20"/>
          <w:color w:val="auto"/>
        </w:rPr>
      </w:pPr>
    </w:p>
    <w:p>
      <w:pPr>
        <w:ind w:left="324" w:hanging="324"/>
        <w:spacing w:after="0"/>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197"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44" w:right="200" w:hanging="320"/>
        <w:spacing w:after="0" w:line="19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44" w:right="100" w:hanging="320"/>
        <w:spacing w:after="0" w:line="207" w:lineRule="auto"/>
        <w:tabs>
          <w:tab w:leader="none" w:pos="64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4" w:right="300" w:hanging="320"/>
        <w:spacing w:after="0" w:line="19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24" w:right="240" w:hanging="324"/>
        <w:spacing w:after="0" w:line="197"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2"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David P. Smeltzer</w:t>
      </w:r>
    </w:p>
    <w:p>
      <w:pPr>
        <w:ind w:left="124"/>
        <w:spacing w:after="0" w:line="187" w:lineRule="auto"/>
        <w:rPr>
          <w:sz w:val="20"/>
          <w:szCs w:val="20"/>
          <w:color w:val="auto"/>
        </w:rPr>
      </w:pPr>
      <w:r>
        <w:rPr>
          <w:rFonts w:ascii="Times New Roman" w:cs="Times New Roman" w:eastAsia="Times New Roman" w:hAnsi="Times New Roman"/>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4" w:right="8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33" w:lineRule="exact"/>
        <w:rPr>
          <w:sz w:val="20"/>
          <w:szCs w:val="20"/>
          <w:color w:val="auto"/>
        </w:rPr>
      </w:pPr>
    </w:p>
    <w:p>
      <w:pPr>
        <w:ind w:left="4" w:right="260"/>
        <w:spacing w:after="0" w:line="182"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June 30, 2017 of Aqua America,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205" w:lineRule="exact"/>
        <w:rPr>
          <w:sz w:val="20"/>
          <w:szCs w:val="20"/>
          <w:color w:val="auto"/>
        </w:rPr>
      </w:pPr>
    </w:p>
    <w:p>
      <w:pPr>
        <w:ind w:left="324" w:right="400" w:hanging="324"/>
        <w:spacing w:after="0" w:line="210" w:lineRule="auto"/>
        <w:tabs>
          <w:tab w:leader="none" w:pos="3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 and</w:t>
      </w:r>
    </w:p>
    <w:p>
      <w:pPr>
        <w:spacing w:after="0" w:line="43" w:lineRule="exact"/>
        <w:rPr>
          <w:rFonts w:ascii="Times New Roman" w:cs="Times New Roman" w:eastAsia="Times New Roman" w:hAnsi="Times New Roman"/>
          <w:sz w:val="22"/>
          <w:szCs w:val="22"/>
          <w:color w:val="auto"/>
        </w:rPr>
      </w:pPr>
    </w:p>
    <w:p>
      <w:pPr>
        <w:ind w:left="324" w:right="500" w:hanging="324"/>
        <w:spacing w:after="0" w:line="210" w:lineRule="auto"/>
        <w:tabs>
          <w:tab w:leader="none" w:pos="3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87"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2" w:right="9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33" w:lineRule="exact"/>
        <w:rPr>
          <w:sz w:val="20"/>
          <w:szCs w:val="20"/>
          <w:color w:val="auto"/>
        </w:rPr>
      </w:pPr>
    </w:p>
    <w:p>
      <w:pPr>
        <w:ind w:left="4" w:right="80"/>
        <w:spacing w:after="0" w:line="182"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June 30, 2017 of Aqua America, Inc. (the “Company”) as filed with the Securities and Exchange Commission on the date hereof (the “Report”), I, David P. Smeltzer, Chief Financial Officer of the Company, certify, pursuant to 18 U.S.C. Section 1350, as adopted pursuant to Section 906 of the Sarbanes-Oxley Act of 2002, that, to my knowledge:</w:t>
      </w:r>
    </w:p>
    <w:p>
      <w:pPr>
        <w:spacing w:after="0" w:line="205" w:lineRule="exact"/>
        <w:rPr>
          <w:sz w:val="20"/>
          <w:szCs w:val="20"/>
          <w:color w:val="auto"/>
        </w:rPr>
      </w:pPr>
    </w:p>
    <w:p>
      <w:pPr>
        <w:ind w:left="324" w:right="400" w:hanging="324"/>
        <w:spacing w:after="0" w:line="210" w:lineRule="auto"/>
        <w:tabs>
          <w:tab w:leader="none" w:pos="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 and</w:t>
      </w:r>
    </w:p>
    <w:p>
      <w:pPr>
        <w:spacing w:after="0" w:line="43" w:lineRule="exact"/>
        <w:rPr>
          <w:rFonts w:ascii="Times New Roman" w:cs="Times New Roman" w:eastAsia="Times New Roman" w:hAnsi="Times New Roman"/>
          <w:sz w:val="22"/>
          <w:szCs w:val="22"/>
          <w:color w:val="auto"/>
        </w:rPr>
      </w:pPr>
    </w:p>
    <w:p>
      <w:pPr>
        <w:ind w:left="324" w:right="500" w:hanging="324"/>
        <w:spacing w:after="0" w:line="210" w:lineRule="auto"/>
        <w:tabs>
          <w:tab w:leader="none" w:pos="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David P. Smeltzer</w:t>
      </w:r>
    </w:p>
    <w:p>
      <w:pPr>
        <w:ind w:left="124"/>
        <w:spacing w:after="0" w:line="187" w:lineRule="auto"/>
        <w:rPr>
          <w:sz w:val="20"/>
          <w:szCs w:val="20"/>
          <w:color w:val="auto"/>
        </w:rPr>
      </w:pPr>
      <w:r>
        <w:rPr>
          <w:rFonts w:ascii="Times New Roman" w:cs="Times New Roman" w:eastAsia="Times New Roman" w:hAnsi="Times New Roman"/>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147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1"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2019-12-29T06:28:16Z</dcterms:created>
  <dcterms:modified xsi:type="dcterms:W3CDTF">2019-12-29T06:28:16Z</dcterms:modified>
</cp:coreProperties>
</file>