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2"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820" w:right="1980" w:hanging="3817"/>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March 31, 2020</w:t>
      </w:r>
    </w:p>
    <w:p>
      <w:pPr>
        <w:spacing w:after="0" w:line="71" w:lineRule="exact"/>
        <w:rPr>
          <w:sz w:val="24"/>
          <w:szCs w:val="24"/>
          <w:color w:val="auto"/>
        </w:rPr>
      </w:pPr>
    </w:p>
    <w:p>
      <w:pPr>
        <w:ind w:left="2960" w:right="1920" w:hanging="2952"/>
        <w:spacing w:after="0" w:line="273" w:lineRule="auto"/>
        <w:tabs>
          <w:tab w:leader="none" w:pos="144"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2" w:lineRule="exact"/>
        <w:rPr>
          <w:sz w:val="24"/>
          <w:szCs w:val="24"/>
          <w:color w:val="auto"/>
        </w:rPr>
      </w:pPr>
    </w:p>
    <w:p>
      <w:pPr>
        <w:ind w:left="4320"/>
        <w:spacing w:after="0"/>
        <w:rPr>
          <w:sz w:val="20"/>
          <w:szCs w:val="20"/>
          <w:color w:val="auto"/>
        </w:rPr>
      </w:pPr>
      <w:r>
        <w:rPr>
          <w:rFonts w:ascii="Arial" w:cs="Arial" w:eastAsia="Arial" w:hAnsi="Arial"/>
          <w:sz w:val="19"/>
          <w:szCs w:val="19"/>
          <w:color w:val="auto"/>
        </w:rPr>
        <w:t>Commission File Number 1-6659</w:t>
      </w:r>
    </w:p>
    <w:p>
      <w:pPr>
        <w:spacing w:after="0" w:line="167" w:lineRule="exact"/>
        <w:rPr>
          <w:sz w:val="24"/>
          <w:szCs w:val="24"/>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8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480" w:type="dxa"/>
            <w:vAlign w:val="bottom"/>
            <w:gridSpan w:val="4"/>
          </w:tcPr>
          <w:p>
            <w:pPr>
              <w:jc w:val="center"/>
              <w:ind w:right="144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860" w:type="dxa"/>
            <w:vAlign w:val="bottom"/>
            <w:gridSpan w:val="5"/>
          </w:tcPr>
          <w:p>
            <w:pPr>
              <w:jc w:val="center"/>
              <w:ind w:left="1346"/>
              <w:spacing w:after="0" w:line="187" w:lineRule="exact"/>
              <w:rPr>
                <w:sz w:val="20"/>
                <w:szCs w:val="20"/>
                <w:color w:val="auto"/>
              </w:rPr>
            </w:pPr>
            <w:r>
              <w:rPr>
                <w:rFonts w:ascii="Arial" w:cs="Arial" w:eastAsia="Arial" w:hAnsi="Arial"/>
                <w:sz w:val="19"/>
                <w:szCs w:val="19"/>
                <w:color w:val="auto"/>
                <w:w w:val="93"/>
              </w:rPr>
              <w:t>(I.R.S. Employer</w:t>
            </w:r>
          </w:p>
        </w:tc>
      </w:tr>
      <w:tr>
        <w:trPr>
          <w:trHeight w:val="240"/>
        </w:trPr>
        <w:tc>
          <w:tcPr>
            <w:tcW w:w="5480" w:type="dxa"/>
            <w:vAlign w:val="bottom"/>
            <w:gridSpan w:val="4"/>
          </w:tcPr>
          <w:p>
            <w:pPr>
              <w:jc w:val="center"/>
              <w:ind w:right="1440"/>
              <w:spacing w:after="0"/>
              <w:rPr>
                <w:sz w:val="20"/>
                <w:szCs w:val="20"/>
                <w:color w:val="auto"/>
              </w:rPr>
            </w:pPr>
            <w:r>
              <w:rPr>
                <w:rFonts w:ascii="Arial" w:cs="Arial" w:eastAsia="Arial" w:hAnsi="Arial"/>
                <w:sz w:val="19"/>
                <w:szCs w:val="19"/>
                <w:color w:val="auto"/>
                <w:w w:val="92"/>
              </w:rPr>
              <w:t>incorporation or organization)</w:t>
            </w:r>
          </w:p>
        </w:tc>
        <w:tc>
          <w:tcPr>
            <w:tcW w:w="2860" w:type="dxa"/>
            <w:vAlign w:val="bottom"/>
            <w:gridSpan w:val="5"/>
          </w:tcPr>
          <w:p>
            <w:pPr>
              <w:jc w:val="center"/>
              <w:ind w:left="1346"/>
              <w:spacing w:after="0"/>
              <w:rPr>
                <w:sz w:val="20"/>
                <w:szCs w:val="20"/>
                <w:color w:val="auto"/>
              </w:rPr>
            </w:pPr>
            <w:r>
              <w:rPr>
                <w:rFonts w:ascii="Arial" w:cs="Arial" w:eastAsia="Arial" w:hAnsi="Arial"/>
                <w:sz w:val="19"/>
                <w:szCs w:val="19"/>
                <w:color w:val="auto"/>
                <w:w w:val="96"/>
              </w:rPr>
              <w:t>Identification No.)</w:t>
            </w:r>
          </w:p>
        </w:tc>
      </w:tr>
      <w:tr>
        <w:trPr>
          <w:trHeight w:val="362"/>
        </w:trPr>
        <w:tc>
          <w:tcPr>
            <w:tcW w:w="5480" w:type="dxa"/>
            <w:vAlign w:val="bottom"/>
            <w:gridSpan w:val="4"/>
          </w:tcPr>
          <w:p>
            <w:pPr>
              <w:jc w:val="center"/>
              <w:ind w:right="1460"/>
              <w:spacing w:after="0"/>
              <w:rPr>
                <w:sz w:val="20"/>
                <w:szCs w:val="20"/>
                <w:color w:val="auto"/>
              </w:rPr>
            </w:pPr>
            <w:r>
              <w:rPr>
                <w:rFonts w:ascii="Arial" w:cs="Arial" w:eastAsia="Arial" w:hAnsi="Arial"/>
                <w:sz w:val="19"/>
                <w:szCs w:val="19"/>
                <w:color w:val="auto"/>
                <w:w w:val="90"/>
              </w:rPr>
              <w:t>762 W. Lancaster Avenue, Bryn Mawr, Pennsylvania</w:t>
            </w:r>
          </w:p>
        </w:tc>
        <w:tc>
          <w:tcPr>
            <w:tcW w:w="286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34"/>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w w:val="92"/>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9"/>
                <w:szCs w:val="19"/>
                <w:color w:val="auto"/>
                <w:w w:val="91"/>
              </w:rPr>
              <w:t>(Zip Code)</w:t>
            </w:r>
          </w:p>
        </w:tc>
        <w:tc>
          <w:tcPr>
            <w:tcW w:w="220" w:type="dxa"/>
            <w:vAlign w:val="bottom"/>
          </w:tcPr>
          <w:p>
            <w:pPr>
              <w:spacing w:after="0"/>
              <w:rPr>
                <w:sz w:val="20"/>
                <w:szCs w:val="20"/>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line="222"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22"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71" w:lineRule="exact"/>
        <w:rPr>
          <w:sz w:val="24"/>
          <w:szCs w:val="24"/>
          <w:color w:val="auto"/>
        </w:rPr>
      </w:pPr>
    </w:p>
    <w:p>
      <w:pPr>
        <w:ind w:right="16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jc w:val="both"/>
        <w:ind w:right="20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9"/>
                <w:szCs w:val="19"/>
                <w:color w:val="auto"/>
              </w:rPr>
            </w:pPr>
          </w:p>
        </w:tc>
        <w:tc>
          <w:tcPr>
            <w:tcW w:w="7860" w:type="dxa"/>
            <w:vAlign w:val="bottom"/>
            <w:gridSpan w:val="5"/>
          </w:tcPr>
          <w:p>
            <w:pPr>
              <w:ind w:left="6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89"/>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Trading Symbol(s)</w:t>
            </w:r>
          </w:p>
        </w:tc>
        <w:tc>
          <w:tcPr>
            <w:tcW w:w="4520" w:type="dxa"/>
            <w:vAlign w:val="bottom"/>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174"/>
        </w:trPr>
        <w:tc>
          <w:tcPr>
            <w:tcW w:w="3380" w:type="dxa"/>
            <w:vAlign w:val="bottom"/>
            <w:tcBorders>
              <w:top w:val="single" w:sz="8" w:color="auto"/>
            </w:tcBorders>
          </w:tcPr>
          <w:p>
            <w:pPr>
              <w:jc w:val="center"/>
              <w:ind w:left="706"/>
              <w:spacing w:after="0" w:line="173" w:lineRule="exact"/>
              <w:rPr>
                <w:sz w:val="20"/>
                <w:szCs w:val="20"/>
                <w:color w:val="auto"/>
              </w:rPr>
            </w:pPr>
            <w:r>
              <w:rPr>
                <w:rFonts w:ascii="Arial" w:cs="Arial" w:eastAsia="Arial" w:hAnsi="Arial"/>
                <w:sz w:val="19"/>
                <w:szCs w:val="19"/>
                <w:color w:val="auto"/>
                <w:w w:val="90"/>
              </w:rPr>
              <w:t>Common stock, $0.50 par value</w:t>
            </w: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6"/>
              </w:rPr>
              <w:t>WTRG</w:t>
            </w:r>
          </w:p>
        </w:tc>
        <w:tc>
          <w:tcPr>
            <w:tcW w:w="240" w:type="dxa"/>
            <w:vAlign w:val="bottom"/>
          </w:tcPr>
          <w:p>
            <w:pPr>
              <w:spacing w:after="0"/>
              <w:rPr>
                <w:sz w:val="15"/>
                <w:szCs w:val="15"/>
                <w:color w:val="auto"/>
              </w:rPr>
            </w:pPr>
          </w:p>
        </w:tc>
        <w:tc>
          <w:tcPr>
            <w:tcW w:w="45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0"/>
              </w:rPr>
              <w:t>New York Stock Exchange</w:t>
            </w:r>
          </w:p>
        </w:tc>
      </w:tr>
      <w:tr>
        <w:trPr>
          <w:trHeight w:val="240"/>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92"/>
              </w:rPr>
              <w:t>6.00% Tangible Equity Units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8"/>
              </w:rPr>
              <w:t>WTRU</w:t>
            </w:r>
          </w:p>
        </w:tc>
        <w:tc>
          <w:tcPr>
            <w:tcW w:w="4520" w:type="dxa"/>
            <w:vAlign w:val="bottom"/>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165"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April 27, 2020: 245,041,284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tbl>
      <w:tblPr>
        <w:tblLayout w:type="fixed"/>
        <w:tblInd w:w="0" w:type="dxa"/>
        <w:tblCellMar>
          <w:top w:w="0" w:type="dxa"/>
          <w:left w:w="0" w:type="dxa"/>
          <w:bottom w:w="0" w:type="dxa"/>
          <w:right w:w="0" w:type="dxa"/>
        </w:tblCellMar>
      </w:tblPr>
      <w:tr>
        <w:trPr>
          <w:trHeight w:val="274"/>
        </w:trPr>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40" w:type="dxa"/>
            <w:vAlign w:val="bottom"/>
            <w:gridSpan w:val="9"/>
          </w:tcPr>
          <w:p>
            <w:pPr>
              <w:jc w:val="center"/>
              <w:ind w:left="732"/>
              <w:spacing w:after="0"/>
              <w:rPr>
                <w:sz w:val="20"/>
                <w:szCs w:val="20"/>
                <w:color w:val="auto"/>
              </w:rPr>
            </w:pPr>
            <w:r>
              <w:rPr>
                <w:rFonts w:ascii="Arial" w:cs="Arial" w:eastAsia="Arial" w:hAnsi="Arial"/>
                <w:sz w:val="22"/>
                <w:szCs w:val="22"/>
                <w:color w:val="auto"/>
                <w:w w:val="96"/>
              </w:rPr>
              <w:t>ESSENTIAL UTILITIES, INC. AND SUBSIDIARIES</w:t>
            </w: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4"/>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gridSpan w:val="7"/>
          </w:tcPr>
          <w:p>
            <w:pPr>
              <w:jc w:val="center"/>
              <w:ind w:right="2660"/>
              <w:spacing w:after="0"/>
              <w:rPr>
                <w:sz w:val="20"/>
                <w:szCs w:val="20"/>
                <w:color w:val="auto"/>
              </w:rPr>
            </w:pPr>
            <w:r>
              <w:rPr>
                <w:rFonts w:ascii="Arial" w:cs="Arial" w:eastAsia="Arial" w:hAnsi="Arial"/>
                <w:sz w:val="22"/>
                <w:szCs w:val="22"/>
                <w:color w:val="auto"/>
                <w:w w:val="94"/>
              </w:rPr>
              <w:t>TABLE OF CONTENTS</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gridSpan w:val="3"/>
          </w:tcPr>
          <w:p>
            <w:pPr>
              <w:ind w:left="1400"/>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5600" w:type="dxa"/>
            <w:vAlign w:val="bottom"/>
            <w:gridSpan w:val="8"/>
            <w:shd w:val="clear" w:color="auto" w:fill="CCEEFF"/>
          </w:tcPr>
          <w:p>
            <w:pPr>
              <w:jc w:val="center"/>
              <w:ind w:right="1980"/>
              <w:spacing w:after="0" w:line="229" w:lineRule="exact"/>
              <w:rPr>
                <w:rFonts w:ascii="Arial" w:cs="Arial" w:eastAsia="Arial" w:hAnsi="Arial"/>
                <w:sz w:val="22"/>
                <w:szCs w:val="22"/>
                <w:u w:val="single" w:color="auto"/>
                <w:color w:val="0563C1"/>
                <w:w w:val="91"/>
              </w:rPr>
            </w:pPr>
            <w:hyperlink w:anchor="page3">
              <w:r>
                <w:rPr>
                  <w:rFonts w:ascii="Arial" w:cs="Arial" w:eastAsia="Arial" w:hAnsi="Arial"/>
                  <w:sz w:val="22"/>
                  <w:szCs w:val="22"/>
                  <w:u w:val="single" w:color="auto"/>
                  <w:color w:val="0563C1"/>
                  <w:w w:val="91"/>
                </w:rPr>
                <w:t>Part I – Financial Information</w:t>
              </w:r>
            </w:hyperlink>
          </w:p>
        </w:tc>
        <w:tc>
          <w:tcPr>
            <w:tcW w:w="140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line="229" w:lineRule="exact"/>
              <w:rPr>
                <w:rFonts w:ascii="Arial" w:cs="Arial" w:eastAsia="Arial" w:hAnsi="Arial"/>
                <w:sz w:val="22"/>
                <w:szCs w:val="22"/>
                <w:u w:val="single" w:color="auto"/>
                <w:color w:val="0563C1"/>
                <w:w w:val="95"/>
              </w:rPr>
            </w:pPr>
            <w:hyperlink w:anchor="page3">
              <w:r>
                <w:rPr>
                  <w:rFonts w:ascii="Arial" w:cs="Arial" w:eastAsia="Arial" w:hAnsi="Arial"/>
                  <w:sz w:val="22"/>
                  <w:szCs w:val="22"/>
                  <w:u w:val="single" w:color="auto"/>
                  <w:color w:val="0563C1"/>
                  <w:w w:val="95"/>
                </w:rPr>
                <w:t>Item 1.</w:t>
              </w:r>
            </w:hyperlink>
          </w:p>
        </w:tc>
        <w:tc>
          <w:tcPr>
            <w:tcW w:w="8760" w:type="dxa"/>
            <w:vAlign w:val="bottom"/>
            <w:gridSpan w:val="10"/>
            <w:shd w:val="clear" w:color="auto" w:fill="CCEEFF"/>
          </w:tcPr>
          <w:p>
            <w:pPr>
              <w:ind w:left="60"/>
              <w:spacing w:after="0" w:line="229" w:lineRule="exact"/>
              <w:rPr>
                <w:rFonts w:ascii="Arial" w:cs="Arial" w:eastAsia="Arial" w:hAnsi="Arial"/>
                <w:sz w:val="22"/>
                <w:szCs w:val="22"/>
                <w:u w:val="single" w:color="auto"/>
                <w:color w:val="0563C1"/>
              </w:rPr>
            </w:pPr>
            <w:hyperlink w:anchor="page3">
              <w:r>
                <w:rPr>
                  <w:rFonts w:ascii="Arial" w:cs="Arial" w:eastAsia="Arial" w:hAnsi="Arial"/>
                  <w:sz w:val="22"/>
                  <w:szCs w:val="22"/>
                  <w:u w:val="single" w:color="auto"/>
                  <w:color w:val="0563C1"/>
                </w:rPr>
                <w:t>Financial Statements:</w:t>
              </w:r>
            </w:hyperlink>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rPr>
                <w:sz w:val="19"/>
                <w:szCs w:val="19"/>
                <w:color w:val="auto"/>
              </w:rPr>
            </w:pPr>
          </w:p>
        </w:tc>
        <w:tc>
          <w:tcPr>
            <w:tcW w:w="8760" w:type="dxa"/>
            <w:vAlign w:val="bottom"/>
            <w:gridSpan w:val="10"/>
            <w:shd w:val="clear" w:color="auto" w:fill="CCEEFF"/>
          </w:tcPr>
          <w:p>
            <w:pPr>
              <w:spacing w:after="0" w:line="229" w:lineRule="exact"/>
              <w:rPr>
                <w:rFonts w:ascii="Arial" w:cs="Arial" w:eastAsia="Arial" w:hAnsi="Arial"/>
                <w:sz w:val="22"/>
                <w:szCs w:val="22"/>
                <w:u w:val="single" w:color="auto"/>
                <w:color w:val="0563C1"/>
              </w:rPr>
            </w:pPr>
            <w:hyperlink w:anchor="page3">
              <w:r>
                <w:rPr>
                  <w:rFonts w:ascii="Arial" w:cs="Arial" w:eastAsia="Arial" w:hAnsi="Arial"/>
                  <w:sz w:val="22"/>
                  <w:szCs w:val="22"/>
                  <w:u w:val="single" w:color="auto"/>
                  <w:color w:val="0563C1"/>
                </w:rPr>
                <w:t>Consolidated Balance Sheets (unaudited) – March 31, 2020 and December 31, 2019</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8"/>
            <w:shd w:val="clear" w:color="auto" w:fill="CCEEFF"/>
          </w:tcPr>
          <w:p>
            <w:pPr>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Three Months Ended March 31, 2020 and 2019</w:t>
              </w:r>
            </w:hyperlink>
          </w:p>
        </w:tc>
        <w:tc>
          <w:tcPr>
            <w:tcW w:w="17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840" w:type="dxa"/>
            <w:vAlign w:val="bottom"/>
            <w:tcBorders>
              <w:top w:val="single" w:sz="8" w:color="0563C1"/>
            </w:tcBorders>
          </w:tcPr>
          <w:p>
            <w:pPr>
              <w:spacing w:after="0"/>
              <w:rPr>
                <w:sz w:val="19"/>
                <w:szCs w:val="19"/>
                <w:color w:val="auto"/>
              </w:rPr>
            </w:pPr>
          </w:p>
        </w:tc>
        <w:tc>
          <w:tcPr>
            <w:tcW w:w="6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203" w:lineRule="exact"/>
              <w:rPr>
                <w:rFonts w:ascii="Arial" w:cs="Arial" w:eastAsia="Arial" w:hAnsi="Arial"/>
                <w:sz w:val="22"/>
                <w:szCs w:val="22"/>
                <w:color w:val="0563C1"/>
              </w:rPr>
            </w:pPr>
            <w:hyperlink w:anchor="page6">
              <w:r>
                <w:rPr>
                  <w:rFonts w:ascii="Arial" w:cs="Arial" w:eastAsia="Arial" w:hAnsi="Arial"/>
                  <w:sz w:val="22"/>
                  <w:szCs w:val="22"/>
                  <w:color w:val="0563C1"/>
                </w:rPr>
                <w:t>Consolidated Statements of Capitalization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563C1"/>
            </w:tcBorders>
            <w:shd w:val="clear" w:color="auto" w:fill="CCEEFF"/>
          </w:tcPr>
          <w:p>
            <w:pPr>
              <w:spacing w:after="0"/>
              <w:rPr>
                <w:sz w:val="18"/>
                <w:szCs w:val="18"/>
                <w:color w:val="auto"/>
              </w:rPr>
            </w:pPr>
          </w:p>
        </w:tc>
        <w:tc>
          <w:tcPr>
            <w:tcW w:w="4520" w:type="dxa"/>
            <w:vAlign w:val="bottom"/>
            <w:tcBorders>
              <w:top w:val="single" w:sz="8" w:color="0563C1"/>
            </w:tcBorders>
            <w:gridSpan w:val="7"/>
            <w:shd w:val="clear" w:color="auto" w:fill="CCEEFF"/>
          </w:tcPr>
          <w:p>
            <w:pPr>
              <w:spacing w:after="0" w:line="209" w:lineRule="exact"/>
              <w:rPr>
                <w:rFonts w:ascii="Arial" w:cs="Arial" w:eastAsia="Arial" w:hAnsi="Arial"/>
                <w:sz w:val="22"/>
                <w:szCs w:val="22"/>
                <w:color w:val="0563C1"/>
              </w:rPr>
            </w:pPr>
            <w:hyperlink w:anchor="page6">
              <w:r>
                <w:rPr>
                  <w:rFonts w:ascii="Arial" w:cs="Arial" w:eastAsia="Arial" w:hAnsi="Arial"/>
                  <w:sz w:val="22"/>
                  <w:szCs w:val="22"/>
                  <w:color w:val="0563C1"/>
                </w:rPr>
                <w:t>March 31, 2020 and December 31, 2019</w:t>
              </w:r>
            </w:hyperlink>
          </w:p>
        </w:tc>
        <w:tc>
          <w:tcPr>
            <w:tcW w:w="3920" w:type="dxa"/>
            <w:vAlign w:val="bottom"/>
            <w:tcBorders>
              <w:top w:val="single" w:sz="8" w:color="CCEEFF"/>
            </w:tcBorders>
            <w:gridSpan w:val="2"/>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840" w:type="dxa"/>
            <w:vAlign w:val="bottom"/>
            <w:tcBorders>
              <w:top w:val="single" w:sz="8" w:color="0563C1"/>
            </w:tcBorders>
          </w:tcPr>
          <w:p>
            <w:pPr>
              <w:spacing w:after="0"/>
              <w:rPr>
                <w:sz w:val="19"/>
                <w:szCs w:val="19"/>
                <w:color w:val="auto"/>
              </w:rPr>
            </w:pPr>
          </w:p>
        </w:tc>
        <w:tc>
          <w:tcPr>
            <w:tcW w:w="660" w:type="dxa"/>
            <w:vAlign w:val="bottom"/>
            <w:tcBorders>
              <w:top w:val="single" w:sz="8" w:color="0563C1"/>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3900" w:type="dxa"/>
            <w:vAlign w:val="bottom"/>
            <w:tcBorders>
              <w:top w:val="single" w:sz="8" w:color="0563C1"/>
            </w:tcBorders>
            <w:gridSpan w:val="3"/>
            <w:shd w:val="clear" w:color="auto" w:fill="CCEEFF"/>
          </w:tcPr>
          <w:p>
            <w:pPr>
              <w:spacing w:after="0" w:line="237" w:lineRule="exact"/>
              <w:rPr>
                <w:rFonts w:ascii="Arial" w:cs="Arial" w:eastAsia="Arial" w:hAnsi="Arial"/>
                <w:sz w:val="22"/>
                <w:szCs w:val="22"/>
                <w:u w:val="single" w:color="auto"/>
                <w:color w:val="0563C1"/>
              </w:rPr>
            </w:pPr>
            <w:hyperlink w:anchor="page7">
              <w:r>
                <w:rPr>
                  <w:rFonts w:ascii="Arial" w:cs="Arial" w:eastAsia="Arial" w:hAnsi="Arial"/>
                  <w:sz w:val="22"/>
                  <w:szCs w:val="22"/>
                  <w:u w:val="single" w:color="auto"/>
                  <w:color w:val="0563C1"/>
                </w:rPr>
                <w:t>Three Months Ended March 31, 2020</w:t>
              </w:r>
            </w:hyperlink>
          </w:p>
        </w:tc>
        <w:tc>
          <w:tcPr>
            <w:tcW w:w="3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3900" w:type="dxa"/>
            <w:vAlign w:val="bottom"/>
            <w:tcBorders>
              <w:top w:val="single" w:sz="8" w:color="0563C1"/>
            </w:tcBorders>
            <w:gridSpan w:val="3"/>
            <w:shd w:val="clear" w:color="auto" w:fill="CCEEFF"/>
          </w:tcPr>
          <w:p>
            <w:pPr>
              <w:ind w:left="60"/>
              <w:spacing w:after="0" w:line="237" w:lineRule="exact"/>
              <w:rPr>
                <w:rFonts w:ascii="Arial" w:cs="Arial" w:eastAsia="Arial" w:hAnsi="Arial"/>
                <w:sz w:val="22"/>
                <w:szCs w:val="22"/>
                <w:u w:val="single" w:color="auto"/>
                <w:color w:val="0563C1"/>
              </w:rPr>
            </w:pPr>
            <w:hyperlink w:anchor="page8">
              <w:r>
                <w:rPr>
                  <w:rFonts w:ascii="Arial" w:cs="Arial" w:eastAsia="Arial" w:hAnsi="Arial"/>
                  <w:sz w:val="22"/>
                  <w:szCs w:val="22"/>
                  <w:u w:val="single" w:color="auto"/>
                  <w:color w:val="0563C1"/>
                </w:rPr>
                <w:t>Three Months Ended March 31, 2019</w:t>
              </w:r>
            </w:hyperlink>
          </w:p>
        </w:tc>
        <w:tc>
          <w:tcPr>
            <w:tcW w:w="3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203" w:lineRule="exact"/>
              <w:rPr>
                <w:rFonts w:ascii="Arial" w:cs="Arial" w:eastAsia="Arial" w:hAnsi="Arial"/>
                <w:sz w:val="22"/>
                <w:szCs w:val="22"/>
                <w:color w:val="0563C1"/>
              </w:rPr>
            </w:pPr>
            <w:hyperlink w:anchor="page9">
              <w:r>
                <w:rPr>
                  <w:rFonts w:ascii="Arial" w:cs="Arial" w:eastAsia="Arial" w:hAnsi="Arial"/>
                  <w:sz w:val="22"/>
                  <w:szCs w:val="22"/>
                  <w:color w:val="0563C1"/>
                </w:rPr>
                <w:t>Consolidated Statements of Cash Flow (unaudited) –</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563C1"/>
            </w:tcBorders>
            <w:shd w:val="clear" w:color="auto" w:fill="CCEEFF"/>
          </w:tcPr>
          <w:p>
            <w:pPr>
              <w:spacing w:after="0"/>
              <w:rPr>
                <w:sz w:val="20"/>
                <w:szCs w:val="20"/>
                <w:color w:val="auto"/>
              </w:rPr>
            </w:pPr>
          </w:p>
        </w:tc>
        <w:tc>
          <w:tcPr>
            <w:tcW w:w="4240" w:type="dxa"/>
            <w:vAlign w:val="bottom"/>
            <w:tcBorders>
              <w:top w:val="single" w:sz="8" w:color="0563C1"/>
            </w:tcBorders>
            <w:gridSpan w:val="5"/>
            <w:shd w:val="clear" w:color="auto" w:fill="CCEEFF"/>
          </w:tcPr>
          <w:p>
            <w:pPr>
              <w:spacing w:after="0" w:line="237" w:lineRule="exact"/>
              <w:rPr>
                <w:rFonts w:ascii="Arial" w:cs="Arial" w:eastAsia="Arial" w:hAnsi="Arial"/>
                <w:sz w:val="22"/>
                <w:szCs w:val="22"/>
                <w:u w:val="single" w:color="auto"/>
                <w:color w:val="0563C1"/>
                <w:w w:val="91"/>
              </w:rPr>
            </w:pPr>
            <w:hyperlink w:anchor="page9">
              <w:r>
                <w:rPr>
                  <w:rFonts w:ascii="Arial" w:cs="Arial" w:eastAsia="Arial" w:hAnsi="Arial"/>
                  <w:sz w:val="22"/>
                  <w:szCs w:val="22"/>
                  <w:u w:val="single" w:color="auto"/>
                  <w:color w:val="0563C1"/>
                  <w:w w:val="91"/>
                </w:rPr>
                <w:t>Three Months Ended March 31, 2020 and 2019</w:t>
              </w:r>
            </w:hyperlink>
          </w:p>
        </w:tc>
        <w:tc>
          <w:tcPr>
            <w:tcW w:w="40" w:type="dxa"/>
            <w:vAlign w:val="bottom"/>
            <w:tcBorders>
              <w:top w:val="single" w:sz="8" w:color="CCEEFF"/>
            </w:tcBorders>
            <w:shd w:val="clear" w:color="auto" w:fill="CCEEFF"/>
          </w:tcPr>
          <w:p>
            <w:pPr>
              <w:spacing w:after="0"/>
              <w:rPr>
                <w:sz w:val="20"/>
                <w:szCs w:val="20"/>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p>
        </w:tc>
        <w:tc>
          <w:tcPr>
            <w:tcW w:w="1820" w:type="dxa"/>
            <w:vAlign w:val="bottom"/>
            <w:tcBorders>
              <w:top w:val="single" w:sz="8" w:color="CCEEFF"/>
            </w:tcBorders>
            <w:gridSpan w:val="2"/>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19"/>
                <w:szCs w:val="19"/>
                <w:color w:val="auto"/>
              </w:rPr>
            </w:pPr>
          </w:p>
        </w:tc>
        <w:tc>
          <w:tcPr>
            <w:tcW w:w="8760" w:type="dxa"/>
            <w:vAlign w:val="bottom"/>
            <w:gridSpan w:val="10"/>
            <w:shd w:val="clear" w:color="auto" w:fill="CCEEFF"/>
          </w:tcPr>
          <w:p>
            <w:pPr>
              <w:spacing w:after="0" w:line="229" w:lineRule="exact"/>
              <w:rPr>
                <w:rFonts w:ascii="Arial" w:cs="Arial" w:eastAsia="Arial" w:hAnsi="Arial"/>
                <w:sz w:val="22"/>
                <w:szCs w:val="22"/>
                <w:u w:val="single" w:color="auto"/>
                <w:color w:val="0563C1"/>
              </w:rPr>
            </w:pPr>
            <w:hyperlink w:anchor="page10">
              <w:r>
                <w:rPr>
                  <w:rFonts w:ascii="Arial" w:cs="Arial" w:eastAsia="Arial" w:hAnsi="Arial"/>
                  <w:sz w:val="22"/>
                  <w:szCs w:val="22"/>
                  <w:u w:val="single" w:color="auto"/>
                  <w:color w:val="0563C1"/>
                </w:rPr>
                <w:t>Notes to Consolidated Financial Statements (unaudited)</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420" w:type="dxa"/>
            <w:vAlign w:val="bottom"/>
            <w:gridSpan w:val="11"/>
            <w:shd w:val="clear" w:color="auto" w:fill="CCEEFF"/>
          </w:tcPr>
          <w:p>
            <w:pPr>
              <w:spacing w:after="0" w:line="203" w:lineRule="exact"/>
              <w:rPr>
                <w:rFonts w:ascii="Arial" w:cs="Arial" w:eastAsia="Arial" w:hAnsi="Arial"/>
                <w:sz w:val="22"/>
                <w:szCs w:val="22"/>
                <w:color w:val="0563C1"/>
              </w:rPr>
            </w:pPr>
            <w:hyperlink w:anchor="page39">
              <w:r>
                <w:rPr>
                  <w:rFonts w:ascii="Arial" w:cs="Arial" w:eastAsia="Arial" w:hAnsi="Arial"/>
                  <w:sz w:val="22"/>
                  <w:szCs w:val="22"/>
                  <w:color w:val="0563C1"/>
                </w:rPr>
                <w:t>Item 2. Management’s Discussion and Analysis of Financial</w:t>
              </w:r>
            </w:hyperlink>
          </w:p>
        </w:tc>
        <w:tc>
          <w:tcPr>
            <w:tcW w:w="182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tcBorders>
            <w:gridSpan w:val="7"/>
            <w:shd w:val="clear" w:color="auto" w:fill="CCEEFF"/>
          </w:tcPr>
          <w:p>
            <w:pPr>
              <w:spacing w:after="0" w:line="209" w:lineRule="exact"/>
              <w:rPr>
                <w:rFonts w:ascii="Arial" w:cs="Arial" w:eastAsia="Arial" w:hAnsi="Arial"/>
                <w:sz w:val="22"/>
                <w:szCs w:val="22"/>
                <w:color w:val="0563C1"/>
              </w:rPr>
            </w:pPr>
            <w:hyperlink w:anchor="page39">
              <w:r>
                <w:rPr>
                  <w:rFonts w:ascii="Arial" w:cs="Arial" w:eastAsia="Arial" w:hAnsi="Arial"/>
                  <w:sz w:val="22"/>
                  <w:szCs w:val="22"/>
                  <w:color w:val="0563C1"/>
                </w:rPr>
                <w:t>Condition and Results of Operations</w:t>
              </w:r>
            </w:hyperlink>
          </w:p>
        </w:tc>
        <w:tc>
          <w:tcPr>
            <w:tcW w:w="4160" w:type="dxa"/>
            <w:vAlign w:val="bottom"/>
            <w:tcBorders>
              <w:top w:val="single" w:sz="8" w:color="CCEEFF"/>
            </w:tcBorders>
            <w:gridSpan w:val="3"/>
            <w:shd w:val="clear" w:color="auto" w:fill="CCEEFF"/>
          </w:tcPr>
          <w:p>
            <w:pPr>
              <w:spacing w:after="0"/>
              <w:rPr>
                <w:sz w:val="18"/>
                <w:szCs w:val="18"/>
                <w:color w:val="auto"/>
              </w:rPr>
            </w:pPr>
          </w:p>
        </w:tc>
        <w:tc>
          <w:tcPr>
            <w:tcW w:w="182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2840" w:type="dxa"/>
            <w:vAlign w:val="bottom"/>
            <w:tcBorders>
              <w:top w:val="single" w:sz="8" w:color="0563C1"/>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line="229" w:lineRule="exact"/>
              <w:rPr>
                <w:rFonts w:ascii="Arial" w:cs="Arial" w:eastAsia="Arial" w:hAnsi="Arial"/>
                <w:sz w:val="22"/>
                <w:szCs w:val="22"/>
                <w:u w:val="single" w:color="auto"/>
                <w:color w:val="0563C1"/>
                <w:w w:val="95"/>
              </w:rPr>
            </w:pPr>
            <w:hyperlink w:anchor="page48">
              <w:r>
                <w:rPr>
                  <w:rFonts w:ascii="Arial" w:cs="Arial" w:eastAsia="Arial" w:hAnsi="Arial"/>
                  <w:sz w:val="22"/>
                  <w:szCs w:val="22"/>
                  <w:u w:val="single" w:color="auto"/>
                  <w:color w:val="0563C1"/>
                  <w:w w:val="95"/>
                </w:rPr>
                <w:t>Item 3.</w:t>
              </w:r>
            </w:hyperlink>
          </w:p>
        </w:tc>
        <w:tc>
          <w:tcPr>
            <w:tcW w:w="8760" w:type="dxa"/>
            <w:vAlign w:val="bottom"/>
            <w:gridSpan w:val="10"/>
            <w:shd w:val="clear" w:color="auto" w:fill="CCEEFF"/>
          </w:tcPr>
          <w:p>
            <w:pPr>
              <w:ind w:left="60"/>
              <w:spacing w:after="0" w:line="229" w:lineRule="exact"/>
              <w:rPr>
                <w:rFonts w:ascii="Arial" w:cs="Arial" w:eastAsia="Arial" w:hAnsi="Arial"/>
                <w:sz w:val="22"/>
                <w:szCs w:val="22"/>
                <w:u w:val="single" w:color="auto"/>
                <w:color w:val="0563C1"/>
              </w:rPr>
            </w:pPr>
            <w:hyperlink w:anchor="page48">
              <w:r>
                <w:rPr>
                  <w:rFonts w:ascii="Arial" w:cs="Arial" w:eastAsia="Arial" w:hAnsi="Arial"/>
                  <w:sz w:val="22"/>
                  <w:szCs w:val="22"/>
                  <w:u w:val="single" w:color="auto"/>
                  <w:color w:val="0563C1"/>
                </w:rPr>
                <w:t>Quantitative and Qualitative Disclosures About Market Risk</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line="229" w:lineRule="exact"/>
              <w:rPr>
                <w:rFonts w:ascii="Arial" w:cs="Arial" w:eastAsia="Arial" w:hAnsi="Arial"/>
                <w:sz w:val="22"/>
                <w:szCs w:val="22"/>
                <w:u w:val="single" w:color="auto"/>
                <w:color w:val="0563C1"/>
                <w:w w:val="95"/>
              </w:rPr>
            </w:pPr>
            <w:hyperlink w:anchor="page48">
              <w:r>
                <w:rPr>
                  <w:rFonts w:ascii="Arial" w:cs="Arial" w:eastAsia="Arial" w:hAnsi="Arial"/>
                  <w:sz w:val="22"/>
                  <w:szCs w:val="22"/>
                  <w:u w:val="single" w:color="auto"/>
                  <w:color w:val="0563C1"/>
                  <w:w w:val="95"/>
                </w:rPr>
                <w:t>Item 4.</w:t>
              </w:r>
            </w:hyperlink>
          </w:p>
        </w:tc>
        <w:tc>
          <w:tcPr>
            <w:tcW w:w="8760" w:type="dxa"/>
            <w:vAlign w:val="bottom"/>
            <w:gridSpan w:val="10"/>
            <w:shd w:val="clear" w:color="auto" w:fill="CCEEFF"/>
          </w:tcPr>
          <w:p>
            <w:pPr>
              <w:ind w:left="60"/>
              <w:spacing w:after="0" w:line="229" w:lineRule="exact"/>
              <w:rPr>
                <w:rFonts w:ascii="Arial" w:cs="Arial" w:eastAsia="Arial" w:hAnsi="Arial"/>
                <w:sz w:val="22"/>
                <w:szCs w:val="22"/>
                <w:u w:val="single" w:color="auto"/>
                <w:color w:val="0563C1"/>
              </w:rPr>
            </w:pPr>
            <w:hyperlink w:anchor="page48">
              <w:r>
                <w:rPr>
                  <w:rFonts w:ascii="Arial" w:cs="Arial" w:eastAsia="Arial" w:hAnsi="Arial"/>
                  <w:sz w:val="22"/>
                  <w:szCs w:val="22"/>
                  <w:u w:val="single" w:color="auto"/>
                  <w:color w:val="0563C1"/>
                </w:rPr>
                <w:t>Controls and Procedures</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5600" w:type="dxa"/>
            <w:vAlign w:val="bottom"/>
            <w:gridSpan w:val="8"/>
            <w:shd w:val="clear" w:color="auto" w:fill="CCEEFF"/>
          </w:tcPr>
          <w:p>
            <w:pPr>
              <w:jc w:val="center"/>
              <w:ind w:right="1980"/>
              <w:spacing w:after="0" w:line="229" w:lineRule="exact"/>
              <w:rPr>
                <w:rFonts w:ascii="Arial" w:cs="Arial" w:eastAsia="Arial" w:hAnsi="Arial"/>
                <w:sz w:val="22"/>
                <w:szCs w:val="22"/>
                <w:u w:val="single" w:color="auto"/>
                <w:color w:val="0563C1"/>
                <w:w w:val="91"/>
              </w:rPr>
            </w:pPr>
            <w:hyperlink w:anchor="page48">
              <w:r>
                <w:rPr>
                  <w:rFonts w:ascii="Arial" w:cs="Arial" w:eastAsia="Arial" w:hAnsi="Arial"/>
                  <w:sz w:val="22"/>
                  <w:szCs w:val="22"/>
                  <w:u w:val="single" w:color="auto"/>
                  <w:color w:val="0563C1"/>
                  <w:w w:val="91"/>
                </w:rPr>
                <w:t>Part II – Other Information</w:t>
              </w:r>
            </w:hyperlink>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line="229" w:lineRule="exact"/>
              <w:rPr>
                <w:rFonts w:ascii="Arial" w:cs="Arial" w:eastAsia="Arial" w:hAnsi="Arial"/>
                <w:sz w:val="22"/>
                <w:szCs w:val="22"/>
                <w:u w:val="single" w:color="auto"/>
                <w:color w:val="0563C1"/>
                <w:w w:val="95"/>
              </w:rPr>
            </w:pPr>
            <w:hyperlink w:anchor="page48">
              <w:r>
                <w:rPr>
                  <w:rFonts w:ascii="Arial" w:cs="Arial" w:eastAsia="Arial" w:hAnsi="Arial"/>
                  <w:sz w:val="22"/>
                  <w:szCs w:val="22"/>
                  <w:u w:val="single" w:color="auto"/>
                  <w:color w:val="0563C1"/>
                  <w:w w:val="95"/>
                </w:rPr>
                <w:t>Item 1.</w:t>
              </w:r>
            </w:hyperlink>
          </w:p>
        </w:tc>
        <w:tc>
          <w:tcPr>
            <w:tcW w:w="8760" w:type="dxa"/>
            <w:vAlign w:val="bottom"/>
            <w:gridSpan w:val="10"/>
            <w:shd w:val="clear" w:color="auto" w:fill="CCEEFF"/>
          </w:tcPr>
          <w:p>
            <w:pPr>
              <w:ind w:left="60"/>
              <w:spacing w:after="0" w:line="229" w:lineRule="exact"/>
              <w:rPr>
                <w:rFonts w:ascii="Arial" w:cs="Arial" w:eastAsia="Arial" w:hAnsi="Arial"/>
                <w:sz w:val="22"/>
                <w:szCs w:val="22"/>
                <w:u w:val="single" w:color="auto"/>
                <w:color w:val="0563C1"/>
              </w:rPr>
            </w:pPr>
            <w:hyperlink w:anchor="page48">
              <w:r>
                <w:rPr>
                  <w:rFonts w:ascii="Arial" w:cs="Arial" w:eastAsia="Arial" w:hAnsi="Arial"/>
                  <w:sz w:val="22"/>
                  <w:szCs w:val="22"/>
                  <w:u w:val="single" w:color="auto"/>
                  <w:color w:val="0563C1"/>
                </w:rPr>
                <w:t>Legal Proceedings</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20" w:type="dxa"/>
            <w:vAlign w:val="bottom"/>
            <w:gridSpan w:val="11"/>
            <w:shd w:val="clear" w:color="auto" w:fill="CCEEFF"/>
          </w:tcPr>
          <w:p>
            <w:pPr>
              <w:spacing w:after="0" w:line="229" w:lineRule="exact"/>
              <w:rPr>
                <w:rFonts w:ascii="Arial" w:cs="Arial" w:eastAsia="Arial" w:hAnsi="Arial"/>
                <w:sz w:val="22"/>
                <w:szCs w:val="22"/>
                <w:u w:val="single" w:color="auto"/>
                <w:color w:val="0563C1"/>
              </w:rPr>
            </w:pPr>
            <w:hyperlink w:anchor="page49">
              <w:r>
                <w:rPr>
                  <w:rFonts w:ascii="Arial" w:cs="Arial" w:eastAsia="Arial" w:hAnsi="Arial"/>
                  <w:sz w:val="22"/>
                  <w:szCs w:val="22"/>
                  <w:u w:val="single" w:color="auto"/>
                  <w:color w:val="0563C1"/>
                </w:rPr>
                <w:t>Item 1A. Risk Factors</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line="229" w:lineRule="exact"/>
              <w:rPr>
                <w:rFonts w:ascii="Arial" w:cs="Arial" w:eastAsia="Arial" w:hAnsi="Arial"/>
                <w:sz w:val="22"/>
                <w:szCs w:val="22"/>
                <w:u w:val="single" w:color="auto"/>
                <w:color w:val="0563C1"/>
                <w:w w:val="95"/>
              </w:rPr>
            </w:pPr>
            <w:hyperlink w:anchor="page52">
              <w:r>
                <w:rPr>
                  <w:rFonts w:ascii="Arial" w:cs="Arial" w:eastAsia="Arial" w:hAnsi="Arial"/>
                  <w:sz w:val="22"/>
                  <w:szCs w:val="22"/>
                  <w:u w:val="single" w:color="auto"/>
                  <w:color w:val="0563C1"/>
                  <w:w w:val="95"/>
                </w:rPr>
                <w:t>Item 2.</w:t>
              </w:r>
            </w:hyperlink>
          </w:p>
        </w:tc>
        <w:tc>
          <w:tcPr>
            <w:tcW w:w="8760" w:type="dxa"/>
            <w:vAlign w:val="bottom"/>
            <w:gridSpan w:val="10"/>
            <w:shd w:val="clear" w:color="auto" w:fill="CCEEFF"/>
          </w:tcPr>
          <w:p>
            <w:pPr>
              <w:ind w:left="60"/>
              <w:spacing w:after="0" w:line="229" w:lineRule="exact"/>
              <w:rPr>
                <w:rFonts w:ascii="Arial" w:cs="Arial" w:eastAsia="Arial" w:hAnsi="Arial"/>
                <w:sz w:val="22"/>
                <w:szCs w:val="22"/>
                <w:u w:val="single" w:color="auto"/>
                <w:color w:val="0563C1"/>
              </w:rPr>
            </w:pPr>
            <w:hyperlink w:anchor="page52">
              <w:r>
                <w:rPr>
                  <w:rFonts w:ascii="Arial" w:cs="Arial" w:eastAsia="Arial" w:hAnsi="Arial"/>
                  <w:sz w:val="22"/>
                  <w:szCs w:val="22"/>
                  <w:u w:val="single" w:color="auto"/>
                  <w:color w:val="0563C1"/>
                </w:rPr>
                <w:t>Unregistered Sales of Equity Securities and Use of Proceeds</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spacing w:after="0" w:line="229" w:lineRule="exact"/>
              <w:rPr>
                <w:rFonts w:ascii="Arial" w:cs="Arial" w:eastAsia="Arial" w:hAnsi="Arial"/>
                <w:sz w:val="22"/>
                <w:szCs w:val="22"/>
                <w:u w:val="single" w:color="auto"/>
                <w:color w:val="0563C1"/>
                <w:w w:val="95"/>
              </w:rPr>
            </w:pPr>
            <w:hyperlink w:anchor="page54">
              <w:r>
                <w:rPr>
                  <w:rFonts w:ascii="Arial" w:cs="Arial" w:eastAsia="Arial" w:hAnsi="Arial"/>
                  <w:sz w:val="22"/>
                  <w:szCs w:val="22"/>
                  <w:u w:val="single" w:color="auto"/>
                  <w:color w:val="0563C1"/>
                  <w:w w:val="95"/>
                </w:rPr>
                <w:t>Item 6.</w:t>
              </w:r>
            </w:hyperlink>
          </w:p>
        </w:tc>
        <w:tc>
          <w:tcPr>
            <w:tcW w:w="8760" w:type="dxa"/>
            <w:vAlign w:val="bottom"/>
            <w:gridSpan w:val="10"/>
            <w:shd w:val="clear" w:color="auto" w:fill="CCEEFF"/>
          </w:tcPr>
          <w:p>
            <w:pPr>
              <w:ind w:left="60"/>
              <w:spacing w:after="0" w:line="229" w:lineRule="exact"/>
              <w:rPr>
                <w:rFonts w:ascii="Arial" w:cs="Arial" w:eastAsia="Arial" w:hAnsi="Arial"/>
                <w:sz w:val="22"/>
                <w:szCs w:val="22"/>
                <w:u w:val="single" w:color="auto"/>
                <w:color w:val="0563C1"/>
              </w:rPr>
            </w:pPr>
            <w:hyperlink w:anchor="page54">
              <w:r>
                <w:rPr>
                  <w:rFonts w:ascii="Arial" w:cs="Arial" w:eastAsia="Arial" w:hAnsi="Arial"/>
                  <w:sz w:val="22"/>
                  <w:szCs w:val="22"/>
                  <w:u w:val="single" w:color="auto"/>
                  <w:color w:val="0563C1"/>
                </w:rPr>
                <w:t>Exhibits</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53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20" w:type="dxa"/>
            <w:vAlign w:val="bottom"/>
            <w:gridSpan w:val="11"/>
            <w:shd w:val="clear" w:color="auto" w:fill="CCEEFF"/>
          </w:tcPr>
          <w:p>
            <w:pPr>
              <w:spacing w:after="0" w:line="229" w:lineRule="exact"/>
              <w:rPr>
                <w:rFonts w:ascii="Arial" w:cs="Arial" w:eastAsia="Arial" w:hAnsi="Arial"/>
                <w:sz w:val="22"/>
                <w:szCs w:val="22"/>
                <w:u w:val="single" w:color="auto"/>
                <w:color w:val="0563C1"/>
              </w:rPr>
            </w:pPr>
            <w:hyperlink w:anchor="page57">
              <w:r>
                <w:rPr>
                  <w:rFonts w:ascii="Arial" w:cs="Arial" w:eastAsia="Arial" w:hAnsi="Arial"/>
                  <w:sz w:val="22"/>
                  <w:szCs w:val="22"/>
                  <w:u w:val="single" w:color="auto"/>
                  <w:color w:val="0563C1"/>
                </w:rPr>
                <w:t>Signatures</w:t>
              </w:r>
            </w:hyperlink>
          </w:p>
        </w:tc>
        <w:tc>
          <w:tcPr>
            <w:tcW w:w="182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56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06"/>
        </w:trPr>
        <w:tc>
          <w:tcPr>
            <w:tcW w:w="660" w:type="dxa"/>
            <w:vAlign w:val="bottom"/>
          </w:tcPr>
          <w:p>
            <w:pPr>
              <w:spacing w:after="0"/>
              <w:rPr>
                <w:sz w:val="24"/>
                <w:szCs w:val="24"/>
                <w:color w:val="auto"/>
              </w:rPr>
            </w:pPr>
          </w:p>
        </w:tc>
        <w:tc>
          <w:tcPr>
            <w:tcW w:w="7060" w:type="dxa"/>
            <w:vAlign w:val="bottom"/>
            <w:gridSpan w:val="9"/>
          </w:tcPr>
          <w:p>
            <w:pPr>
              <w:jc w:val="center"/>
              <w:ind w:left="2772"/>
              <w:spacing w:after="0"/>
              <w:rPr>
                <w:sz w:val="20"/>
                <w:szCs w:val="20"/>
                <w:color w:val="auto"/>
              </w:rPr>
            </w:pPr>
            <w:r>
              <w:rPr>
                <w:rFonts w:ascii="Arial" w:cs="Arial" w:eastAsia="Arial" w:hAnsi="Arial"/>
                <w:sz w:val="22"/>
                <w:szCs w:val="22"/>
                <w:color w:val="auto"/>
                <w:w w:val="81"/>
              </w:rPr>
              <w:t>1</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 w:name="page3"/>
    <w:bookmarkEnd w:id="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vMerge w:val="restart"/>
          </w:tcPr>
          <w:p>
            <w:pPr>
              <w:ind w:left="3980"/>
              <w:spacing w:after="0"/>
              <w:rPr>
                <w:sz w:val="20"/>
                <w:szCs w:val="20"/>
                <w:color w:val="auto"/>
              </w:rPr>
            </w:pPr>
            <w:r>
              <w:rPr>
                <w:rFonts w:ascii="Arial" w:cs="Arial" w:eastAsia="Arial" w:hAnsi="Arial"/>
                <w:sz w:val="16"/>
                <w:szCs w:val="16"/>
                <w:color w:val="auto"/>
              </w:rPr>
              <w:t>Assets</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March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185"/>
        </w:trPr>
        <w:tc>
          <w:tcPr>
            <w:tcW w:w="7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6"/>
        </w:trPr>
        <w:tc>
          <w:tcPr>
            <w:tcW w:w="71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Property, plant and equipment, at cost</w:t>
            </w: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10,795,110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8,201,936</w:t>
            </w:r>
          </w:p>
        </w:tc>
        <w:tc>
          <w:tcPr>
            <w:tcW w:w="0" w:type="dxa"/>
            <w:vAlign w:val="bottom"/>
          </w:tcPr>
          <w:p>
            <w:pPr>
              <w:spacing w:after="0"/>
              <w:rPr>
                <w:sz w:val="1"/>
                <w:szCs w:val="1"/>
                <w:color w:val="auto"/>
              </w:rPr>
            </w:pPr>
          </w:p>
        </w:tc>
      </w:tr>
      <w:tr>
        <w:trPr>
          <w:trHeight w:val="162"/>
        </w:trPr>
        <w:tc>
          <w:tcPr>
            <w:tcW w:w="71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1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1,905,274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1,856,146</w:t>
            </w:r>
          </w:p>
        </w:tc>
        <w:tc>
          <w:tcPr>
            <w:tcW w:w="0" w:type="dxa"/>
            <w:vAlign w:val="bottom"/>
          </w:tcPr>
          <w:p>
            <w:pPr>
              <w:spacing w:after="0"/>
              <w:rPr>
                <w:sz w:val="1"/>
                <w:szCs w:val="1"/>
                <w:color w:val="auto"/>
              </w:rPr>
            </w:pPr>
          </w:p>
        </w:tc>
      </w:tr>
      <w:tr>
        <w:trPr>
          <w:trHeight w:val="156"/>
        </w:trPr>
        <w:tc>
          <w:tcPr>
            <w:tcW w:w="71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property, plant and equipment</w:t>
            </w:r>
          </w:p>
        </w:tc>
        <w:tc>
          <w:tcPr>
            <w:tcW w:w="14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8,889,836</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6,345,790</w:t>
            </w:r>
          </w:p>
        </w:tc>
        <w:tc>
          <w:tcPr>
            <w:tcW w:w="0" w:type="dxa"/>
            <w:vAlign w:val="bottom"/>
          </w:tcPr>
          <w:p>
            <w:pPr>
              <w:spacing w:after="0"/>
              <w:rPr>
                <w:sz w:val="1"/>
                <w:szCs w:val="1"/>
                <w:color w:val="auto"/>
              </w:rPr>
            </w:pPr>
          </w:p>
        </w:tc>
      </w:tr>
      <w:tr>
        <w:trPr>
          <w:trHeight w:val="155"/>
        </w:trPr>
        <w:tc>
          <w:tcPr>
            <w:tcW w:w="7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120"/>
              <w:spacing w:after="0" w:line="162" w:lineRule="exact"/>
              <w:rPr>
                <w:sz w:val="20"/>
                <w:szCs w:val="20"/>
                <w:color w:val="auto"/>
              </w:rPr>
            </w:pPr>
            <w:r>
              <w:rPr>
                <w:rFonts w:ascii="Arial" w:cs="Arial" w:eastAsia="Arial" w:hAnsi="Arial"/>
                <w:sz w:val="16"/>
                <w:szCs w:val="16"/>
                <w:color w:val="auto"/>
              </w:rPr>
              <w:t>Cash and cash equivalents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31,848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1,868,922</w:t>
            </w: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Accounts receivable, net</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179,572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67,137</w:t>
            </w:r>
          </w:p>
        </w:tc>
        <w:tc>
          <w:tcPr>
            <w:tcW w:w="0" w:type="dxa"/>
            <w:vAlign w:val="bottom"/>
          </w:tcPr>
          <w:p>
            <w:pPr>
              <w:spacing w:after="0"/>
              <w:rPr>
                <w:sz w:val="1"/>
                <w:szCs w:val="1"/>
                <w:color w:val="auto"/>
              </w:rPr>
            </w:pPr>
          </w:p>
        </w:tc>
      </w:tr>
      <w:tr>
        <w:trPr>
          <w:trHeight w:val="162"/>
        </w:trPr>
        <w:tc>
          <w:tcPr>
            <w:tcW w:w="7100" w:type="dxa"/>
            <w:vAlign w:val="bottom"/>
          </w:tcPr>
          <w:p>
            <w:pPr>
              <w:ind w:left="120"/>
              <w:spacing w:after="0" w:line="162" w:lineRule="exact"/>
              <w:rPr>
                <w:sz w:val="20"/>
                <w:szCs w:val="20"/>
                <w:color w:val="auto"/>
              </w:rPr>
            </w:pPr>
            <w:r>
              <w:rPr>
                <w:rFonts w:ascii="Arial" w:cs="Arial" w:eastAsia="Arial" w:hAnsi="Arial"/>
                <w:sz w:val="16"/>
                <w:szCs w:val="16"/>
                <w:color w:val="auto"/>
              </w:rPr>
              <w:t>Unbilled revenues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83,979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40,483</w:t>
            </w: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Inventory - materials and supplies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22,224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18,379</w:t>
            </w:r>
          </w:p>
        </w:tc>
        <w:tc>
          <w:tcPr>
            <w:tcW w:w="0" w:type="dxa"/>
            <w:vAlign w:val="bottom"/>
          </w:tcPr>
          <w:p>
            <w:pPr>
              <w:spacing w:after="0"/>
              <w:rPr>
                <w:sz w:val="1"/>
                <w:szCs w:val="1"/>
                <w:color w:val="auto"/>
              </w:rPr>
            </w:pPr>
          </w:p>
        </w:tc>
      </w:tr>
      <w:tr>
        <w:trPr>
          <w:trHeight w:val="162"/>
        </w:trPr>
        <w:tc>
          <w:tcPr>
            <w:tcW w:w="7100" w:type="dxa"/>
            <w:vAlign w:val="bottom"/>
          </w:tcPr>
          <w:p>
            <w:pPr>
              <w:ind w:left="120"/>
              <w:spacing w:after="0" w:line="162" w:lineRule="exact"/>
              <w:rPr>
                <w:sz w:val="20"/>
                <w:szCs w:val="20"/>
                <w:color w:val="auto"/>
              </w:rPr>
            </w:pPr>
            <w:r>
              <w:rPr>
                <w:rFonts w:ascii="Arial" w:cs="Arial" w:eastAsia="Arial" w:hAnsi="Arial"/>
                <w:sz w:val="16"/>
                <w:szCs w:val="16"/>
                <w:color w:val="auto"/>
              </w:rPr>
              <w:t>Inventory - gas stored</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11,693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Prepayments and other current assets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32,024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16,259</w:t>
            </w:r>
          </w:p>
        </w:tc>
        <w:tc>
          <w:tcPr>
            <w:tcW w:w="0" w:type="dxa"/>
            <w:vAlign w:val="bottom"/>
          </w:tcPr>
          <w:p>
            <w:pPr>
              <w:spacing w:after="0"/>
              <w:rPr>
                <w:sz w:val="1"/>
                <w:szCs w:val="1"/>
                <w:color w:val="auto"/>
              </w:rPr>
            </w:pPr>
          </w:p>
        </w:tc>
      </w:tr>
      <w:tr>
        <w:trPr>
          <w:trHeight w:val="162"/>
        </w:trPr>
        <w:tc>
          <w:tcPr>
            <w:tcW w:w="7100" w:type="dxa"/>
            <w:vAlign w:val="bottom"/>
          </w:tcPr>
          <w:p>
            <w:pPr>
              <w:ind w:left="120"/>
              <w:spacing w:after="0" w:line="162" w:lineRule="exact"/>
              <w:rPr>
                <w:sz w:val="20"/>
                <w:szCs w:val="20"/>
                <w:color w:val="auto"/>
              </w:rPr>
            </w:pPr>
            <w:r>
              <w:rPr>
                <w:rFonts w:ascii="Arial" w:cs="Arial" w:eastAsia="Arial" w:hAnsi="Arial"/>
                <w:sz w:val="16"/>
                <w:szCs w:val="16"/>
                <w:color w:val="auto"/>
              </w:rPr>
              <w:t>Regulatory assets</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5,110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2,389</w:t>
            </w: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Assets held for sale</w:t>
            </w:r>
          </w:p>
        </w:tc>
        <w:tc>
          <w:tcPr>
            <w:tcW w:w="14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1,558</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155"/>
        </w:trPr>
        <w:tc>
          <w:tcPr>
            <w:tcW w:w="7100" w:type="dxa"/>
            <w:vAlign w:val="bottom"/>
          </w:tcPr>
          <w:p>
            <w:pPr>
              <w:spacing w:after="0" w:line="155" w:lineRule="exact"/>
              <w:rPr>
                <w:sz w:val="20"/>
                <w:szCs w:val="20"/>
                <w:color w:val="auto"/>
              </w:rPr>
            </w:pPr>
            <w:r>
              <w:rPr>
                <w:rFonts w:ascii="Arial" w:cs="Arial" w:eastAsia="Arial" w:hAnsi="Arial"/>
                <w:sz w:val="16"/>
                <w:szCs w:val="16"/>
                <w:color w:val="auto"/>
              </w:rPr>
              <w:t>Total current assets</w:t>
            </w:r>
          </w:p>
        </w:tc>
        <w:tc>
          <w:tcPr>
            <w:tcW w:w="1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368,008</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2,015,127</w:t>
            </w:r>
          </w:p>
        </w:tc>
        <w:tc>
          <w:tcPr>
            <w:tcW w:w="0" w:type="dxa"/>
            <w:vAlign w:val="bottom"/>
          </w:tcPr>
          <w:p>
            <w:pPr>
              <w:spacing w:after="0"/>
              <w:rPr>
                <w:sz w:val="1"/>
                <w:szCs w:val="1"/>
                <w:color w:val="auto"/>
              </w:rPr>
            </w:pPr>
          </w:p>
        </w:tc>
      </w:tr>
      <w:tr>
        <w:trPr>
          <w:trHeight w:val="156"/>
        </w:trPr>
        <w:tc>
          <w:tcPr>
            <w:tcW w:w="7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Regulatory assets</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1,186,102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875,743</w:t>
            </w:r>
          </w:p>
        </w:tc>
        <w:tc>
          <w:tcPr>
            <w:tcW w:w="0" w:type="dxa"/>
            <w:vAlign w:val="bottom"/>
          </w:tcPr>
          <w:p>
            <w:pPr>
              <w:spacing w:after="0"/>
              <w:rPr>
                <w:sz w:val="1"/>
                <w:szCs w:val="1"/>
                <w:color w:val="auto"/>
              </w:rPr>
            </w:pPr>
          </w:p>
        </w:tc>
      </w:tr>
      <w:tr>
        <w:trPr>
          <w:trHeight w:val="162"/>
        </w:trPr>
        <w:tc>
          <w:tcPr>
            <w:tcW w:w="7100" w:type="dxa"/>
            <w:vAlign w:val="bottom"/>
          </w:tcPr>
          <w:p>
            <w:pPr>
              <w:spacing w:after="0" w:line="162" w:lineRule="exact"/>
              <w:rPr>
                <w:sz w:val="20"/>
                <w:szCs w:val="20"/>
                <w:color w:val="auto"/>
              </w:rPr>
            </w:pPr>
            <w:r>
              <w:rPr>
                <w:rFonts w:ascii="Arial" w:cs="Arial" w:eastAsia="Arial" w:hAnsi="Arial"/>
                <w:sz w:val="16"/>
                <w:szCs w:val="16"/>
                <w:color w:val="auto"/>
              </w:rPr>
              <w:t>Deferred charges and other assets, net</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61,754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42,652</w:t>
            </w: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Investment in joint venture</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5,473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162"/>
        </w:trPr>
        <w:tc>
          <w:tcPr>
            <w:tcW w:w="7100" w:type="dxa"/>
            <w:vAlign w:val="bottom"/>
          </w:tcPr>
          <w:p>
            <w:pPr>
              <w:spacing w:after="0" w:line="162" w:lineRule="exact"/>
              <w:rPr>
                <w:sz w:val="20"/>
                <w:szCs w:val="20"/>
                <w:color w:val="auto"/>
              </w:rPr>
            </w:pPr>
            <w:r>
              <w:rPr>
                <w:rFonts w:ascii="Arial" w:cs="Arial" w:eastAsia="Arial" w:hAnsi="Arial"/>
                <w:sz w:val="16"/>
                <w:szCs w:val="16"/>
                <w:color w:val="auto"/>
              </w:rPr>
              <w:t>Funds restricted for construction activity</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1,223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Goodwill</w:t>
            </w: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2,351,526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63,822</w:t>
            </w:r>
          </w:p>
        </w:tc>
        <w:tc>
          <w:tcPr>
            <w:tcW w:w="0" w:type="dxa"/>
            <w:vAlign w:val="bottom"/>
          </w:tcPr>
          <w:p>
            <w:pPr>
              <w:spacing w:after="0"/>
              <w:rPr>
                <w:sz w:val="1"/>
                <w:szCs w:val="1"/>
                <w:color w:val="auto"/>
              </w:rPr>
            </w:pPr>
          </w:p>
        </w:tc>
      </w:tr>
      <w:tr>
        <w:trPr>
          <w:trHeight w:val="162"/>
        </w:trPr>
        <w:tc>
          <w:tcPr>
            <w:tcW w:w="71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1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65,064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12,867</w:t>
            </w:r>
          </w:p>
        </w:tc>
        <w:tc>
          <w:tcPr>
            <w:tcW w:w="0" w:type="dxa"/>
            <w:vAlign w:val="bottom"/>
          </w:tcPr>
          <w:p>
            <w:pPr>
              <w:spacing w:after="0"/>
              <w:rPr>
                <w:sz w:val="1"/>
                <w:szCs w:val="1"/>
                <w:color w:val="auto"/>
              </w:rPr>
            </w:pPr>
          </w:p>
        </w:tc>
      </w:tr>
      <w:tr>
        <w:trPr>
          <w:trHeight w:val="156"/>
        </w:trPr>
        <w:tc>
          <w:tcPr>
            <w:tcW w:w="71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assets</w:t>
            </w:r>
          </w:p>
        </w:tc>
        <w:tc>
          <w:tcPr>
            <w:tcW w:w="14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12,928,986</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9,361,985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CONSOLIDATED BALANCE SHEETS (continued)</w:t>
      </w:r>
    </w:p>
    <w:p>
      <w:pPr>
        <w:ind w:left="338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tcPr>
          <w:p>
            <w:pPr>
              <w:ind w:left="3480"/>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6"/>
                <w:szCs w:val="16"/>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6"/>
                <w:szCs w:val="16"/>
                <w:color w:val="auto"/>
              </w:rPr>
              <w:t>March 31,</w:t>
            </w:r>
          </w:p>
        </w:tc>
        <w:tc>
          <w:tcPr>
            <w:tcW w:w="10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5"/>
        </w:trPr>
        <w:tc>
          <w:tcPr>
            <w:tcW w:w="86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5"/>
        </w:trPr>
        <w:tc>
          <w:tcPr>
            <w:tcW w:w="8600" w:type="dxa"/>
            <w:vAlign w:val="bottom"/>
          </w:tcPr>
          <w:p>
            <w:pPr>
              <w:spacing w:after="0" w:line="155" w:lineRule="exact"/>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60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4"/>
              </w:rPr>
              <w:t>Common stock at $0.50 par value, authorized 300,000,000 shares, issued 248,234,603 and 223,871,284 as of March 31, 2020</w:t>
            </w:r>
          </w:p>
        </w:tc>
        <w:tc>
          <w:tcPr>
            <w:tcW w:w="2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124,117</w:t>
            </w:r>
          </w:p>
        </w:tc>
        <w:tc>
          <w:tcPr>
            <w:tcW w:w="1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111,935</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December 31, 2019</w:t>
            </w:r>
          </w:p>
        </w:tc>
        <w:tc>
          <w:tcPr>
            <w:tcW w:w="20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3,361,586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2,636,555</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1,209,501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1,210,072</w:t>
            </w: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Treasury stock, at cost, 3,194,287 and 3,112,565 shares as of March 31, 2020 and December 31, 2019</w:t>
            </w:r>
          </w:p>
        </w:tc>
        <w:tc>
          <w:tcPr>
            <w:tcW w:w="200" w:type="dxa"/>
            <w:vAlign w:val="bottom"/>
          </w:tcPr>
          <w:p>
            <w:pPr>
              <w:spacing w:after="0"/>
              <w:rPr>
                <w:sz w:val="14"/>
                <w:szCs w:val="14"/>
                <w:color w:val="auto"/>
              </w:rPr>
            </w:pPr>
          </w:p>
        </w:tc>
        <w:tc>
          <w:tcPr>
            <w:tcW w:w="12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(82,041)</w:t>
            </w: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(77,702)</w:t>
            </w:r>
          </w:p>
        </w:tc>
        <w:tc>
          <w:tcPr>
            <w:tcW w:w="0" w:type="dxa"/>
            <w:vAlign w:val="bottom"/>
          </w:tcPr>
          <w:p>
            <w:pPr>
              <w:spacing w:after="0"/>
              <w:rPr>
                <w:sz w:val="1"/>
                <w:szCs w:val="1"/>
                <w:color w:val="auto"/>
              </w:rPr>
            </w:pPr>
          </w:p>
        </w:tc>
      </w:tr>
      <w:tr>
        <w:trPr>
          <w:trHeight w:val="156"/>
        </w:trPr>
        <w:tc>
          <w:tcPr>
            <w:tcW w:w="86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4,613,163</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55"/>
        </w:trPr>
        <w:tc>
          <w:tcPr>
            <w:tcW w:w="8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excluding current portion</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4,757,427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2,972,349</w:t>
            </w:r>
          </w:p>
        </w:tc>
        <w:tc>
          <w:tcPr>
            <w:tcW w:w="0" w:type="dxa"/>
            <w:vAlign w:val="bottom"/>
          </w:tcPr>
          <w:p>
            <w:pPr>
              <w:spacing w:after="0"/>
              <w:rPr>
                <w:sz w:val="1"/>
                <w:szCs w:val="1"/>
                <w:color w:val="auto"/>
              </w:rPr>
            </w:pPr>
          </w:p>
        </w:tc>
      </w:tr>
      <w:tr>
        <w:trPr>
          <w:trHeight w:val="162"/>
        </w:trPr>
        <w:tc>
          <w:tcPr>
            <w:tcW w:w="86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debt issuance costs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28,393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29,022</w:t>
            </w: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4,729,034</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2,943,327</w:t>
            </w:r>
          </w:p>
        </w:tc>
        <w:tc>
          <w:tcPr>
            <w:tcW w:w="0" w:type="dxa"/>
            <w:vAlign w:val="bottom"/>
          </w:tcPr>
          <w:p>
            <w:pPr>
              <w:spacing w:after="0"/>
              <w:rPr>
                <w:sz w:val="1"/>
                <w:szCs w:val="1"/>
                <w:color w:val="auto"/>
              </w:rPr>
            </w:pPr>
          </w:p>
        </w:tc>
      </w:tr>
      <w:tr>
        <w:trPr>
          <w:trHeight w:val="244"/>
        </w:trPr>
        <w:tc>
          <w:tcPr>
            <w:tcW w:w="8600" w:type="dxa"/>
            <w:vAlign w:val="bottom"/>
          </w:tcPr>
          <w:p>
            <w:pPr>
              <w:spacing w:after="0"/>
              <w:rPr>
                <w:sz w:val="20"/>
                <w:szCs w:val="20"/>
                <w:color w:val="auto"/>
              </w:rPr>
            </w:pPr>
            <w:r>
              <w:rPr>
                <w:rFonts w:ascii="Arial" w:cs="Arial" w:eastAsia="Arial" w:hAnsi="Arial"/>
                <w:sz w:val="16"/>
                <w:szCs w:val="16"/>
                <w:color w:val="auto"/>
              </w:rPr>
              <w:t>Commitments and contingencies (See Note 15)</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8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115,011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105,051</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Loans payable</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381,005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25,724</w:t>
            </w: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115,611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74,919</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Book overdraft</w:t>
            </w: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10,944</w:t>
            </w: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51,871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Accrued taxes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41,876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22,775</w:t>
            </w: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31,663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4,612</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90,337</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49,618</w:t>
            </w:r>
          </w:p>
        </w:tc>
        <w:tc>
          <w:tcPr>
            <w:tcW w:w="0" w:type="dxa"/>
            <w:vAlign w:val="bottom"/>
          </w:tcPr>
          <w:p>
            <w:pPr>
              <w:spacing w:after="0"/>
              <w:rPr>
                <w:sz w:val="1"/>
                <w:szCs w:val="1"/>
                <w:color w:val="auto"/>
              </w:rPr>
            </w:pPr>
          </w:p>
        </w:tc>
      </w:tr>
      <w:tr>
        <w:trPr>
          <w:trHeight w:val="156"/>
        </w:trPr>
        <w:tc>
          <w:tcPr>
            <w:tcW w:w="8600" w:type="dxa"/>
            <w:vAlign w:val="bottom"/>
          </w:tcPr>
          <w:p>
            <w:pPr>
              <w:spacing w:after="0" w:line="155"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827,374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323,461</w:t>
            </w:r>
          </w:p>
        </w:tc>
        <w:tc>
          <w:tcPr>
            <w:tcW w:w="0" w:type="dxa"/>
            <w:vAlign w:val="bottom"/>
          </w:tcPr>
          <w:p>
            <w:pPr>
              <w:spacing w:after="0"/>
              <w:rPr>
                <w:sz w:val="1"/>
                <w:szCs w:val="1"/>
                <w:color w:val="auto"/>
              </w:rPr>
            </w:pPr>
          </w:p>
        </w:tc>
      </w:tr>
      <w:tr>
        <w:trPr>
          <w:trHeight w:val="155"/>
        </w:trPr>
        <w:tc>
          <w:tcPr>
            <w:tcW w:w="8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credits and other liabilities: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Deferred income taxes and investment tax credits</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1,192,900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936,158</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Customers' advances for construction</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99,447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95,556</w:t>
            </w: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640,503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512,987</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Asset retirement obligations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49,272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600" w:type="dxa"/>
            <w:vAlign w:val="bottom"/>
          </w:tcPr>
          <w:p>
            <w:pPr>
              <w:ind w:left="120"/>
              <w:spacing w:after="0" w:line="162" w:lineRule="exact"/>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60,970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11,645</w:t>
            </w: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Pension and other postretirement benefit liabilities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110,018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69,406</w:t>
            </w:r>
          </w:p>
        </w:tc>
        <w:tc>
          <w:tcPr>
            <w:tcW w:w="0" w:type="dxa"/>
            <w:vAlign w:val="bottom"/>
          </w:tcPr>
          <w:p>
            <w:pPr>
              <w:spacing w:after="0"/>
              <w:rPr>
                <w:sz w:val="1"/>
                <w:szCs w:val="1"/>
                <w:color w:val="auto"/>
              </w:rPr>
            </w:pPr>
          </w:p>
        </w:tc>
      </w:tr>
      <w:tr>
        <w:trPr>
          <w:trHeight w:val="162"/>
        </w:trPr>
        <w:tc>
          <w:tcPr>
            <w:tcW w:w="860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48,864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33,059</w:t>
            </w:r>
          </w:p>
        </w:tc>
        <w:tc>
          <w:tcPr>
            <w:tcW w:w="0" w:type="dxa"/>
            <w:vAlign w:val="bottom"/>
          </w:tcPr>
          <w:p>
            <w:pPr>
              <w:spacing w:after="0"/>
              <w:rPr>
                <w:sz w:val="1"/>
                <w:szCs w:val="1"/>
                <w:color w:val="auto"/>
              </w:rPr>
            </w:pPr>
          </w:p>
        </w:tc>
      </w:tr>
      <w:tr>
        <w:trPr>
          <w:trHeight w:val="155"/>
        </w:trPr>
        <w:tc>
          <w:tcPr>
            <w:tcW w:w="86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2,201,974</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1,658,811</w:t>
            </w:r>
          </w:p>
        </w:tc>
        <w:tc>
          <w:tcPr>
            <w:tcW w:w="0" w:type="dxa"/>
            <w:vAlign w:val="bottom"/>
          </w:tcPr>
          <w:p>
            <w:pPr>
              <w:spacing w:after="0"/>
              <w:rPr>
                <w:sz w:val="1"/>
                <w:szCs w:val="1"/>
                <w:color w:val="auto"/>
              </w:rPr>
            </w:pPr>
          </w:p>
        </w:tc>
      </w:tr>
      <w:tr>
        <w:trPr>
          <w:trHeight w:val="155"/>
        </w:trPr>
        <w:tc>
          <w:tcPr>
            <w:tcW w:w="8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Contributions in aid of construction</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557,441</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555,526</w:t>
            </w:r>
          </w:p>
        </w:tc>
        <w:tc>
          <w:tcPr>
            <w:tcW w:w="0" w:type="dxa"/>
            <w:vAlign w:val="bottom"/>
          </w:tcPr>
          <w:p>
            <w:pPr>
              <w:spacing w:after="0"/>
              <w:rPr>
                <w:sz w:val="1"/>
                <w:szCs w:val="1"/>
                <w:color w:val="auto"/>
              </w:rPr>
            </w:pPr>
          </w:p>
        </w:tc>
      </w:tr>
      <w:tr>
        <w:trPr>
          <w:trHeight w:val="155"/>
        </w:trPr>
        <w:tc>
          <w:tcPr>
            <w:tcW w:w="8600" w:type="dxa"/>
            <w:vAlign w:val="bottom"/>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12,928,986</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9,361,985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STATEMENTS OF OPERATIONS AND COMPREHENSIVE INCOME</w:t>
      </w:r>
    </w:p>
    <w:p>
      <w:pPr>
        <w:ind w:left="398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4"/>
          </w:tcPr>
          <w:p>
            <w:pPr>
              <w:jc w:val="right"/>
              <w:ind w:right="4"/>
              <w:spacing w:after="0"/>
              <w:rPr>
                <w:sz w:val="20"/>
                <w:szCs w:val="20"/>
                <w:color w:val="auto"/>
              </w:rPr>
            </w:pPr>
            <w:r>
              <w:rPr>
                <w:rFonts w:ascii="Arial" w:cs="Arial" w:eastAsia="Arial" w:hAnsi="Arial"/>
                <w:sz w:val="16"/>
                <w:szCs w:val="16"/>
                <w:color w:val="auto"/>
                <w:w w:val="92"/>
              </w:rPr>
              <w:t>Three Months Ended</w:t>
            </w:r>
          </w:p>
        </w:tc>
        <w:tc>
          <w:tcPr>
            <w:tcW w:w="1040" w:type="dxa"/>
            <w:vAlign w:val="bottom"/>
          </w:tcPr>
          <w:p>
            <w:pPr>
              <w:spacing w:after="0"/>
              <w:rPr>
                <w:sz w:val="16"/>
                <w:szCs w:val="16"/>
                <w:color w:val="auto"/>
              </w:rPr>
            </w:pPr>
          </w:p>
        </w:tc>
      </w:tr>
      <w:tr>
        <w:trPr>
          <w:trHeight w:val="185"/>
        </w:trPr>
        <w:tc>
          <w:tcPr>
            <w:tcW w:w="76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6"/>
                <w:szCs w:val="16"/>
                <w:color w:val="auto"/>
              </w:rPr>
              <w:t>March 31,</w:t>
            </w:r>
          </w:p>
        </w:tc>
        <w:tc>
          <w:tcPr>
            <w:tcW w:w="1040" w:type="dxa"/>
            <w:vAlign w:val="bottom"/>
            <w:tcBorders>
              <w:bottom w:val="single" w:sz="8" w:color="auto"/>
            </w:tcBorders>
          </w:tcPr>
          <w:p>
            <w:pPr>
              <w:spacing w:after="0"/>
              <w:rPr>
                <w:sz w:val="16"/>
                <w:szCs w:val="16"/>
                <w:color w:val="auto"/>
              </w:rPr>
            </w:pPr>
          </w:p>
        </w:tc>
      </w:tr>
      <w:tr>
        <w:trPr>
          <w:trHeight w:val="156"/>
        </w:trPr>
        <w:tc>
          <w:tcPr>
            <w:tcW w:w="76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2020</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6"/>
                <w:szCs w:val="16"/>
                <w:color w:val="auto"/>
              </w:rPr>
              <w:t>2019</w:t>
            </w:r>
          </w:p>
        </w:tc>
      </w:tr>
      <w:tr>
        <w:trPr>
          <w:trHeight w:val="155"/>
        </w:trPr>
        <w:tc>
          <w:tcPr>
            <w:tcW w:w="76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Operating revenues</w:t>
            </w:r>
          </w:p>
        </w:tc>
        <w:tc>
          <w:tcPr>
            <w:tcW w:w="1080" w:type="dxa"/>
            <w:vAlign w:val="bottom"/>
            <w:shd w:val="clear" w:color="auto" w:fill="CCEEFF"/>
          </w:tcPr>
          <w:p>
            <w:pPr>
              <w:jc w:val="right"/>
              <w:ind w:right="899"/>
              <w:spacing w:after="0" w:line="155"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255,585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44"/>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201,132</w:t>
            </w:r>
          </w:p>
        </w:tc>
      </w:tr>
      <w:tr>
        <w:trPr>
          <w:trHeight w:val="162"/>
        </w:trPr>
        <w:tc>
          <w:tcPr>
            <w:tcW w:w="7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7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Operating expenses:</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2"/>
        </w:trPr>
        <w:tc>
          <w:tcPr>
            <w:tcW w:w="7640" w:type="dxa"/>
            <w:vAlign w:val="bottom"/>
          </w:tcPr>
          <w:p>
            <w:pPr>
              <w:ind w:left="120"/>
              <w:spacing w:after="0" w:line="162" w:lineRule="exact"/>
              <w:rPr>
                <w:sz w:val="20"/>
                <w:szCs w:val="20"/>
                <w:color w:val="auto"/>
              </w:rPr>
            </w:pPr>
            <w:r>
              <w:rPr>
                <w:rFonts w:ascii="Arial" w:cs="Arial" w:eastAsia="Arial" w:hAnsi="Arial"/>
                <w:sz w:val="16"/>
                <w:szCs w:val="16"/>
                <w:color w:val="auto"/>
              </w:rPr>
              <w:t>Operations and maintenance</w:t>
            </w:r>
          </w:p>
        </w:tc>
        <w:tc>
          <w:tcPr>
            <w:tcW w:w="10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106,637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79,314</w:t>
            </w:r>
          </w:p>
        </w:tc>
      </w:tr>
      <w:tr>
        <w:trPr>
          <w:trHeight w:val="162"/>
        </w:trPr>
        <w:tc>
          <w:tcPr>
            <w:tcW w:w="76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Purchased gas</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12,770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r>
      <w:tr>
        <w:trPr>
          <w:trHeight w:val="162"/>
        </w:trPr>
        <w:tc>
          <w:tcPr>
            <w:tcW w:w="7640" w:type="dxa"/>
            <w:vAlign w:val="bottom"/>
          </w:tcPr>
          <w:p>
            <w:pPr>
              <w:ind w:left="120"/>
              <w:spacing w:after="0" w:line="162" w:lineRule="exact"/>
              <w:rPr>
                <w:sz w:val="20"/>
                <w:szCs w:val="20"/>
                <w:color w:val="auto"/>
              </w:rPr>
            </w:pPr>
            <w:r>
              <w:rPr>
                <w:rFonts w:ascii="Arial" w:cs="Arial" w:eastAsia="Arial" w:hAnsi="Arial"/>
                <w:sz w:val="16"/>
                <w:szCs w:val="16"/>
                <w:color w:val="auto"/>
              </w:rPr>
              <w:t>Depreciation</w:t>
            </w:r>
          </w:p>
        </w:tc>
        <w:tc>
          <w:tcPr>
            <w:tcW w:w="10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45,566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39,074</w:t>
            </w:r>
          </w:p>
        </w:tc>
      </w:tr>
      <w:tr>
        <w:trPr>
          <w:trHeight w:val="162"/>
        </w:trPr>
        <w:tc>
          <w:tcPr>
            <w:tcW w:w="76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Amortization</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336</w:t>
            </w:r>
          </w:p>
        </w:tc>
      </w:tr>
      <w:tr>
        <w:trPr>
          <w:trHeight w:val="162"/>
        </w:trPr>
        <w:tc>
          <w:tcPr>
            <w:tcW w:w="764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Taxes other than income taxes</w:t>
            </w: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16,436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14,969</w:t>
            </w:r>
          </w:p>
        </w:tc>
      </w:tr>
      <w:tr>
        <w:trPr>
          <w:trHeight w:val="156"/>
        </w:trPr>
        <w:tc>
          <w:tcPr>
            <w:tcW w:w="7640" w:type="dxa"/>
            <w:vAlign w:val="bottom"/>
            <w:shd w:val="clear" w:color="auto" w:fill="CCEEFF"/>
          </w:tcPr>
          <w:p>
            <w:pPr>
              <w:ind w:left="120"/>
              <w:spacing w:after="0" w:line="155" w:lineRule="exact"/>
              <w:rPr>
                <w:sz w:val="20"/>
                <w:szCs w:val="20"/>
                <w:color w:val="auto"/>
              </w:rPr>
            </w:pPr>
            <w:r>
              <w:rPr>
                <w:rFonts w:ascii="Arial" w:cs="Arial" w:eastAsia="Arial" w:hAnsi="Arial"/>
                <w:sz w:val="16"/>
                <w:szCs w:val="16"/>
                <w:color w:val="auto"/>
              </w:rPr>
              <w:t>Total operating expenses</w:t>
            </w:r>
          </w:p>
        </w:tc>
        <w:tc>
          <w:tcPr>
            <w:tcW w:w="10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182,088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133,693</w:t>
            </w:r>
          </w:p>
        </w:tc>
      </w:tr>
      <w:tr>
        <w:trPr>
          <w:trHeight w:val="155"/>
        </w:trPr>
        <w:tc>
          <w:tcPr>
            <w:tcW w:w="7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7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Operating income</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73,497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67,439</w:t>
            </w:r>
          </w:p>
        </w:tc>
      </w:tr>
      <w:tr>
        <w:trPr>
          <w:trHeight w:val="162"/>
        </w:trPr>
        <w:tc>
          <w:tcPr>
            <w:tcW w:w="7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7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 expense (income):</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2"/>
        </w:trPr>
        <w:tc>
          <w:tcPr>
            <w:tcW w:w="7640" w:type="dxa"/>
            <w:vAlign w:val="bottom"/>
          </w:tcPr>
          <w:p>
            <w:pPr>
              <w:ind w:left="120"/>
              <w:spacing w:after="0" w:line="162" w:lineRule="exact"/>
              <w:rPr>
                <w:sz w:val="20"/>
                <w:szCs w:val="20"/>
                <w:color w:val="auto"/>
              </w:rPr>
            </w:pPr>
            <w:r>
              <w:rPr>
                <w:rFonts w:ascii="Arial" w:cs="Arial" w:eastAsia="Arial" w:hAnsi="Arial"/>
                <w:sz w:val="16"/>
                <w:szCs w:val="16"/>
                <w:color w:val="auto"/>
              </w:rPr>
              <w:t>Interest expense</w:t>
            </w:r>
          </w:p>
        </w:tc>
        <w:tc>
          <w:tcPr>
            <w:tcW w:w="10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35,122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27,869</w:t>
            </w:r>
          </w:p>
        </w:tc>
      </w:tr>
      <w:tr>
        <w:trPr>
          <w:trHeight w:val="162"/>
        </w:trPr>
        <w:tc>
          <w:tcPr>
            <w:tcW w:w="76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Interest income</w:t>
            </w:r>
          </w:p>
        </w:tc>
        <w:tc>
          <w:tcPr>
            <w:tcW w:w="10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(5,035)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w:t>
            </w:r>
          </w:p>
        </w:tc>
      </w:tr>
      <w:tr>
        <w:trPr>
          <w:trHeight w:val="162"/>
        </w:trPr>
        <w:tc>
          <w:tcPr>
            <w:tcW w:w="7640" w:type="dxa"/>
            <w:vAlign w:val="bottom"/>
          </w:tcPr>
          <w:p>
            <w:pPr>
              <w:ind w:left="120"/>
              <w:spacing w:after="0" w:line="162" w:lineRule="exact"/>
              <w:rPr>
                <w:sz w:val="20"/>
                <w:szCs w:val="20"/>
                <w:color w:val="auto"/>
              </w:rPr>
            </w:pPr>
            <w:r>
              <w:rPr>
                <w:rFonts w:ascii="Arial" w:cs="Arial" w:eastAsia="Arial" w:hAnsi="Arial"/>
                <w:sz w:val="16"/>
                <w:szCs w:val="16"/>
                <w:color w:val="auto"/>
              </w:rPr>
              <w:t>Allowance for funds used during construction</w:t>
            </w:r>
          </w:p>
        </w:tc>
        <w:tc>
          <w:tcPr>
            <w:tcW w:w="108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(2,948)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(4,056)</w:t>
            </w:r>
          </w:p>
        </w:tc>
      </w:tr>
      <w:tr>
        <w:trPr>
          <w:trHeight w:val="162"/>
        </w:trPr>
        <w:tc>
          <w:tcPr>
            <w:tcW w:w="76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Change in fair value of interest rate swap agreements</w:t>
            </w:r>
          </w:p>
        </w:tc>
        <w:tc>
          <w:tcPr>
            <w:tcW w:w="10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34,782</w:t>
            </w:r>
          </w:p>
        </w:tc>
      </w:tr>
      <w:tr>
        <w:trPr>
          <w:trHeight w:val="162"/>
        </w:trPr>
        <w:tc>
          <w:tcPr>
            <w:tcW w:w="7640" w:type="dxa"/>
            <w:vAlign w:val="bottom"/>
          </w:tcPr>
          <w:p>
            <w:pPr>
              <w:ind w:left="120"/>
              <w:spacing w:after="0" w:line="162" w:lineRule="exact"/>
              <w:rPr>
                <w:sz w:val="20"/>
                <w:szCs w:val="20"/>
                <w:color w:val="auto"/>
              </w:rPr>
            </w:pPr>
            <w:r>
              <w:rPr>
                <w:rFonts w:ascii="Arial" w:cs="Arial" w:eastAsia="Arial" w:hAnsi="Arial"/>
                <w:sz w:val="16"/>
                <w:szCs w:val="16"/>
                <w:color w:val="auto"/>
              </w:rPr>
              <w:t>Gain on sale of other assets</w:t>
            </w:r>
          </w:p>
        </w:tc>
        <w:tc>
          <w:tcPr>
            <w:tcW w:w="108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(220)</w:t>
            </w:r>
          </w:p>
        </w:tc>
      </w:tr>
      <w:tr>
        <w:trPr>
          <w:trHeight w:val="162"/>
        </w:trPr>
        <w:tc>
          <w:tcPr>
            <w:tcW w:w="76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Equity loss (earnings) in joint venture</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(543)</w:t>
            </w:r>
          </w:p>
        </w:tc>
      </w:tr>
      <w:tr>
        <w:trPr>
          <w:trHeight w:val="162"/>
        </w:trPr>
        <w:tc>
          <w:tcPr>
            <w:tcW w:w="764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872</w:t>
            </w:r>
          </w:p>
        </w:tc>
      </w:tr>
      <w:tr>
        <w:trPr>
          <w:trHeight w:val="156"/>
        </w:trPr>
        <w:tc>
          <w:tcPr>
            <w:tcW w:w="76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Income before income taxes</w:t>
            </w:r>
          </w:p>
        </w:tc>
        <w:tc>
          <w:tcPr>
            <w:tcW w:w="10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44,657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8,754</w:t>
            </w:r>
          </w:p>
        </w:tc>
      </w:tr>
      <w:tr>
        <w:trPr>
          <w:trHeight w:val="162"/>
        </w:trPr>
        <w:tc>
          <w:tcPr>
            <w:tcW w:w="7640" w:type="dxa"/>
            <w:vAlign w:val="bottom"/>
          </w:tcPr>
          <w:p>
            <w:pPr>
              <w:spacing w:after="0" w:line="162" w:lineRule="exact"/>
              <w:rPr>
                <w:sz w:val="20"/>
                <w:szCs w:val="20"/>
                <w:color w:val="auto"/>
              </w:rPr>
            </w:pPr>
            <w:r>
              <w:rPr>
                <w:rFonts w:ascii="Arial" w:cs="Arial" w:eastAsia="Arial" w:hAnsi="Arial"/>
                <w:sz w:val="16"/>
                <w:szCs w:val="16"/>
                <w:color w:val="auto"/>
              </w:rPr>
              <w:t>Provision for income tax benefit</w:t>
            </w:r>
          </w:p>
        </w:tc>
        <w:tc>
          <w:tcPr>
            <w:tcW w:w="108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(7,124)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(8,170)</w:t>
            </w:r>
          </w:p>
        </w:tc>
      </w:tr>
      <w:tr>
        <w:trPr>
          <w:trHeight w:val="156"/>
        </w:trPr>
        <w:tc>
          <w:tcPr>
            <w:tcW w:w="76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income</w:t>
            </w:r>
          </w:p>
        </w:tc>
        <w:tc>
          <w:tcPr>
            <w:tcW w:w="1080" w:type="dxa"/>
            <w:vAlign w:val="bottom"/>
            <w:tcBorders>
              <w:top w:val="single" w:sz="8" w:color="auto"/>
              <w:bottom w:val="single" w:sz="8" w:color="auto"/>
            </w:tcBorders>
            <w:shd w:val="clear" w:color="auto" w:fill="CCEEFF"/>
          </w:tcPr>
          <w:p>
            <w:pPr>
              <w:jc w:val="right"/>
              <w:ind w:right="899"/>
              <w:spacing w:after="0" w:line="155"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51,781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44"/>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16,924</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2"/>
        </w:trPr>
        <w:tc>
          <w:tcPr>
            <w:tcW w:w="7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7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Comprehensive income</w:t>
            </w:r>
          </w:p>
        </w:tc>
        <w:tc>
          <w:tcPr>
            <w:tcW w:w="1080" w:type="dxa"/>
            <w:vAlign w:val="bottom"/>
            <w:shd w:val="clear" w:color="auto" w:fill="CCEEFF"/>
          </w:tcPr>
          <w:p>
            <w:pPr>
              <w:jc w:val="right"/>
              <w:ind w:right="899"/>
              <w:spacing w:after="0" w:line="16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51,781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44"/>
              <w:spacing w:after="0" w:line="162"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16,924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7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income per common share:</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2"/>
        </w:trPr>
        <w:tc>
          <w:tcPr>
            <w:tcW w:w="7640" w:type="dxa"/>
            <w:vAlign w:val="bottom"/>
          </w:tcPr>
          <w:p>
            <w:pPr>
              <w:ind w:left="120"/>
              <w:spacing w:after="0" w:line="162" w:lineRule="exact"/>
              <w:rPr>
                <w:sz w:val="20"/>
                <w:szCs w:val="20"/>
                <w:color w:val="auto"/>
              </w:rPr>
            </w:pPr>
            <w:r>
              <w:rPr>
                <w:rFonts w:ascii="Arial" w:cs="Arial" w:eastAsia="Arial" w:hAnsi="Arial"/>
                <w:sz w:val="16"/>
                <w:szCs w:val="16"/>
                <w:color w:val="auto"/>
              </w:rPr>
              <w:t>Basic</w:t>
            </w:r>
          </w:p>
        </w:tc>
        <w:tc>
          <w:tcPr>
            <w:tcW w:w="1080" w:type="dxa"/>
            <w:vAlign w:val="bottom"/>
          </w:tcPr>
          <w:p>
            <w:pPr>
              <w:jc w:val="right"/>
              <w:ind w:right="899"/>
              <w:spacing w:after="0" w:line="162"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0.22</w:t>
            </w:r>
          </w:p>
        </w:tc>
        <w:tc>
          <w:tcPr>
            <w:tcW w:w="100" w:type="dxa"/>
            <w:vAlign w:val="bottom"/>
          </w:tcPr>
          <w:p>
            <w:pPr>
              <w:spacing w:after="0"/>
              <w:rPr>
                <w:sz w:val="17"/>
                <w:szCs w:val="17"/>
                <w:color w:val="auto"/>
              </w:rPr>
            </w:pPr>
          </w:p>
        </w:tc>
        <w:tc>
          <w:tcPr>
            <w:tcW w:w="700" w:type="dxa"/>
            <w:vAlign w:val="bottom"/>
            <w:gridSpan w:val="2"/>
          </w:tcPr>
          <w:p>
            <w:pPr>
              <w:jc w:val="right"/>
              <w:ind w:right="444"/>
              <w:spacing w:after="0" w:line="162"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0.09</w:t>
            </w:r>
          </w:p>
        </w:tc>
      </w:tr>
      <w:tr>
        <w:trPr>
          <w:trHeight w:val="142"/>
        </w:trPr>
        <w:tc>
          <w:tcPr>
            <w:tcW w:w="764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Diluted</w:t>
            </w:r>
          </w:p>
        </w:tc>
        <w:tc>
          <w:tcPr>
            <w:tcW w:w="1080" w:type="dxa"/>
            <w:vAlign w:val="bottom"/>
            <w:tcBorders>
              <w:top w:val="single" w:sz="8" w:color="auto"/>
              <w:bottom w:val="single" w:sz="8" w:color="auto"/>
            </w:tcBorders>
            <w:shd w:val="clear" w:color="auto" w:fill="CCEEFF"/>
          </w:tcPr>
          <w:p>
            <w:pPr>
              <w:jc w:val="right"/>
              <w:ind w:right="899"/>
              <w:spacing w:after="0" w:line="142"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0.20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444"/>
              <w:spacing w:after="0" w:line="143"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0.09</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3"/>
        </w:trPr>
        <w:tc>
          <w:tcPr>
            <w:tcW w:w="7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7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Average common shares outstanding during the period:</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2"/>
        </w:trPr>
        <w:tc>
          <w:tcPr>
            <w:tcW w:w="764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Basic</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236,122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line="162" w:lineRule="exact"/>
              <w:rPr>
                <w:sz w:val="20"/>
                <w:szCs w:val="20"/>
                <w:color w:val="auto"/>
              </w:rPr>
            </w:pPr>
            <w:r>
              <w:rPr>
                <w:rFonts w:ascii="Arial" w:cs="Arial" w:eastAsia="Arial" w:hAnsi="Arial"/>
                <w:sz w:val="16"/>
                <w:szCs w:val="16"/>
                <w:color w:val="auto"/>
              </w:rPr>
              <w:t>178,213</w:t>
            </w:r>
          </w:p>
        </w:tc>
      </w:tr>
      <w:tr>
        <w:trPr>
          <w:trHeight w:val="143"/>
        </w:trPr>
        <w:tc>
          <w:tcPr>
            <w:tcW w:w="764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Diluted</w:t>
            </w:r>
          </w:p>
        </w:tc>
        <w:tc>
          <w:tcPr>
            <w:tcW w:w="10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255,054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9"/>
              <w:spacing w:after="0" w:line="142" w:lineRule="exact"/>
              <w:rPr>
                <w:sz w:val="20"/>
                <w:szCs w:val="20"/>
                <w:color w:val="auto"/>
              </w:rPr>
            </w:pPr>
            <w:r>
              <w:rPr>
                <w:rFonts w:ascii="Arial" w:cs="Arial" w:eastAsia="Arial" w:hAnsi="Arial"/>
                <w:sz w:val="16"/>
                <w:szCs w:val="16"/>
                <w:color w:val="auto"/>
              </w:rPr>
              <w:t>178,552</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17"/>
                <w:szCs w:val="17"/>
                <w:color w:val="auto"/>
              </w:rPr>
            </w:pPr>
          </w:p>
        </w:tc>
        <w:tc>
          <w:tcPr>
            <w:tcW w:w="1500" w:type="dxa"/>
            <w:vAlign w:val="bottom"/>
          </w:tcPr>
          <w:p>
            <w:pPr>
              <w:jc w:val="right"/>
              <w:ind w:right="331"/>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6"/>
        </w:trPr>
        <w:tc>
          <w:tcPr>
            <w:tcW w:w="716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7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$0.50 par value</w:t>
            </w:r>
          </w:p>
        </w:tc>
        <w:tc>
          <w:tcPr>
            <w:tcW w:w="38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124,117</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111,935</w:t>
            </w:r>
          </w:p>
        </w:tc>
        <w:tc>
          <w:tcPr>
            <w:tcW w:w="0" w:type="dxa"/>
            <w:vAlign w:val="bottom"/>
          </w:tcPr>
          <w:p>
            <w:pPr>
              <w:spacing w:after="0"/>
              <w:rPr>
                <w:sz w:val="1"/>
                <w:szCs w:val="1"/>
                <w:color w:val="auto"/>
              </w:rPr>
            </w:pPr>
          </w:p>
        </w:tc>
      </w:tr>
      <w:tr>
        <w:trPr>
          <w:trHeight w:val="189"/>
        </w:trPr>
        <w:tc>
          <w:tcPr>
            <w:tcW w:w="7160" w:type="dxa"/>
            <w:vAlign w:val="bottom"/>
          </w:tcPr>
          <w:p>
            <w:pPr>
              <w:ind w:left="240"/>
              <w:spacing w:after="0" w:line="189" w:lineRule="exact"/>
              <w:rPr>
                <w:sz w:val="20"/>
                <w:szCs w:val="20"/>
                <w:color w:val="auto"/>
              </w:rPr>
            </w:pPr>
            <w:r>
              <w:rPr>
                <w:rFonts w:ascii="Arial" w:cs="Arial" w:eastAsia="Arial" w:hAnsi="Arial"/>
                <w:sz w:val="18"/>
                <w:szCs w:val="18"/>
                <w:color w:val="auto"/>
              </w:rPr>
              <w:t>Capital in excess of par value</w:t>
            </w:r>
          </w:p>
        </w:tc>
        <w:tc>
          <w:tcPr>
            <w:tcW w:w="38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8"/>
                <w:szCs w:val="18"/>
                <w:color w:val="auto"/>
              </w:rPr>
              <w:t>3,361,586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2,636,555</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1,209,501</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1,210,072</w:t>
            </w:r>
          </w:p>
        </w:tc>
        <w:tc>
          <w:tcPr>
            <w:tcW w:w="0" w:type="dxa"/>
            <w:vAlign w:val="bottom"/>
          </w:tcPr>
          <w:p>
            <w:pPr>
              <w:spacing w:after="0"/>
              <w:rPr>
                <w:sz w:val="1"/>
                <w:szCs w:val="1"/>
                <w:color w:val="auto"/>
              </w:rPr>
            </w:pPr>
          </w:p>
        </w:tc>
      </w:tr>
      <w:tr>
        <w:trPr>
          <w:trHeight w:val="189"/>
        </w:trPr>
        <w:tc>
          <w:tcPr>
            <w:tcW w:w="7160" w:type="dxa"/>
            <w:vAlign w:val="bottom"/>
          </w:tcPr>
          <w:p>
            <w:pPr>
              <w:ind w:left="240"/>
              <w:spacing w:after="0" w:line="189" w:lineRule="exact"/>
              <w:rPr>
                <w:sz w:val="20"/>
                <w:szCs w:val="20"/>
                <w:color w:val="auto"/>
              </w:rPr>
            </w:pPr>
            <w:r>
              <w:rPr>
                <w:rFonts w:ascii="Arial" w:cs="Arial" w:eastAsia="Arial" w:hAnsi="Arial"/>
                <w:sz w:val="18"/>
                <w:szCs w:val="18"/>
                <w:color w:val="auto"/>
              </w:rPr>
              <w:t>Treasury stock, at cost</w:t>
            </w:r>
          </w:p>
        </w:tc>
        <w:tc>
          <w:tcPr>
            <w:tcW w:w="380" w:type="dxa"/>
            <w:vAlign w:val="bottom"/>
          </w:tcPr>
          <w:p>
            <w:pPr>
              <w:spacing w:after="0"/>
              <w:rPr>
                <w:sz w:val="16"/>
                <w:szCs w:val="16"/>
                <w:color w:val="auto"/>
              </w:rPr>
            </w:pPr>
          </w:p>
        </w:tc>
        <w:tc>
          <w:tcPr>
            <w:tcW w:w="194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(82,041)</w:t>
            </w:r>
          </w:p>
        </w:tc>
        <w:tc>
          <w:tcPr>
            <w:tcW w:w="26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(77,702)</w:t>
            </w:r>
          </w:p>
        </w:tc>
        <w:tc>
          <w:tcPr>
            <w:tcW w:w="0" w:type="dxa"/>
            <w:vAlign w:val="bottom"/>
          </w:tcPr>
          <w:p>
            <w:pPr>
              <w:spacing w:after="0"/>
              <w:rPr>
                <w:sz w:val="1"/>
                <w:szCs w:val="1"/>
                <w:color w:val="auto"/>
              </w:rPr>
            </w:pPr>
          </w:p>
        </w:tc>
      </w:tr>
      <w:tr>
        <w:trPr>
          <w:trHeight w:val="183"/>
        </w:trPr>
        <w:tc>
          <w:tcPr>
            <w:tcW w:w="7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4,613,163</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3,880,860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3380" w:type="dxa"/>
            <w:vAlign w:val="bottom"/>
            <w:gridSpan w:val="2"/>
          </w:tcPr>
          <w:p>
            <w:pPr>
              <w:jc w:val="center"/>
              <w:ind w:right="1960"/>
              <w:spacing w:after="0" w:line="185" w:lineRule="exact"/>
              <w:rPr>
                <w:sz w:val="20"/>
                <w:szCs w:val="20"/>
                <w:color w:val="auto"/>
              </w:rPr>
            </w:pPr>
            <w:r>
              <w:rPr>
                <w:rFonts w:ascii="Arial" w:cs="Arial" w:eastAsia="Arial" w:hAnsi="Arial"/>
                <w:sz w:val="18"/>
                <w:szCs w:val="18"/>
                <w:color w:val="auto"/>
                <w:w w:val="88"/>
              </w:rPr>
              <w:t>Interest Rate Range</w:t>
            </w:r>
          </w:p>
        </w:tc>
        <w:tc>
          <w:tcPr>
            <w:tcW w:w="2480" w:type="dxa"/>
            <w:vAlign w:val="bottom"/>
            <w:gridSpan w:val="2"/>
          </w:tcPr>
          <w:p>
            <w:pPr>
              <w:jc w:val="center"/>
              <w:ind w:right="960"/>
              <w:spacing w:after="0" w:line="185" w:lineRule="exact"/>
              <w:rPr>
                <w:sz w:val="20"/>
                <w:szCs w:val="20"/>
                <w:color w:val="auto"/>
              </w:rPr>
            </w:pPr>
            <w:r>
              <w:rPr>
                <w:rFonts w:ascii="Arial" w:cs="Arial" w:eastAsia="Arial" w:hAnsi="Arial"/>
                <w:sz w:val="18"/>
                <w:szCs w:val="18"/>
                <w:color w:val="auto"/>
                <w:w w:val="92"/>
              </w:rPr>
              <w:t>Maturity Date Range</w:t>
            </w: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0.00% to 0.99%</w:t>
            </w:r>
          </w:p>
        </w:tc>
        <w:tc>
          <w:tcPr>
            <w:tcW w:w="196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2023 to 2033</w:t>
            </w: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3,225</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3380" w:type="dxa"/>
            <w:vAlign w:val="bottom"/>
            <w:gridSpan w:val="2"/>
          </w:tcPr>
          <w:p>
            <w:pPr>
              <w:jc w:val="center"/>
              <w:ind w:right="1940"/>
              <w:spacing w:after="0" w:line="189" w:lineRule="exact"/>
              <w:rPr>
                <w:sz w:val="20"/>
                <w:szCs w:val="20"/>
                <w:color w:val="auto"/>
              </w:rPr>
            </w:pPr>
            <w:r>
              <w:rPr>
                <w:rFonts w:ascii="Arial" w:cs="Arial" w:eastAsia="Arial" w:hAnsi="Arial"/>
                <w:sz w:val="18"/>
                <w:szCs w:val="18"/>
                <w:color w:val="auto"/>
                <w:w w:val="94"/>
              </w:rPr>
              <w:t>1.00% to 1.99%</w:t>
            </w:r>
          </w:p>
        </w:tc>
        <w:tc>
          <w:tcPr>
            <w:tcW w:w="2480" w:type="dxa"/>
            <w:vAlign w:val="bottom"/>
            <w:gridSpan w:val="2"/>
          </w:tcPr>
          <w:p>
            <w:pPr>
              <w:jc w:val="center"/>
              <w:ind w:right="940"/>
              <w:spacing w:after="0" w:line="189" w:lineRule="exact"/>
              <w:rPr>
                <w:sz w:val="20"/>
                <w:szCs w:val="20"/>
                <w:color w:val="auto"/>
              </w:rPr>
            </w:pPr>
            <w:r>
              <w:rPr>
                <w:rFonts w:ascii="Arial" w:cs="Arial" w:eastAsia="Arial" w:hAnsi="Arial"/>
                <w:sz w:val="18"/>
                <w:szCs w:val="18"/>
                <w:color w:val="auto"/>
                <w:w w:val="89"/>
              </w:rPr>
              <w:t>2020 to 2039</w:t>
            </w:r>
          </w:p>
        </w:tc>
        <w:tc>
          <w:tcPr>
            <w:tcW w:w="7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10,682</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40"/>
              <w:spacing w:after="0" w:line="189" w:lineRule="exact"/>
              <w:rPr>
                <w:sz w:val="20"/>
                <w:szCs w:val="20"/>
                <w:color w:val="auto"/>
              </w:rPr>
            </w:pPr>
            <w:r>
              <w:rPr>
                <w:rFonts w:ascii="Arial" w:cs="Arial" w:eastAsia="Arial" w:hAnsi="Arial"/>
                <w:sz w:val="18"/>
                <w:szCs w:val="18"/>
                <w:color w:val="auto"/>
                <w:w w:val="94"/>
              </w:rPr>
              <w:t>2.00% to 2.99%</w:t>
            </w:r>
          </w:p>
        </w:tc>
        <w:tc>
          <w:tcPr>
            <w:tcW w:w="2480" w:type="dxa"/>
            <w:vAlign w:val="bottom"/>
            <w:gridSpan w:val="2"/>
            <w:shd w:val="clear" w:color="auto" w:fill="CCEEFF"/>
          </w:tcPr>
          <w:p>
            <w:pPr>
              <w:jc w:val="center"/>
              <w:ind w:right="940"/>
              <w:spacing w:after="0" w:line="189" w:lineRule="exact"/>
              <w:rPr>
                <w:sz w:val="20"/>
                <w:szCs w:val="20"/>
                <w:color w:val="auto"/>
              </w:rPr>
            </w:pPr>
            <w:r>
              <w:rPr>
                <w:rFonts w:ascii="Arial" w:cs="Arial" w:eastAsia="Arial" w:hAnsi="Arial"/>
                <w:sz w:val="18"/>
                <w:szCs w:val="18"/>
                <w:color w:val="auto"/>
                <w:w w:val="89"/>
              </w:rPr>
              <w:t>2022 to 2033</w:t>
            </w: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117,667</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15,674</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3380" w:type="dxa"/>
            <w:vAlign w:val="bottom"/>
            <w:gridSpan w:val="2"/>
          </w:tcPr>
          <w:p>
            <w:pPr>
              <w:jc w:val="center"/>
              <w:ind w:right="1940"/>
              <w:spacing w:after="0" w:line="189" w:lineRule="exact"/>
              <w:rPr>
                <w:sz w:val="20"/>
                <w:szCs w:val="20"/>
                <w:color w:val="auto"/>
              </w:rPr>
            </w:pPr>
            <w:r>
              <w:rPr>
                <w:rFonts w:ascii="Arial" w:cs="Arial" w:eastAsia="Arial" w:hAnsi="Arial"/>
                <w:sz w:val="18"/>
                <w:szCs w:val="18"/>
                <w:color w:val="auto"/>
                <w:w w:val="94"/>
              </w:rPr>
              <w:t>3.00% to 3.99%</w:t>
            </w:r>
          </w:p>
        </w:tc>
        <w:tc>
          <w:tcPr>
            <w:tcW w:w="2480" w:type="dxa"/>
            <w:vAlign w:val="bottom"/>
            <w:gridSpan w:val="2"/>
          </w:tcPr>
          <w:p>
            <w:pPr>
              <w:jc w:val="center"/>
              <w:ind w:right="940"/>
              <w:spacing w:after="0" w:line="189" w:lineRule="exact"/>
              <w:rPr>
                <w:sz w:val="20"/>
                <w:szCs w:val="20"/>
                <w:color w:val="auto"/>
              </w:rPr>
            </w:pPr>
            <w:r>
              <w:rPr>
                <w:rFonts w:ascii="Arial" w:cs="Arial" w:eastAsia="Arial" w:hAnsi="Arial"/>
                <w:sz w:val="18"/>
                <w:szCs w:val="18"/>
                <w:color w:val="auto"/>
                <w:w w:val="89"/>
              </w:rPr>
              <w:t>2020 to 2056</w:t>
            </w:r>
          </w:p>
        </w:tc>
        <w:tc>
          <w:tcPr>
            <w:tcW w:w="7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1,148,133</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655,685</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40"/>
              <w:spacing w:after="0" w:line="189" w:lineRule="exact"/>
              <w:rPr>
                <w:sz w:val="20"/>
                <w:szCs w:val="20"/>
                <w:color w:val="auto"/>
              </w:rPr>
            </w:pPr>
            <w:r>
              <w:rPr>
                <w:rFonts w:ascii="Arial" w:cs="Arial" w:eastAsia="Arial" w:hAnsi="Arial"/>
                <w:sz w:val="18"/>
                <w:szCs w:val="18"/>
                <w:color w:val="auto"/>
                <w:w w:val="94"/>
              </w:rPr>
              <w:t>4.00% to 4.99%</w:t>
            </w:r>
          </w:p>
        </w:tc>
        <w:tc>
          <w:tcPr>
            <w:tcW w:w="2480" w:type="dxa"/>
            <w:vAlign w:val="bottom"/>
            <w:gridSpan w:val="2"/>
            <w:shd w:val="clear" w:color="auto" w:fill="CCEEFF"/>
          </w:tcPr>
          <w:p>
            <w:pPr>
              <w:jc w:val="center"/>
              <w:ind w:right="940"/>
              <w:spacing w:after="0" w:line="189" w:lineRule="exact"/>
              <w:rPr>
                <w:sz w:val="20"/>
                <w:szCs w:val="20"/>
                <w:color w:val="auto"/>
              </w:rPr>
            </w:pPr>
            <w:r>
              <w:rPr>
                <w:rFonts w:ascii="Arial" w:cs="Arial" w:eastAsia="Arial" w:hAnsi="Arial"/>
                <w:sz w:val="18"/>
                <w:szCs w:val="18"/>
                <w:color w:val="auto"/>
                <w:w w:val="89"/>
              </w:rPr>
              <w:t>2020 to 2059</w:t>
            </w: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1,419,071</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1,054,791</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3380" w:type="dxa"/>
            <w:vAlign w:val="bottom"/>
            <w:gridSpan w:val="2"/>
          </w:tcPr>
          <w:p>
            <w:pPr>
              <w:jc w:val="center"/>
              <w:ind w:right="1940"/>
              <w:spacing w:after="0" w:line="189" w:lineRule="exact"/>
              <w:rPr>
                <w:sz w:val="20"/>
                <w:szCs w:val="20"/>
                <w:color w:val="auto"/>
              </w:rPr>
            </w:pPr>
            <w:r>
              <w:rPr>
                <w:rFonts w:ascii="Arial" w:cs="Arial" w:eastAsia="Arial" w:hAnsi="Arial"/>
                <w:sz w:val="18"/>
                <w:szCs w:val="18"/>
                <w:color w:val="auto"/>
                <w:w w:val="94"/>
              </w:rPr>
              <w:t>5.00% to 5.99%</w:t>
            </w:r>
          </w:p>
        </w:tc>
        <w:tc>
          <w:tcPr>
            <w:tcW w:w="2480" w:type="dxa"/>
            <w:vAlign w:val="bottom"/>
            <w:gridSpan w:val="2"/>
          </w:tcPr>
          <w:p>
            <w:pPr>
              <w:jc w:val="center"/>
              <w:ind w:right="940"/>
              <w:spacing w:after="0" w:line="189" w:lineRule="exact"/>
              <w:rPr>
                <w:sz w:val="20"/>
                <w:szCs w:val="20"/>
                <w:color w:val="auto"/>
              </w:rPr>
            </w:pPr>
            <w:r>
              <w:rPr>
                <w:rFonts w:ascii="Arial" w:cs="Arial" w:eastAsia="Arial" w:hAnsi="Arial"/>
                <w:sz w:val="18"/>
                <w:szCs w:val="18"/>
                <w:color w:val="auto"/>
                <w:w w:val="89"/>
              </w:rPr>
              <w:t>2028 to 2043</w:t>
            </w:r>
          </w:p>
        </w:tc>
        <w:tc>
          <w:tcPr>
            <w:tcW w:w="7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65,852</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60,683</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40"/>
              <w:spacing w:after="0" w:line="189" w:lineRule="exact"/>
              <w:rPr>
                <w:sz w:val="20"/>
                <w:szCs w:val="20"/>
                <w:color w:val="auto"/>
              </w:rPr>
            </w:pPr>
            <w:r>
              <w:rPr>
                <w:rFonts w:ascii="Arial" w:cs="Arial" w:eastAsia="Arial" w:hAnsi="Arial"/>
                <w:sz w:val="18"/>
                <w:szCs w:val="18"/>
                <w:color w:val="auto"/>
                <w:w w:val="94"/>
              </w:rPr>
              <w:t>6.00% to 6.99%</w:t>
            </w:r>
          </w:p>
        </w:tc>
        <w:tc>
          <w:tcPr>
            <w:tcW w:w="2480" w:type="dxa"/>
            <w:vAlign w:val="bottom"/>
            <w:gridSpan w:val="2"/>
            <w:shd w:val="clear" w:color="auto" w:fill="CCEEFF"/>
          </w:tcPr>
          <w:p>
            <w:pPr>
              <w:jc w:val="center"/>
              <w:ind w:right="940"/>
              <w:spacing w:after="0" w:line="189" w:lineRule="exact"/>
              <w:rPr>
                <w:sz w:val="20"/>
                <w:szCs w:val="20"/>
                <w:color w:val="auto"/>
              </w:rPr>
            </w:pPr>
            <w:r>
              <w:rPr>
                <w:rFonts w:ascii="Arial" w:cs="Arial" w:eastAsia="Arial" w:hAnsi="Arial"/>
                <w:sz w:val="18"/>
                <w:szCs w:val="18"/>
                <w:color w:val="auto"/>
                <w:w w:val="89"/>
              </w:rPr>
              <w:t>2022 to 2036</w:t>
            </w: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35,410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3380" w:type="dxa"/>
            <w:vAlign w:val="bottom"/>
            <w:gridSpan w:val="2"/>
          </w:tcPr>
          <w:p>
            <w:pPr>
              <w:jc w:val="center"/>
              <w:ind w:right="1940"/>
              <w:spacing w:after="0" w:line="189" w:lineRule="exact"/>
              <w:rPr>
                <w:sz w:val="20"/>
                <w:szCs w:val="20"/>
                <w:color w:val="auto"/>
              </w:rPr>
            </w:pPr>
            <w:r>
              <w:rPr>
                <w:rFonts w:ascii="Arial" w:cs="Arial" w:eastAsia="Arial" w:hAnsi="Arial"/>
                <w:sz w:val="18"/>
                <w:szCs w:val="18"/>
                <w:color w:val="auto"/>
                <w:w w:val="94"/>
              </w:rPr>
              <w:t>7.00% to 7.99%</w:t>
            </w:r>
          </w:p>
        </w:tc>
        <w:tc>
          <w:tcPr>
            <w:tcW w:w="2480" w:type="dxa"/>
            <w:vAlign w:val="bottom"/>
            <w:gridSpan w:val="2"/>
          </w:tcPr>
          <w:p>
            <w:pPr>
              <w:jc w:val="center"/>
              <w:ind w:right="940"/>
              <w:spacing w:after="0" w:line="189" w:lineRule="exact"/>
              <w:rPr>
                <w:sz w:val="20"/>
                <w:szCs w:val="20"/>
                <w:color w:val="auto"/>
              </w:rPr>
            </w:pPr>
            <w:r>
              <w:rPr>
                <w:rFonts w:ascii="Arial" w:cs="Arial" w:eastAsia="Arial" w:hAnsi="Arial"/>
                <w:sz w:val="18"/>
                <w:szCs w:val="18"/>
                <w:color w:val="auto"/>
                <w:w w:val="89"/>
              </w:rPr>
              <w:t>2022 to 2027</w:t>
            </w:r>
          </w:p>
        </w:tc>
        <w:tc>
          <w:tcPr>
            <w:tcW w:w="7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30,540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30,751</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40"/>
              <w:spacing w:after="0" w:line="189" w:lineRule="exact"/>
              <w:rPr>
                <w:sz w:val="20"/>
                <w:szCs w:val="20"/>
                <w:color w:val="auto"/>
              </w:rPr>
            </w:pPr>
            <w:r>
              <w:rPr>
                <w:rFonts w:ascii="Arial" w:cs="Arial" w:eastAsia="Arial" w:hAnsi="Arial"/>
                <w:sz w:val="18"/>
                <w:szCs w:val="18"/>
                <w:color w:val="auto"/>
                <w:w w:val="94"/>
              </w:rPr>
              <w:t>8.00% to 8.99%</w:t>
            </w:r>
          </w:p>
        </w:tc>
        <w:tc>
          <w:tcPr>
            <w:tcW w:w="2480" w:type="dxa"/>
            <w:vAlign w:val="bottom"/>
            <w:gridSpan w:val="2"/>
            <w:shd w:val="clear" w:color="auto" w:fill="CCEEFF"/>
          </w:tcPr>
          <w:p>
            <w:pPr>
              <w:jc w:val="center"/>
              <w:ind w:right="940"/>
              <w:spacing w:after="0" w:line="189" w:lineRule="exact"/>
              <w:rPr>
                <w:sz w:val="20"/>
                <w:szCs w:val="20"/>
                <w:color w:val="auto"/>
              </w:rPr>
            </w:pPr>
            <w:r>
              <w:rPr>
                <w:rFonts w:ascii="Arial" w:cs="Arial" w:eastAsia="Arial" w:hAnsi="Arial"/>
                <w:sz w:val="18"/>
                <w:szCs w:val="18"/>
                <w:color w:val="auto"/>
                <w:w w:val="89"/>
              </w:rPr>
              <w:t>2021 to 2025</w:t>
            </w: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4,880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gridSpan w:val="2"/>
          </w:tcPr>
          <w:p>
            <w:pPr>
              <w:jc w:val="center"/>
              <w:ind w:right="1940"/>
              <w:spacing w:after="0" w:line="189" w:lineRule="exact"/>
              <w:rPr>
                <w:sz w:val="20"/>
                <w:szCs w:val="20"/>
                <w:color w:val="auto"/>
              </w:rPr>
            </w:pPr>
            <w:r>
              <w:rPr>
                <w:rFonts w:ascii="Arial" w:cs="Arial" w:eastAsia="Arial" w:hAnsi="Arial"/>
                <w:sz w:val="18"/>
                <w:szCs w:val="18"/>
                <w:color w:val="auto"/>
                <w:w w:val="94"/>
              </w:rPr>
              <w:t>9.00% to 9.99%</w:t>
            </w:r>
          </w:p>
        </w:tc>
        <w:tc>
          <w:tcPr>
            <w:tcW w:w="2480" w:type="dxa"/>
            <w:vAlign w:val="bottom"/>
            <w:tcBorders>
              <w:bottom w:val="single" w:sz="8" w:color="CCEEFF"/>
            </w:tcBorders>
            <w:gridSpan w:val="2"/>
          </w:tcPr>
          <w:p>
            <w:pPr>
              <w:jc w:val="center"/>
              <w:ind w:right="940"/>
              <w:spacing w:after="0" w:line="189" w:lineRule="exact"/>
              <w:rPr>
                <w:sz w:val="20"/>
                <w:szCs w:val="20"/>
                <w:color w:val="auto"/>
              </w:rPr>
            </w:pPr>
            <w:r>
              <w:rPr>
                <w:rFonts w:ascii="Arial" w:cs="Arial" w:eastAsia="Arial" w:hAnsi="Arial"/>
                <w:sz w:val="18"/>
                <w:szCs w:val="18"/>
                <w:color w:val="auto"/>
                <w:w w:val="89"/>
              </w:rPr>
              <w:t>2020 to 2026</w:t>
            </w: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19,300</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2,854,760</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1,887,117</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8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Notes payable to bank under revolving credit agreement, variable rate, due 2023</w:t>
            </w: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802,000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680" w:type="dxa"/>
            <w:vAlign w:val="bottom"/>
            <w:gridSpan w:val="3"/>
          </w:tcPr>
          <w:p>
            <w:pPr>
              <w:spacing w:after="0" w:line="189" w:lineRule="exact"/>
              <w:rPr>
                <w:sz w:val="20"/>
                <w:szCs w:val="20"/>
                <w:color w:val="auto"/>
              </w:rPr>
            </w:pPr>
            <w:r>
              <w:rPr>
                <w:rFonts w:ascii="Arial" w:cs="Arial" w:eastAsia="Arial" w:hAnsi="Arial"/>
                <w:sz w:val="18"/>
                <w:szCs w:val="18"/>
                <w:color w:val="auto"/>
              </w:rPr>
              <w:t>Unsecured notes payable:</w:t>
            </w: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Bank note at 3.50% due 2020</w:t>
            </w: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89"/>
        </w:trPr>
        <w:tc>
          <w:tcPr>
            <w:tcW w:w="468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Amortizing notes at 3.00% due 2022</w:t>
            </w: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89,751</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99,356</w:t>
            </w:r>
          </w:p>
        </w:tc>
        <w:tc>
          <w:tcPr>
            <w:tcW w:w="0" w:type="dxa"/>
            <w:vAlign w:val="bottom"/>
          </w:tcPr>
          <w:p>
            <w:pPr>
              <w:spacing w:after="0"/>
              <w:rPr>
                <w:sz w:val="1"/>
                <w:szCs w:val="1"/>
                <w:color w:val="auto"/>
              </w:rPr>
            </w:pPr>
          </w:p>
        </w:tc>
      </w:tr>
      <w:tr>
        <w:trPr>
          <w:trHeight w:val="189"/>
        </w:trPr>
        <w:tc>
          <w:tcPr>
            <w:tcW w:w="46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5"/>
              </w:rPr>
              <w:t>Notes ranging from 3.01% to 3.59% due 2029 through 2041</w:t>
            </w: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525,000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490,000</w:t>
            </w:r>
          </w:p>
        </w:tc>
        <w:tc>
          <w:tcPr>
            <w:tcW w:w="0" w:type="dxa"/>
            <w:vAlign w:val="bottom"/>
          </w:tcPr>
          <w:p>
            <w:pPr>
              <w:spacing w:after="0"/>
              <w:rPr>
                <w:sz w:val="1"/>
                <w:szCs w:val="1"/>
                <w:color w:val="auto"/>
              </w:rPr>
            </w:pPr>
          </w:p>
        </w:tc>
      </w:tr>
      <w:tr>
        <w:trPr>
          <w:trHeight w:val="189"/>
        </w:trPr>
        <w:tc>
          <w:tcPr>
            <w:tcW w:w="468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4.28%, due 2049</w:t>
            </w: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6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Notes ranging from 5.64% to 5.95%, due 2020 through 2034</w:t>
            </w: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50,927</w:t>
            </w:r>
          </w:p>
        </w:tc>
        <w:tc>
          <w:tcPr>
            <w:tcW w:w="2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50,927</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4,872,438</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3,077,400</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5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115,011</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105,051</w:t>
            </w:r>
          </w:p>
        </w:tc>
        <w:tc>
          <w:tcPr>
            <w:tcW w:w="0" w:type="dxa"/>
            <w:vAlign w:val="bottom"/>
          </w:tcPr>
          <w:p>
            <w:pPr>
              <w:spacing w:after="0"/>
              <w:rPr>
                <w:sz w:val="1"/>
                <w:szCs w:val="1"/>
                <w:color w:val="auto"/>
              </w:rPr>
            </w:pPr>
          </w:p>
        </w:tc>
      </w:tr>
      <w:tr>
        <w:trPr>
          <w:trHeight w:val="183"/>
        </w:trPr>
        <w:tc>
          <w:tcPr>
            <w:tcW w:w="46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4,757,427</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2,972,349</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Less: debt issuance costs</w:t>
            </w:r>
          </w:p>
        </w:tc>
        <w:tc>
          <w:tcPr>
            <w:tcW w:w="15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28,393</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29,022</w:t>
            </w:r>
          </w:p>
        </w:tc>
        <w:tc>
          <w:tcPr>
            <w:tcW w:w="0" w:type="dxa"/>
            <w:vAlign w:val="bottom"/>
          </w:tcPr>
          <w:p>
            <w:pPr>
              <w:spacing w:after="0"/>
              <w:rPr>
                <w:sz w:val="1"/>
                <w:szCs w:val="1"/>
                <w:color w:val="auto"/>
              </w:rPr>
            </w:pPr>
          </w:p>
        </w:tc>
      </w:tr>
      <w:tr>
        <w:trPr>
          <w:trHeight w:val="183"/>
        </w:trPr>
        <w:tc>
          <w:tcPr>
            <w:tcW w:w="716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 net of debt issuance costs</w:t>
            </w:r>
          </w:p>
        </w:tc>
        <w:tc>
          <w:tcPr>
            <w:tcW w:w="7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4,729,034</w:t>
            </w:r>
          </w:p>
        </w:tc>
        <w:tc>
          <w:tcPr>
            <w:tcW w:w="2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2,943,327</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capitalization</w:t>
            </w:r>
          </w:p>
        </w:tc>
        <w:tc>
          <w:tcPr>
            <w:tcW w:w="1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9,342,197</w:t>
            </w: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6,824,187</w:t>
            </w:r>
          </w:p>
        </w:tc>
        <w:tc>
          <w:tcPr>
            <w:tcW w:w="0" w:type="dxa"/>
            <w:vAlign w:val="bottom"/>
          </w:tcPr>
          <w:p>
            <w:pPr>
              <w:spacing w:after="0"/>
              <w:rPr>
                <w:sz w:val="1"/>
                <w:szCs w:val="1"/>
                <w:color w:val="auto"/>
              </w:rPr>
            </w:pPr>
          </w:p>
        </w:tc>
      </w:tr>
      <w:tr>
        <w:trPr>
          <w:trHeight w:val="20"/>
        </w:trPr>
        <w:tc>
          <w:tcPr>
            <w:tcW w:w="71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60" w:type="dxa"/>
            <w:vAlign w:val="bottom"/>
            <w:gridSpan w:val="5"/>
            <w:vMerge w:val="continue"/>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92"/>
              </w:rPr>
              <w:t>Common</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6"/>
                <w:szCs w:val="16"/>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88"/>
              </w:rPr>
              <w:t>Treasury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w w:val="95"/>
              </w:rPr>
              <w:t>Excess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Par Value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2019</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111,935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2,636,555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1,210,072</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(77,702)</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51,781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51,781</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($0.2343 per share)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(52,205)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(52,205)</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Issuance of common stock from private placement (21,661,095 shares)</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10,831</w:t>
            </w: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719,304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730,135</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from stock purchase contracts (2,335,654 shares)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1,168</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(1,168)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(86,969 shares)</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43</w:t>
            </w: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4,019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(81,722 shares)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(4,339)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Equity compensation plan (223,495 shares)</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112</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(56,106 shares)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922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2,072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(147)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55"/>
        </w:trPr>
        <w:tc>
          <w:tcPr>
            <w:tcW w:w="6400" w:type="dxa"/>
            <w:vAlign w:val="bottom"/>
          </w:tcPr>
          <w:p>
            <w:pPr>
              <w:spacing w:after="0" w:line="155" w:lineRule="exact"/>
              <w:rPr>
                <w:sz w:val="20"/>
                <w:szCs w:val="20"/>
                <w:color w:val="auto"/>
              </w:rPr>
            </w:pPr>
            <w:r>
              <w:rPr>
                <w:rFonts w:ascii="Arial" w:cs="Arial" w:eastAsia="Arial" w:hAnsi="Arial"/>
                <w:sz w:val="16"/>
                <w:szCs w:val="16"/>
                <w:color w:val="auto"/>
              </w:rPr>
              <w:t>Balance at March 31, 2020</w:t>
            </w: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124,117</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3,361,586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1,209,501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(82,041)</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4,613,163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92"/>
              </w:rPr>
              <w:t>Common</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6"/>
                <w:szCs w:val="16"/>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88"/>
              </w:rPr>
              <w:t>Treasury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w w:val="95"/>
              </w:rPr>
              <w:t>Excess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Par Value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2018</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90,576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820,378</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1,174,245</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(75,835)</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2,009,364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16,924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16,924</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($0.2190 per share)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(39,014)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(39,014)</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(117,845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3,976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(52,124 shares)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(1,857)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Equity compensation plan (134,257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(77,479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1,136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1,929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56"/>
        </w:trPr>
        <w:tc>
          <w:tcPr>
            <w:tcW w:w="6400" w:type="dxa"/>
            <w:vAlign w:val="bottom"/>
          </w:tcPr>
          <w:p>
            <w:pPr>
              <w:spacing w:after="0" w:line="155" w:lineRule="exact"/>
              <w:rPr>
                <w:sz w:val="20"/>
                <w:szCs w:val="20"/>
                <w:color w:val="auto"/>
              </w:rPr>
            </w:pPr>
            <w:r>
              <w:rPr>
                <w:rFonts w:ascii="Arial" w:cs="Arial" w:eastAsia="Arial" w:hAnsi="Arial"/>
                <w:sz w:val="16"/>
                <w:szCs w:val="16"/>
                <w:color w:val="auto"/>
              </w:rPr>
              <w:t>Balance at March 31, 2019</w:t>
            </w: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90,741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827,339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1,152,197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(77,692)</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1,992,585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CONSOLIDATED STATEMENTS OF CASH FLOW</w:t>
      </w:r>
    </w:p>
    <w:p>
      <w:pPr>
        <w:ind w:left="454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8" w:lineRule="exact"/>
        <w:rPr>
          <w:sz w:val="20"/>
          <w:szCs w:val="20"/>
          <w:color w:val="auto"/>
        </w:rPr>
      </w:pPr>
    </w:p>
    <w:p>
      <w:pPr>
        <w:jc w:val="center"/>
        <w:ind w:left="8520"/>
        <w:spacing w:after="0"/>
        <w:rPr>
          <w:sz w:val="20"/>
          <w:szCs w:val="20"/>
          <w:color w:val="auto"/>
        </w:rPr>
      </w:pPr>
      <w:r>
        <w:rPr>
          <w:rFonts w:ascii="Arial" w:cs="Arial" w:eastAsia="Arial" w:hAnsi="Arial"/>
          <w:sz w:val="16"/>
          <w:szCs w:val="16"/>
          <w:color w:val="auto"/>
        </w:rPr>
        <w:t>Three Months Ended</w:t>
      </w:r>
    </w:p>
    <w:p>
      <w:pPr>
        <w:jc w:val="center"/>
        <w:ind w:left="8520"/>
        <w:spacing w:after="0" w:line="223" w:lineRule="auto"/>
        <w:rPr>
          <w:sz w:val="20"/>
          <w:szCs w:val="20"/>
          <w:color w:val="auto"/>
        </w:rPr>
      </w:pPr>
      <w:r>
        <w:rPr>
          <w:rFonts w:ascii="Arial" w:cs="Arial" w:eastAsia="Arial" w:hAnsi="Arial"/>
          <w:sz w:val="16"/>
          <w:szCs w:val="16"/>
          <w:color w:val="auto"/>
        </w:rPr>
        <w:t>March 31,</w:t>
      </w:r>
    </w:p>
    <w:tbl>
      <w:tblPr>
        <w:tblLayout w:type="fixed"/>
        <w:tblInd w:w="0" w:type="dxa"/>
        <w:tblCellMar>
          <w:top w:w="0" w:type="dxa"/>
          <w:left w:w="0" w:type="dxa"/>
          <w:bottom w:w="0" w:type="dxa"/>
          <w:right w:w="0" w:type="dxa"/>
        </w:tblCellMar>
      </w:tblPr>
      <w:tr>
        <w:trPr>
          <w:trHeight w:val="155"/>
        </w:trPr>
        <w:tc>
          <w:tcPr>
            <w:tcW w:w="852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6"/>
                <w:szCs w:val="16"/>
                <w:color w:val="auto"/>
              </w:rPr>
              <w:t>2020</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6"/>
        </w:trPr>
        <w:tc>
          <w:tcPr>
            <w:tcW w:w="8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income</w:t>
            </w:r>
          </w:p>
        </w:tc>
        <w:tc>
          <w:tcPr>
            <w:tcW w:w="380" w:type="dxa"/>
            <w:vAlign w:val="bottom"/>
            <w:gridSpan w:val="2"/>
            <w:shd w:val="clear" w:color="auto" w:fill="CCEEFF"/>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51,781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16,924</w:t>
            </w:r>
          </w:p>
        </w:tc>
        <w:tc>
          <w:tcPr>
            <w:tcW w:w="0" w:type="dxa"/>
            <w:vAlign w:val="bottom"/>
          </w:tcPr>
          <w:p>
            <w:pPr>
              <w:spacing w:after="0"/>
              <w:rPr>
                <w:sz w:val="1"/>
                <w:szCs w:val="1"/>
                <w:color w:val="auto"/>
              </w:rPr>
            </w:pPr>
          </w:p>
        </w:tc>
      </w:tr>
      <w:tr>
        <w:trPr>
          <w:trHeight w:val="162"/>
        </w:trPr>
        <w:tc>
          <w:tcPr>
            <w:tcW w:w="8520" w:type="dxa"/>
            <w:vAlign w:val="bottom"/>
          </w:tcPr>
          <w:p>
            <w:pPr>
              <w:spacing w:after="0" w:line="162"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46,245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39,410</w:t>
            </w:r>
          </w:p>
        </w:tc>
        <w:tc>
          <w:tcPr>
            <w:tcW w:w="0" w:type="dxa"/>
            <w:vAlign w:val="bottom"/>
          </w:tcPr>
          <w:p>
            <w:pPr>
              <w:spacing w:after="0"/>
              <w:rPr>
                <w:sz w:val="1"/>
                <w:szCs w:val="1"/>
                <w:color w:val="auto"/>
              </w:rPr>
            </w:pPr>
          </w:p>
        </w:tc>
      </w:tr>
      <w:tr>
        <w:trPr>
          <w:trHeight w:val="162"/>
        </w:trPr>
        <w:tc>
          <w:tcPr>
            <w:tcW w:w="8520" w:type="dxa"/>
            <w:vAlign w:val="bottom"/>
          </w:tcPr>
          <w:p>
            <w:pPr>
              <w:ind w:left="220"/>
              <w:spacing w:after="0" w:line="162" w:lineRule="exact"/>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(18,701)</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(8,852)</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Provision for doubtful accounts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2,204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162"/>
        </w:trPr>
        <w:tc>
          <w:tcPr>
            <w:tcW w:w="8520" w:type="dxa"/>
            <w:vAlign w:val="bottom"/>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1,688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Gain on sale of other assets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62"/>
        </w:trPr>
        <w:tc>
          <w:tcPr>
            <w:tcW w:w="8520" w:type="dxa"/>
            <w:vAlign w:val="bottom"/>
          </w:tcPr>
          <w:p>
            <w:pPr>
              <w:ind w:left="220"/>
              <w:spacing w:after="0" w:line="162" w:lineRule="exact"/>
              <w:rPr>
                <w:sz w:val="20"/>
                <w:szCs w:val="20"/>
                <w:color w:val="auto"/>
              </w:rPr>
            </w:pPr>
            <w:r>
              <w:rPr>
                <w:rFonts w:ascii="Arial" w:cs="Arial" w:eastAsia="Arial" w:hAnsi="Arial"/>
                <w:sz w:val="16"/>
                <w:szCs w:val="16"/>
                <w:color w:val="auto"/>
              </w:rPr>
              <w:t>Interest rate swap agreements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34,782</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change in receivables, inventory and prepayments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22,921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162"/>
        </w:trPr>
        <w:tc>
          <w:tcPr>
            <w:tcW w:w="8520" w:type="dxa"/>
            <w:vAlign w:val="bottom"/>
          </w:tcPr>
          <w:p>
            <w:pPr>
              <w:ind w:left="220"/>
              <w:spacing w:after="0" w:line="162"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(7,531)</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Pension and other postretirement benefits contributions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(3,947)</w:t>
            </w:r>
          </w:p>
        </w:tc>
        <w:tc>
          <w:tcPr>
            <w:tcW w:w="0" w:type="dxa"/>
            <w:vAlign w:val="bottom"/>
          </w:tcPr>
          <w:p>
            <w:pPr>
              <w:spacing w:after="0"/>
              <w:rPr>
                <w:sz w:val="1"/>
                <w:szCs w:val="1"/>
                <w:color w:val="auto"/>
              </w:rPr>
            </w:pPr>
          </w:p>
        </w:tc>
      </w:tr>
      <w:tr>
        <w:trPr>
          <w:trHeight w:val="162"/>
        </w:trPr>
        <w:tc>
          <w:tcPr>
            <w:tcW w:w="8520" w:type="dxa"/>
            <w:vAlign w:val="bottom"/>
          </w:tcPr>
          <w:p>
            <w:pPr>
              <w:ind w:left="220"/>
              <w:spacing w:after="0" w:line="162" w:lineRule="exact"/>
              <w:rPr>
                <w:sz w:val="20"/>
                <w:szCs w:val="20"/>
                <w:color w:val="auto"/>
              </w:rPr>
            </w:pPr>
            <w:r>
              <w:rPr>
                <w:rFonts w:ascii="Arial" w:cs="Arial" w:eastAsia="Arial" w:hAnsi="Arial"/>
                <w:sz w:val="16"/>
                <w:szCs w:val="16"/>
                <w:color w:val="auto"/>
              </w:rPr>
              <w:t>Other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(2,945)</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55"/>
        </w:trPr>
        <w:tc>
          <w:tcPr>
            <w:tcW w:w="8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cash flows from operating activities</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95,521</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79,287</w:t>
            </w:r>
          </w:p>
        </w:tc>
        <w:tc>
          <w:tcPr>
            <w:tcW w:w="0" w:type="dxa"/>
            <w:vAlign w:val="bottom"/>
          </w:tcPr>
          <w:p>
            <w:pPr>
              <w:spacing w:after="0"/>
              <w:rPr>
                <w:sz w:val="1"/>
                <w:szCs w:val="1"/>
                <w:color w:val="auto"/>
              </w:rPr>
            </w:pPr>
          </w:p>
        </w:tc>
      </w:tr>
      <w:tr>
        <w:trPr>
          <w:trHeight w:val="156"/>
        </w:trPr>
        <w:tc>
          <w:tcPr>
            <w:tcW w:w="8520" w:type="dxa"/>
            <w:vAlign w:val="bottom"/>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52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3"/>
              </w:rPr>
              <w:t>Property, plant and equipment additions, including the debt component of allowance for funds used during construction of $873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(118,734)</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(133,792)</w:t>
            </w:r>
          </w:p>
        </w:tc>
        <w:tc>
          <w:tcPr>
            <w:tcW w:w="0" w:type="dxa"/>
            <w:vAlign w:val="bottom"/>
          </w:tcPr>
          <w:p>
            <w:pPr>
              <w:spacing w:after="0"/>
              <w:rPr>
                <w:sz w:val="1"/>
                <w:szCs w:val="1"/>
                <w:color w:val="auto"/>
              </w:rPr>
            </w:pPr>
          </w:p>
        </w:tc>
      </w:tr>
      <w:tr>
        <w:trPr>
          <w:trHeight w:val="185"/>
        </w:trPr>
        <w:tc>
          <w:tcPr>
            <w:tcW w:w="8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$1,030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520" w:type="dxa"/>
            <w:vAlign w:val="bottom"/>
          </w:tcPr>
          <w:p>
            <w:pPr>
              <w:ind w:left="120"/>
              <w:spacing w:after="0" w:line="162" w:lineRule="exact"/>
              <w:rPr>
                <w:sz w:val="20"/>
                <w:szCs w:val="20"/>
                <w:color w:val="auto"/>
              </w:rPr>
            </w:pPr>
            <w:r>
              <w:rPr>
                <w:rFonts w:ascii="Arial" w:cs="Arial" w:eastAsia="Arial" w:hAnsi="Arial"/>
                <w:sz w:val="16"/>
                <w:szCs w:val="16"/>
                <w:color w:val="auto"/>
              </w:rPr>
              <w:t>Acquisitions of utility systems, net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(3,446,056)</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proceeds from the sale of other assets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62"/>
        </w:trPr>
        <w:tc>
          <w:tcPr>
            <w:tcW w:w="852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55"/>
        </w:trPr>
        <w:tc>
          <w:tcPr>
            <w:tcW w:w="85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flows used in investing activities</w:t>
            </w:r>
          </w:p>
        </w:tc>
        <w:tc>
          <w:tcPr>
            <w:tcW w:w="1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(3,564,602)</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(133,557)</w:t>
            </w:r>
          </w:p>
        </w:tc>
        <w:tc>
          <w:tcPr>
            <w:tcW w:w="0" w:type="dxa"/>
            <w:vAlign w:val="bottom"/>
          </w:tcPr>
          <w:p>
            <w:pPr>
              <w:spacing w:after="0"/>
              <w:rPr>
                <w:sz w:val="1"/>
                <w:szCs w:val="1"/>
                <w:color w:val="auto"/>
              </w:rPr>
            </w:pPr>
          </w:p>
        </w:tc>
      </w:tr>
      <w:tr>
        <w:trPr>
          <w:trHeight w:val="156"/>
        </w:trPr>
        <w:tc>
          <w:tcPr>
            <w:tcW w:w="8520" w:type="dxa"/>
            <w:vAlign w:val="bottom"/>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Customers' advances and contributions in aid of construction</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1,462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162"/>
        </w:trPr>
        <w:tc>
          <w:tcPr>
            <w:tcW w:w="8520" w:type="dxa"/>
            <w:vAlign w:val="bottom"/>
          </w:tcPr>
          <w:p>
            <w:pPr>
              <w:ind w:left="120"/>
              <w:spacing w:after="0" w:line="162" w:lineRule="exact"/>
              <w:rPr>
                <w:sz w:val="20"/>
                <w:szCs w:val="20"/>
                <w:color w:val="auto"/>
              </w:rPr>
            </w:pPr>
            <w:r>
              <w:rPr>
                <w:rFonts w:ascii="Arial" w:cs="Arial" w:eastAsia="Arial" w:hAnsi="Arial"/>
                <w:sz w:val="16"/>
                <w:szCs w:val="16"/>
                <w:color w:val="auto"/>
              </w:rPr>
              <w:t>Repayments of customers' advances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(1,065)</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proceeds of short-term debt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174,281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17,114</w:t>
            </w:r>
          </w:p>
        </w:tc>
        <w:tc>
          <w:tcPr>
            <w:tcW w:w="0" w:type="dxa"/>
            <w:vAlign w:val="bottom"/>
          </w:tcPr>
          <w:p>
            <w:pPr>
              <w:spacing w:after="0"/>
              <w:rPr>
                <w:sz w:val="1"/>
                <w:szCs w:val="1"/>
                <w:color w:val="auto"/>
              </w:rPr>
            </w:pPr>
          </w:p>
        </w:tc>
      </w:tr>
      <w:tr>
        <w:trPr>
          <w:trHeight w:val="162"/>
        </w:trPr>
        <w:tc>
          <w:tcPr>
            <w:tcW w:w="8520" w:type="dxa"/>
            <w:vAlign w:val="bottom"/>
          </w:tcPr>
          <w:p>
            <w:pPr>
              <w:ind w:left="120"/>
              <w:spacing w:after="0" w:line="162" w:lineRule="exact"/>
              <w:rPr>
                <w:sz w:val="20"/>
                <w:szCs w:val="20"/>
                <w:color w:val="auto"/>
              </w:rPr>
            </w:pPr>
            <w:r>
              <w:rPr>
                <w:rFonts w:ascii="Arial" w:cs="Arial" w:eastAsia="Arial" w:hAnsi="Arial"/>
                <w:sz w:val="16"/>
                <w:szCs w:val="16"/>
                <w:color w:val="auto"/>
              </w:rPr>
              <w:t>Proceeds from long-term debt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801,184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117,995</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Repayments of long-term debt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(11,509)</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(41,976)</w:t>
            </w:r>
          </w:p>
        </w:tc>
        <w:tc>
          <w:tcPr>
            <w:tcW w:w="0" w:type="dxa"/>
            <w:vAlign w:val="bottom"/>
          </w:tcPr>
          <w:p>
            <w:pPr>
              <w:spacing w:after="0"/>
              <w:rPr>
                <w:sz w:val="1"/>
                <w:szCs w:val="1"/>
                <w:color w:val="auto"/>
              </w:rPr>
            </w:pPr>
          </w:p>
        </w:tc>
      </w:tr>
      <w:tr>
        <w:trPr>
          <w:trHeight w:val="162"/>
        </w:trPr>
        <w:tc>
          <w:tcPr>
            <w:tcW w:w="8520" w:type="dxa"/>
            <w:vAlign w:val="bottom"/>
          </w:tcPr>
          <w:p>
            <w:pPr>
              <w:ind w:left="120"/>
              <w:spacing w:after="0" w:line="162" w:lineRule="exact"/>
              <w:rPr>
                <w:sz w:val="20"/>
                <w:szCs w:val="20"/>
                <w:color w:val="auto"/>
              </w:rPr>
            </w:pPr>
            <w:r>
              <w:rPr>
                <w:rFonts w:ascii="Arial" w:cs="Arial" w:eastAsia="Arial" w:hAnsi="Arial"/>
                <w:sz w:val="16"/>
                <w:szCs w:val="16"/>
                <w:color w:val="auto"/>
              </w:rPr>
              <w:t>Change in cash overdraft position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(10,943)</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(3,856)</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Issuance of common stock under dividend reinvestment plan</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4,062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162"/>
        </w:trPr>
        <w:tc>
          <w:tcPr>
            <w:tcW w:w="8520" w:type="dxa"/>
            <w:vAlign w:val="bottom"/>
          </w:tcPr>
          <w:p>
            <w:pPr>
              <w:ind w:left="120"/>
              <w:spacing w:after="0" w:line="162" w:lineRule="exact"/>
              <w:rPr>
                <w:sz w:val="20"/>
                <w:szCs w:val="20"/>
                <w:color w:val="auto"/>
              </w:rPr>
            </w:pPr>
            <w:r>
              <w:rPr>
                <w:rFonts w:ascii="Arial" w:cs="Arial" w:eastAsia="Arial" w:hAnsi="Arial"/>
                <w:sz w:val="16"/>
                <w:szCs w:val="16"/>
                <w:color w:val="auto"/>
              </w:rPr>
              <w:t>Issuance of common stock from private placement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730,135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exercised stock options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950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162"/>
        </w:trPr>
        <w:tc>
          <w:tcPr>
            <w:tcW w:w="8520" w:type="dxa"/>
            <w:vAlign w:val="bottom"/>
          </w:tcPr>
          <w:p>
            <w:pPr>
              <w:ind w:left="120"/>
              <w:spacing w:after="0" w:line="162" w:lineRule="exact"/>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(4,339)</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Dividends paid on common stock</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(52,205)</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(39,014)</w:t>
            </w:r>
          </w:p>
        </w:tc>
        <w:tc>
          <w:tcPr>
            <w:tcW w:w="0" w:type="dxa"/>
            <w:vAlign w:val="bottom"/>
          </w:tcPr>
          <w:p>
            <w:pPr>
              <w:spacing w:after="0"/>
              <w:rPr>
                <w:sz w:val="1"/>
                <w:szCs w:val="1"/>
                <w:color w:val="auto"/>
              </w:rPr>
            </w:pPr>
          </w:p>
        </w:tc>
      </w:tr>
      <w:tr>
        <w:trPr>
          <w:trHeight w:val="162"/>
        </w:trPr>
        <w:tc>
          <w:tcPr>
            <w:tcW w:w="8520" w:type="dxa"/>
            <w:vAlign w:val="bottom"/>
          </w:tcPr>
          <w:p>
            <w:pPr>
              <w:ind w:left="120"/>
              <w:spacing w:after="0" w:line="162" w:lineRule="exact"/>
              <w:rPr>
                <w:sz w:val="20"/>
                <w:szCs w:val="20"/>
                <w:color w:val="auto"/>
              </w:rPr>
            </w:pPr>
            <w:r>
              <w:rPr>
                <w:rFonts w:ascii="Arial" w:cs="Arial" w:eastAsia="Arial" w:hAnsi="Arial"/>
                <w:sz w:val="16"/>
                <w:szCs w:val="16"/>
                <w:color w:val="auto"/>
              </w:rPr>
              <w:t>Other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(6)</w:t>
            </w:r>
          </w:p>
        </w:tc>
        <w:tc>
          <w:tcPr>
            <w:tcW w:w="2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55"/>
        </w:trPr>
        <w:tc>
          <w:tcPr>
            <w:tcW w:w="8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cash flows from financing activities</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1,632,007</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54,696</w:t>
            </w:r>
          </w:p>
        </w:tc>
        <w:tc>
          <w:tcPr>
            <w:tcW w:w="0" w:type="dxa"/>
            <w:vAlign w:val="bottom"/>
          </w:tcPr>
          <w:p>
            <w:pPr>
              <w:spacing w:after="0"/>
              <w:rPr>
                <w:sz w:val="1"/>
                <w:szCs w:val="1"/>
                <w:color w:val="auto"/>
              </w:rPr>
            </w:pPr>
          </w:p>
        </w:tc>
      </w:tr>
      <w:tr>
        <w:trPr>
          <w:trHeight w:val="155"/>
        </w:trPr>
        <w:tc>
          <w:tcPr>
            <w:tcW w:w="8520" w:type="dxa"/>
            <w:vAlign w:val="bottom"/>
          </w:tcPr>
          <w:p>
            <w:pPr>
              <w:spacing w:after="0" w:line="155" w:lineRule="exact"/>
              <w:rPr>
                <w:sz w:val="20"/>
                <w:szCs w:val="20"/>
                <w:color w:val="auto"/>
              </w:rPr>
            </w:pPr>
            <w:r>
              <w:rPr>
                <w:rFonts w:ascii="Arial" w:cs="Arial" w:eastAsia="Arial" w:hAnsi="Arial"/>
                <w:sz w:val="16"/>
                <w:szCs w:val="16"/>
                <w:color w:val="auto"/>
              </w:rPr>
              <w:t>Net change in cash and cash equivalents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(1,837,074)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1,868,922</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155"/>
        </w:trPr>
        <w:tc>
          <w:tcPr>
            <w:tcW w:w="8520" w:type="dxa"/>
            <w:vAlign w:val="bottom"/>
          </w:tcPr>
          <w:p>
            <w:pPr>
              <w:spacing w:after="0" w:line="155" w:lineRule="exact"/>
              <w:rPr>
                <w:sz w:val="20"/>
                <w:szCs w:val="20"/>
                <w:color w:val="auto"/>
              </w:rPr>
            </w:pPr>
            <w:r>
              <w:rPr>
                <w:rFonts w:ascii="Arial" w:cs="Arial" w:eastAsia="Arial" w:hAnsi="Arial"/>
                <w:sz w:val="16"/>
                <w:szCs w:val="16"/>
                <w:color w:val="auto"/>
              </w:rPr>
              <w:t>Cash and cash equivalents at end of period</w:t>
            </w: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31,848</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380" w:type="dxa"/>
            <w:vAlign w:val="bottom"/>
            <w:gridSpan w:val="2"/>
            <w:shd w:val="clear" w:color="auto" w:fill="CCEEFF"/>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55,881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42,594</w:t>
            </w:r>
          </w:p>
        </w:tc>
        <w:tc>
          <w:tcPr>
            <w:tcW w:w="0" w:type="dxa"/>
            <w:vAlign w:val="bottom"/>
          </w:tcPr>
          <w:p>
            <w:pPr>
              <w:spacing w:after="0"/>
              <w:rPr>
                <w:sz w:val="1"/>
                <w:szCs w:val="1"/>
                <w:color w:val="auto"/>
              </w:rPr>
            </w:pPr>
          </w:p>
        </w:tc>
      </w:tr>
      <w:tr>
        <w:trPr>
          <w:trHeight w:val="206"/>
        </w:trPr>
        <w:tc>
          <w:tcPr>
            <w:tcW w:w="8520" w:type="dxa"/>
            <w:vAlign w:val="bottom"/>
          </w:tcPr>
          <w:p>
            <w:pPr>
              <w:ind w:left="12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8,637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17,331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3" w:right="459" w:bottom="1440" w:gutter="0" w:footer="0" w:header="0"/>
        </w:sectPr>
      </w:pPr>
    </w:p>
    <w:bookmarkStart w:id="9" w:name="page10"/>
    <w:bookmarkEnd w:id="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line="217" w:lineRule="auto"/>
        <w:rPr>
          <w:sz w:val="20"/>
          <w:szCs w:val="20"/>
          <w:color w:val="auto"/>
        </w:rPr>
      </w:pPr>
      <w:r>
        <w:rPr>
          <w:rFonts w:ascii="Arial" w:cs="Arial" w:eastAsia="Arial" w:hAnsi="Arial"/>
          <w:sz w:val="22"/>
          <w:szCs w:val="22"/>
          <w:color w:val="auto"/>
        </w:rPr>
        <w:t>ESSENTIAL UTILITIES, INC. AND SUBSIDIARIES</w:t>
      </w:r>
    </w:p>
    <w:p>
      <w:pPr>
        <w:jc w:val="center"/>
        <w:ind w:right="-1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21"/>
          <w:szCs w:val="21"/>
          <w:color w:val="auto"/>
        </w:rPr>
        <w:t xml:space="preserve">On March 16, 2020 we completed the acquisition of Peoples Natural Gas (the “Peoples Gas Acquisition”), which expanded the Company’s regulated utility business to include natural gas distribution, serving approximately 747,000 natural gas utility customers in western Pennsylvania, West Virginia, and Kentucky. The results of Peoples Natural Gas (“Peoples”) are included in our unaudited Consolidated Financial Statements since the date of the acquisition. See Note 3 – </w:t>
      </w:r>
      <w:r>
        <w:rPr>
          <w:rFonts w:ascii="Arial" w:cs="Arial" w:eastAsia="Arial" w:hAnsi="Arial"/>
          <w:sz w:val="21"/>
          <w:szCs w:val="21"/>
          <w:i w:val="1"/>
          <w:iCs w:val="1"/>
          <w:color w:val="auto"/>
        </w:rPr>
        <w:t>Acquisitions</w:t>
      </w:r>
      <w:r>
        <w:rPr>
          <w:rFonts w:ascii="Arial" w:cs="Arial" w:eastAsia="Arial" w:hAnsi="Arial"/>
          <w:sz w:val="21"/>
          <w:szCs w:val="21"/>
          <w:color w:val="auto"/>
        </w:rPr>
        <w:t xml:space="preserve"> for further information and Note 14 – </w:t>
      </w:r>
      <w:r>
        <w:rPr>
          <w:rFonts w:ascii="Arial" w:cs="Arial" w:eastAsia="Arial" w:hAnsi="Arial"/>
          <w:sz w:val="21"/>
          <w:szCs w:val="21"/>
          <w:i w:val="1"/>
          <w:iCs w:val="1"/>
          <w:color w:val="auto"/>
        </w:rPr>
        <w:t>Segment Information</w:t>
      </w:r>
      <w:r>
        <w:rPr>
          <w:rFonts w:ascii="Arial" w:cs="Arial" w:eastAsia="Arial" w:hAnsi="Arial"/>
          <w:sz w:val="21"/>
          <w:szCs w:val="21"/>
          <w:color w:val="auto"/>
        </w:rPr>
        <w:t xml:space="preserve"> for information on our reportable segments.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accompanying consolidated balance sheets and statements of capitalization of Essential Utilities, Inc. and subsidiaries (the “Company”, “we”, “us” or “our”) at March 31, 2020, the consolidated statements of operations and comprehensive income for the three months ended March 31, 2020 and 2019, the consolidated statements of cash flow for the three months ended March 31, 2020 and 2019, and the consolidated statements of equity for the three months ended March 31, 2020 and 2019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2019. The results of operations for interim periods may not be indicative of the results that may be expected for the entire year. The December 31, 2019 consolidated balance sheet data presented herein was derived from the Company’s December 31, 2019 audited consolidated financial statements but does not include all disclosures and notes normally provided in annual financial statements. The following prior period amounts have been reclassified to conform to the current period presentation: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22"/>
          <w:szCs w:val="22"/>
          <w:color w:val="auto"/>
        </w:rPr>
        <w:t>In the consolidated balance sheet the presentation of:</w:t>
      </w:r>
    </w:p>
    <w:p>
      <w:pPr>
        <w:ind w:left="1360" w:hanging="328"/>
        <w:spacing w:after="0" w:line="225" w:lineRule="auto"/>
        <w:tabs>
          <w:tab w:leader="none" w:pos="1360" w:val="left"/>
        </w:tabs>
        <w:numPr>
          <w:ilvl w:val="0"/>
          <w:numId w:val="2"/>
        </w:numPr>
        <w:rPr>
          <w:rFonts w:ascii="Courier New" w:cs="Courier New" w:eastAsia="Courier New" w:hAnsi="Courier New"/>
          <w:sz w:val="22"/>
          <w:szCs w:val="22"/>
          <w:color w:val="auto"/>
        </w:rPr>
      </w:pPr>
      <w:r>
        <w:rPr>
          <w:rFonts w:ascii="Arial" w:cs="Arial" w:eastAsia="Arial" w:hAnsi="Arial"/>
          <w:sz w:val="22"/>
          <w:szCs w:val="22"/>
          <w:color w:val="auto"/>
        </w:rPr>
        <w:t>the current portion of regulatory assets and liabilities</w:t>
      </w:r>
    </w:p>
    <w:p>
      <w:pPr>
        <w:spacing w:after="0" w:line="1" w:lineRule="exact"/>
        <w:rPr>
          <w:rFonts w:ascii="Courier New" w:cs="Courier New" w:eastAsia="Courier New" w:hAnsi="Courier New"/>
          <w:sz w:val="22"/>
          <w:szCs w:val="22"/>
          <w:color w:val="auto"/>
        </w:rPr>
      </w:pPr>
    </w:p>
    <w:p>
      <w:pPr>
        <w:jc w:val="both"/>
        <w:ind w:left="700" w:right="140" w:firstLine="332"/>
        <w:spacing w:after="0" w:line="228" w:lineRule="auto"/>
        <w:tabs>
          <w:tab w:leader="none" w:pos="1348" w:val="left"/>
        </w:tabs>
        <w:numPr>
          <w:ilvl w:val="0"/>
          <w:numId w:val="2"/>
        </w:numPr>
        <w:rPr>
          <w:rFonts w:ascii="Courier New" w:cs="Courier New" w:eastAsia="Courier New" w:hAnsi="Courier New"/>
          <w:sz w:val="22"/>
          <w:szCs w:val="22"/>
          <w:color w:val="auto"/>
        </w:rPr>
      </w:pPr>
      <w:r>
        <w:rPr>
          <w:rFonts w:ascii="Arial" w:cs="Arial" w:eastAsia="Arial" w:hAnsi="Arial"/>
          <w:sz w:val="22"/>
          <w:szCs w:val="22"/>
          <w:color w:val="auto"/>
        </w:rPr>
        <w:t>pension and other postretirement liabilities, which was formerly presented in non-current liabilities within other In the consolidated statements of operations and comprehensive income the presentation of interest expense and interest income, which was formerly presented as interest expense, net.</w:t>
      </w:r>
    </w:p>
    <w:p>
      <w:pPr>
        <w:spacing w:after="0" w:line="188"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0" w:name="page11"/>
    <w:bookmarkEnd w:id="1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The current novel coronavirus (“COVID-19”) pandemic has caused significant social and economic restrictions that have been imposed in the United States and abroad, which has resulted in significant volatility in the global economy and led to reduced economic activity. In the preparation of these financial statements and related disclosures, we have assessed the impact that COVID-19 has had on our estimates, assumptions, forecasts, and accounting policies. Because of the essential nature of our business, we do not believe the COVID-19 pandemic had a material impact on our estimates, assumptions and forecasts used in the preparation of our first quarter financial statements, although we continue to monitor this closely. As the COVID-19 situation is unprecedented and ever evolving, future events and effects related to COVID-19 cannot be determined with precision, and actual results could significantly differ from our estimates or forecasts. Refer to </w:t>
      </w:r>
      <w:r>
        <w:rPr>
          <w:rFonts w:ascii="Arial" w:cs="Arial" w:eastAsia="Arial" w:hAnsi="Arial"/>
          <w:sz w:val="19"/>
          <w:szCs w:val="19"/>
          <w:i w:val="1"/>
          <w:iCs w:val="1"/>
          <w:color w:val="auto"/>
        </w:rPr>
        <w:t>Recent Developments – COVID-19</w:t>
      </w:r>
      <w:r>
        <w:rPr>
          <w:rFonts w:ascii="Arial" w:cs="Arial" w:eastAsia="Arial" w:hAnsi="Arial"/>
          <w:sz w:val="19"/>
          <w:szCs w:val="19"/>
          <w:color w:val="auto"/>
        </w:rPr>
        <w:t xml:space="preserve"> within Part I Item 2 – “Management’s Discussion and Analysis of Financial Condition and Results of Operations” for additional information.</w:t>
      </w:r>
    </w:p>
    <w:p>
      <w:pPr>
        <w:spacing w:after="0" w:line="173" w:lineRule="exact"/>
        <w:rPr>
          <w:sz w:val="20"/>
          <w:szCs w:val="20"/>
          <w:color w:val="auto"/>
        </w:rPr>
      </w:pPr>
    </w:p>
    <w:p>
      <w:pPr>
        <w:jc w:val="both"/>
        <w:ind w:right="240"/>
        <w:spacing w:after="0" w:line="231" w:lineRule="auto"/>
        <w:rPr>
          <w:sz w:val="20"/>
          <w:szCs w:val="20"/>
          <w:color w:val="auto"/>
        </w:rPr>
      </w:pPr>
      <w:r>
        <w:rPr>
          <w:rFonts w:ascii="Arial" w:cs="Arial" w:eastAsia="Arial" w:hAnsi="Arial"/>
          <w:sz w:val="22"/>
          <w:szCs w:val="22"/>
          <w:color w:val="auto"/>
        </w:rPr>
        <w:t>There have been no changes to the summary of significant accounting policies previously identified in the Company’s Annual Report on Form 10-K for the year ended December 31, 2019, other than as described below as a result of the completion of the Peoples Gas Acquisition: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21"/>
          <w:szCs w:val="21"/>
          <w:i w:val="1"/>
          <w:iCs w:val="1"/>
          <w:color w:val="auto"/>
        </w:rPr>
        <w:t>Inventories</w:t>
      </w:r>
      <w:r>
        <w:rPr>
          <w:rFonts w:ascii="Arial" w:cs="Arial" w:eastAsia="Arial" w:hAnsi="Arial"/>
          <w:sz w:val="21"/>
          <w:szCs w:val="21"/>
          <w:color w:val="auto"/>
        </w:rPr>
        <w:t>: The Company accounts for gas in storage inventory using the weighted average cost of gas method.</w:t>
      </w:r>
    </w:p>
    <w:p>
      <w:pPr>
        <w:spacing w:after="0" w:line="83" w:lineRule="exact"/>
        <w:rPr>
          <w:sz w:val="20"/>
          <w:szCs w:val="20"/>
          <w:color w:val="auto"/>
        </w:rPr>
      </w:pPr>
    </w:p>
    <w:p>
      <w:pPr>
        <w:ind w:left="700" w:right="40"/>
        <w:spacing w:after="0" w:line="262" w:lineRule="auto"/>
        <w:rPr>
          <w:sz w:val="20"/>
          <w:szCs w:val="20"/>
          <w:color w:val="auto"/>
        </w:rPr>
      </w:pPr>
      <w:r>
        <w:rPr>
          <w:rFonts w:ascii="Arial" w:cs="Arial" w:eastAsia="Arial" w:hAnsi="Arial"/>
          <w:sz w:val="19"/>
          <w:szCs w:val="19"/>
          <w:i w:val="1"/>
          <w:iCs w:val="1"/>
          <w:color w:val="auto"/>
        </w:rPr>
        <w:t>Derivative Instruments</w:t>
      </w:r>
      <w:r>
        <w:rPr>
          <w:rFonts w:ascii="Arial" w:cs="Arial" w:eastAsia="Arial" w:hAnsi="Arial"/>
          <w:sz w:val="19"/>
          <w:szCs w:val="19"/>
          <w:color w:val="auto"/>
        </w:rPr>
        <w:t>: The Company utilizes requirements contracts, spot purchase contracts and underground storage</w:t>
      </w:r>
      <w:r>
        <w:rPr>
          <w:rFonts w:ascii="Arial" w:cs="Arial" w:eastAsia="Arial" w:hAnsi="Arial"/>
          <w:sz w:val="19"/>
          <w:szCs w:val="19"/>
          <w:i w:val="1"/>
          <w:iCs w:val="1"/>
          <w:color w:val="auto"/>
        </w:rPr>
        <w:t xml:space="preserve"> </w:t>
      </w:r>
      <w:r>
        <w:rPr>
          <w:rFonts w:ascii="Arial" w:cs="Arial" w:eastAsia="Arial" w:hAnsi="Arial"/>
          <w:sz w:val="19"/>
          <w:szCs w:val="19"/>
          <w:color w:val="auto"/>
        </w:rPr>
        <w:t>to meet 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are not recorded at fair value in the Company’s consolidated financial statements.</w:t>
      </w:r>
    </w:p>
    <w:p>
      <w:pPr>
        <w:spacing w:after="0" w:line="31" w:lineRule="exact"/>
        <w:rPr>
          <w:sz w:val="20"/>
          <w:szCs w:val="20"/>
          <w:color w:val="auto"/>
        </w:rPr>
      </w:pPr>
    </w:p>
    <w:p>
      <w:pPr>
        <w:ind w:left="700" w:right="80"/>
        <w:spacing w:after="0" w:line="233" w:lineRule="auto"/>
        <w:rPr>
          <w:sz w:val="20"/>
          <w:szCs w:val="20"/>
          <w:color w:val="auto"/>
        </w:rPr>
      </w:pPr>
      <w:r>
        <w:rPr>
          <w:rFonts w:ascii="Arial" w:cs="Arial" w:eastAsia="Arial" w:hAnsi="Arial"/>
          <w:sz w:val="21"/>
          <w:szCs w:val="21"/>
          <w:i w:val="1"/>
          <w:iCs w:val="1"/>
          <w:color w:val="auto"/>
        </w:rPr>
        <w:t>Asset Retirement Obligations</w:t>
      </w:r>
      <w:r>
        <w:rPr>
          <w:rFonts w:ascii="Arial" w:cs="Arial" w:eastAsia="Arial" w:hAnsi="Arial"/>
          <w:sz w:val="21"/>
          <w:szCs w:val="21"/>
          <w:color w:val="auto"/>
        </w:rPr>
        <w:t>: The Company recognizes asset retirement obligations associated with interim retirements</w:t>
      </w:r>
      <w:r>
        <w:rPr>
          <w:rFonts w:ascii="Arial" w:cs="Arial" w:eastAsia="Arial" w:hAnsi="Arial"/>
          <w:sz w:val="21"/>
          <w:szCs w:val="21"/>
          <w:i w:val="1"/>
          <w:iCs w:val="1"/>
          <w:color w:val="auto"/>
        </w:rPr>
        <w:t xml:space="preserve"> </w:t>
      </w:r>
      <w:r>
        <w:rPr>
          <w:rFonts w:ascii="Arial" w:cs="Arial" w:eastAsia="Arial" w:hAnsi="Arial"/>
          <w:sz w:val="21"/>
          <w:szCs w:val="21"/>
          <w:color w:val="auto"/>
        </w:rPr>
        <w:t>of natural gas gathering, transmission, distribution, production wells, and storage pipeline components at fair value, as incurred, or when sufficient information becomes available to determine a reasonable estimate of the fair value of the retirement activities to be performed. These amounts are capitalized as costs of the related tangible long-lived assets. Since relevant market information is not available, the Company estimates fair value using discounted cash flow analyses. As the Company is able to recover the cost to retire assets through rates, the Company reports the unrecovered accretion of the asset retirement obligations due to the passage of time and the depreciation of the asset retirement costs as a regulatory asset.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1" w:name="page12"/>
    <w:bookmarkEnd w:id="1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4"/>
                <w:szCs w:val="14"/>
                <w:color w:val="auto"/>
                <w:w w:val="97"/>
              </w:rPr>
              <w:t>Three Months Ended</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color w:val="auto"/>
              </w:rPr>
              <w:t>March 31, 2020</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w w:val="92"/>
              </w:rPr>
              <w:t>March 31, 2019</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Water</w:t>
            </w:r>
          </w:p>
        </w:tc>
        <w:tc>
          <w:tcPr>
            <w:tcW w:w="120" w:type="dxa"/>
            <w:vAlign w:val="bottom"/>
          </w:tcPr>
          <w:p>
            <w:pPr>
              <w:spacing w:after="0"/>
              <w:rPr>
                <w:sz w:val="10"/>
                <w:szCs w:val="10"/>
                <w:color w:val="auto"/>
              </w:rPr>
            </w:pPr>
          </w:p>
        </w:tc>
        <w:tc>
          <w:tcPr>
            <w:tcW w:w="11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w w:val="89"/>
              </w:rPr>
              <w:t>Wastewater</w:t>
            </w:r>
          </w:p>
        </w:tc>
        <w:tc>
          <w:tcPr>
            <w:tcW w:w="1060" w:type="dxa"/>
            <w:vAlign w:val="bottom"/>
            <w:gridSpan w:val="3"/>
          </w:tcPr>
          <w:p>
            <w:pPr>
              <w:jc w:val="right"/>
              <w:ind w:right="320"/>
              <w:spacing w:after="0" w:line="123" w:lineRule="exact"/>
              <w:rPr>
                <w:sz w:val="20"/>
                <w:szCs w:val="20"/>
                <w:color w:val="auto"/>
              </w:rPr>
            </w:pPr>
            <w:r>
              <w:rPr>
                <w:rFonts w:ascii="Arial" w:cs="Arial" w:eastAsia="Arial" w:hAnsi="Arial"/>
                <w:sz w:val="14"/>
                <w:szCs w:val="14"/>
                <w:color w:val="auto"/>
                <w:w w:val="96"/>
              </w:rPr>
              <w:t>Natural Gas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Water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440"/>
              <w:spacing w:after="0" w:line="123" w:lineRule="exact"/>
              <w:rPr>
                <w:sz w:val="20"/>
                <w:szCs w:val="20"/>
                <w:color w:val="auto"/>
              </w:rPr>
            </w:pPr>
            <w:r>
              <w:rPr>
                <w:rFonts w:ascii="Arial" w:cs="Arial" w:eastAsia="Arial" w:hAnsi="Arial"/>
                <w:sz w:val="14"/>
                <w:szCs w:val="14"/>
                <w:color w:val="auto"/>
              </w:rPr>
              <w:t>Wastewater</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8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w w:val="95"/>
              </w:rPr>
              <w:t>Revenues</w:t>
            </w: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Revenues</w:t>
            </w: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Other Revenues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Revenues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Revenues</w:t>
            </w:r>
          </w:p>
        </w:tc>
        <w:tc>
          <w:tcPr>
            <w:tcW w:w="940" w:type="dxa"/>
            <w:vAlign w:val="bottom"/>
            <w:gridSpan w:val="2"/>
          </w:tcPr>
          <w:p>
            <w:pPr>
              <w:spacing w:after="0"/>
              <w:rPr>
                <w:sz w:val="20"/>
                <w:szCs w:val="20"/>
                <w:color w:val="auto"/>
              </w:rPr>
            </w:pPr>
            <w:r>
              <w:rPr>
                <w:rFonts w:ascii="Arial" w:cs="Arial" w:eastAsia="Arial" w:hAnsi="Arial"/>
                <w:sz w:val="14"/>
                <w:szCs w:val="14"/>
                <w:color w:val="auto"/>
                <w:w w:val="90"/>
              </w:rPr>
              <w:t>Other Revenues</w:t>
            </w: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w:t>
            </w:r>
          </w:p>
        </w:tc>
        <w:tc>
          <w:tcPr>
            <w:tcW w:w="5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127,014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22,900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114,047</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19,947</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Commercial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35,300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3,929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30,291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3,566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Fire protection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Industrial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6,942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Gas transportation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Other water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7,159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12,808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wastewater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Other utility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1,731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3,204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185,061</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28,235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38,462</w:t>
            </w:r>
          </w:p>
        </w:tc>
        <w:tc>
          <w:tcPr>
            <w:tcW w:w="2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172,089</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25,390</w:t>
            </w: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Alternative revenue program</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w:t>
            </w:r>
          </w:p>
        </w:tc>
        <w:tc>
          <w:tcPr>
            <w:tcW w:w="12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w:t>
            </w: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and eliminations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42"/>
        </w:trPr>
        <w:tc>
          <w:tcPr>
            <w:tcW w:w="2780" w:type="dxa"/>
            <w:vAlign w:val="bottom"/>
          </w:tcPr>
          <w:p>
            <w:pPr>
              <w:spacing w:after="0" w:line="142" w:lineRule="exact"/>
              <w:rPr>
                <w:sz w:val="20"/>
                <w:szCs w:val="20"/>
                <w:color w:val="auto"/>
              </w:rPr>
            </w:pPr>
            <w:r>
              <w:rPr>
                <w:rFonts w:ascii="Arial" w:cs="Arial" w:eastAsia="Arial" w:hAnsi="Arial"/>
                <w:sz w:val="14"/>
                <w:szCs w:val="14"/>
                <w:color w:val="auto"/>
              </w:rPr>
              <w:t>Consolidated</w:t>
            </w: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184,780</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28,213</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38,544</w:t>
            </w: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25,277</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On March 16, 2020, the Company completed the Peoples Gas Acquisition, which expanded the Company’s regulated utility business, to include natural gas distribution. The natural gas revenues of Peoples are included for the period since the date of the acquisition.</w:t>
      </w:r>
    </w:p>
    <w:p>
      <w:pPr>
        <w:spacing w:after="0" w:line="188" w:lineRule="exact"/>
        <w:rPr>
          <w:sz w:val="20"/>
          <w:szCs w:val="20"/>
          <w:color w:val="auto"/>
        </w:rPr>
      </w:pPr>
    </w:p>
    <w:p>
      <w:pPr>
        <w:ind w:right="80"/>
        <w:spacing w:after="0" w:line="235" w:lineRule="auto"/>
        <w:rPr>
          <w:sz w:val="20"/>
          <w:szCs w:val="20"/>
          <w:color w:val="auto"/>
        </w:rPr>
      </w:pPr>
      <w:r>
        <w:rPr>
          <w:rFonts w:ascii="Arial" w:cs="Arial" w:eastAsia="Arial" w:hAnsi="Arial"/>
          <w:sz w:val="21"/>
          <w:szCs w:val="21"/>
          <w:b w:val="1"/>
          <w:bCs w:val="1"/>
          <w:i w:val="1"/>
          <w:iCs w:val="1"/>
          <w:color w:val="auto"/>
        </w:rPr>
        <w:t xml:space="preserve">Revenues from Contracts with Customers – </w:t>
      </w:r>
      <w:r>
        <w:rPr>
          <w:rFonts w:ascii="Arial" w:cs="Arial" w:eastAsia="Arial" w:hAnsi="Arial"/>
          <w:sz w:val="21"/>
          <w:szCs w:val="21"/>
          <w:color w:val="auto"/>
        </w:rPr>
        <w:t>These revenues are composed of four main categories: water, wastewater, natural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gas, and other. Water revenues represent revenues earned for supplying customers with water service. Wastewater revenues represent revenues earned for treating wastewater and releasing it into the environment. Natural gas revenues represent revenues earned for the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88"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b w:val="1"/>
          <w:bCs w:val="1"/>
          <w:i w:val="1"/>
          <w:iCs w:val="1"/>
          <w:color w:val="auto"/>
        </w:rPr>
        <w:t xml:space="preserve">Tariff Revenues – </w:t>
      </w:r>
      <w:r>
        <w:rPr>
          <w:rFonts w:ascii="Arial" w:cs="Arial" w:eastAsia="Arial" w:hAnsi="Arial"/>
          <w:sz w:val="21"/>
          <w:szCs w:val="21"/>
          <w:color w:val="auto"/>
        </w:rPr>
        <w:t>These revenues are categorized by customer class: residential, commercial, fire protection, industrial, gas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transportation, and other 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wastewater treatment service, or delivery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90"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 which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fees earned from developers for accessing our water mains; miscellaneous</w:t>
      </w: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 w:name="page13"/>
    <w:bookmarkEnd w:id="1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Alternative Revenue Program:</w:t>
      </w:r>
    </w:p>
    <w:p>
      <w:pPr>
        <w:spacing w:after="0" w:line="206" w:lineRule="exact"/>
        <w:rPr>
          <w:sz w:val="20"/>
          <w:szCs w:val="20"/>
          <w:color w:val="auto"/>
        </w:rPr>
      </w:pPr>
    </w:p>
    <w:p>
      <w:pPr>
        <w:ind w:left="660" w:right="160"/>
        <w:spacing w:after="0" w:line="220" w:lineRule="auto"/>
        <w:rPr>
          <w:sz w:val="20"/>
          <w:szCs w:val="20"/>
          <w:color w:val="auto"/>
        </w:rPr>
      </w:pPr>
      <w:r>
        <w:rPr>
          <w:rFonts w:ascii="Arial" w:cs="Arial" w:eastAsia="Arial" w:hAnsi="Arial"/>
          <w:sz w:val="22"/>
          <w:szCs w:val="22"/>
          <w:color w:val="auto"/>
        </w:rPr>
        <w:t>Water / Wastewater Revenues: These revenues represent the difference between the actual billed utility water and wastewater revenues for Aqua Illinois and the revenues set in the last Aqua Illinois rate case.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w:t>
      </w:r>
    </w:p>
    <w:p>
      <w:pPr>
        <w:spacing w:after="0" w:line="4" w:lineRule="exact"/>
        <w:rPr>
          <w:sz w:val="20"/>
          <w:szCs w:val="20"/>
          <w:color w:val="auto"/>
        </w:rPr>
      </w:pPr>
    </w:p>
    <w:p>
      <w:pPr>
        <w:ind w:left="660" w:right="40"/>
        <w:spacing w:after="0" w:line="231" w:lineRule="auto"/>
        <w:rPr>
          <w:sz w:val="20"/>
          <w:szCs w:val="20"/>
          <w:color w:val="auto"/>
        </w:rPr>
      </w:pPr>
      <w:r>
        <w:rPr>
          <w:rFonts w:ascii="Arial" w:cs="Arial" w:eastAsia="Arial" w:hAnsi="Arial"/>
          <w:sz w:val="21"/>
          <w:szCs w:val="21"/>
          <w:color w:val="auto"/>
        </w:rPr>
        <w:t>Natural Gas Revenues: These revenues represent the weather-normalization adjustment (“WNA”) mechanism in place for our natural gas customers served in Kentucky. The WNA serves to minimize the effects of weather on the Company’s gross margin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188" w:lineRule="exact"/>
        <w:rPr>
          <w:sz w:val="20"/>
          <w:szCs w:val="20"/>
          <w:color w:val="auto"/>
        </w:rPr>
      </w:pPr>
    </w:p>
    <w:p>
      <w:pPr>
        <w:ind w:right="260"/>
        <w:spacing w:after="0" w:line="313" w:lineRule="auto"/>
        <w:rPr>
          <w:sz w:val="20"/>
          <w:szCs w:val="20"/>
          <w:color w:val="auto"/>
        </w:rPr>
      </w:pPr>
      <w:r>
        <w:rPr>
          <w:rFonts w:ascii="Arial" w:cs="Arial" w:eastAsia="Arial" w:hAnsi="Arial"/>
          <w:sz w:val="19"/>
          <w:szCs w:val="19"/>
          <w:b w:val="1"/>
          <w:bCs w:val="1"/>
          <w:i w:val="1"/>
          <w:iCs w:val="1"/>
          <w:color w:val="auto"/>
        </w:rPr>
        <w:t xml:space="preserve">Other and Eliminations – </w:t>
      </w:r>
      <w:r>
        <w:rPr>
          <w:rFonts w:ascii="Arial" w:cs="Arial" w:eastAsia="Arial" w:hAnsi="Arial"/>
          <w:sz w:val="19"/>
          <w:szCs w:val="19"/>
          <w:color w:val="auto"/>
        </w:rPr>
        <w:t>Other and eliminations consist of our market-based revenues, which comprises Aqua Infrastructure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Aqua Resources (described below) and intercompany eliminations for revenue billed between our subsidiaries.</w:t>
      </w:r>
    </w:p>
    <w:p>
      <w:pPr>
        <w:spacing w:after="0" w:line="119" w:lineRule="exact"/>
        <w:rPr>
          <w:sz w:val="20"/>
          <w:szCs w:val="20"/>
          <w:color w:val="auto"/>
        </w:rPr>
      </w:pPr>
    </w:p>
    <w:p>
      <w:pPr>
        <w:ind w:right="200"/>
        <w:spacing w:after="0" w:line="235" w:lineRule="auto"/>
        <w:rPr>
          <w:sz w:val="20"/>
          <w:szCs w:val="20"/>
          <w:color w:val="auto"/>
        </w:rPr>
      </w:pPr>
      <w:r>
        <w:rPr>
          <w:rFonts w:ascii="Arial" w:cs="Arial" w:eastAsia="Arial" w:hAnsi="Arial"/>
          <w:sz w:val="21"/>
          <w:szCs w:val="21"/>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that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operations and comprehensive income.</w:t>
      </w:r>
    </w:p>
    <w:p>
      <w:pPr>
        <w:spacing w:after="0" w:line="188" w:lineRule="exact"/>
        <w:rPr>
          <w:sz w:val="20"/>
          <w:szCs w:val="20"/>
          <w:color w:val="auto"/>
        </w:rPr>
      </w:pPr>
    </w:p>
    <w:p>
      <w:pPr>
        <w:ind w:right="60"/>
        <w:spacing w:after="0" w:line="239" w:lineRule="auto"/>
        <w:rPr>
          <w:sz w:val="20"/>
          <w:szCs w:val="20"/>
          <w:color w:val="auto"/>
        </w:rPr>
      </w:pPr>
      <w:r>
        <w:rPr>
          <w:rFonts w:ascii="Arial" w:cs="Arial" w:eastAsia="Arial" w:hAnsi="Arial"/>
          <w:sz w:val="21"/>
          <w:szCs w:val="21"/>
          <w:color w:val="auto"/>
        </w:rPr>
        <w:t>Aqua Resources earns revenues by providing non-regulated water services through an operating and maintenance contract, and third-party water and sewer service line protection and repair services. The performance obligations are performing agreed upon contract services to operate the water system, or allowing the use of our logo to a third-party water and sewer service line repair. Revenues are primarily recognized over time as service is delivered.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3" w:name="page14"/>
    <w:bookmarkEnd w:id="1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Peoples Gas Acquisition</w:t>
      </w:r>
    </w:p>
    <w:p>
      <w:pPr>
        <w:spacing w:after="0" w:line="206" w:lineRule="exact"/>
        <w:rPr>
          <w:sz w:val="20"/>
          <w:szCs w:val="20"/>
          <w:color w:val="auto"/>
        </w:rPr>
      </w:pPr>
    </w:p>
    <w:p>
      <w:pPr>
        <w:ind w:right="180"/>
        <w:spacing w:after="0" w:line="237" w:lineRule="auto"/>
        <w:rPr>
          <w:sz w:val="20"/>
          <w:szCs w:val="20"/>
          <w:color w:val="auto"/>
        </w:rPr>
      </w:pPr>
      <w:r>
        <w:rPr>
          <w:rFonts w:ascii="Arial" w:cs="Arial" w:eastAsia="Arial" w:hAnsi="Arial"/>
          <w:sz w:val="21"/>
          <w:szCs w:val="21"/>
          <w:color w:val="auto"/>
        </w:rPr>
        <w:t>On March 16, 2020 (the “Closing Date”), the Company completed the Peoples Gas Acquisition and paid cash consideration of $3,465,344, which is subject to adjustment upon completion of a closing balance sheet and the finalization of other adjustments that may occur over the next several months. Peoples is headquartered in Pittsburgh, Pennsylvania and serves approximately 747,000 natural gas utility customers in western Pennsylvania, West Virginia, and Kentucky. The estimated purchase price paid by the Company was determined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20"/>
                <w:szCs w:val="20"/>
                <w:color w:val="auto"/>
              </w:rPr>
              <w:t>Base purchase price</w:t>
            </w:r>
          </w:p>
        </w:tc>
        <w:tc>
          <w:tcPr>
            <w:tcW w:w="1140" w:type="dxa"/>
            <w:vAlign w:val="bottom"/>
            <w:shd w:val="clear" w:color="auto" w:fill="CCEEFF"/>
          </w:tcPr>
          <w:p>
            <w:pPr>
              <w:jc w:val="right"/>
              <w:ind w:right="941"/>
              <w:spacing w:after="0"/>
              <w:rPr>
                <w:sz w:val="20"/>
                <w:szCs w:val="20"/>
                <w:color w:val="auto"/>
              </w:rPr>
            </w:pPr>
            <w:r>
              <w:rPr>
                <w:rFonts w:ascii="Arial" w:cs="Arial" w:eastAsia="Arial" w:hAnsi="Arial"/>
                <w:sz w:val="20"/>
                <w:szCs w:val="20"/>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4,275,000</w:t>
            </w:r>
          </w:p>
        </w:tc>
      </w:tr>
      <w:tr>
        <w:trPr>
          <w:trHeight w:val="203"/>
        </w:trPr>
        <w:tc>
          <w:tcPr>
            <w:tcW w:w="8140" w:type="dxa"/>
            <w:vAlign w:val="bottom"/>
          </w:tcPr>
          <w:p>
            <w:pPr>
              <w:spacing w:after="0" w:line="203" w:lineRule="exact"/>
              <w:rPr>
                <w:sz w:val="20"/>
                <w:szCs w:val="20"/>
                <w:color w:val="auto"/>
              </w:rPr>
            </w:pPr>
            <w:r>
              <w:rPr>
                <w:rFonts w:ascii="Arial" w:cs="Arial" w:eastAsia="Arial" w:hAnsi="Arial"/>
                <w:sz w:val="20"/>
                <w:szCs w:val="20"/>
                <w:color w:val="auto"/>
              </w:rPr>
              <w:t>Adjustments:</w:t>
            </w:r>
          </w:p>
        </w:tc>
        <w:tc>
          <w:tcPr>
            <w:tcW w:w="11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81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Estimated change in working capital</w:t>
            </w:r>
          </w:p>
        </w:tc>
        <w:tc>
          <w:tcPr>
            <w:tcW w:w="11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43,935</w:t>
            </w:r>
          </w:p>
        </w:tc>
      </w:tr>
      <w:tr>
        <w:trPr>
          <w:trHeight w:val="203"/>
        </w:trPr>
        <w:tc>
          <w:tcPr>
            <w:tcW w:w="8140" w:type="dxa"/>
            <w:vAlign w:val="bottom"/>
          </w:tcPr>
          <w:p>
            <w:pPr>
              <w:ind w:left="120"/>
              <w:spacing w:after="0" w:line="203" w:lineRule="exact"/>
              <w:rPr>
                <w:sz w:val="20"/>
                <w:szCs w:val="20"/>
                <w:color w:val="auto"/>
              </w:rPr>
            </w:pPr>
            <w:r>
              <w:rPr>
                <w:rFonts w:ascii="Arial" w:cs="Arial" w:eastAsia="Arial" w:hAnsi="Arial"/>
                <w:sz w:val="20"/>
                <w:szCs w:val="20"/>
                <w:color w:val="auto"/>
              </w:rPr>
              <w:t>Certain estimated capital expenditures</w:t>
            </w:r>
          </w:p>
        </w:tc>
        <w:tc>
          <w:tcPr>
            <w:tcW w:w="114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Arial" w:cs="Arial" w:eastAsia="Arial" w:hAnsi="Arial"/>
                <w:sz w:val="20"/>
                <w:szCs w:val="20"/>
                <w:color w:val="auto"/>
              </w:rPr>
              <w:t>247,500</w:t>
            </w:r>
          </w:p>
        </w:tc>
      </w:tr>
      <w:tr>
        <w:trPr>
          <w:trHeight w:val="203"/>
        </w:trPr>
        <w:tc>
          <w:tcPr>
            <w:tcW w:w="81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Assumption of indebtedness</w:t>
            </w:r>
          </w:p>
        </w:tc>
        <w:tc>
          <w:tcPr>
            <w:tcW w:w="11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(1,101,091)</w:t>
            </w:r>
          </w:p>
        </w:tc>
      </w:tr>
      <w:tr>
        <w:trPr>
          <w:trHeight w:val="196"/>
        </w:trPr>
        <w:tc>
          <w:tcPr>
            <w:tcW w:w="8140" w:type="dxa"/>
            <w:vAlign w:val="bottom"/>
          </w:tcPr>
          <w:p>
            <w:pPr>
              <w:spacing w:after="0" w:line="196" w:lineRule="exact"/>
              <w:rPr>
                <w:sz w:val="20"/>
                <w:szCs w:val="20"/>
                <w:color w:val="auto"/>
              </w:rPr>
            </w:pPr>
            <w:r>
              <w:rPr>
                <w:rFonts w:ascii="Arial" w:cs="Arial" w:eastAsia="Arial" w:hAnsi="Arial"/>
                <w:sz w:val="20"/>
                <w:szCs w:val="20"/>
                <w:color w:val="auto"/>
              </w:rPr>
              <w:t>Cash consideration</w:t>
            </w:r>
          </w:p>
        </w:tc>
        <w:tc>
          <w:tcPr>
            <w:tcW w:w="1140" w:type="dxa"/>
            <w:vAlign w:val="bottom"/>
            <w:tcBorders>
              <w:bottom w:val="single" w:sz="8" w:color="auto"/>
            </w:tcBorders>
          </w:tcPr>
          <w:p>
            <w:pPr>
              <w:jc w:val="right"/>
              <w:ind w:right="941"/>
              <w:spacing w:after="0" w:line="196" w:lineRule="exact"/>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8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80"/>
        <w:spacing w:after="0" w:line="228" w:lineRule="auto"/>
        <w:rPr>
          <w:sz w:val="20"/>
          <w:szCs w:val="20"/>
          <w:color w:val="auto"/>
        </w:rPr>
      </w:pPr>
      <w:r>
        <w:rPr>
          <w:rFonts w:ascii="Arial" w:cs="Arial" w:eastAsia="Arial" w:hAnsi="Arial"/>
          <w:sz w:val="22"/>
          <w:szCs w:val="22"/>
          <w:color w:val="auto"/>
        </w:rPr>
        <w:t xml:space="preserve">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 Refer to Note 6 – </w:t>
      </w:r>
      <w:r>
        <w:rPr>
          <w:rFonts w:ascii="Arial" w:cs="Arial" w:eastAsia="Arial" w:hAnsi="Arial"/>
          <w:sz w:val="22"/>
          <w:szCs w:val="22"/>
          <w:i w:val="1"/>
          <w:iCs w:val="1"/>
          <w:color w:val="auto"/>
        </w:rPr>
        <w:t>Capitalization</w:t>
      </w:r>
      <w:r>
        <w:rPr>
          <w:rFonts w:ascii="Arial" w:cs="Arial" w:eastAsia="Arial" w:hAnsi="Arial"/>
          <w:sz w:val="22"/>
          <w:szCs w:val="22"/>
          <w:color w:val="auto"/>
        </w:rPr>
        <w:t xml:space="preserve"> for further information on these financings.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4" w:name="page15"/>
    <w:bookmarkEnd w:id="1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Company accounted for the Peoples Gas Acquisition as a business combination using the acquisition method of accounting. The estimated purchase price is allocated to the net tangible and intangible assets based upon their estimated fair values at the date of the acquisition. The purchase price allocation is preliminary and subject to revision. The Company has not completed the allocation of the purchase price as we are finalizing the valuation of the net assets acquired, including the evaluation of certain acquired contracts, asset retirement obligations, and pension and other postretirement benefits obligations, among others. Additionally, we are finalizing the purchase price for the adjustments provided for in the purchase agreement. The Company expects to finalize the purchase price allocation no later than the first quarter of 2021. Additionally, in the event we identify changes to acquired deferred tax asset valuation allowances or liabilities related to uncertain tax positions during the one year measurement period, and they are related to new information obtained about facts and circumstances that existed as of the acquisition date, those changes are considered a measurement-period adjustment, and we record the offset to goodwill. The preliminary purchase price allocation is as follows:</w:t>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Current assets</w:t>
      </w:r>
    </w:p>
    <w:p>
      <w:pPr>
        <w:spacing w:after="0" w:line="211" w:lineRule="auto"/>
        <w:rPr>
          <w:sz w:val="20"/>
          <w:szCs w:val="20"/>
          <w:color w:val="auto"/>
        </w:rPr>
      </w:pPr>
      <w:r>
        <w:rPr>
          <w:rFonts w:ascii="Arial" w:cs="Arial" w:eastAsia="Arial" w:hAnsi="Arial"/>
          <w:sz w:val="20"/>
          <w:szCs w:val="20"/>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Goodwill</w:t>
      </w:r>
    </w:p>
    <w:p>
      <w:pPr>
        <w:spacing w:after="0" w:line="226" w:lineRule="auto"/>
        <w:rPr>
          <w:sz w:val="20"/>
          <w:szCs w:val="20"/>
          <w:color w:val="auto"/>
        </w:rPr>
      </w:pPr>
      <w:r>
        <w:rPr>
          <w:rFonts w:ascii="Arial" w:cs="Arial" w:eastAsia="Arial" w:hAnsi="Arial"/>
          <w:sz w:val="20"/>
          <w:szCs w:val="20"/>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Total assets acquired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20"/>
          <w:szCs w:val="20"/>
          <w:color w:val="auto"/>
        </w:rPr>
        <w:t>Loans payable</w:t>
      </w:r>
    </w:p>
    <w:p>
      <w:pPr>
        <w:spacing w:after="0" w:line="211" w:lineRule="auto"/>
        <w:rPr>
          <w:sz w:val="20"/>
          <w:szCs w:val="20"/>
          <w:color w:val="auto"/>
        </w:rPr>
      </w:pPr>
      <w:r>
        <w:rPr>
          <w:rFonts w:ascii="Arial" w:cs="Arial" w:eastAsia="Arial" w:hAnsi="Arial"/>
          <w:sz w:val="20"/>
          <w:szCs w:val="20"/>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Long-term debt</w:t>
      </w:r>
    </w:p>
    <w:p>
      <w:pPr>
        <w:spacing w:after="0" w:line="212" w:lineRule="auto"/>
        <w:rPr>
          <w:sz w:val="20"/>
          <w:szCs w:val="20"/>
          <w:color w:val="auto"/>
        </w:rPr>
      </w:pPr>
      <w:r>
        <w:rPr>
          <w:rFonts w:ascii="Arial" w:cs="Arial" w:eastAsia="Arial" w:hAnsi="Arial"/>
          <w:sz w:val="20"/>
          <w:szCs w:val="20"/>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Regulatory liabilities</w:t>
      </w:r>
    </w:p>
    <w:p>
      <w:pPr>
        <w:spacing w:after="0" w:line="226" w:lineRule="auto"/>
        <w:rPr>
          <w:sz w:val="20"/>
          <w:szCs w:val="20"/>
          <w:color w:val="auto"/>
        </w:rPr>
      </w:pPr>
      <w:r>
        <w:rPr>
          <w:rFonts w:ascii="Arial" w:cs="Arial" w:eastAsia="Arial" w:hAnsi="Arial"/>
          <w:sz w:val="20"/>
          <w:szCs w:val="20"/>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Total liabilities assumed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2060" w:type="dxa"/>
            <w:vAlign w:val="bottom"/>
          </w:tcPr>
          <w:p>
            <w:pPr>
              <w:jc w:val="right"/>
              <w:ind w:right="761"/>
              <w:spacing w:after="0"/>
              <w:rPr>
                <w:sz w:val="20"/>
                <w:szCs w:val="20"/>
                <w:color w:val="auto"/>
              </w:rPr>
            </w:pPr>
            <w:r>
              <w:rPr>
                <w:rFonts w:ascii="Arial" w:cs="Arial" w:eastAsia="Arial" w:hAnsi="Arial"/>
                <w:sz w:val="20"/>
                <w:szCs w:val="20"/>
                <w:color w:val="auto"/>
              </w:rPr>
              <w:t>March 16,</w:t>
            </w:r>
          </w:p>
        </w:tc>
      </w:tr>
      <w:tr>
        <w:trPr>
          <w:trHeight w:val="233"/>
        </w:trPr>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981"/>
              <w:spacing w:after="0"/>
              <w:rPr>
                <w:sz w:val="20"/>
                <w:szCs w:val="20"/>
                <w:color w:val="auto"/>
              </w:rPr>
            </w:pPr>
            <w:r>
              <w:rPr>
                <w:rFonts w:ascii="Arial" w:cs="Arial" w:eastAsia="Arial" w:hAnsi="Arial"/>
                <w:sz w:val="20"/>
                <w:szCs w:val="20"/>
                <w:color w:val="auto"/>
              </w:rPr>
              <w:t>2020</w:t>
            </w:r>
          </w:p>
        </w:tc>
      </w:tr>
      <w:tr>
        <w:trPr>
          <w:trHeight w:val="166"/>
        </w:trPr>
        <w:tc>
          <w:tcPr>
            <w:tcW w:w="480" w:type="dxa"/>
            <w:vAlign w:val="bottom"/>
          </w:tcPr>
          <w:p>
            <w:pPr>
              <w:jc w:val="right"/>
              <w:ind w:right="284"/>
              <w:spacing w:after="0" w:line="165" w:lineRule="exact"/>
              <w:rPr>
                <w:sz w:val="20"/>
                <w:szCs w:val="20"/>
                <w:color w:val="auto"/>
              </w:rPr>
            </w:pPr>
            <w:r>
              <w:rPr>
                <w:rFonts w:ascii="Arial" w:cs="Arial" w:eastAsia="Arial" w:hAnsi="Arial"/>
                <w:sz w:val="19"/>
                <w:szCs w:val="19"/>
                <w:color w:val="auto"/>
                <w:w w:val="75"/>
              </w:rPr>
              <w:t>$</w:t>
            </w:r>
          </w:p>
        </w:tc>
        <w:tc>
          <w:tcPr>
            <w:tcW w:w="2060" w:type="dxa"/>
            <w:vAlign w:val="bottom"/>
          </w:tcPr>
          <w:p>
            <w:pPr>
              <w:jc w:val="right"/>
              <w:spacing w:after="0" w:line="165" w:lineRule="exact"/>
              <w:rPr>
                <w:sz w:val="20"/>
                <w:szCs w:val="20"/>
                <w:color w:val="auto"/>
              </w:rPr>
            </w:pPr>
            <w:r>
              <w:rPr>
                <w:rFonts w:ascii="Arial" w:cs="Arial" w:eastAsia="Arial" w:hAnsi="Arial"/>
                <w:sz w:val="19"/>
                <w:szCs w:val="19"/>
                <w:color w:val="auto"/>
              </w:rPr>
              <w:t>2,468,946</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241,372</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288,665</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2,287,677</w:t>
            </w:r>
          </w:p>
        </w:tc>
      </w:tr>
      <w:tr>
        <w:trPr>
          <w:trHeight w:val="233"/>
        </w:trPr>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82,528</w:t>
            </w:r>
          </w:p>
        </w:tc>
      </w:tr>
      <w:tr>
        <w:trPr>
          <w:trHeight w:val="196"/>
        </w:trPr>
        <w:tc>
          <w:tcPr>
            <w:tcW w:w="4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5,369,188</w:t>
            </w:r>
          </w:p>
        </w:tc>
      </w:tr>
      <w:tr>
        <w:trPr>
          <w:trHeight w:val="368"/>
        </w:trPr>
        <w:tc>
          <w:tcPr>
            <w:tcW w:w="4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5,136</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181,000</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182,622</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999,460</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245,701</w:t>
            </w:r>
          </w:p>
        </w:tc>
      </w:tr>
      <w:tr>
        <w:trPr>
          <w:trHeight w:val="203"/>
        </w:trPr>
        <w:tc>
          <w:tcPr>
            <w:tcW w:w="4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Arial" w:cs="Arial" w:eastAsia="Arial" w:hAnsi="Arial"/>
                <w:sz w:val="20"/>
                <w:szCs w:val="20"/>
                <w:color w:val="auto"/>
              </w:rPr>
              <w:t>134,875</w:t>
            </w:r>
          </w:p>
        </w:tc>
      </w:tr>
      <w:tr>
        <w:trPr>
          <w:trHeight w:val="233"/>
        </w:trPr>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155,050</w:t>
            </w:r>
          </w:p>
        </w:tc>
      </w:tr>
      <w:tr>
        <w:trPr>
          <w:trHeight w:val="196"/>
        </w:trPr>
        <w:tc>
          <w:tcPr>
            <w:tcW w:w="4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1,903,844</w:t>
            </w:r>
          </w:p>
        </w:tc>
      </w:tr>
      <w:tr>
        <w:trPr>
          <w:trHeight w:val="196"/>
        </w:trPr>
        <w:tc>
          <w:tcPr>
            <w:tcW w:w="4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r>
      <w:tr>
        <w:trPr>
          <w:trHeight w:val="196"/>
        </w:trPr>
        <w:tc>
          <w:tcPr>
            <w:tcW w:w="480" w:type="dxa"/>
            <w:vAlign w:val="bottom"/>
            <w:tcBorders>
              <w:bottom w:val="single" w:sz="8" w:color="auto"/>
            </w:tcBorders>
          </w:tcPr>
          <w:p>
            <w:pPr>
              <w:jc w:val="right"/>
              <w:ind w:right="284"/>
              <w:spacing w:after="0" w:line="196" w:lineRule="exact"/>
              <w:rPr>
                <w:sz w:val="20"/>
                <w:szCs w:val="20"/>
                <w:color w:val="auto"/>
              </w:rPr>
            </w:pPr>
            <w:r>
              <w:rPr>
                <w:rFonts w:ascii="Arial" w:cs="Arial" w:eastAsia="Arial" w:hAnsi="Arial"/>
                <w:sz w:val="20"/>
                <w:szCs w:val="20"/>
                <w:color w:val="auto"/>
                <w:w w:val="71"/>
              </w:rPr>
              <w:t>$</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540"/>
          </w:cols>
          <w:pgMar w:left="320" w:top="113" w:right="339" w:bottom="1440" w:gutter="0" w:footer="0" w:header="0"/>
          <w:type w:val="continuous"/>
        </w:sectPr>
      </w:pPr>
    </w:p>
    <w:p>
      <w:pPr>
        <w:spacing w:after="0" w:line="8" w:lineRule="exact"/>
        <w:rPr>
          <w:sz w:val="20"/>
          <w:szCs w:val="20"/>
          <w:color w:val="auto"/>
        </w:rPr>
      </w:pPr>
    </w:p>
    <w:p>
      <w:pPr>
        <w:ind w:right="200"/>
        <w:spacing w:after="0" w:line="231" w:lineRule="auto"/>
        <w:rPr>
          <w:sz w:val="20"/>
          <w:szCs w:val="20"/>
          <w:color w:val="auto"/>
        </w:rPr>
      </w:pPr>
      <w:r>
        <w:rPr>
          <w:rFonts w:ascii="Arial" w:cs="Arial" w:eastAsia="Arial" w:hAnsi="Arial"/>
          <w:sz w:val="22"/>
          <w:szCs w:val="22"/>
          <w:color w:val="auto"/>
        </w:rPr>
        <w:t>The fair value of long-term debt was determined based on prevailing market prices for similar debt issuances as of March 16, 2020, which resulted in an adjustment to increase the carrying amount by $84,569. The fair value adjustment will be amortized over the remaining life of the debt.</w:t>
      </w:r>
    </w:p>
    <w:p>
      <w:pPr>
        <w:spacing w:after="0" w:line="188"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Goodwill is attributable to the assembled workforce of Peoples, planned growth in new markets, and planned growth in rate base through continued investment in utility infrastructure. Goodwill recorded for the Peoples Gas Acquisition is not expected to be deductible for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15" w:name="page16"/>
    <w:bookmarkEnd w:id="1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40"/>
        <w:spacing w:after="0" w:line="234" w:lineRule="auto"/>
        <w:rPr>
          <w:sz w:val="20"/>
          <w:szCs w:val="20"/>
          <w:color w:val="auto"/>
        </w:rPr>
      </w:pPr>
      <w:r>
        <w:rPr>
          <w:rFonts w:ascii="Arial" w:cs="Arial" w:eastAsia="Arial" w:hAnsi="Arial"/>
          <w:sz w:val="21"/>
          <w:szCs w:val="21"/>
          <w:color w:val="auto"/>
        </w:rPr>
        <w:t>The Company incurred transaction-related expenses for the Peoples Gas Acquisition, which consists of costs recorded as operations and maintenance expenses for the three months ended March 31, 2020 and 2019 of $25,397 and $6,646, respectively, primarily representing expenses associated with investment banking fees, employee related costs, obtaining regulatory approvals, legal expenses, and integration planning. Additionally, mark-to-market fair value adjustments of $34,782 associated with our interest rate swap agreements for debt issued related to this transaction were incurred in the three months ended March 31, 2019. The interest rate swap agreements were settled on April 24, 2019, which coincided with debt financings to partially fund the Peoples Gas Acquisition.</w:t>
      </w:r>
    </w:p>
    <w:p>
      <w:pPr>
        <w:spacing w:after="0" w:line="188" w:lineRule="exact"/>
        <w:rPr>
          <w:sz w:val="20"/>
          <w:szCs w:val="20"/>
          <w:color w:val="auto"/>
        </w:rPr>
      </w:pPr>
    </w:p>
    <w:p>
      <w:pPr>
        <w:jc w:val="both"/>
        <w:ind w:right="160"/>
        <w:spacing w:after="0" w:line="282" w:lineRule="auto"/>
        <w:rPr>
          <w:sz w:val="20"/>
          <w:szCs w:val="20"/>
          <w:color w:val="auto"/>
        </w:rPr>
      </w:pPr>
      <w:r>
        <w:rPr>
          <w:rFonts w:ascii="Arial" w:cs="Arial" w:eastAsia="Arial" w:hAnsi="Arial"/>
          <w:sz w:val="19"/>
          <w:szCs w:val="19"/>
          <w:color w:val="auto"/>
        </w:rPr>
        <w:t>The results of Peoples have been included in our consolidated financial statements as of the Closing Date. Peoples contributed revenues of $38,544 and earnings of $13,398 for the period from the Closing Date to March 31, 2020. The following pro forma summary presents consolidated information as if the Peoples Gas Acquisition had occurred on January 1,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gridSpan w:val="3"/>
          </w:tcPr>
          <w:p>
            <w:pPr>
              <w:jc w:val="center"/>
              <w:spacing w:after="0"/>
              <w:rPr>
                <w:sz w:val="20"/>
                <w:szCs w:val="20"/>
                <w:color w:val="auto"/>
              </w:rPr>
            </w:pPr>
            <w:r>
              <w:rPr>
                <w:rFonts w:ascii="Arial" w:cs="Arial" w:eastAsia="Arial" w:hAnsi="Arial"/>
                <w:sz w:val="22"/>
                <w:szCs w:val="22"/>
                <w:color w:val="auto"/>
                <w:w w:val="89"/>
              </w:rPr>
              <w:t>Three Months Ended</w:t>
            </w:r>
          </w:p>
        </w:tc>
        <w:tc>
          <w:tcPr>
            <w:tcW w:w="1500" w:type="dxa"/>
            <w:vAlign w:val="bottom"/>
          </w:tcPr>
          <w:p>
            <w:pPr>
              <w:spacing w:after="0"/>
              <w:rPr>
                <w:sz w:val="21"/>
                <w:szCs w:val="21"/>
                <w:color w:val="auto"/>
              </w:rPr>
            </w:pPr>
          </w:p>
        </w:tc>
      </w:tr>
      <w:tr>
        <w:trPr>
          <w:trHeight w:val="251"/>
        </w:trPr>
        <w:tc>
          <w:tcPr>
            <w:tcW w:w="3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spacing w:after="0" w:line="251" w:lineRule="exact"/>
              <w:rPr>
                <w:sz w:val="20"/>
                <w:szCs w:val="20"/>
                <w:color w:val="auto"/>
              </w:rPr>
            </w:pPr>
            <w:r>
              <w:rPr>
                <w:rFonts w:ascii="Arial" w:cs="Arial" w:eastAsia="Arial" w:hAnsi="Arial"/>
                <w:sz w:val="22"/>
                <w:szCs w:val="22"/>
                <w:color w:val="auto"/>
                <w:w w:val="89"/>
              </w:rPr>
              <w:t>March 31,</w:t>
            </w:r>
          </w:p>
        </w:tc>
        <w:tc>
          <w:tcPr>
            <w:tcW w:w="1500" w:type="dxa"/>
            <w:vAlign w:val="bottom"/>
            <w:tcBorders>
              <w:bottom w:val="single" w:sz="8" w:color="auto"/>
            </w:tcBorders>
          </w:tcPr>
          <w:p>
            <w:pPr>
              <w:spacing w:after="0"/>
              <w:rPr>
                <w:sz w:val="21"/>
                <w:szCs w:val="21"/>
                <w:color w:val="auto"/>
              </w:rPr>
            </w:pPr>
          </w:p>
        </w:tc>
      </w:tr>
      <w:tr>
        <w:trPr>
          <w:trHeight w:val="223"/>
        </w:trPr>
        <w:tc>
          <w:tcPr>
            <w:tcW w:w="386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72"/>
              <w:spacing w:after="0" w:line="223" w:lineRule="exact"/>
              <w:rPr>
                <w:sz w:val="20"/>
                <w:szCs w:val="20"/>
                <w:color w:val="auto"/>
              </w:rPr>
            </w:pPr>
            <w:r>
              <w:rPr>
                <w:rFonts w:ascii="Arial" w:cs="Arial" w:eastAsia="Arial" w:hAnsi="Arial"/>
                <w:sz w:val="22"/>
                <w:szCs w:val="22"/>
                <w:color w:val="auto"/>
              </w:rPr>
              <w:t>2019</w:t>
            </w:r>
          </w:p>
        </w:tc>
      </w:tr>
      <w:tr>
        <w:trPr>
          <w:trHeight w:val="223"/>
        </w:trPr>
        <w:tc>
          <w:tcPr>
            <w:tcW w:w="3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2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52"/>
              <w:spacing w:after="0" w:line="223" w:lineRule="exact"/>
              <w:rPr>
                <w:sz w:val="20"/>
                <w:szCs w:val="20"/>
                <w:color w:val="auto"/>
              </w:rPr>
            </w:pPr>
            <w:r>
              <w:rPr>
                <w:rFonts w:ascii="Arial" w:cs="Arial" w:eastAsia="Arial" w:hAnsi="Arial"/>
                <w:sz w:val="22"/>
                <w:szCs w:val="22"/>
                <w:color w:val="auto"/>
                <w:w w:val="81"/>
              </w:rPr>
              <w:t>$</w:t>
            </w:r>
          </w:p>
        </w:tc>
        <w:tc>
          <w:tcPr>
            <w:tcW w:w="7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85"/>
              </w:rPr>
              <w:t>536,653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2"/>
              <w:spacing w:after="0" w:line="223" w:lineRule="exact"/>
              <w:rPr>
                <w:sz w:val="20"/>
                <w:szCs w:val="20"/>
                <w:color w:val="auto"/>
              </w:rPr>
            </w:pPr>
            <w:r>
              <w:rPr>
                <w:rFonts w:ascii="Arial" w:cs="Arial" w:eastAsia="Arial" w:hAnsi="Arial"/>
                <w:sz w:val="22"/>
                <w:szCs w:val="22"/>
                <w:color w:val="auto"/>
                <w:w w:val="81"/>
              </w:rPr>
              <w:t>$</w:t>
            </w:r>
          </w:p>
        </w:tc>
        <w:tc>
          <w:tcPr>
            <w:tcW w:w="15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598,663</w:t>
            </w:r>
          </w:p>
        </w:tc>
      </w:tr>
      <w:tr>
        <w:trPr>
          <w:trHeight w:val="274"/>
        </w:trPr>
        <w:tc>
          <w:tcPr>
            <w:tcW w:w="3860" w:type="dxa"/>
            <w:vAlign w:val="bottom"/>
          </w:tcPr>
          <w:p>
            <w:pPr>
              <w:spacing w:after="0"/>
              <w:rPr>
                <w:sz w:val="20"/>
                <w:szCs w:val="20"/>
                <w:color w:val="auto"/>
              </w:rPr>
            </w:pPr>
            <w:r>
              <w:rPr>
                <w:rFonts w:ascii="Arial" w:cs="Arial" w:eastAsia="Arial" w:hAnsi="Arial"/>
                <w:sz w:val="22"/>
                <w:szCs w:val="22"/>
                <w:color w:val="auto"/>
              </w:rPr>
              <w:t>Net income</w:t>
            </w:r>
          </w:p>
        </w:tc>
        <w:tc>
          <w:tcPr>
            <w:tcW w:w="2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w w:val="85"/>
              </w:rPr>
              <w:t>137,292</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68,075</w:t>
            </w:r>
          </w:p>
        </w:tc>
      </w:tr>
    </w:tbl>
    <w:p>
      <w:pPr>
        <w:spacing w:after="0" w:line="163" w:lineRule="exact"/>
        <w:rPr>
          <w:sz w:val="20"/>
          <w:szCs w:val="20"/>
          <w:color w:val="auto"/>
        </w:rPr>
      </w:pPr>
    </w:p>
    <w:p>
      <w:pPr>
        <w:ind w:right="20"/>
        <w:spacing w:after="0" w:line="230" w:lineRule="auto"/>
        <w:rPr>
          <w:sz w:val="20"/>
          <w:szCs w:val="20"/>
          <w:color w:val="auto"/>
        </w:rPr>
      </w:pPr>
      <w:r>
        <w:rPr>
          <w:rFonts w:ascii="Arial" w:cs="Arial" w:eastAsia="Arial" w:hAnsi="Arial"/>
          <w:sz w:val="21"/>
          <w:szCs w:val="21"/>
          <w:color w:val="auto"/>
        </w:rPr>
        <w:t>The supplemental pro forma information is not necessarily representative of the actual results that may have occurred for these periods or of the results that may occur in the future. This supplemental pro forma information is based upon the historical operating results of Peoples for periods prior to the Closing Date, and is adjusted to reflect the effect of non-recurring acquisition-related costs, incurred in 2020 and 2019 as if they occurred on January 1, 2019, including $20,628 ($25,197 pre-tax) and $16,464 ($21,406 pre-tax) of expenses incurred in 2020 and 2019, respectively, primarily associated with investment banking fees, obtaining regulatory approvals, legal expenses and other direct costs of the Peoples Gas Acquisition, adjustments to reflect net acquisition financing as of January 1, 2019 of $35,812 ($46,129 pre-tax), the elimination of interest on debt that was not assumed in the acquisition of $7,084 ($9,962 pre-tax), and the elimination of a management fee charged quarterly to Peoples by its former parent company of $885 ($1,245 pre-tax).</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6" w:name="page17"/>
    <w:bookmarkEnd w:id="1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auto"/>
        </w:rPr>
        <w:t>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16, 2020, as a result of our completion of the Peoples Gas Acquisition, the Company terminated the Bridge Commitment.</w:t>
      </w:r>
    </w:p>
    <w:p>
      <w:pPr>
        <w:spacing w:after="0" w:line="186"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the year 2020 to its natural gas utility customers and water and wastewater customers served by Aqua Pennsylvania, Inc. (“Aqua Pennsylvania”).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w:t>
      </w:r>
    </w:p>
    <w:p>
      <w:pPr>
        <w:spacing w:after="0" w:line="206" w:lineRule="exact"/>
        <w:rPr>
          <w:sz w:val="20"/>
          <w:szCs w:val="20"/>
          <w:color w:val="auto"/>
        </w:rPr>
      </w:pPr>
    </w:p>
    <w:p>
      <w:pPr>
        <w:ind w:right="380"/>
        <w:spacing w:after="0" w:line="231" w:lineRule="auto"/>
        <w:rPr>
          <w:sz w:val="20"/>
          <w:szCs w:val="20"/>
          <w:color w:val="auto"/>
        </w:rPr>
      </w:pPr>
      <w:r>
        <w:rPr>
          <w:rFonts w:ascii="Arial" w:cs="Arial" w:eastAsia="Arial" w:hAnsi="Arial"/>
          <w:sz w:val="22"/>
          <w:szCs w:val="22"/>
          <w:color w:val="auto"/>
        </w:rPr>
        <w:t>In January 2020, the Company acquired the water utility system assets of the City of Campbell, Ohio, which serves 3,126 customers. The total cash purchase price for the utility system was $7,500. The purchase price allocation for this acquisition consisted primarily of acquired property, plant and equipment.</w:t>
      </w:r>
    </w:p>
    <w:p>
      <w:pPr>
        <w:spacing w:after="0" w:line="188" w:lineRule="exact"/>
        <w:rPr>
          <w:sz w:val="20"/>
          <w:szCs w:val="20"/>
          <w:color w:val="auto"/>
        </w:rPr>
      </w:pPr>
    </w:p>
    <w:p>
      <w:pPr>
        <w:ind w:right="200"/>
        <w:spacing w:after="0" w:line="234" w:lineRule="auto"/>
        <w:rPr>
          <w:sz w:val="20"/>
          <w:szCs w:val="20"/>
          <w:color w:val="auto"/>
        </w:rPr>
      </w:pPr>
      <w:r>
        <w:rPr>
          <w:rFonts w:ascii="Arial" w:cs="Arial" w:eastAsia="Arial" w:hAnsi="Arial"/>
          <w:sz w:val="21"/>
          <w:szCs w:val="21"/>
          <w:color w:val="auto"/>
        </w:rPr>
        <w:t>In December 2019, the Company acquired the wastewater utility system assets of Cheltenham Township, Pennsylvania, which serves 9,887 customers for $50,250. The preliminary purchase price allocation for this acquisition consisted primarily of property, plant and equipment of $44,440 and goodwill of $5,810. Additionally, in 2019, the Company completed seven acquisitions of water and wastewater utility systems in three states adding 2,393 customers. The total purchase price of these utility systems consisted of $9,437 in cash. The purchase price allocation for these acquisitions consisted primarily of acquired property, plant and equipment. The pro forma effect of the utility systems acquired is not material either individually or collectively to the Company’s results of operations.</w:t>
      </w:r>
    </w:p>
    <w:p>
      <w:pPr>
        <w:spacing w:after="0" w:line="18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In September 2019,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for our acquisition of DELCORA is expected to occur in late 2020 or early 2021, subject to the timing of the regulatory approval processes.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7" w:name="page18"/>
    <w:bookmarkEnd w:id="1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In November 2018, the Company entered into a purchase agreement to acquire the wastewater utility system assets of East Norriton Township, Pennsylvania, which serves approximately 4,950 customers for $21,000. The purchase price for this pending acquisition is subject to certain adjustments at closing, and is subject to regulatory approval, including the final determination of the fair value of the rate base acquired. We plan to finance the purchase price of this acquisition by utilizing our revolving credit facility until permanent debt is secured. Closing for our acquisition of East Norriton Township, Pennsylvania is expected to occur in the second quarter of 2020, subject to the timing of the regulatory approval processes.</w:t>
      </w:r>
    </w:p>
    <w:p>
      <w:pPr>
        <w:spacing w:after="0" w:line="164" w:lineRule="exact"/>
        <w:rPr>
          <w:sz w:val="20"/>
          <w:szCs w:val="20"/>
          <w:color w:val="auto"/>
        </w:rPr>
      </w:pPr>
    </w:p>
    <w:p>
      <w:pPr>
        <w:ind w:right="60"/>
        <w:spacing w:after="0" w:line="234" w:lineRule="auto"/>
        <w:rPr>
          <w:sz w:val="20"/>
          <w:szCs w:val="20"/>
          <w:color w:val="auto"/>
        </w:rPr>
      </w:pPr>
      <w:r>
        <w:rPr>
          <w:rFonts w:ascii="Arial" w:cs="Arial" w:eastAsia="Arial" w:hAnsi="Arial"/>
          <w:sz w:val="21"/>
          <w:szCs w:val="21"/>
          <w:color w:val="auto"/>
        </w:rPr>
        <w:t>In addition to the Company’s pending acquisitions of DELCORA and East Norriton Township, the Company has a purchase agreement to acquire the wastewater utility system assets of New Garden Township, Pennsylvania, which will add approximately 2,106 customers, for a total purchase price in cash of $29,500. We plan to finance the purchase price of this acquisition utilizing our revolving credit facility until permanent debt is secured. The purchase price for this acquisition is subject to certain adjustments at closing, and is subject to regulatory approval, including the final determination of the fair value of the rate base acquired. Closing for our acquisition of New Garden Township is expected to occur in the fourth quarter of 2020, subject to the timing of the regulatory approval processes.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Regulated</w:t>
            </w:r>
          </w:p>
        </w:tc>
        <w:tc>
          <w:tcPr>
            <w:tcW w:w="1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90"/>
              </w:rPr>
              <w:t>Regulated Natural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Gas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7"/>
              </w:rPr>
              <w:t>Consolidated</w:t>
            </w:r>
          </w:p>
        </w:tc>
      </w:tr>
      <w:tr>
        <w:trPr>
          <w:trHeight w:val="183"/>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58,981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63,822</w:t>
            </w:r>
          </w:p>
        </w:tc>
      </w:tr>
      <w:tr>
        <w:trPr>
          <w:trHeight w:val="189"/>
        </w:trPr>
        <w:tc>
          <w:tcPr>
            <w:tcW w:w="5620" w:type="dxa"/>
            <w:vAlign w:val="bottom"/>
          </w:tcPr>
          <w:p>
            <w:pPr>
              <w:ind w:left="120"/>
              <w:spacing w:after="0" w:line="189" w:lineRule="exact"/>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2,287,677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2,287,795</w:t>
            </w:r>
          </w:p>
        </w:tc>
      </w:tr>
      <w:tr>
        <w:trPr>
          <w:trHeight w:val="189"/>
        </w:trPr>
        <w:tc>
          <w:tcPr>
            <w:tcW w:w="5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Reclassification to utility plant acquisition adjustment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w:t>
            </w:r>
          </w:p>
        </w:tc>
      </w:tr>
      <w:tr>
        <w:trPr>
          <w:trHeight w:val="183"/>
        </w:trPr>
        <w:tc>
          <w:tcPr>
            <w:tcW w:w="5620" w:type="dxa"/>
            <w:vAlign w:val="bottom"/>
          </w:tcPr>
          <w:p>
            <w:pPr>
              <w:spacing w:after="0" w:line="182" w:lineRule="exact"/>
              <w:rPr>
                <w:sz w:val="20"/>
                <w:szCs w:val="20"/>
                <w:color w:val="auto"/>
              </w:rPr>
            </w:pPr>
            <w:r>
              <w:rPr>
                <w:rFonts w:ascii="Arial" w:cs="Arial" w:eastAsia="Arial" w:hAnsi="Arial"/>
                <w:sz w:val="18"/>
                <w:szCs w:val="18"/>
                <w:color w:val="auto"/>
              </w:rPr>
              <w:t>Balance at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59,008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2,287,677</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2,351,526</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00"/>
        <w:spacing w:after="0" w:line="231" w:lineRule="auto"/>
        <w:rPr>
          <w:sz w:val="20"/>
          <w:szCs w:val="20"/>
          <w:color w:val="auto"/>
        </w:rPr>
      </w:pPr>
      <w:r>
        <w:rPr>
          <w:rFonts w:ascii="Arial" w:cs="Arial" w:eastAsia="Arial" w:hAnsi="Arial"/>
          <w:sz w:val="22"/>
          <w:szCs w:val="22"/>
          <w:color w:val="auto"/>
        </w:rPr>
        <w:t xml:space="preserve">On March 16, 2020, the Company completed the Peoples Gas Acquisition, which resulted in initial goodwill of $2,287,677, subject to adjustment over the one year measurement period. Refer to Note 3 – </w:t>
      </w:r>
      <w:r>
        <w:rPr>
          <w:rFonts w:ascii="Arial" w:cs="Arial" w:eastAsia="Arial" w:hAnsi="Arial"/>
          <w:sz w:val="22"/>
          <w:szCs w:val="22"/>
          <w:i w:val="1"/>
          <w:iCs w:val="1"/>
          <w:color w:val="auto"/>
        </w:rPr>
        <w:t>Acquisitions</w:t>
      </w:r>
      <w:r>
        <w:rPr>
          <w:rFonts w:ascii="Arial" w:cs="Arial" w:eastAsia="Arial" w:hAnsi="Arial"/>
          <w:sz w:val="22"/>
          <w:szCs w:val="22"/>
          <w:color w:val="auto"/>
        </w:rPr>
        <w:t xml:space="preserve"> for information about the goodwill attributed to our Regulated Natural Gas segment.</w:t>
      </w:r>
    </w:p>
    <w:p>
      <w:pPr>
        <w:spacing w:after="0" w:line="188" w:lineRule="exact"/>
        <w:rPr>
          <w:sz w:val="20"/>
          <w:szCs w:val="20"/>
          <w:color w:val="auto"/>
        </w:rPr>
      </w:pPr>
    </w:p>
    <w:p>
      <w:pPr>
        <w:ind w:right="380"/>
        <w:spacing w:after="0" w:line="231"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 upon achieving specific objectives.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Assets Held for Sale</w:t>
      </w:r>
    </w:p>
    <w:p>
      <w:pPr>
        <w:spacing w:after="0" w:line="212"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In the fourth quarter of 2018, the Company decided to market for sale a water system in Virginia that serves approximately 500 customers. This water system was reported as assets held for sale in the Company’s consolidated balance sheet, and in April 2019, the Company completed the sale for proceeds of $1,882 and recognized a gain on sale of $403.</w:t>
      </w:r>
    </w:p>
    <w:p>
      <w:pPr>
        <w:spacing w:after="0" w:line="148" w:lineRule="exact"/>
        <w:rPr>
          <w:sz w:val="20"/>
          <w:szCs w:val="20"/>
          <w:color w:val="auto"/>
        </w:rPr>
      </w:pPr>
    </w:p>
    <w:p>
      <w:pPr>
        <w:ind w:right="620"/>
        <w:spacing w:after="0" w:line="226" w:lineRule="auto"/>
        <w:rPr>
          <w:sz w:val="20"/>
          <w:szCs w:val="20"/>
          <w:color w:val="auto"/>
        </w:rPr>
      </w:pPr>
      <w:r>
        <w:rPr>
          <w:rFonts w:ascii="Arial" w:cs="Arial" w:eastAsia="Arial" w:hAnsi="Arial"/>
          <w:sz w:val="22"/>
          <w:szCs w:val="22"/>
          <w:color w:val="auto"/>
        </w:rPr>
        <w:t>In the first quarter of 2017, the Company decided to market for sale a water system in Texas that serves approximately 265 customers. This water system is reported as assets held for sale in the Company’s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8" w:name="page19"/>
    <w:bookmarkEnd w:id="1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consolidated balance sheet, and pending completion of all regulatory approvals, the sale is expected to close in the third quarter of 2020.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w:t>
      </w:r>
    </w:p>
    <w:p>
      <w:pPr>
        <w:spacing w:after="0" w:line="206"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On March 29, 2019, the Company entered into a Stock Purchase Agreement (the “Stock Purchase Agreement”) with Canada Pension Plan Investment Board (the “Investor”), pursuant to which the Company has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$19,772. The Investor has agreed to certain transfer restrictions for a period of 15 months from the closing date of the Peoples Gas Acquisition.</w:t>
      </w:r>
    </w:p>
    <w:p>
      <w:pPr>
        <w:spacing w:after="0" w:line="164" w:lineRule="exact"/>
        <w:rPr>
          <w:sz w:val="20"/>
          <w:szCs w:val="20"/>
          <w:color w:val="auto"/>
        </w:rPr>
      </w:pPr>
    </w:p>
    <w:p>
      <w:pPr>
        <w:ind w:right="140"/>
        <w:spacing w:after="0" w:line="237" w:lineRule="auto"/>
        <w:rPr>
          <w:sz w:val="20"/>
          <w:szCs w:val="20"/>
          <w:color w:val="auto"/>
        </w:rPr>
      </w:pPr>
      <w:r>
        <w:rPr>
          <w:rFonts w:ascii="Arial" w:cs="Arial" w:eastAsia="Arial" w:hAnsi="Arial"/>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 Based on the common stock offering noted below, the Private Placement was priced at $34.62 per share.</w:t>
      </w:r>
    </w:p>
    <w:p>
      <w:pPr>
        <w:spacing w:after="0" w:line="185"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 / Tangible Equity Unit Issuances</w:t>
      </w:r>
    </w:p>
    <w:p>
      <w:pPr>
        <w:spacing w:after="0" w:line="206" w:lineRule="exact"/>
        <w:rPr>
          <w:sz w:val="20"/>
          <w:szCs w:val="20"/>
          <w:color w:val="auto"/>
        </w:rPr>
      </w:pPr>
    </w:p>
    <w:p>
      <w:pPr>
        <w:ind w:right="80"/>
        <w:spacing w:after="0" w:line="228" w:lineRule="auto"/>
        <w:rPr>
          <w:sz w:val="20"/>
          <w:szCs w:val="20"/>
          <w:color w:val="auto"/>
        </w:rPr>
      </w:pPr>
      <w:r>
        <w:rPr>
          <w:rFonts w:ascii="Arial" w:cs="Arial" w:eastAsia="Arial" w:hAnsi="Arial"/>
          <w:sz w:val="22"/>
          <w:szCs w:val="22"/>
          <w:color w:val="auto"/>
        </w:rPr>
        <w:t>On April 23, 2019, the Company issued $1,293,750, less expenses of $30,651, of its common stock and $690,000, less expenses of $16,358, of its tangible equity units (the “Units”), with a stated amount of $50 per unit. These issuances were part of the permanent financing to close the Peoples Gas Acquisition. The common stock was issued at $34.62 per share and thus the Private Placement noted above was priced at $34.62 per share.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9" w:name="page20"/>
    <w:bookmarkEnd w:id="1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During the first quarter of 2020, 1,979,570 stock purchase contracts were early settled by the holders of the contracts, resulting in the issuance of 2,335,654 shares of the Company’s common stock. The balance of stock purchase contracts is 7,711,138.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70"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20" w:name="page21"/>
    <w:bookmarkEnd w:id="2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 and Loans Payable</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Subsequent to the period ended March 31, 2020, on April 3, 2020, the Company entered into a credit agreement that provided the Company with short-term borrowing capacity of up to $500,000 in unsecured term loans, which matures on April 2, 2021. The Company borrowed the full $500,000 on April 3, 2020, which is to be used for general corporate purposes and to strengthen its liquidity and cash position, and maximize its financial flexibility in light of the uncertainty surrounding the impact of the COVID-19 pandemic. The proceeds remain on deposit, and the Company will evaluate the timing of repayment based on the development of COVID-19 and its impact on the business. The term loans bear interest at either the Adjusted LIBO Rate or the Alternate Base Rate, as each such term is defined in the Term Loan Agreement. Amounts under the term loan cannot be re-borrowed upon repayment. Additionally, on April 13, 2020, the Company issued $1,100,000 of long-term debt, less expenses of approximately $10,900, of which $500,000 is due in 2030, and $600,000 is due in 2050 with interest rates of 2.704% and</w:t>
      </w:r>
    </w:p>
    <w:p>
      <w:pPr>
        <w:spacing w:after="0" w:line="2" w:lineRule="exact"/>
        <w:rPr>
          <w:sz w:val="20"/>
          <w:szCs w:val="20"/>
          <w:color w:val="auto"/>
        </w:rPr>
      </w:pPr>
    </w:p>
    <w:p>
      <w:pPr>
        <w:ind w:right="240"/>
        <w:spacing w:after="0" w:line="232" w:lineRule="auto"/>
        <w:rPr>
          <w:sz w:val="20"/>
          <w:szCs w:val="20"/>
          <w:color w:val="auto"/>
        </w:rPr>
      </w:pPr>
      <w:r>
        <w:rPr>
          <w:rFonts w:ascii="Arial" w:cs="Arial" w:eastAsia="Arial" w:hAnsi="Arial"/>
          <w:sz w:val="21"/>
          <w:szCs w:val="21"/>
          <w:color w:val="auto"/>
        </w:rPr>
        <w:t>3.351%, respectively. The Company used the proceeds from this issuance to repay in full the borrowings of $181,000 of short-term debt assumed in the Peoples Gas Acquisition, $150,000 of short-term debt issued on March 13, 2020, and to repay borrowings under its existing five year unsecured revolving credit agreement. Further, on May 1, 2020, Aqua Pennsylvania issued $175,000 of first mortgage bonds, of which $75,000 is due in 2051, $50,000 is due in 2055, and $50,000 is due in 2056 with interest rates of 3.49%, 3.54%, and 3.55%, respectively. The proceeds from these bonds were used to repay existing indebtedness and for general corporate purposes.</w:t>
      </w:r>
    </w:p>
    <w:p>
      <w:pPr>
        <w:spacing w:after="0" w:line="18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On March 13, 2020, in connection with the closing of the Peoples Gas Acquisition, the Company amended its existing five year unsecured revolving credit agreement, which expires in December 2023, to provide the Company with an additional $300,000 of borrowing capacity, and pursuant to the terms of the revolving credit facility, our borrowing capacity thereunder was further increased by $150,000 upon the completion of the Peoples Gas Acquisition on March 16, 2020. As a result of these increases, our total borrowing capacity increased to $1,000,000. Further, on March 13, 2020, the Company entered into a 364 day $150,000 credit agreement pursuant to which the Company borrowed $150,000, which was used to fund a portion of the Peoples Gas Acquisition in lieu of additional borrowings under our revolving credit facility, which was subsequently repaid with the proceeds from the Company’s April 2020 long-term debt issuance noted above.</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The Company completed the Peoples Gas Acquisition on March 16, 2020, which resulted in the assumption of $1,101,091 of indebtedness, which includes $920,091 of senior notes and $181,000 of short-term debt. The senior notes have maturities ranging from 2020 to 2032 and interest rates that range from 2.90% to 6.42%. The short-term debt assumed at closing was repaid with the proceeds from the Company’s April 2020 long-term debt issuance noted above.</w:t>
      </w:r>
    </w:p>
    <w:p>
      <w:pPr>
        <w:spacing w:after="0" w:line="186" w:lineRule="exact"/>
        <w:rPr>
          <w:sz w:val="20"/>
          <w:szCs w:val="20"/>
          <w:color w:val="auto"/>
        </w:rPr>
      </w:pPr>
    </w:p>
    <w:p>
      <w:pPr>
        <w:ind w:right="520"/>
        <w:spacing w:after="0" w:line="313" w:lineRule="auto"/>
        <w:rPr>
          <w:sz w:val="20"/>
          <w:szCs w:val="20"/>
          <w:color w:val="auto"/>
        </w:rPr>
      </w:pPr>
      <w:r>
        <w:rPr>
          <w:rFonts w:ascii="Arial" w:cs="Arial" w:eastAsia="Arial" w:hAnsi="Arial"/>
          <w:sz w:val="19"/>
          <w:szCs w:val="19"/>
          <w:color w:val="auto"/>
        </w:rPr>
        <w:t>On April 26, 2019, the Company issued $900,000 of long-term debt (the “Senior Notes”), less expenses of $7,931, of which $400,000 is due in 2029, and $500,000 is due in 2049 with interest rates of 3.566% and 4.276%,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1" w:name="page22"/>
    <w:bookmarkEnd w:id="2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260"/>
        <w:spacing w:after="0" w:line="226" w:lineRule="auto"/>
        <w:rPr>
          <w:sz w:val="20"/>
          <w:szCs w:val="20"/>
          <w:color w:val="auto"/>
        </w:rPr>
      </w:pPr>
      <w:r>
        <w:rPr>
          <w:rFonts w:ascii="Arial" w:cs="Arial" w:eastAsia="Arial" w:hAnsi="Arial"/>
          <w:sz w:val="22"/>
          <w:szCs w:val="22"/>
          <w:color w:val="auto"/>
        </w:rPr>
        <w:t>The Company used the net proceeds from the April 2019 issuance of Senior Notes, together with the net proceeds from the common stock offering and tangible equity unit offering noted above, as well as the proceeds from the Private Placement of common stock noted above, to (1) secure funding for the Peoples Gas Acquisition, (2) complete the redemption of $313,500 aggregate principal amount of certain of the Company’s outstanding notes noted below, (3) pay related costs and expenses, and (4) for general corporate purposes.</w:t>
      </w:r>
    </w:p>
    <w:p>
      <w:pPr>
        <w:spacing w:after="0" w:line="186"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On May 18, 2019, the Company redeemed $313,500 of the Company’s outstanding notes (the “Company Debt Refinancing”) that had maturities ranging from 2019-2037 and interest rates ranging from 3.57-5.83%. Additionally, the Company Debt Refinancing was subject to a make whole payment of $25,237, and $18,528 of this payment was expensed in 2019 and was presented in the consolidated statements of operations and comprehensive income on the line item “loss on debt extinguishment.” The balance of the payment, or $6,709, was deferred as a regulatory asset, as it represents an amount by which the Company expects to receive prospective rate recovery.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Interest Rate Swap Agreements</w:t>
      </w:r>
    </w:p>
    <w:p>
      <w:pPr>
        <w:spacing w:after="0" w:line="21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October 2018, the Company entered into interest rate swap agreements to mitigate interest rate risk associated with an anticipated $850,000 of future debt issuances to fund a portion of the Peoples Gas Acquisition and refinance a portion of the Company’s borrowings. On April 24, 2019, the Company settled the interest rate swap agreements upon issuance of $900,000 of long-term debt used to finance a portion of the purchase price of the Peoples Gas Acquisition and redeem $313,500 of the Company’s existing debt. The settlement resulted in a payment by the Company of $83,520 in April 2019.</w:t>
      </w:r>
    </w:p>
    <w:p>
      <w:pPr>
        <w:spacing w:after="0" w:line="162" w:lineRule="exact"/>
        <w:rPr>
          <w:sz w:val="20"/>
          <w:szCs w:val="20"/>
          <w:color w:val="auto"/>
        </w:rPr>
      </w:pPr>
    </w:p>
    <w:p>
      <w:pPr>
        <w:ind w:right="80"/>
        <w:spacing w:after="0" w:line="237" w:lineRule="auto"/>
        <w:rPr>
          <w:sz w:val="20"/>
          <w:szCs w:val="20"/>
          <w:color w:val="auto"/>
        </w:rPr>
      </w:pPr>
      <w:r>
        <w:rPr>
          <w:rFonts w:ascii="Arial" w:cs="Arial" w:eastAsia="Arial" w:hAnsi="Arial"/>
          <w:sz w:val="21"/>
          <w:szCs w:val="21"/>
          <w:color w:val="auto"/>
        </w:rPr>
        <w:t>The interest rate swaps did not qualify for hedge accounting, and any changes in the fair value of the swaps was included in our earnings. The interest rate swaps were classified as financial derivatives used for non-trading activities. Other than the interest rate swaps, the Company had no other derivative instruments. The Company recorded the fair value of the interest rate swaps by discounting the future net cash flows associated with the debt issuance utilizing level 2 methods and assumptions and recognized either an asset or liability at the balance sheet date.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a summary of the amounts recognized in earnings for our interest rate swap agreements: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Amount of Gain (Loss) Recognized in Income on Derivatives</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2"/>
            <w:vMerge w:val="restart"/>
          </w:tcPr>
          <w:p>
            <w:pPr>
              <w:ind w:left="220"/>
              <w:spacing w:after="0"/>
              <w:rPr>
                <w:sz w:val="20"/>
                <w:szCs w:val="20"/>
                <w:color w:val="auto"/>
              </w:rPr>
            </w:pPr>
            <w:r>
              <w:rPr>
                <w:rFonts w:ascii="Arial" w:cs="Arial" w:eastAsia="Arial" w:hAnsi="Arial"/>
                <w:sz w:val="16"/>
                <w:szCs w:val="16"/>
                <w:color w:val="auto"/>
              </w:rPr>
              <w:t>Location of Gain (Loss) Recognized</w:t>
            </w:r>
          </w:p>
        </w:tc>
        <w:tc>
          <w:tcPr>
            <w:tcW w:w="200" w:type="dxa"/>
            <w:vAlign w:val="bottom"/>
            <w:tcBorders>
              <w:top w:val="single" w:sz="8" w:color="auto"/>
              <w:bottom w:val="single" w:sz="8" w:color="auto"/>
            </w:tcBorders>
          </w:tcPr>
          <w:p>
            <w:pPr>
              <w:spacing w:after="0"/>
              <w:rPr>
                <w:sz w:val="13"/>
                <w:szCs w:val="13"/>
                <w:color w:val="auto"/>
              </w:rPr>
            </w:pPr>
          </w:p>
        </w:tc>
        <w:tc>
          <w:tcPr>
            <w:tcW w:w="4400" w:type="dxa"/>
            <w:vAlign w:val="bottom"/>
            <w:tcBorders>
              <w:top w:val="single" w:sz="8" w:color="auto"/>
              <w:bottom w:val="single" w:sz="8" w:color="auto"/>
            </w:tcBorders>
          </w:tcPr>
          <w:p>
            <w:pPr>
              <w:jc w:val="center"/>
              <w:ind w:right="159"/>
              <w:spacing w:after="0" w:line="155" w:lineRule="exact"/>
              <w:rPr>
                <w:sz w:val="20"/>
                <w:szCs w:val="20"/>
                <w:color w:val="auto"/>
              </w:rPr>
            </w:pPr>
            <w:r>
              <w:rPr>
                <w:rFonts w:ascii="Arial" w:cs="Arial" w:eastAsia="Arial" w:hAnsi="Arial"/>
                <w:sz w:val="16"/>
                <w:szCs w:val="16"/>
                <w:color w:val="auto"/>
                <w:w w:val="92"/>
              </w:rPr>
              <w:t>Three Months Ended March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vMerge w:val="restart"/>
          </w:tcPr>
          <w:p>
            <w:pPr>
              <w:spacing w:after="0"/>
              <w:rPr>
                <w:sz w:val="20"/>
                <w:szCs w:val="20"/>
                <w:color w:val="auto"/>
              </w:rPr>
            </w:pPr>
            <w:r>
              <w:rPr>
                <w:rFonts w:ascii="Arial" w:cs="Arial" w:eastAsia="Arial" w:hAnsi="Arial"/>
                <w:sz w:val="16"/>
                <w:szCs w:val="16"/>
                <w:color w:val="auto"/>
                <w:w w:val="95"/>
              </w:rPr>
              <w:t>Derivatives not designated as hedging instrument:</w:t>
            </w:r>
          </w:p>
        </w:tc>
        <w:tc>
          <w:tcPr>
            <w:tcW w:w="140" w:type="dxa"/>
            <w:vAlign w:val="bottom"/>
          </w:tcPr>
          <w:p>
            <w:pPr>
              <w:spacing w:after="0"/>
              <w:rPr>
                <w:sz w:val="13"/>
                <w:szCs w:val="13"/>
                <w:color w:val="auto"/>
              </w:rPr>
            </w:pPr>
          </w:p>
        </w:tc>
        <w:tc>
          <w:tcPr>
            <w:tcW w:w="3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jc w:val="center"/>
              <w:ind w:right="119"/>
              <w:spacing w:after="0" w:line="155" w:lineRule="exact"/>
              <w:rPr>
                <w:sz w:val="20"/>
                <w:szCs w:val="20"/>
                <w:color w:val="auto"/>
              </w:rPr>
            </w:pPr>
            <w:r>
              <w:rPr>
                <w:rFonts w:ascii="Arial" w:cs="Arial" w:eastAsia="Arial" w:hAnsi="Arial"/>
                <w:sz w:val="16"/>
                <w:szCs w:val="16"/>
                <w:color w:val="auto"/>
                <w:w w:val="89"/>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CCEEFF"/>
            </w:tcBorders>
            <w:shd w:val="clear" w:color="auto" w:fill="CCEEFF"/>
          </w:tcPr>
          <w:p>
            <w:pPr>
              <w:ind w:left="120"/>
              <w:spacing w:after="0" w:line="162" w:lineRule="exact"/>
              <w:rPr>
                <w:sz w:val="20"/>
                <w:szCs w:val="20"/>
                <w:color w:val="auto"/>
              </w:rPr>
            </w:pPr>
            <w:r>
              <w:rPr>
                <w:rFonts w:ascii="Arial" w:cs="Arial" w:eastAsia="Arial" w:hAnsi="Arial"/>
                <w:sz w:val="16"/>
                <w:szCs w:val="16"/>
                <w:color w:val="auto"/>
              </w:rPr>
              <w:t>Interest rate swaps</w:t>
            </w:r>
          </w:p>
        </w:tc>
        <w:tc>
          <w:tcPr>
            <w:tcW w:w="3240" w:type="dxa"/>
            <w:vAlign w:val="bottom"/>
            <w:tcBorders>
              <w:bottom w:val="single" w:sz="8" w:color="CCEEFF"/>
            </w:tcBorders>
            <w:gridSpan w:val="3"/>
            <w:shd w:val="clear" w:color="auto" w:fill="CCEEFF"/>
          </w:tcPr>
          <w:p>
            <w:pPr>
              <w:ind w:left="140"/>
              <w:spacing w:after="0" w:line="162" w:lineRule="exact"/>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auto"/>
            </w:tcBorders>
            <w:shd w:val="clear" w:color="auto" w:fill="CCEEFF"/>
          </w:tcPr>
          <w:p>
            <w:pPr>
              <w:jc w:val="right"/>
              <w:ind w:right="19"/>
              <w:spacing w:after="0" w:line="162" w:lineRule="exact"/>
              <w:rPr>
                <w:sz w:val="20"/>
                <w:szCs w:val="20"/>
                <w:color w:val="auto"/>
              </w:rPr>
            </w:pPr>
            <w:r>
              <w:rPr>
                <w:rFonts w:ascii="Arial" w:cs="Arial" w:eastAsia="Arial" w:hAnsi="Arial"/>
                <w:sz w:val="16"/>
                <w:szCs w:val="16"/>
                <w:color w:val="auto"/>
                <w:w w:val="89"/>
              </w:rPr>
              <w:t>$</w:t>
            </w:r>
          </w:p>
        </w:tc>
        <w:tc>
          <w:tcPr>
            <w:tcW w:w="44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(34,782)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88" w:lineRule="exact"/>
        <w:rPr>
          <w:sz w:val="20"/>
          <w:szCs w:val="20"/>
          <w:color w:val="auto"/>
        </w:rPr>
      </w:pPr>
    </w:p>
    <w:p>
      <w:pPr>
        <w:ind w:left="660" w:right="260"/>
        <w:spacing w:after="0" w:line="239" w:lineRule="auto"/>
        <w:rPr>
          <w:sz w:val="20"/>
          <w:szCs w:val="20"/>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63" w:lineRule="exact"/>
        <w:rPr>
          <w:sz w:val="20"/>
          <w:szCs w:val="20"/>
          <w:color w:val="auto"/>
        </w:rPr>
      </w:pPr>
    </w:p>
    <w:p>
      <w:pPr>
        <w:ind w:left="660" w:right="100"/>
        <w:spacing w:after="0" w:line="222" w:lineRule="auto"/>
        <w:rPr>
          <w:sz w:val="20"/>
          <w:szCs w:val="20"/>
          <w:color w:val="auto"/>
        </w:rPr>
      </w:pPr>
      <w:r>
        <w:rPr>
          <w:rFonts w:ascii="Arial" w:cs="Arial" w:eastAsia="Arial" w:hAnsi="Arial"/>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ind w:left="660"/>
        <w:spacing w:after="0"/>
        <w:rPr>
          <w:sz w:val="20"/>
          <w:szCs w:val="20"/>
          <w:color w:val="auto"/>
        </w:rPr>
      </w:pPr>
      <w:r>
        <w:rPr>
          <w:rFonts w:ascii="Arial" w:cs="Arial" w:eastAsia="Arial" w:hAnsi="Arial"/>
          <w:sz w:val="22"/>
          <w:szCs w:val="22"/>
          <w:color w:val="auto"/>
        </w:rPr>
        <w:t>Level 3: inputs that are unobservable and significant to the fair value measurement.</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March 31, 2020.</w:t>
      </w:r>
    </w:p>
    <w:p>
      <w:pPr>
        <w:spacing w:after="0" w:line="157" w:lineRule="exact"/>
        <w:rPr>
          <w:sz w:val="20"/>
          <w:szCs w:val="20"/>
          <w:color w:val="auto"/>
        </w:rPr>
      </w:pPr>
    </w:p>
    <w:p>
      <w:pPr>
        <w:ind w:right="560"/>
        <w:spacing w:after="0" w:line="231" w:lineRule="auto"/>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8"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The fair value of loans payable is determined based on its carrying amount and utilizing Level 1 methods and assumptions. As of March 31, 2020 and December 31, 2019, the carrying amount of the Company’s loans payable was $381,005 and $25,724, respectively, which equates to their estimated fair value. The fair value of cash and cash equivalents, which is comprised of uninvested cash and prior to our completion of the Peoples Gas Acquisition on March 16, 2020, the proceeds from the April 2019 issuances of common stock, tangible equity units, and long-term debt for the Peoples Gas Acquisition, which were held in an interest-bearing account, is determined based on Level 1 methods and assumptions. As of March 31, 2020, and December 31, 2019, the carrying amounts of the Company's cash and cash equivalents was $31,848 and $1,868,922,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March 31, 2020, and December 31, 2019, the carrying amount of these securities was $22,959 and $23,419, respectively, which equates to their fair value, and is reported in the consolidated balance sheet in deferred charges and other assets.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3" w:name="page24"/>
    <w:bookmarkEnd w:id="2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161"/>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7"/>
                <w:szCs w:val="17"/>
                <w:color w:val="auto"/>
              </w:rPr>
            </w:pPr>
          </w:p>
        </w:tc>
      </w:tr>
      <w:tr>
        <w:trPr>
          <w:trHeight w:val="217"/>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8"/>
                <w:szCs w:val="18"/>
                <w:color w:val="auto"/>
                <w:w w:val="99"/>
              </w:rPr>
              <w:t>March 31,</w:t>
            </w:r>
          </w:p>
        </w:tc>
        <w:tc>
          <w:tcPr>
            <w:tcW w:w="360" w:type="dxa"/>
            <w:vAlign w:val="bottom"/>
            <w:tcBorders>
              <w:bottom w:val="single" w:sz="8" w:color="auto"/>
            </w:tcBorders>
          </w:tcPr>
          <w:p>
            <w:pPr>
              <w:spacing w:after="0"/>
              <w:rPr>
                <w:sz w:val="18"/>
                <w:szCs w:val="18"/>
                <w:color w:val="auto"/>
              </w:rPr>
            </w:pPr>
          </w:p>
        </w:tc>
      </w:tr>
      <w:tr>
        <w:trPr>
          <w:trHeight w:val="183"/>
        </w:trPr>
        <w:tc>
          <w:tcPr>
            <w:tcW w:w="8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2019</w:t>
            </w:r>
          </w:p>
        </w:tc>
        <w:tc>
          <w:tcPr>
            <w:tcW w:w="360" w:type="dxa"/>
            <w:vAlign w:val="bottom"/>
            <w:tcBorders>
              <w:bottom w:val="single" w:sz="8" w:color="auto"/>
            </w:tcBorders>
          </w:tcPr>
          <w:p>
            <w:pPr>
              <w:spacing w:after="0"/>
              <w:rPr>
                <w:sz w:val="15"/>
                <w:szCs w:val="15"/>
                <w:color w:val="auto"/>
              </w:rPr>
            </w:pPr>
          </w:p>
        </w:tc>
      </w:tr>
      <w:tr>
        <w:trPr>
          <w:trHeight w:val="183"/>
        </w:trPr>
        <w:tc>
          <w:tcPr>
            <w:tcW w:w="8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gain (loss) recognized during the period on equity securities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133</w:t>
            </w:r>
          </w:p>
        </w:tc>
      </w:tr>
      <w:tr>
        <w:trPr>
          <w:trHeight w:val="189"/>
        </w:trPr>
        <w:tc>
          <w:tcPr>
            <w:tcW w:w="82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net gain / loss recognized during the period on equity securities sold during the period</w:t>
            </w: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82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Unrealized gain (loss) recognized during the reporting period on equity securities still held at the reporting date</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w:t>
            </w: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133</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660"/>
        <w:spacing w:after="0" w:line="239" w:lineRule="auto"/>
        <w:rPr>
          <w:sz w:val="20"/>
          <w:szCs w:val="20"/>
          <w:color w:val="auto"/>
        </w:rPr>
      </w:pPr>
      <w:r>
        <w:rPr>
          <w:rFonts w:ascii="Arial" w:cs="Arial" w:eastAsia="Arial" w:hAnsi="Arial"/>
          <w:sz w:val="22"/>
          <w:szCs w:val="22"/>
          <w:color w:val="auto"/>
        </w:rPr>
        <w:t>The net gain recognized on equity securities is presented on the consolidated statements of operations and comprehensive income on the line item “Other.”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2060" w:type="dxa"/>
            <w:vAlign w:val="bottom"/>
          </w:tcPr>
          <w:p>
            <w:pPr>
              <w:jc w:val="center"/>
              <w:ind w:left="892"/>
              <w:spacing w:after="0"/>
              <w:rPr>
                <w:sz w:val="20"/>
                <w:szCs w:val="20"/>
                <w:color w:val="auto"/>
              </w:rPr>
            </w:pPr>
            <w:r>
              <w:rPr>
                <w:rFonts w:ascii="Arial" w:cs="Arial" w:eastAsia="Arial" w:hAnsi="Arial"/>
                <w:sz w:val="22"/>
                <w:szCs w:val="22"/>
                <w:color w:val="auto"/>
                <w:w w:val="91"/>
              </w:rPr>
              <w:t>March 31,</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Arial" w:cs="Arial" w:eastAsia="Arial" w:hAnsi="Arial"/>
                <w:sz w:val="22"/>
                <w:szCs w:val="22"/>
                <w:color w:val="auto"/>
              </w:rPr>
              <w:t>December 31,</w:t>
            </w:r>
          </w:p>
        </w:tc>
      </w:tr>
      <w:tr>
        <w:trPr>
          <w:trHeight w:val="251"/>
        </w:trPr>
        <w:tc>
          <w:tcPr>
            <w:tcW w:w="478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ind w:right="212"/>
              <w:spacing w:after="0" w:line="251" w:lineRule="exact"/>
              <w:rPr>
                <w:sz w:val="20"/>
                <w:szCs w:val="20"/>
                <w:color w:val="auto"/>
              </w:rPr>
            </w:pPr>
            <w:r>
              <w:rPr>
                <w:rFonts w:ascii="Arial" w:cs="Arial" w:eastAsia="Arial" w:hAnsi="Arial"/>
                <w:sz w:val="22"/>
                <w:szCs w:val="22"/>
                <w:color w:val="auto"/>
              </w:rPr>
              <w:t>2020</w:t>
            </w:r>
          </w:p>
        </w:tc>
        <w:tc>
          <w:tcPr>
            <w:tcW w:w="100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2019</w:t>
            </w:r>
          </w:p>
        </w:tc>
      </w:tr>
      <w:tr>
        <w:trPr>
          <w:trHeight w:val="223"/>
        </w:trPr>
        <w:tc>
          <w:tcPr>
            <w:tcW w:w="47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Carrying amount</w:t>
            </w:r>
          </w:p>
        </w:tc>
        <w:tc>
          <w:tcPr>
            <w:tcW w:w="2060" w:type="dxa"/>
            <w:vAlign w:val="bottom"/>
            <w:shd w:val="clear" w:color="auto" w:fill="CCEEFF"/>
          </w:tcPr>
          <w:p>
            <w:pPr>
              <w:jc w:val="right"/>
              <w:ind w:right="1832"/>
              <w:spacing w:after="0" w:line="223" w:lineRule="exact"/>
              <w:rPr>
                <w:sz w:val="20"/>
                <w:szCs w:val="20"/>
                <w:color w:val="auto"/>
              </w:rPr>
            </w:pPr>
            <w:r>
              <w:rPr>
                <w:rFonts w:ascii="Arial" w:cs="Arial" w:eastAsia="Arial" w:hAnsi="Arial"/>
                <w:sz w:val="22"/>
                <w:szCs w:val="22"/>
                <w:color w:val="auto"/>
                <w:w w:val="81"/>
              </w:rPr>
              <w:t>$</w:t>
            </w: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93"/>
              </w:rPr>
              <w:t>4,872,438</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3,077,400</w:t>
            </w:r>
          </w:p>
        </w:tc>
      </w:tr>
      <w:tr>
        <w:trPr>
          <w:trHeight w:val="274"/>
        </w:trPr>
        <w:tc>
          <w:tcPr>
            <w:tcW w:w="4780" w:type="dxa"/>
            <w:vAlign w:val="bottom"/>
          </w:tcPr>
          <w:p>
            <w:pPr>
              <w:spacing w:after="0"/>
              <w:rPr>
                <w:sz w:val="20"/>
                <w:szCs w:val="20"/>
                <w:color w:val="auto"/>
              </w:rPr>
            </w:pPr>
            <w:r>
              <w:rPr>
                <w:rFonts w:ascii="Arial" w:cs="Arial" w:eastAsia="Arial" w:hAnsi="Arial"/>
                <w:sz w:val="22"/>
                <w:szCs w:val="22"/>
                <w:color w:val="auto"/>
              </w:rPr>
              <w:t>Estimated fair value</w:t>
            </w:r>
          </w:p>
        </w:tc>
        <w:tc>
          <w:tcPr>
            <w:tcW w:w="20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3"/>
              </w:rPr>
              <w:t>4,964,211</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3,324,377</w:t>
            </w:r>
          </w:p>
        </w:tc>
      </w:tr>
    </w:tbl>
    <w:p>
      <w:pPr>
        <w:spacing w:after="0" w:line="177"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5"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The Company’s customers’ advances for construction have a carrying value of $99,447 as of March 31, 2020, and $95,556 as of December 31, 2019. Their relative fair values cannot be accurately estimated because future refund payments depend on several variables, including new customer connections, customer consumption levels, and future rates. Portions of these non-interest-bearing instruments are payable annually through 2030 and amounts not paid by the respective contract expiration dates become non-refundable. The fair value of these amounts would, however, be less than their carrying value due to the non-interest-bearing feature.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Pr>
          <w:p>
            <w:pPr>
              <w:spacing w:after="0"/>
              <w:rPr>
                <w:sz w:val="21"/>
                <w:szCs w:val="21"/>
                <w:color w:val="auto"/>
              </w:rPr>
            </w:pPr>
          </w:p>
        </w:tc>
        <w:tc>
          <w:tcPr>
            <w:tcW w:w="3340" w:type="dxa"/>
            <w:vAlign w:val="bottom"/>
            <w:gridSpan w:val="4"/>
          </w:tcPr>
          <w:p>
            <w:pPr>
              <w:jc w:val="center"/>
              <w:spacing w:after="0"/>
              <w:rPr>
                <w:sz w:val="20"/>
                <w:szCs w:val="20"/>
                <w:color w:val="auto"/>
              </w:rPr>
            </w:pPr>
            <w:r>
              <w:rPr>
                <w:rFonts w:ascii="Arial" w:cs="Arial" w:eastAsia="Arial" w:hAnsi="Arial"/>
                <w:sz w:val="22"/>
                <w:szCs w:val="22"/>
                <w:color w:val="auto"/>
                <w:w w:val="88"/>
              </w:rPr>
              <w:t>Three Months Ended</w:t>
            </w:r>
          </w:p>
        </w:tc>
      </w:tr>
      <w:tr>
        <w:trPr>
          <w:trHeight w:val="251"/>
        </w:trPr>
        <w:tc>
          <w:tcPr>
            <w:tcW w:w="7900" w:type="dxa"/>
            <w:vAlign w:val="bottom"/>
          </w:tcPr>
          <w:p>
            <w:pPr>
              <w:spacing w:after="0"/>
              <w:rPr>
                <w:sz w:val="21"/>
                <w:szCs w:val="21"/>
                <w:color w:val="auto"/>
              </w:rPr>
            </w:pPr>
          </w:p>
        </w:tc>
        <w:tc>
          <w:tcPr>
            <w:tcW w:w="2200" w:type="dxa"/>
            <w:vAlign w:val="bottom"/>
            <w:tcBorders>
              <w:bottom w:val="single" w:sz="8" w:color="auto"/>
            </w:tcBorders>
            <w:gridSpan w:val="3"/>
          </w:tcPr>
          <w:p>
            <w:pPr>
              <w:jc w:val="center"/>
              <w:ind w:left="1032"/>
              <w:spacing w:after="0" w:line="251" w:lineRule="exact"/>
              <w:rPr>
                <w:sz w:val="20"/>
                <w:szCs w:val="20"/>
                <w:color w:val="auto"/>
              </w:rPr>
            </w:pPr>
            <w:r>
              <w:rPr>
                <w:rFonts w:ascii="Arial" w:cs="Arial" w:eastAsia="Arial" w:hAnsi="Arial"/>
                <w:sz w:val="22"/>
                <w:szCs w:val="22"/>
                <w:color w:val="auto"/>
                <w:w w:val="91"/>
              </w:rPr>
              <w:t>March 31,</w:t>
            </w:r>
          </w:p>
        </w:tc>
        <w:tc>
          <w:tcPr>
            <w:tcW w:w="1140" w:type="dxa"/>
            <w:vAlign w:val="bottom"/>
            <w:tcBorders>
              <w:bottom w:val="single" w:sz="8" w:color="auto"/>
            </w:tcBorders>
          </w:tcPr>
          <w:p>
            <w:pPr>
              <w:spacing w:after="0"/>
              <w:rPr>
                <w:sz w:val="21"/>
                <w:szCs w:val="21"/>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2020</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rPr>
              <w:t>2019</w:t>
            </w:r>
          </w:p>
        </w:tc>
      </w:tr>
      <w:tr>
        <w:trPr>
          <w:trHeight w:val="223"/>
        </w:trPr>
        <w:tc>
          <w:tcPr>
            <w:tcW w:w="79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Average common shares outstanding during the period for basic computation</w:t>
            </w:r>
          </w:p>
        </w:tc>
        <w:tc>
          <w:tcPr>
            <w:tcW w:w="14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236,122</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178,213</w:t>
            </w:r>
          </w:p>
        </w:tc>
      </w:tr>
      <w:tr>
        <w:trPr>
          <w:trHeight w:val="229"/>
        </w:trPr>
        <w:tc>
          <w:tcPr>
            <w:tcW w:w="7900" w:type="dxa"/>
            <w:vAlign w:val="bottom"/>
          </w:tcPr>
          <w:p>
            <w:pPr>
              <w:spacing w:after="0" w:line="229" w:lineRule="exact"/>
              <w:rPr>
                <w:sz w:val="20"/>
                <w:szCs w:val="20"/>
                <w:color w:val="auto"/>
              </w:rPr>
            </w:pPr>
            <w:r>
              <w:rPr>
                <w:rFonts w:ascii="Arial" w:cs="Arial" w:eastAsia="Arial" w:hAnsi="Arial"/>
                <w:sz w:val="22"/>
                <w:szCs w:val="22"/>
                <w:color w:val="auto"/>
              </w:rPr>
              <w:t>Effect of dilutive securities: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9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Issuance of common stock from private placement</w:t>
            </w:r>
          </w:p>
        </w:tc>
        <w:tc>
          <w:tcPr>
            <w:tcW w:w="14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17,853</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r>
      <w:tr>
        <w:trPr>
          <w:trHeight w:val="230"/>
        </w:trPr>
        <w:tc>
          <w:tcPr>
            <w:tcW w:w="7900" w:type="dxa"/>
            <w:vAlign w:val="bottom"/>
          </w:tcPr>
          <w:p>
            <w:pPr>
              <w:ind w:left="120"/>
              <w:spacing w:after="0" w:line="229" w:lineRule="exact"/>
              <w:rPr>
                <w:sz w:val="20"/>
                <w:szCs w:val="20"/>
                <w:color w:val="auto"/>
              </w:rPr>
            </w:pPr>
            <w:r>
              <w:rPr>
                <w:rFonts w:ascii="Arial" w:cs="Arial" w:eastAsia="Arial" w:hAnsi="Arial"/>
                <w:sz w:val="22"/>
                <w:szCs w:val="22"/>
                <w:color w:val="auto"/>
              </w:rPr>
              <w:t>Tangible equity units</w:t>
            </w:r>
          </w:p>
        </w:tc>
        <w:tc>
          <w:tcPr>
            <w:tcW w:w="1440" w:type="dxa"/>
            <w:vAlign w:val="bottom"/>
          </w:tcPr>
          <w:p>
            <w:pPr>
              <w:jc w:val="right"/>
              <w:spacing w:after="0" w:line="229" w:lineRule="exact"/>
              <w:rPr>
                <w:sz w:val="20"/>
                <w:szCs w:val="20"/>
                <w:color w:val="auto"/>
              </w:rPr>
            </w:pPr>
            <w:r>
              <w:rPr>
                <w:rFonts w:ascii="Arial" w:cs="Arial" w:eastAsia="Arial" w:hAnsi="Arial"/>
                <w:sz w:val="22"/>
                <w:szCs w:val="22"/>
                <w:color w:val="auto"/>
              </w:rPr>
              <w:t>607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r>
      <w:tr>
        <w:trPr>
          <w:trHeight w:val="229"/>
        </w:trPr>
        <w:tc>
          <w:tcPr>
            <w:tcW w:w="79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Employee stock-based compensation</w:t>
            </w:r>
          </w:p>
        </w:tc>
        <w:tc>
          <w:tcPr>
            <w:tcW w:w="14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472</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339</w:t>
            </w:r>
          </w:p>
        </w:tc>
      </w:tr>
      <w:tr>
        <w:trPr>
          <w:trHeight w:val="223"/>
        </w:trPr>
        <w:tc>
          <w:tcPr>
            <w:tcW w:w="7900" w:type="dxa"/>
            <w:vAlign w:val="bottom"/>
          </w:tcPr>
          <w:p>
            <w:pPr>
              <w:spacing w:after="0" w:line="223" w:lineRule="exact"/>
              <w:rPr>
                <w:sz w:val="20"/>
                <w:szCs w:val="20"/>
                <w:color w:val="auto"/>
              </w:rPr>
            </w:pPr>
            <w:r>
              <w:rPr>
                <w:rFonts w:ascii="Arial" w:cs="Arial" w:eastAsia="Arial" w:hAnsi="Arial"/>
                <w:sz w:val="22"/>
                <w:szCs w:val="22"/>
                <w:color w:val="auto"/>
              </w:rPr>
              <w:t>Average common shares outstanding during the period for diluted computation</w:t>
            </w:r>
          </w:p>
        </w:tc>
        <w:tc>
          <w:tcPr>
            <w:tcW w:w="14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255,054</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178,552</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240"/>
        <w:spacing w:after="0" w:line="231" w:lineRule="auto"/>
        <w:rPr>
          <w:sz w:val="20"/>
          <w:szCs w:val="20"/>
          <w:color w:val="auto"/>
        </w:rPr>
      </w:pPr>
      <w:r>
        <w:rPr>
          <w:rFonts w:ascii="Arial" w:cs="Arial" w:eastAsia="Arial" w:hAnsi="Arial"/>
          <w:sz w:val="22"/>
          <w:szCs w:val="22"/>
          <w:color w:val="auto"/>
        </w:rPr>
        <w:t>For the three months ended March 31, 2020, the average common shares outstanding during the period for diluted computation reflects the impact of the issuance of common stock from the March 16, 2020 private placement as if the shares were issued on January 1, 2020.</w:t>
      </w:r>
    </w:p>
    <w:p>
      <w:pPr>
        <w:spacing w:after="0" w:line="188" w:lineRule="exact"/>
        <w:rPr>
          <w:sz w:val="20"/>
          <w:szCs w:val="20"/>
          <w:color w:val="auto"/>
        </w:rPr>
      </w:pPr>
    </w:p>
    <w:p>
      <w:pPr>
        <w:ind w:right="140"/>
        <w:spacing w:after="0" w:line="235" w:lineRule="auto"/>
        <w:rPr>
          <w:sz w:val="20"/>
          <w:szCs w:val="20"/>
          <w:color w:val="auto"/>
        </w:rPr>
      </w:pPr>
      <w:r>
        <w:rPr>
          <w:rFonts w:ascii="Arial" w:cs="Arial" w:eastAsia="Arial" w:hAnsi="Arial"/>
          <w:sz w:val="21"/>
          <w:szCs w:val="21"/>
          <w:color w:val="auto"/>
        </w:rPr>
        <w:t>For the three months ended March 31, 2020, the average common shares outstanding during the period for basic computation includes the weighted-average impact of 10,215,189 shares, based on the minimum number of shares of 9,091,432 to be issued in April 2022 upon settlement of the stock purchase contracts issued in April 2019 under the tangible equity units. Further, for the three months ended March 31, 2020, average common shares outstanding during the period for diluted computation includes the impact of the additional shares to be issued in April 2022 upon settlement of the stock purchase contracts based on the threshold appreciation price of $42.41.</w:t>
      </w:r>
    </w:p>
    <w:p>
      <w:pPr>
        <w:spacing w:after="0" w:line="188" w:lineRule="exact"/>
        <w:rPr>
          <w:sz w:val="20"/>
          <w:szCs w:val="20"/>
          <w:color w:val="auto"/>
        </w:rPr>
      </w:pPr>
    </w:p>
    <w:p>
      <w:pPr>
        <w:ind w:right="220"/>
        <w:spacing w:after="0" w:line="256" w:lineRule="auto"/>
        <w:rPr>
          <w:sz w:val="20"/>
          <w:szCs w:val="20"/>
          <w:color w:val="auto"/>
        </w:rPr>
      </w:pPr>
      <w:r>
        <w:rPr>
          <w:rFonts w:ascii="Arial" w:cs="Arial" w:eastAsia="Arial" w:hAnsi="Arial"/>
          <w:sz w:val="19"/>
          <w:szCs w:val="19"/>
          <w:color w:val="auto"/>
        </w:rPr>
        <w:t>For the three months ended March 31, 2020, all of the Company’s employee stock options were included in the calculations of diluted net income per share as the calculated cost to exercise employee stock options was less than the average market price of the Company’s common stock during this period. For the three months ended March 31, 2019, employee stock options to purchase 776,211 shares of common stock were excluded from the calculation of diluted net income per share as the calculated cost to exercise the stock options was greater than the average market price of the Company’s common stock</w:t>
      </w: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during this period. Additionally, the dilutive effect of performance share units and restricted share units granted are included in the Company’s calculation of diluted net income per share.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March 31, 2020, 2,447,574 shares were still available for issuance under the 2009 Plan. No further grants may be made under the Company’s 2004 Equity Compensation Plan.</w:t>
      </w:r>
    </w:p>
    <w:p>
      <w:pPr>
        <w:spacing w:after="0" w:line="171"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 Company’s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gridSpan w:val="3"/>
          </w:tcPr>
          <w:p>
            <w:pPr>
              <w:ind w:left="20"/>
              <w:spacing w:after="0"/>
              <w:rPr>
                <w:sz w:val="20"/>
                <w:szCs w:val="20"/>
                <w:color w:val="auto"/>
              </w:rPr>
            </w:pPr>
            <w:r>
              <w:rPr>
                <w:rFonts w:ascii="Arial" w:cs="Arial" w:eastAsia="Arial" w:hAnsi="Arial"/>
                <w:sz w:val="22"/>
                <w:szCs w:val="22"/>
                <w:color w:val="auto"/>
                <w:w w:val="89"/>
              </w:rPr>
              <w:t>Three Months Ended</w:t>
            </w:r>
          </w:p>
        </w:tc>
        <w:tc>
          <w:tcPr>
            <w:tcW w:w="1280" w:type="dxa"/>
            <w:vAlign w:val="bottom"/>
          </w:tcPr>
          <w:p>
            <w:pPr>
              <w:spacing w:after="0"/>
              <w:rPr>
                <w:sz w:val="21"/>
                <w:szCs w:val="21"/>
                <w:color w:val="auto"/>
              </w:rPr>
            </w:pPr>
          </w:p>
        </w:tc>
      </w:tr>
      <w:tr>
        <w:trPr>
          <w:trHeight w:val="251"/>
        </w:trPr>
        <w:tc>
          <w:tcPr>
            <w:tcW w:w="67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ind w:left="480"/>
              <w:spacing w:after="0" w:line="251" w:lineRule="exact"/>
              <w:rPr>
                <w:sz w:val="20"/>
                <w:szCs w:val="20"/>
                <w:color w:val="auto"/>
              </w:rPr>
            </w:pPr>
            <w:r>
              <w:rPr>
                <w:rFonts w:ascii="Arial" w:cs="Arial" w:eastAsia="Arial" w:hAnsi="Arial"/>
                <w:sz w:val="22"/>
                <w:szCs w:val="22"/>
                <w:color w:val="auto"/>
              </w:rPr>
              <w:t>March 31,</w:t>
            </w:r>
          </w:p>
        </w:tc>
        <w:tc>
          <w:tcPr>
            <w:tcW w:w="1280" w:type="dxa"/>
            <w:vAlign w:val="bottom"/>
            <w:tcBorders>
              <w:bottom w:val="single" w:sz="8" w:color="auto"/>
            </w:tcBorders>
          </w:tcPr>
          <w:p>
            <w:pPr>
              <w:spacing w:after="0"/>
              <w:rPr>
                <w:sz w:val="21"/>
                <w:szCs w:val="2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32"/>
              <w:spacing w:after="0" w:line="223" w:lineRule="exact"/>
              <w:rPr>
                <w:sz w:val="20"/>
                <w:szCs w:val="20"/>
                <w:color w:val="auto"/>
              </w:rPr>
            </w:pPr>
            <w:r>
              <w:rPr>
                <w:rFonts w:ascii="Arial" w:cs="Arial" w:eastAsia="Arial" w:hAnsi="Arial"/>
                <w:sz w:val="22"/>
                <w:szCs w:val="22"/>
                <w:color w:val="auto"/>
                <w:w w:val="85"/>
              </w:rPr>
              <w:t>2019</w:t>
            </w:r>
          </w:p>
        </w:tc>
      </w:tr>
      <w:tr>
        <w:trPr>
          <w:trHeight w:val="223"/>
        </w:trPr>
        <w:tc>
          <w:tcPr>
            <w:tcW w:w="67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w w:val="94"/>
              </w:rPr>
              <w:t>Stock-based compensation within operations and maintenance expenses</w:t>
            </w:r>
          </w:p>
        </w:tc>
        <w:tc>
          <w:tcPr>
            <w:tcW w:w="1300" w:type="dxa"/>
            <w:vAlign w:val="bottom"/>
            <w:shd w:val="clear" w:color="auto" w:fill="CCEEFF"/>
          </w:tcPr>
          <w:p>
            <w:pPr>
              <w:jc w:val="right"/>
              <w:ind w:right="1072"/>
              <w:spacing w:after="0" w:line="223" w:lineRule="exact"/>
              <w:rPr>
                <w:sz w:val="20"/>
                <w:szCs w:val="20"/>
                <w:color w:val="auto"/>
              </w:rPr>
            </w:pPr>
            <w:r>
              <w:rPr>
                <w:rFonts w:ascii="Arial" w:cs="Arial" w:eastAsia="Arial" w:hAnsi="Arial"/>
                <w:sz w:val="22"/>
                <w:szCs w:val="22"/>
                <w:color w:val="auto"/>
                <w:w w:val="81"/>
              </w:rPr>
              <w:t>$</w:t>
            </w:r>
          </w:p>
        </w:tc>
        <w:tc>
          <w:tcPr>
            <w:tcW w:w="800" w:type="dxa"/>
            <w:vAlign w:val="bottom"/>
            <w:shd w:val="clear" w:color="auto" w:fill="CCEEFF"/>
          </w:tcPr>
          <w:p>
            <w:pPr>
              <w:ind w:left="480"/>
              <w:spacing w:after="0" w:line="223" w:lineRule="exact"/>
              <w:rPr>
                <w:sz w:val="20"/>
                <w:szCs w:val="20"/>
                <w:color w:val="auto"/>
              </w:rPr>
            </w:pPr>
            <w:r>
              <w:rPr>
                <w:rFonts w:ascii="Arial" w:cs="Arial" w:eastAsia="Arial" w:hAnsi="Arial"/>
                <w:sz w:val="22"/>
                <w:szCs w:val="22"/>
                <w:color w:val="auto"/>
                <w:w w:val="81"/>
              </w:rPr>
              <w:t>510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2"/>
              <w:spacing w:after="0" w:line="223" w:lineRule="exact"/>
              <w:rPr>
                <w:sz w:val="20"/>
                <w:szCs w:val="20"/>
                <w:color w:val="auto"/>
              </w:rPr>
            </w:pPr>
            <w:r>
              <w:rPr>
                <w:rFonts w:ascii="Arial" w:cs="Arial" w:eastAsia="Arial" w:hAnsi="Arial"/>
                <w:sz w:val="22"/>
                <w:szCs w:val="22"/>
                <w:color w:val="auto"/>
                <w:w w:val="81"/>
              </w:rPr>
              <w:t>$</w:t>
            </w:r>
          </w:p>
        </w:tc>
        <w:tc>
          <w:tcPr>
            <w:tcW w:w="12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997</w:t>
            </w:r>
          </w:p>
        </w:tc>
      </w:tr>
      <w:tr>
        <w:trPr>
          <w:trHeight w:val="274"/>
        </w:trPr>
        <w:tc>
          <w:tcPr>
            <w:tcW w:w="6780" w:type="dxa"/>
            <w:vAlign w:val="bottom"/>
          </w:tcPr>
          <w:p>
            <w:pPr>
              <w:spacing w:after="0"/>
              <w:rPr>
                <w:sz w:val="20"/>
                <w:szCs w:val="20"/>
                <w:color w:val="auto"/>
              </w:rPr>
            </w:pPr>
            <w:r>
              <w:rPr>
                <w:rFonts w:ascii="Arial" w:cs="Arial" w:eastAsia="Arial" w:hAnsi="Arial"/>
                <w:sz w:val="22"/>
                <w:szCs w:val="22"/>
                <w:color w:val="auto"/>
              </w:rPr>
              <w:t>Income tax benefit</w:t>
            </w:r>
          </w:p>
        </w:tc>
        <w:tc>
          <w:tcPr>
            <w:tcW w:w="1300" w:type="dxa"/>
            <w:vAlign w:val="bottom"/>
          </w:tcPr>
          <w:p>
            <w:pPr>
              <w:spacing w:after="0"/>
              <w:rPr>
                <w:sz w:val="23"/>
                <w:szCs w:val="23"/>
                <w:color w:val="auto"/>
              </w:rPr>
            </w:pPr>
          </w:p>
        </w:tc>
        <w:tc>
          <w:tcPr>
            <w:tcW w:w="800" w:type="dxa"/>
            <w:vAlign w:val="bottom"/>
          </w:tcPr>
          <w:p>
            <w:pPr>
              <w:ind w:left="480"/>
              <w:spacing w:after="0"/>
              <w:rPr>
                <w:sz w:val="20"/>
                <w:szCs w:val="20"/>
                <w:color w:val="auto"/>
              </w:rPr>
            </w:pPr>
            <w:r>
              <w:rPr>
                <w:rFonts w:ascii="Arial" w:cs="Arial" w:eastAsia="Arial" w:hAnsi="Arial"/>
                <w:sz w:val="22"/>
                <w:szCs w:val="22"/>
                <w:color w:val="auto"/>
                <w:w w:val="81"/>
              </w:rPr>
              <w:t>144</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227</w:t>
            </w:r>
          </w:p>
        </w:tc>
      </w:tr>
      <w:tr>
        <w:trPr>
          <w:trHeight w:val="438"/>
        </w:trPr>
        <w:tc>
          <w:tcPr>
            <w:tcW w:w="6780" w:type="dxa"/>
            <w:vAlign w:val="bottom"/>
          </w:tcPr>
          <w:p>
            <w:pPr>
              <w:jc w:val="right"/>
              <w:ind w:right="932"/>
              <w:spacing w:after="0"/>
              <w:rPr>
                <w:sz w:val="20"/>
                <w:szCs w:val="20"/>
                <w:color w:val="auto"/>
              </w:rPr>
            </w:pPr>
            <w:r>
              <w:rPr>
                <w:rFonts w:ascii="Arial" w:cs="Arial" w:eastAsia="Arial" w:hAnsi="Arial"/>
                <w:sz w:val="22"/>
                <w:szCs w:val="22"/>
                <w:color w:val="auto"/>
              </w:rPr>
              <w:t>25</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7"/>
        </w:trPr>
        <w:tc>
          <w:tcPr>
            <w:tcW w:w="6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three months ended March 31,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72"/>
              <w:spacing w:after="0"/>
              <w:rPr>
                <w:sz w:val="20"/>
                <w:szCs w:val="20"/>
                <w:color w:val="auto"/>
              </w:rPr>
            </w:pPr>
            <w:r>
              <w:rPr>
                <w:rFonts w:ascii="Arial" w:cs="Arial" w:eastAsia="Arial" w:hAnsi="Arial"/>
                <w:sz w:val="22"/>
                <w:szCs w:val="22"/>
                <w:color w:val="auto"/>
                <w:w w:val="88"/>
              </w:rPr>
              <w:t>Weighted</w:t>
            </w:r>
          </w:p>
        </w:tc>
      </w:tr>
      <w:tr>
        <w:trPr>
          <w:trHeight w:val="230"/>
        </w:trPr>
        <w:tc>
          <w:tcPr>
            <w:tcW w:w="804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04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Share Units</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80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15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261,398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81"/>
              </w:rPr>
              <w:t>$</w:t>
            </w:r>
          </w:p>
        </w:tc>
        <w:tc>
          <w:tcPr>
            <w:tcW w:w="12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16.35</w:t>
            </w:r>
          </w:p>
        </w:tc>
      </w:tr>
      <w:tr>
        <w:trPr>
          <w:trHeight w:val="229"/>
        </w:trPr>
        <w:tc>
          <w:tcPr>
            <w:tcW w:w="80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118,924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52.09</w:t>
            </w:r>
          </w:p>
        </w:tc>
      </w:tr>
      <w:tr>
        <w:trPr>
          <w:trHeight w:val="229"/>
        </w:trPr>
        <w:tc>
          <w:tcPr>
            <w:tcW w:w="80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Performance criteria adjustment</w:t>
            </w:r>
          </w:p>
        </w:tc>
        <w:tc>
          <w:tcPr>
            <w:tcW w:w="15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18,954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36.77</w:t>
            </w:r>
          </w:p>
        </w:tc>
      </w:tr>
      <w:tr>
        <w:trPr>
          <w:trHeight w:val="230"/>
        </w:trPr>
        <w:tc>
          <w:tcPr>
            <w:tcW w:w="804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(653)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36.09</w:t>
            </w:r>
          </w:p>
        </w:tc>
      </w:tr>
      <w:tr>
        <w:trPr>
          <w:trHeight w:val="229"/>
        </w:trPr>
        <w:tc>
          <w:tcPr>
            <w:tcW w:w="80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Share units issued</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(169,352)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25.75</w:t>
            </w:r>
          </w:p>
        </w:tc>
      </w:tr>
      <w:tr>
        <w:trPr>
          <w:trHeight w:val="223"/>
        </w:trPr>
        <w:tc>
          <w:tcPr>
            <w:tcW w:w="804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15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229,271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20"/>
        <w:spacing w:after="0" w:line="231" w:lineRule="auto"/>
        <w:rPr>
          <w:sz w:val="20"/>
          <w:szCs w:val="20"/>
          <w:color w:val="auto"/>
        </w:rPr>
      </w:pPr>
      <w:r>
        <w:rPr>
          <w:rFonts w:ascii="Arial" w:cs="Arial" w:eastAsia="Arial" w:hAnsi="Arial"/>
          <w:sz w:val="21"/>
          <w:szCs w:val="21"/>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three months ended March 31, 2020 was $52.09. The Company did not grant PSUs for the three months ended March 31, 2019.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94" w:lineRule="exact"/>
        <w:rPr>
          <w:sz w:val="20"/>
          <w:szCs w:val="20"/>
          <w:color w:val="auto"/>
        </w:rPr>
      </w:pPr>
    </w:p>
    <w:p>
      <w:pPr>
        <w:ind w:right="60"/>
        <w:spacing w:after="0" w:line="235"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 Company’s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20" w:type="dxa"/>
            <w:vAlign w:val="bottom"/>
            <w:gridSpan w:val="3"/>
          </w:tcPr>
          <w:p>
            <w:pPr>
              <w:jc w:val="center"/>
              <w:ind w:right="477"/>
              <w:spacing w:after="0"/>
              <w:rPr>
                <w:sz w:val="20"/>
                <w:szCs w:val="20"/>
                <w:color w:val="auto"/>
              </w:rPr>
            </w:pPr>
            <w:r>
              <w:rPr>
                <w:rFonts w:ascii="Arial" w:cs="Arial" w:eastAsia="Arial" w:hAnsi="Arial"/>
                <w:sz w:val="22"/>
                <w:szCs w:val="22"/>
                <w:color w:val="auto"/>
                <w:w w:val="89"/>
              </w:rPr>
              <w:t>Three Months Ended</w:t>
            </w:r>
          </w:p>
        </w:tc>
        <w:tc>
          <w:tcPr>
            <w:tcW w:w="580" w:type="dxa"/>
            <w:vAlign w:val="bottom"/>
          </w:tcPr>
          <w:p>
            <w:pPr>
              <w:spacing w:after="0"/>
              <w:rPr>
                <w:sz w:val="21"/>
                <w:szCs w:val="21"/>
                <w:color w:val="auto"/>
              </w:rPr>
            </w:pPr>
          </w:p>
        </w:tc>
      </w:tr>
      <w:tr>
        <w:trPr>
          <w:trHeight w:val="251"/>
        </w:trPr>
        <w:tc>
          <w:tcPr>
            <w:tcW w:w="708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center"/>
              <w:ind w:right="477"/>
              <w:spacing w:after="0" w:line="251" w:lineRule="exact"/>
              <w:rPr>
                <w:sz w:val="20"/>
                <w:szCs w:val="20"/>
                <w:color w:val="auto"/>
              </w:rPr>
            </w:pPr>
            <w:r>
              <w:rPr>
                <w:rFonts w:ascii="Arial" w:cs="Arial" w:eastAsia="Arial" w:hAnsi="Arial"/>
                <w:sz w:val="22"/>
                <w:szCs w:val="22"/>
                <w:color w:val="auto"/>
                <w:w w:val="89"/>
              </w:rPr>
              <w:t>March 31,</w:t>
            </w:r>
          </w:p>
        </w:tc>
        <w:tc>
          <w:tcPr>
            <w:tcW w:w="580" w:type="dxa"/>
            <w:vAlign w:val="bottom"/>
            <w:tcBorders>
              <w:bottom w:val="single" w:sz="8" w:color="auto"/>
            </w:tcBorders>
          </w:tcPr>
          <w:p>
            <w:pPr>
              <w:spacing w:after="0"/>
              <w:rPr>
                <w:sz w:val="21"/>
                <w:szCs w:val="21"/>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77"/>
              <w:spacing w:after="0" w:line="223" w:lineRule="exact"/>
              <w:rPr>
                <w:sz w:val="20"/>
                <w:szCs w:val="20"/>
                <w:color w:val="auto"/>
              </w:rPr>
            </w:pPr>
            <w:r>
              <w:rPr>
                <w:rFonts w:ascii="Arial" w:cs="Arial" w:eastAsia="Arial" w:hAnsi="Arial"/>
                <w:sz w:val="22"/>
                <w:szCs w:val="22"/>
                <w:color w:val="auto"/>
              </w:rPr>
              <w:t>2019</w:t>
            </w:r>
          </w:p>
        </w:tc>
        <w:tc>
          <w:tcPr>
            <w:tcW w:w="58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w w:val="99"/>
              </w:rPr>
              <w:t>Stock-based compensation within operations and maintenance expenses</w:t>
            </w:r>
          </w:p>
        </w:tc>
        <w:tc>
          <w:tcPr>
            <w:tcW w:w="1160" w:type="dxa"/>
            <w:vAlign w:val="bottom"/>
            <w:shd w:val="clear" w:color="auto" w:fill="CCEEFF"/>
          </w:tcPr>
          <w:p>
            <w:pPr>
              <w:jc w:val="right"/>
              <w:ind w:right="932"/>
              <w:spacing w:after="0" w:line="223" w:lineRule="exact"/>
              <w:rPr>
                <w:sz w:val="20"/>
                <w:szCs w:val="20"/>
                <w:color w:val="auto"/>
              </w:rPr>
            </w:pPr>
            <w:r>
              <w:rPr>
                <w:rFonts w:ascii="Arial" w:cs="Arial" w:eastAsia="Arial" w:hAnsi="Arial"/>
                <w:sz w:val="22"/>
                <w:szCs w:val="22"/>
                <w:color w:val="auto"/>
                <w:w w:val="81"/>
              </w:rPr>
              <w:t>$</w:t>
            </w: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486</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7"/>
              <w:spacing w:after="0"/>
              <w:rPr>
                <w:sz w:val="20"/>
                <w:szCs w:val="20"/>
                <w:color w:val="auto"/>
              </w:rPr>
            </w:pPr>
            <w:r>
              <w:rPr>
                <w:rFonts w:ascii="Arial" w:cs="Arial" w:eastAsia="Arial" w:hAnsi="Arial"/>
                <w:sz w:val="19"/>
                <w:szCs w:val="19"/>
                <w:color w:val="auto"/>
                <w:w w:val="75"/>
              </w:rPr>
              <w:t>$</w:t>
            </w:r>
          </w:p>
        </w:tc>
        <w:tc>
          <w:tcPr>
            <w:tcW w:w="5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425</w:t>
            </w:r>
          </w:p>
        </w:tc>
      </w:tr>
      <w:tr>
        <w:trPr>
          <w:trHeight w:val="274"/>
        </w:trPr>
        <w:tc>
          <w:tcPr>
            <w:tcW w:w="7080" w:type="dxa"/>
            <w:vAlign w:val="bottom"/>
          </w:tcPr>
          <w:p>
            <w:pPr>
              <w:spacing w:after="0"/>
              <w:rPr>
                <w:sz w:val="20"/>
                <w:szCs w:val="20"/>
                <w:color w:val="auto"/>
              </w:rPr>
            </w:pPr>
            <w:r>
              <w:rPr>
                <w:rFonts w:ascii="Arial" w:cs="Arial" w:eastAsia="Arial" w:hAnsi="Arial"/>
                <w:sz w:val="22"/>
                <w:szCs w:val="22"/>
                <w:color w:val="auto"/>
              </w:rPr>
              <w:t>Income tax benefit</w:t>
            </w:r>
          </w:p>
        </w:tc>
        <w:tc>
          <w:tcPr>
            <w:tcW w:w="1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136</w:t>
            </w: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451"/>
        </w:trPr>
        <w:tc>
          <w:tcPr>
            <w:tcW w:w="7080" w:type="dxa"/>
            <w:vAlign w:val="bottom"/>
          </w:tcPr>
          <w:p>
            <w:pPr>
              <w:jc w:val="right"/>
              <w:ind w:right="1232"/>
              <w:spacing w:after="0"/>
              <w:rPr>
                <w:sz w:val="20"/>
                <w:szCs w:val="20"/>
                <w:color w:val="auto"/>
              </w:rPr>
            </w:pPr>
            <w:r>
              <w:rPr>
                <w:rFonts w:ascii="Arial" w:cs="Arial" w:eastAsia="Arial" w:hAnsi="Arial"/>
                <w:sz w:val="22"/>
                <w:szCs w:val="22"/>
                <w:color w:val="auto"/>
              </w:rPr>
              <w:t>26</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7"/>
        </w:trPr>
        <w:tc>
          <w:tcPr>
            <w:tcW w:w="7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three months ended March 31, 2020:</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29"/>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940" w:type="dxa"/>
            <w:vAlign w:val="bottom"/>
          </w:tcPr>
          <w:p>
            <w:pPr>
              <w:spacing w:after="0"/>
              <w:rPr>
                <w:sz w:val="21"/>
                <w:szCs w:val="21"/>
                <w:color w:val="auto"/>
              </w:rPr>
            </w:pPr>
          </w:p>
        </w:tc>
        <w:tc>
          <w:tcPr>
            <w:tcW w:w="1680" w:type="dxa"/>
            <w:vAlign w:val="bottom"/>
            <w:gridSpan w:val="2"/>
          </w:tcPr>
          <w:p>
            <w:pPr>
              <w:jc w:val="center"/>
              <w:ind w:right="220"/>
              <w:spacing w:after="0" w:line="251" w:lineRule="exact"/>
              <w:rPr>
                <w:sz w:val="20"/>
                <w:szCs w:val="20"/>
                <w:color w:val="auto"/>
              </w:rPr>
            </w:pPr>
            <w:r>
              <w:rPr>
                <w:rFonts w:ascii="Arial" w:cs="Arial" w:eastAsia="Arial" w:hAnsi="Arial"/>
                <w:sz w:val="22"/>
                <w:szCs w:val="22"/>
                <w:color w:val="auto"/>
                <w:w w:val="91"/>
              </w:rPr>
              <w:t>Stock Units</w:t>
            </w:r>
          </w:p>
        </w:tc>
        <w:tc>
          <w:tcPr>
            <w:tcW w:w="240" w:type="dxa"/>
            <w:vAlign w:val="bottom"/>
          </w:tcPr>
          <w:p>
            <w:pPr>
              <w:spacing w:after="0"/>
              <w:rPr>
                <w:sz w:val="21"/>
                <w:szCs w:val="21"/>
                <w:color w:val="auto"/>
              </w:rPr>
            </w:pPr>
          </w:p>
        </w:tc>
        <w:tc>
          <w:tcPr>
            <w:tcW w:w="1380" w:type="dxa"/>
            <w:vAlign w:val="bottom"/>
          </w:tcPr>
          <w:p>
            <w:pPr>
              <w:jc w:val="center"/>
              <w:ind w:right="1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141,884</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34.39</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68,901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47.10</w:t>
            </w:r>
          </w:p>
        </w:tc>
      </w:tr>
      <w:tr>
        <w:trPr>
          <w:trHeight w:val="229"/>
        </w:trPr>
        <w:tc>
          <w:tcPr>
            <w:tcW w:w="79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(38,643)</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31.05</w:t>
            </w:r>
          </w:p>
        </w:tc>
      </w:tr>
      <w:tr>
        <w:trPr>
          <w:trHeight w:val="229"/>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(90)</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36.01</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172,052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40.17</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three months ended March 31, 2020 and 2019 was $47.10 and $36.01, respectively.</w:t>
      </w:r>
    </w:p>
    <w:p>
      <w:pPr>
        <w:spacing w:after="0" w:line="185"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80" w:type="dxa"/>
            <w:vAlign w:val="bottom"/>
            <w:gridSpan w:val="4"/>
          </w:tcPr>
          <w:p>
            <w:pPr>
              <w:jc w:val="center"/>
              <w:ind w:left="416"/>
              <w:spacing w:after="0"/>
              <w:rPr>
                <w:sz w:val="20"/>
                <w:szCs w:val="20"/>
                <w:color w:val="auto"/>
              </w:rPr>
            </w:pPr>
            <w:r>
              <w:rPr>
                <w:rFonts w:ascii="Arial" w:cs="Arial" w:eastAsia="Arial" w:hAnsi="Arial"/>
                <w:sz w:val="22"/>
                <w:szCs w:val="22"/>
                <w:color w:val="auto"/>
                <w:w w:val="88"/>
              </w:rPr>
              <w:t>Three Months Ended</w:t>
            </w:r>
          </w:p>
        </w:tc>
        <w:tc>
          <w:tcPr>
            <w:tcW w:w="540" w:type="dxa"/>
            <w:vAlign w:val="bottom"/>
          </w:tcPr>
          <w:p>
            <w:pPr>
              <w:spacing w:after="0"/>
              <w:rPr>
                <w:sz w:val="21"/>
                <w:szCs w:val="21"/>
                <w:color w:val="auto"/>
              </w:rPr>
            </w:pPr>
          </w:p>
        </w:tc>
      </w:tr>
      <w:tr>
        <w:trPr>
          <w:trHeight w:val="251"/>
        </w:trPr>
        <w:tc>
          <w:tcPr>
            <w:tcW w:w="6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right="643"/>
              <w:spacing w:after="0" w:line="251" w:lineRule="exact"/>
              <w:rPr>
                <w:sz w:val="20"/>
                <w:szCs w:val="20"/>
                <w:color w:val="auto"/>
              </w:rPr>
            </w:pPr>
            <w:r>
              <w:rPr>
                <w:rFonts w:ascii="Arial" w:cs="Arial" w:eastAsia="Arial" w:hAnsi="Arial"/>
                <w:sz w:val="22"/>
                <w:szCs w:val="22"/>
                <w:color w:val="auto"/>
                <w:w w:val="89"/>
              </w:rPr>
              <w:t>March 31,</w:t>
            </w:r>
          </w:p>
        </w:tc>
        <w:tc>
          <w:tcPr>
            <w:tcW w:w="540" w:type="dxa"/>
            <w:vAlign w:val="bottom"/>
            <w:tcBorders>
              <w:bottom w:val="single" w:sz="8" w:color="auto"/>
            </w:tcBorders>
          </w:tcPr>
          <w:p>
            <w:pPr>
              <w:spacing w:after="0"/>
              <w:rPr>
                <w:sz w:val="21"/>
                <w:szCs w:val="21"/>
                <w:color w:val="auto"/>
              </w:rPr>
            </w:pPr>
          </w:p>
        </w:tc>
      </w:tr>
      <w:tr>
        <w:trPr>
          <w:trHeight w:val="223"/>
        </w:trPr>
        <w:tc>
          <w:tcPr>
            <w:tcW w:w="6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ind w:right="56"/>
              <w:spacing w:after="0" w:line="223" w:lineRule="exact"/>
              <w:rPr>
                <w:sz w:val="20"/>
                <w:szCs w:val="20"/>
                <w:color w:val="auto"/>
              </w:rPr>
            </w:pPr>
            <w:r>
              <w:rPr>
                <w:rFonts w:ascii="Arial" w:cs="Arial" w:eastAsia="Arial" w:hAnsi="Arial"/>
                <w:sz w:val="22"/>
                <w:szCs w:val="22"/>
                <w:color w:val="auto"/>
              </w:rPr>
              <w:t>2020</w:t>
            </w:r>
          </w:p>
        </w:tc>
        <w:tc>
          <w:tcPr>
            <w:tcW w:w="540" w:type="dxa"/>
            <w:vAlign w:val="bottom"/>
          </w:tcPr>
          <w:p>
            <w:pPr>
              <w:spacing w:after="0"/>
              <w:rPr>
                <w:sz w:val="19"/>
                <w:szCs w:val="19"/>
                <w:color w:val="auto"/>
              </w:rPr>
            </w:pPr>
          </w:p>
        </w:tc>
        <w:tc>
          <w:tcPr>
            <w:tcW w:w="1560" w:type="dxa"/>
            <w:vAlign w:val="bottom"/>
            <w:gridSpan w:val="2"/>
          </w:tcPr>
          <w:p>
            <w:pPr>
              <w:jc w:val="right"/>
              <w:ind w:right="63"/>
              <w:spacing w:after="0" w:line="223" w:lineRule="exact"/>
              <w:rPr>
                <w:sz w:val="20"/>
                <w:szCs w:val="20"/>
                <w:color w:val="auto"/>
              </w:rPr>
            </w:pPr>
            <w:r>
              <w:rPr>
                <w:rFonts w:ascii="Arial" w:cs="Arial" w:eastAsia="Arial" w:hAnsi="Arial"/>
                <w:sz w:val="22"/>
                <w:szCs w:val="22"/>
                <w:color w:val="auto"/>
              </w:rPr>
              <w:t>2019</w:t>
            </w:r>
          </w:p>
        </w:tc>
        <w:tc>
          <w:tcPr>
            <w:tcW w:w="540" w:type="dxa"/>
            <w:vAlign w:val="bottom"/>
          </w:tcPr>
          <w:p>
            <w:pPr>
              <w:spacing w:after="0"/>
              <w:rPr>
                <w:sz w:val="19"/>
                <w:szCs w:val="19"/>
                <w:color w:val="auto"/>
              </w:rPr>
            </w:pPr>
          </w:p>
        </w:tc>
      </w:tr>
      <w:tr>
        <w:trPr>
          <w:trHeight w:val="223"/>
        </w:trPr>
        <w:tc>
          <w:tcPr>
            <w:tcW w:w="67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w w:val="94"/>
              </w:rPr>
              <w:t>Stock-based compensation within operations and maintenance expenses</w:t>
            </w:r>
          </w:p>
        </w:tc>
        <w:tc>
          <w:tcPr>
            <w:tcW w:w="5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6"/>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501</w:t>
            </w:r>
          </w:p>
        </w:tc>
        <w:tc>
          <w:tcPr>
            <w:tcW w:w="2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83"/>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328</w:t>
            </w:r>
          </w:p>
        </w:tc>
      </w:tr>
      <w:tr>
        <w:trPr>
          <w:trHeight w:val="274"/>
        </w:trPr>
        <w:tc>
          <w:tcPr>
            <w:tcW w:w="6760" w:type="dxa"/>
            <w:vAlign w:val="bottom"/>
          </w:tcPr>
          <w:p>
            <w:pPr>
              <w:spacing w:after="0"/>
              <w:rPr>
                <w:sz w:val="20"/>
                <w:szCs w:val="20"/>
                <w:color w:val="auto"/>
              </w:rPr>
            </w:pPr>
            <w:r>
              <w:rPr>
                <w:rFonts w:ascii="Arial" w:cs="Arial" w:eastAsia="Arial" w:hAnsi="Arial"/>
                <w:sz w:val="22"/>
                <w:szCs w:val="22"/>
                <w:color w:val="auto"/>
              </w:rPr>
              <w:t>Income tax benefit</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142</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92</w:t>
            </w:r>
          </w:p>
        </w:tc>
      </w:tr>
    </w:tbl>
    <w:p>
      <w:pPr>
        <w:spacing w:after="0" w:line="393" w:lineRule="exact"/>
        <w:rPr>
          <w:sz w:val="20"/>
          <w:szCs w:val="20"/>
          <w:color w:val="auto"/>
        </w:rPr>
      </w:pPr>
    </w:p>
    <w:p>
      <w:pPr>
        <w:ind w:right="960"/>
        <w:spacing w:after="0" w:line="239"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4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1012"/>
              <w:spacing w:after="0"/>
              <w:rPr>
                <w:sz w:val="20"/>
                <w:szCs w:val="20"/>
                <w:color w:val="auto"/>
              </w:rPr>
            </w:pPr>
            <w:r>
              <w:rPr>
                <w:rFonts w:ascii="Arial" w:cs="Arial" w:eastAsia="Arial" w:hAnsi="Arial"/>
                <w:sz w:val="22"/>
                <w:szCs w:val="22"/>
                <w:color w:val="auto"/>
              </w:rPr>
              <w:t>2019</w:t>
            </w:r>
          </w:p>
        </w:tc>
      </w:tr>
      <w:tr>
        <w:trPr>
          <w:trHeight w:val="223"/>
        </w:trPr>
        <w:tc>
          <w:tcPr>
            <w:tcW w:w="56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Expected term (years)</w:t>
            </w:r>
          </w:p>
        </w:tc>
        <w:tc>
          <w:tcPr>
            <w:tcW w:w="2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5.47</w:t>
            </w:r>
          </w:p>
        </w:tc>
      </w:tr>
      <w:tr>
        <w:trPr>
          <w:trHeight w:val="229"/>
        </w:trPr>
        <w:tc>
          <w:tcPr>
            <w:tcW w:w="5640" w:type="dxa"/>
            <w:vAlign w:val="bottom"/>
          </w:tcPr>
          <w:p>
            <w:pPr>
              <w:spacing w:after="0" w:line="229" w:lineRule="exact"/>
              <w:rPr>
                <w:sz w:val="20"/>
                <w:szCs w:val="20"/>
                <w:color w:val="auto"/>
              </w:rPr>
            </w:pPr>
            <w:r>
              <w:rPr>
                <w:rFonts w:ascii="Arial" w:cs="Arial" w:eastAsia="Arial" w:hAnsi="Arial"/>
                <w:sz w:val="22"/>
                <w:szCs w:val="22"/>
                <w:color w:val="auto"/>
              </w:rPr>
              <w:t>Risk-free interest rate</w:t>
            </w:r>
          </w:p>
        </w:tc>
        <w:tc>
          <w:tcPr>
            <w:tcW w:w="2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line="229" w:lineRule="exact"/>
              <w:rPr>
                <w:sz w:val="20"/>
                <w:szCs w:val="20"/>
                <w:color w:val="auto"/>
              </w:rPr>
            </w:pPr>
            <w:r>
              <w:rPr>
                <w:rFonts w:ascii="Arial" w:cs="Arial" w:eastAsia="Arial" w:hAnsi="Arial"/>
                <w:sz w:val="22"/>
                <w:szCs w:val="22"/>
                <w:color w:val="auto"/>
              </w:rPr>
              <w:t>2.53%</w:t>
            </w:r>
          </w:p>
        </w:tc>
      </w:tr>
      <w:tr>
        <w:trPr>
          <w:trHeight w:val="230"/>
        </w:trPr>
        <w:tc>
          <w:tcPr>
            <w:tcW w:w="56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volatility</w:t>
            </w:r>
          </w:p>
        </w:tc>
        <w:tc>
          <w:tcPr>
            <w:tcW w:w="2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17.7%</w:t>
            </w:r>
          </w:p>
        </w:tc>
      </w:tr>
      <w:tr>
        <w:trPr>
          <w:trHeight w:val="230"/>
        </w:trPr>
        <w:tc>
          <w:tcPr>
            <w:tcW w:w="5640" w:type="dxa"/>
            <w:vAlign w:val="bottom"/>
          </w:tcPr>
          <w:p>
            <w:pPr>
              <w:spacing w:after="0" w:line="229" w:lineRule="exact"/>
              <w:rPr>
                <w:sz w:val="20"/>
                <w:szCs w:val="20"/>
                <w:color w:val="auto"/>
              </w:rPr>
            </w:pPr>
            <w:r>
              <w:rPr>
                <w:rFonts w:ascii="Arial" w:cs="Arial" w:eastAsia="Arial" w:hAnsi="Arial"/>
                <w:sz w:val="22"/>
                <w:szCs w:val="22"/>
                <w:color w:val="auto"/>
              </w:rPr>
              <w:t>Dividend yield</w:t>
            </w:r>
          </w:p>
        </w:tc>
        <w:tc>
          <w:tcPr>
            <w:tcW w:w="2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jc w:val="right"/>
              <w:spacing w:after="0" w:line="229" w:lineRule="exact"/>
              <w:rPr>
                <w:sz w:val="20"/>
                <w:szCs w:val="20"/>
                <w:color w:val="auto"/>
              </w:rPr>
            </w:pPr>
            <w:r>
              <w:rPr>
                <w:rFonts w:ascii="Arial" w:cs="Arial" w:eastAsia="Arial" w:hAnsi="Arial"/>
                <w:sz w:val="22"/>
                <w:szCs w:val="22"/>
                <w:color w:val="auto"/>
              </w:rPr>
              <w:t>2.44%</w:t>
            </w:r>
          </w:p>
        </w:tc>
      </w:tr>
      <w:tr>
        <w:trPr>
          <w:trHeight w:val="230"/>
        </w:trPr>
        <w:tc>
          <w:tcPr>
            <w:tcW w:w="56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Grant date fair value per option</w:t>
            </w:r>
          </w:p>
        </w:tc>
        <w:tc>
          <w:tcPr>
            <w:tcW w:w="3540" w:type="dxa"/>
            <w:vAlign w:val="bottom"/>
            <w:gridSpan w:val="2"/>
            <w:shd w:val="clear" w:color="auto" w:fill="CCEEFF"/>
          </w:tcPr>
          <w:p>
            <w:pPr>
              <w:jc w:val="right"/>
              <w:ind w:right="520"/>
              <w:spacing w:after="0" w:line="229" w:lineRule="exact"/>
              <w:rPr>
                <w:sz w:val="20"/>
                <w:szCs w:val="20"/>
                <w:color w:val="auto"/>
              </w:rPr>
            </w:pPr>
            <w:r>
              <w:rPr>
                <w:rFonts w:ascii="Arial" w:cs="Arial" w:eastAsia="Arial" w:hAnsi="Arial"/>
                <w:sz w:val="22"/>
                <w:szCs w:val="22"/>
                <w:color w:val="auto"/>
              </w:rPr>
              <w:t>$</w:t>
            </w:r>
          </w:p>
        </w:tc>
        <w:tc>
          <w:tcPr>
            <w:tcW w:w="2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5.25</w:t>
            </w:r>
          </w:p>
        </w:tc>
      </w:tr>
    </w:tbl>
    <w:p>
      <w:pPr>
        <w:spacing w:after="0" w:line="20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Historical information was the principal basis for the selection of the expected term and dividend yield. The expected volatility is based on a weighted-average combination of historical and implied volatilities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over a time period that approximates the expected term of the option. The risk-free interest rate was selected based upon the U.S.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Treasury yield curve in effect at the time of grant for the expected term of the option.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Company did not grant stock options for the three months ended March 31,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three months ended March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22"/>
                <w:szCs w:val="22"/>
                <w:color w:val="auto"/>
                <w:w w:val="90"/>
              </w:rPr>
              <w:t>Weighted</w:t>
            </w:r>
          </w:p>
        </w:tc>
        <w:tc>
          <w:tcPr>
            <w:tcW w:w="1180" w:type="dxa"/>
            <w:vAlign w:val="bottom"/>
          </w:tcPr>
          <w:p>
            <w:pPr>
              <w:jc w:val="center"/>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9"/>
        </w:trPr>
        <w:tc>
          <w:tcPr>
            <w:tcW w:w="5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60"/>
              <w:spacing w:after="0" w:line="229" w:lineRule="exact"/>
              <w:rPr>
                <w:sz w:val="20"/>
                <w:szCs w:val="20"/>
                <w:color w:val="auto"/>
              </w:rPr>
            </w:pPr>
            <w:r>
              <w:rPr>
                <w:rFonts w:ascii="Arial" w:cs="Arial" w:eastAsia="Arial" w:hAnsi="Arial"/>
                <w:sz w:val="22"/>
                <w:szCs w:val="22"/>
                <w:color w:val="auto"/>
                <w:w w:val="87"/>
              </w:rPr>
              <w:t>Average</w:t>
            </w:r>
          </w:p>
        </w:tc>
        <w:tc>
          <w:tcPr>
            <w:tcW w:w="1180" w:type="dxa"/>
            <w:vAlign w:val="bottom"/>
          </w:tcPr>
          <w:p>
            <w:pPr>
              <w:jc w:val="center"/>
              <w:spacing w:after="0" w:line="229" w:lineRule="exact"/>
              <w:rPr>
                <w:sz w:val="20"/>
                <w:szCs w:val="20"/>
                <w:color w:val="auto"/>
              </w:rPr>
            </w:pPr>
            <w:r>
              <w:rPr>
                <w:rFonts w:ascii="Arial" w:cs="Arial" w:eastAsia="Arial" w:hAnsi="Arial"/>
                <w:sz w:val="22"/>
                <w:szCs w:val="22"/>
                <w:color w:val="auto"/>
                <w:w w:val="85"/>
              </w:rPr>
              <w:t>Average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92"/>
              <w:spacing w:after="0" w:line="229" w:lineRule="exact"/>
              <w:rPr>
                <w:sz w:val="20"/>
                <w:szCs w:val="20"/>
                <w:color w:val="auto"/>
              </w:rPr>
            </w:pPr>
            <w:r>
              <w:rPr>
                <w:rFonts w:ascii="Arial" w:cs="Arial" w:eastAsia="Arial" w:hAnsi="Arial"/>
                <w:sz w:val="22"/>
                <w:szCs w:val="22"/>
                <w:color w:val="auto"/>
                <w:w w:val="88"/>
              </w:rPr>
              <w:t>Aggregate</w:t>
            </w:r>
          </w:p>
        </w:tc>
        <w:tc>
          <w:tcPr>
            <w:tcW w:w="120" w:type="dxa"/>
            <w:vAlign w:val="bottom"/>
          </w:tcPr>
          <w:p>
            <w:pPr>
              <w:spacing w:after="0"/>
              <w:rPr>
                <w:sz w:val="19"/>
                <w:szCs w:val="19"/>
                <w:color w:val="auto"/>
              </w:rPr>
            </w:pPr>
          </w:p>
        </w:tc>
      </w:tr>
      <w:tr>
        <w:trPr>
          <w:trHeight w:val="229"/>
        </w:trPr>
        <w:tc>
          <w:tcPr>
            <w:tcW w:w="5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60"/>
              <w:spacing w:after="0" w:line="229" w:lineRule="exact"/>
              <w:rPr>
                <w:sz w:val="20"/>
                <w:szCs w:val="20"/>
                <w:color w:val="auto"/>
              </w:rPr>
            </w:pPr>
            <w:r>
              <w:rPr>
                <w:rFonts w:ascii="Arial" w:cs="Arial" w:eastAsia="Arial" w:hAnsi="Arial"/>
                <w:sz w:val="22"/>
                <w:szCs w:val="22"/>
                <w:color w:val="auto"/>
                <w:w w:val="90"/>
              </w:rPr>
              <w:t>Exercise</w:t>
            </w:r>
          </w:p>
        </w:tc>
        <w:tc>
          <w:tcPr>
            <w:tcW w:w="1180" w:type="dxa"/>
            <w:vAlign w:val="bottom"/>
          </w:tcPr>
          <w:p>
            <w:pPr>
              <w:jc w:val="center"/>
              <w:spacing w:after="0" w:line="229" w:lineRule="exact"/>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72"/>
              <w:spacing w:after="0" w:line="229" w:lineRule="exact"/>
              <w:rPr>
                <w:sz w:val="20"/>
                <w:szCs w:val="20"/>
                <w:color w:val="auto"/>
              </w:rPr>
            </w:pPr>
            <w:r>
              <w:rPr>
                <w:rFonts w:ascii="Arial" w:cs="Arial" w:eastAsia="Arial" w:hAnsi="Arial"/>
                <w:sz w:val="22"/>
                <w:szCs w:val="22"/>
                <w:color w:val="auto"/>
                <w:w w:val="94"/>
              </w:rPr>
              <w:t>Intrinsic</w:t>
            </w:r>
          </w:p>
        </w:tc>
        <w:tc>
          <w:tcPr>
            <w:tcW w:w="120" w:type="dxa"/>
            <w:vAlign w:val="bottom"/>
          </w:tcPr>
          <w:p>
            <w:pPr>
              <w:spacing w:after="0"/>
              <w:rPr>
                <w:sz w:val="19"/>
                <w:szCs w:val="19"/>
                <w:color w:val="auto"/>
              </w:rPr>
            </w:pPr>
          </w:p>
        </w:tc>
      </w:tr>
      <w:tr>
        <w:trPr>
          <w:trHeight w:val="251"/>
        </w:trPr>
        <w:tc>
          <w:tcPr>
            <w:tcW w:w="5440" w:type="dxa"/>
            <w:vAlign w:val="bottom"/>
          </w:tcPr>
          <w:p>
            <w:pPr>
              <w:spacing w:after="0"/>
              <w:rPr>
                <w:sz w:val="21"/>
                <w:szCs w:val="21"/>
                <w:color w:val="auto"/>
              </w:rPr>
            </w:pPr>
          </w:p>
        </w:tc>
        <w:tc>
          <w:tcPr>
            <w:tcW w:w="1280" w:type="dxa"/>
            <w:vAlign w:val="bottom"/>
          </w:tcPr>
          <w:p>
            <w:pPr>
              <w:jc w:val="right"/>
              <w:ind w:right="252"/>
              <w:spacing w:after="0" w:line="251" w:lineRule="exact"/>
              <w:rPr>
                <w:sz w:val="20"/>
                <w:szCs w:val="20"/>
                <w:color w:val="auto"/>
              </w:rPr>
            </w:pPr>
            <w:r>
              <w:rPr>
                <w:rFonts w:ascii="Arial" w:cs="Arial" w:eastAsia="Arial" w:hAnsi="Arial"/>
                <w:sz w:val="22"/>
                <w:szCs w:val="22"/>
                <w:color w:val="auto"/>
              </w:rPr>
              <w:t>Shares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360"/>
              <w:spacing w:after="0" w:line="251" w:lineRule="exact"/>
              <w:rPr>
                <w:sz w:val="20"/>
                <w:szCs w:val="20"/>
                <w:color w:val="auto"/>
              </w:rPr>
            </w:pPr>
            <w:r>
              <w:rPr>
                <w:rFonts w:ascii="Arial" w:cs="Arial" w:eastAsia="Arial" w:hAnsi="Arial"/>
                <w:sz w:val="22"/>
                <w:szCs w:val="22"/>
                <w:color w:val="auto"/>
                <w:w w:val="87"/>
              </w:rPr>
              <w:t>Price</w:t>
            </w:r>
          </w:p>
        </w:tc>
        <w:tc>
          <w:tcPr>
            <w:tcW w:w="1180" w:type="dxa"/>
            <w:vAlign w:val="bottom"/>
          </w:tcPr>
          <w:p>
            <w:pPr>
              <w:jc w:val="center"/>
              <w:spacing w:after="0" w:line="251" w:lineRule="exact"/>
              <w:rPr>
                <w:sz w:val="20"/>
                <w:szCs w:val="20"/>
                <w:color w:val="auto"/>
              </w:rPr>
            </w:pPr>
            <w:r>
              <w:rPr>
                <w:rFonts w:ascii="Arial" w:cs="Arial" w:eastAsia="Arial" w:hAnsi="Arial"/>
                <w:sz w:val="22"/>
                <w:szCs w:val="22"/>
                <w:color w:val="auto"/>
                <w:w w:val="92"/>
              </w:rPr>
              <w:t>Life (years)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center"/>
              <w:ind w:right="72"/>
              <w:spacing w:after="0" w:line="251" w:lineRule="exact"/>
              <w:rPr>
                <w:sz w:val="20"/>
                <w:szCs w:val="20"/>
                <w:color w:val="auto"/>
              </w:rPr>
            </w:pPr>
            <w:r>
              <w:rPr>
                <w:rFonts w:ascii="Arial" w:cs="Arial" w:eastAsia="Arial" w:hAnsi="Arial"/>
                <w:sz w:val="22"/>
                <w:szCs w:val="22"/>
                <w:color w:val="auto"/>
                <w:w w:val="85"/>
              </w:rPr>
              <w:t>Value</w:t>
            </w:r>
          </w:p>
        </w:tc>
        <w:tc>
          <w:tcPr>
            <w:tcW w:w="120" w:type="dxa"/>
            <w:vAlign w:val="bottom"/>
          </w:tcPr>
          <w:p>
            <w:pPr>
              <w:spacing w:after="0"/>
              <w:rPr>
                <w:sz w:val="21"/>
                <w:szCs w:val="21"/>
                <w:color w:val="auto"/>
              </w:rPr>
            </w:pPr>
          </w:p>
        </w:tc>
      </w:tr>
      <w:tr>
        <w:trPr>
          <w:trHeight w:val="223"/>
        </w:trPr>
        <w:tc>
          <w:tcPr>
            <w:tcW w:w="54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Outstanding at beginning of period</w:t>
            </w:r>
          </w:p>
        </w:tc>
        <w:tc>
          <w:tcPr>
            <w:tcW w:w="12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1,041,756</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34.22</w:t>
            </w: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4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(9,516)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35.75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4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Exercised</w:t>
            </w:r>
          </w:p>
        </w:tc>
        <w:tc>
          <w:tcPr>
            <w:tcW w:w="12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(56,106)</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line="229" w:lineRule="exact"/>
              <w:rPr>
                <w:sz w:val="20"/>
                <w:szCs w:val="20"/>
                <w:color w:val="auto"/>
              </w:rPr>
            </w:pPr>
            <w:r>
              <w:rPr>
                <w:rFonts w:ascii="Arial" w:cs="Arial" w:eastAsia="Arial" w:hAnsi="Arial"/>
                <w:sz w:val="22"/>
                <w:szCs w:val="22"/>
                <w:color w:val="auto"/>
              </w:rPr>
              <w:t>16.93</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4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Outstanding at end of period</w:t>
            </w:r>
          </w:p>
        </w:tc>
        <w:tc>
          <w:tcPr>
            <w:tcW w:w="12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976,134</w:t>
            </w:r>
          </w:p>
        </w:tc>
        <w:tc>
          <w:tcPr>
            <w:tcW w:w="360" w:type="dxa"/>
            <w:vAlign w:val="bottom"/>
            <w:tcBorders>
              <w:bottom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35.20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8.6</w:t>
            </w:r>
          </w:p>
        </w:tc>
        <w:tc>
          <w:tcPr>
            <w:tcW w:w="360" w:type="dxa"/>
            <w:vAlign w:val="bottom"/>
            <w:tcBorders>
              <w:bottom w:val="single" w:sz="8" w:color="auto"/>
            </w:tcBorders>
            <w:gridSpan w:val="2"/>
            <w:shd w:val="clear" w:color="auto" w:fill="CCEEFF"/>
          </w:tcPr>
          <w:p>
            <w:pPr>
              <w:jc w:val="right"/>
              <w:ind w:right="80"/>
              <w:spacing w:after="0" w:line="223"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5,366</w:t>
            </w:r>
          </w:p>
        </w:tc>
        <w:tc>
          <w:tcPr>
            <w:tcW w:w="1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440" w:type="dxa"/>
            <w:vAlign w:val="bottom"/>
            <w:tcBorders>
              <w:bottom w:val="single" w:sz="8" w:color="CCEEFF"/>
            </w:tcBorders>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438,341</w:t>
            </w:r>
          </w:p>
        </w:tc>
        <w:tc>
          <w:tcPr>
            <w:tcW w:w="36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34.43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8.2</w:t>
            </w:r>
          </w:p>
        </w:tc>
        <w:tc>
          <w:tcPr>
            <w:tcW w:w="360" w:type="dxa"/>
            <w:vAlign w:val="bottom"/>
            <w:tcBorders>
              <w:bottom w:val="single" w:sz="8" w:color="auto"/>
            </w:tcBorders>
            <w:gridSpan w:val="2"/>
            <w:shd w:val="clear" w:color="auto" w:fill="CCEEFF"/>
          </w:tcPr>
          <w:p>
            <w:pPr>
              <w:jc w:val="right"/>
              <w:ind w:right="80"/>
              <w:spacing w:after="0" w:line="229"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2,750</w:t>
            </w:r>
          </w:p>
        </w:tc>
        <w:tc>
          <w:tcPr>
            <w:tcW w:w="1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7"/>
        </w:trPr>
        <w:tc>
          <w:tcPr>
            <w:tcW w:w="5440" w:type="dxa"/>
            <w:vAlign w:val="bottom"/>
          </w:tcPr>
          <w:p>
            <w:pPr>
              <w:spacing w:after="0"/>
              <w:rPr>
                <w:sz w:val="24"/>
                <w:szCs w:val="24"/>
                <w:color w:val="auto"/>
              </w:rPr>
            </w:pPr>
          </w:p>
        </w:tc>
        <w:tc>
          <w:tcPr>
            <w:tcW w:w="1280" w:type="dxa"/>
            <w:vAlign w:val="bottom"/>
          </w:tcPr>
          <w:p>
            <w:pPr>
              <w:jc w:val="right"/>
              <w:ind w:right="872"/>
              <w:spacing w:after="0"/>
              <w:rPr>
                <w:sz w:val="20"/>
                <w:szCs w:val="20"/>
                <w:color w:val="auto"/>
              </w:rPr>
            </w:pPr>
            <w:r>
              <w:rPr>
                <w:rFonts w:ascii="Arial" w:cs="Arial" w:eastAsia="Arial" w:hAnsi="Arial"/>
                <w:sz w:val="22"/>
                <w:szCs w:val="22"/>
                <w:color w:val="auto"/>
              </w:rPr>
              <w:t>28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8"/>
        </w:trPr>
        <w:tc>
          <w:tcPr>
            <w:tcW w:w="5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60" w:type="dxa"/>
            <w:vAlign w:val="bottom"/>
            <w:gridSpan w:val="2"/>
          </w:tcPr>
          <w:p>
            <w:pPr>
              <w:jc w:val="center"/>
              <w:ind w:right="920"/>
              <w:spacing w:after="0"/>
              <w:rPr>
                <w:sz w:val="20"/>
                <w:szCs w:val="20"/>
                <w:color w:val="auto"/>
              </w:rPr>
            </w:pPr>
            <w:r>
              <w:rPr>
                <w:rFonts w:ascii="Arial" w:cs="Arial" w:eastAsia="Arial" w:hAnsi="Arial"/>
                <w:sz w:val="22"/>
                <w:szCs w:val="22"/>
                <w:color w:val="auto"/>
                <w:w w:val="88"/>
              </w:rPr>
              <w:t>Three Months Ended</w:t>
            </w:r>
          </w:p>
        </w:tc>
      </w:tr>
      <w:tr>
        <w:trPr>
          <w:trHeight w:val="251"/>
        </w:trPr>
        <w:tc>
          <w:tcPr>
            <w:tcW w:w="7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60" w:type="dxa"/>
            <w:vAlign w:val="bottom"/>
            <w:gridSpan w:val="2"/>
          </w:tcPr>
          <w:p>
            <w:pPr>
              <w:jc w:val="center"/>
              <w:ind w:right="940"/>
              <w:spacing w:after="0" w:line="251" w:lineRule="exact"/>
              <w:rPr>
                <w:sz w:val="20"/>
                <w:szCs w:val="20"/>
                <w:color w:val="auto"/>
              </w:rPr>
            </w:pPr>
            <w:r>
              <w:rPr>
                <w:rFonts w:ascii="Arial" w:cs="Arial" w:eastAsia="Arial" w:hAnsi="Arial"/>
                <w:sz w:val="22"/>
                <w:szCs w:val="22"/>
                <w:color w:val="auto"/>
                <w:w w:val="89"/>
              </w:rPr>
              <w:t>March 31,</w:t>
            </w:r>
          </w:p>
        </w:tc>
      </w:tr>
      <w:tr>
        <w:trPr>
          <w:trHeight w:val="223"/>
        </w:trPr>
        <w:tc>
          <w:tcPr>
            <w:tcW w:w="70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280" w:type="dxa"/>
            <w:vAlign w:val="bottom"/>
            <w:tcBorders>
              <w:top w:val="single" w:sz="8" w:color="auto"/>
              <w:bottom w:val="single" w:sz="8" w:color="auto"/>
            </w:tcBorders>
          </w:tcPr>
          <w:p>
            <w:pPr>
              <w:jc w:val="center"/>
              <w:ind w:right="452"/>
              <w:spacing w:after="0" w:line="223" w:lineRule="exact"/>
              <w:rPr>
                <w:sz w:val="20"/>
                <w:szCs w:val="20"/>
                <w:color w:val="auto"/>
              </w:rPr>
            </w:pPr>
            <w:r>
              <w:rPr>
                <w:rFonts w:ascii="Arial" w:cs="Arial" w:eastAsia="Arial" w:hAnsi="Arial"/>
                <w:sz w:val="22"/>
                <w:szCs w:val="22"/>
                <w:color w:val="auto"/>
                <w:w w:val="89"/>
              </w:rPr>
              <w:t>2020</w:t>
            </w:r>
          </w:p>
        </w:tc>
        <w:tc>
          <w:tcPr>
            <w:tcW w:w="380" w:type="dxa"/>
            <w:vAlign w:val="bottom"/>
            <w:tcBorders>
              <w:bottom w:val="single" w:sz="8" w:color="CCEEFF"/>
            </w:tcBorders>
          </w:tcPr>
          <w:p>
            <w:pPr>
              <w:spacing w:after="0"/>
              <w:rPr>
                <w:sz w:val="19"/>
                <w:szCs w:val="19"/>
                <w:color w:val="auto"/>
              </w:rPr>
            </w:pPr>
          </w:p>
        </w:tc>
      </w:tr>
      <w:tr>
        <w:trPr>
          <w:trHeight w:val="223"/>
        </w:trPr>
        <w:tc>
          <w:tcPr>
            <w:tcW w:w="70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w w:val="98"/>
              </w:rPr>
              <w:t>Stock-based compensation within operations and maintenance expenses</w:t>
            </w:r>
          </w:p>
        </w:tc>
        <w:tc>
          <w:tcPr>
            <w:tcW w:w="560" w:type="dxa"/>
            <w:vAlign w:val="bottom"/>
            <w:shd w:val="clear" w:color="auto" w:fill="CCEEFF"/>
          </w:tcPr>
          <w:p>
            <w:pPr>
              <w:jc w:val="right"/>
              <w:ind w:right="332"/>
              <w:spacing w:after="0" w:line="223" w:lineRule="exact"/>
              <w:rPr>
                <w:sz w:val="20"/>
                <w:szCs w:val="20"/>
                <w:color w:val="auto"/>
              </w:rPr>
            </w:pPr>
            <w:r>
              <w:rPr>
                <w:rFonts w:ascii="Arial" w:cs="Arial" w:eastAsia="Arial" w:hAnsi="Arial"/>
                <w:sz w:val="22"/>
                <w:szCs w:val="22"/>
                <w:color w:val="auto"/>
                <w:w w:val="81"/>
              </w:rPr>
              <w:t>$</w:t>
            </w:r>
          </w:p>
        </w:tc>
        <w:tc>
          <w:tcPr>
            <w:tcW w:w="32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18</w:t>
            </w:r>
          </w:p>
        </w:tc>
        <w:tc>
          <w:tcPr>
            <w:tcW w:w="380" w:type="dxa"/>
            <w:vAlign w:val="bottom"/>
            <w:shd w:val="clear" w:color="auto" w:fill="CCEEFF"/>
          </w:tcPr>
          <w:p>
            <w:pPr>
              <w:spacing w:after="0"/>
              <w:rPr>
                <w:sz w:val="19"/>
                <w:szCs w:val="19"/>
                <w:color w:val="auto"/>
              </w:rPr>
            </w:pPr>
          </w:p>
        </w:tc>
      </w:tr>
      <w:tr>
        <w:trPr>
          <w:trHeight w:val="274"/>
        </w:trPr>
        <w:tc>
          <w:tcPr>
            <w:tcW w:w="7020" w:type="dxa"/>
            <w:vAlign w:val="bottom"/>
          </w:tcPr>
          <w:p>
            <w:pPr>
              <w:spacing w:after="0"/>
              <w:rPr>
                <w:sz w:val="20"/>
                <w:szCs w:val="20"/>
                <w:color w:val="auto"/>
              </w:rPr>
            </w:pPr>
            <w:r>
              <w:rPr>
                <w:rFonts w:ascii="Arial" w:cs="Arial" w:eastAsia="Arial" w:hAnsi="Arial"/>
                <w:sz w:val="22"/>
                <w:szCs w:val="22"/>
                <w:color w:val="auto"/>
              </w:rPr>
              <w:t>Income tax benefit</w:t>
            </w:r>
          </w:p>
        </w:tc>
        <w:tc>
          <w:tcPr>
            <w:tcW w:w="560" w:type="dxa"/>
            <w:vAlign w:val="bottom"/>
          </w:tcPr>
          <w:p>
            <w:pPr>
              <w:spacing w:after="0"/>
              <w:rPr>
                <w:sz w:val="23"/>
                <w:szCs w:val="23"/>
                <w:color w:val="auto"/>
              </w:rPr>
            </w:pPr>
          </w:p>
        </w:tc>
        <w:tc>
          <w:tcPr>
            <w:tcW w:w="3280" w:type="dxa"/>
            <w:vAlign w:val="bottom"/>
          </w:tcPr>
          <w:p>
            <w:pPr>
              <w:jc w:val="right"/>
              <w:spacing w:after="0"/>
              <w:rPr>
                <w:sz w:val="20"/>
                <w:szCs w:val="20"/>
                <w:color w:val="auto"/>
              </w:rPr>
            </w:pPr>
            <w:r>
              <w:rPr>
                <w:rFonts w:ascii="Arial" w:cs="Arial" w:eastAsia="Arial" w:hAnsi="Arial"/>
                <w:sz w:val="22"/>
                <w:szCs w:val="22"/>
                <w:color w:val="auto"/>
              </w:rPr>
              <w:t>5</w:t>
            </w:r>
          </w:p>
        </w:tc>
        <w:tc>
          <w:tcPr>
            <w:tcW w:w="380" w:type="dxa"/>
            <w:vAlign w:val="bottom"/>
          </w:tcPr>
          <w:p>
            <w:pPr>
              <w:spacing w:after="0"/>
              <w:rPr>
                <w:sz w:val="23"/>
                <w:szCs w:val="23"/>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transactions for the three months ended March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22"/>
                <w:szCs w:val="22"/>
                <w:color w:val="auto"/>
                <w:w w:val="89"/>
              </w:rPr>
              <w:t>Number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30"/>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Arial" w:cs="Arial" w:eastAsia="Arial" w:hAnsi="Arial"/>
                <w:sz w:val="22"/>
                <w:szCs w:val="22"/>
                <w:color w:val="auto"/>
                <w:w w:val="97"/>
              </w:rPr>
              <w:t>of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260" w:type="dxa"/>
            <w:vAlign w:val="bottom"/>
          </w:tcPr>
          <w:p>
            <w:pPr>
              <w:spacing w:after="0"/>
              <w:rPr>
                <w:sz w:val="21"/>
                <w:szCs w:val="21"/>
                <w:color w:val="auto"/>
              </w:rPr>
            </w:pPr>
          </w:p>
        </w:tc>
        <w:tc>
          <w:tcPr>
            <w:tcW w:w="2000" w:type="dxa"/>
            <w:vAlign w:val="bottom"/>
            <w:gridSpan w:val="2"/>
          </w:tcPr>
          <w:p>
            <w:pPr>
              <w:jc w:val="center"/>
              <w:ind w:right="260"/>
              <w:spacing w:after="0" w:line="251" w:lineRule="exact"/>
              <w:rPr>
                <w:sz w:val="20"/>
                <w:szCs w:val="20"/>
                <w:color w:val="auto"/>
              </w:rPr>
            </w:pPr>
            <w:r>
              <w:rPr>
                <w:rFonts w:ascii="Arial" w:cs="Arial" w:eastAsia="Arial" w:hAnsi="Arial"/>
                <w:sz w:val="22"/>
                <w:szCs w:val="22"/>
                <w:color w:val="auto"/>
                <w:w w:val="83"/>
              </w:rPr>
              <w:t>Shares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restricted stock at beginning of period</w:t>
            </w:r>
          </w:p>
        </w:tc>
        <w:tc>
          <w:tcPr>
            <w:tcW w:w="1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29"/>
        </w:trPr>
        <w:tc>
          <w:tcPr>
            <w:tcW w:w="72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740" w:type="dxa"/>
            <w:vAlign w:val="bottom"/>
          </w:tcPr>
          <w:p>
            <w:pPr>
              <w:jc w:val="right"/>
              <w:spacing w:after="0" w:line="229" w:lineRule="exact"/>
              <w:rPr>
                <w:sz w:val="20"/>
                <w:szCs w:val="20"/>
                <w:color w:val="auto"/>
              </w:rPr>
            </w:pPr>
            <w:r>
              <w:rPr>
                <w:rFonts w:ascii="Arial" w:cs="Arial" w:eastAsia="Arial" w:hAnsi="Arial"/>
                <w:sz w:val="22"/>
                <w:szCs w:val="22"/>
                <w:color w:val="auto"/>
              </w:rPr>
              <w:t>11,952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33.47</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7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restricted stock at end of period</w:t>
            </w:r>
          </w:p>
        </w:tc>
        <w:tc>
          <w:tcPr>
            <w:tcW w:w="17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11,952</w:t>
            </w:r>
          </w:p>
        </w:tc>
        <w:tc>
          <w:tcPr>
            <w:tcW w:w="2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9"/>
                <w:szCs w:val="19"/>
                <w:color w:val="auto"/>
                <w:w w:val="75"/>
              </w:rPr>
              <w:t>$</w:t>
            </w:r>
          </w:p>
        </w:tc>
        <w:tc>
          <w:tcPr>
            <w:tcW w:w="16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33.47</w:t>
            </w:r>
          </w:p>
        </w:tc>
      </w:tr>
      <w:tr>
        <w:trPr>
          <w:trHeight w:val="20"/>
        </w:trPr>
        <w:tc>
          <w:tcPr>
            <w:tcW w:w="72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00"/>
        <w:spacing w:after="0" w:line="260" w:lineRule="auto"/>
        <w:rPr>
          <w:sz w:val="20"/>
          <w:szCs w:val="20"/>
          <w:color w:val="auto"/>
        </w:rPr>
      </w:pPr>
      <w:r>
        <w:rPr>
          <w:rFonts w:ascii="Arial" w:cs="Arial" w:eastAsia="Arial" w:hAnsi="Arial"/>
          <w:sz w:val="21"/>
          <w:szCs w:val="21"/>
          <w:color w:val="auto"/>
        </w:rPr>
        <w:t>The weighted-average fair value at the date of grant for restricted stock awards granted during the three months ended March 31, 2020 was $33.47. The Company did not grant restricted stock for the three months ended March 31, 2019.</w:t>
      </w:r>
    </w:p>
    <w:p>
      <w:pPr>
        <w:spacing w:after="0" w:line="165"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40" w:type="dxa"/>
            <w:vAlign w:val="bottom"/>
            <w:gridSpan w:val="3"/>
          </w:tcPr>
          <w:p>
            <w:pPr>
              <w:jc w:val="center"/>
              <w:spacing w:after="0"/>
              <w:rPr>
                <w:sz w:val="20"/>
                <w:szCs w:val="20"/>
                <w:color w:val="auto"/>
              </w:rPr>
            </w:pPr>
            <w:r>
              <w:rPr>
                <w:rFonts w:ascii="Arial" w:cs="Arial" w:eastAsia="Arial" w:hAnsi="Arial"/>
                <w:sz w:val="22"/>
                <w:szCs w:val="22"/>
                <w:color w:val="auto"/>
                <w:w w:val="88"/>
              </w:rPr>
              <w:t>Three Months Ended</w:t>
            </w:r>
          </w:p>
        </w:tc>
        <w:tc>
          <w:tcPr>
            <w:tcW w:w="1240" w:type="dxa"/>
            <w:vAlign w:val="bottom"/>
          </w:tcPr>
          <w:p>
            <w:pPr>
              <w:spacing w:after="0"/>
              <w:rPr>
                <w:sz w:val="21"/>
                <w:szCs w:val="21"/>
                <w:color w:val="auto"/>
              </w:rPr>
            </w:pPr>
          </w:p>
        </w:tc>
      </w:tr>
      <w:tr>
        <w:trPr>
          <w:trHeight w:val="251"/>
        </w:trPr>
        <w:tc>
          <w:tcPr>
            <w:tcW w:w="6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spacing w:after="0" w:line="251" w:lineRule="exact"/>
              <w:rPr>
                <w:sz w:val="20"/>
                <w:szCs w:val="20"/>
                <w:color w:val="auto"/>
              </w:rPr>
            </w:pPr>
            <w:r>
              <w:rPr>
                <w:rFonts w:ascii="Arial" w:cs="Arial" w:eastAsia="Arial" w:hAnsi="Arial"/>
                <w:sz w:val="22"/>
                <w:szCs w:val="22"/>
                <w:color w:val="auto"/>
                <w:w w:val="91"/>
              </w:rPr>
              <w:t>March 31,</w:t>
            </w:r>
          </w:p>
        </w:tc>
        <w:tc>
          <w:tcPr>
            <w:tcW w:w="1240" w:type="dxa"/>
            <w:vAlign w:val="bottom"/>
            <w:tcBorders>
              <w:bottom w:val="single" w:sz="8" w:color="auto"/>
            </w:tcBorders>
          </w:tcPr>
          <w:p>
            <w:pPr>
              <w:spacing w:after="0"/>
              <w:rPr>
                <w:sz w:val="21"/>
                <w:szCs w:val="21"/>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72"/>
              <w:spacing w:after="0" w:line="223" w:lineRule="exact"/>
              <w:rPr>
                <w:sz w:val="20"/>
                <w:szCs w:val="20"/>
                <w:color w:val="auto"/>
              </w:rPr>
            </w:pPr>
            <w:r>
              <w:rPr>
                <w:rFonts w:ascii="Arial" w:cs="Arial" w:eastAsia="Arial" w:hAnsi="Arial"/>
                <w:sz w:val="22"/>
                <w:szCs w:val="22"/>
                <w:color w:val="auto"/>
                <w:w w:val="89"/>
              </w:rPr>
              <w:t>2019</w:t>
            </w:r>
          </w:p>
        </w:tc>
      </w:tr>
      <w:tr>
        <w:trPr>
          <w:trHeight w:val="223"/>
        </w:trPr>
        <w:tc>
          <w:tcPr>
            <w:tcW w:w="65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w w:val="92"/>
              </w:rPr>
              <w:t>Stock-based compensation within operations and maintenance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7"/>
              <w:spacing w:after="0"/>
              <w:rPr>
                <w:sz w:val="20"/>
                <w:szCs w:val="20"/>
                <w:color w:val="auto"/>
              </w:rPr>
            </w:pPr>
            <w:r>
              <w:rPr>
                <w:rFonts w:ascii="Arial" w:cs="Arial" w:eastAsia="Arial" w:hAnsi="Arial"/>
                <w:sz w:val="19"/>
                <w:szCs w:val="19"/>
                <w:color w:val="auto"/>
                <w:w w:val="75"/>
              </w:rPr>
              <w:t>$</w:t>
            </w:r>
          </w:p>
        </w:tc>
        <w:tc>
          <w:tcPr>
            <w:tcW w:w="7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175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5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180</w:t>
            </w:r>
          </w:p>
        </w:tc>
      </w:tr>
      <w:tr>
        <w:trPr>
          <w:trHeight w:val="274"/>
        </w:trPr>
        <w:tc>
          <w:tcPr>
            <w:tcW w:w="6580" w:type="dxa"/>
            <w:vAlign w:val="bottom"/>
          </w:tcPr>
          <w:p>
            <w:pPr>
              <w:spacing w:after="0"/>
              <w:rPr>
                <w:sz w:val="20"/>
                <w:szCs w:val="20"/>
                <w:color w:val="auto"/>
              </w:rPr>
            </w:pPr>
            <w:r>
              <w:rPr>
                <w:rFonts w:ascii="Arial" w:cs="Arial" w:eastAsia="Arial" w:hAnsi="Arial"/>
                <w:sz w:val="22"/>
                <w:szCs w:val="22"/>
                <w:color w:val="auto"/>
              </w:rPr>
              <w:t>Income tax benefit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51</w:t>
            </w: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438"/>
        </w:trPr>
        <w:tc>
          <w:tcPr>
            <w:tcW w:w="6580" w:type="dxa"/>
            <w:vAlign w:val="bottom"/>
          </w:tcPr>
          <w:p>
            <w:pPr>
              <w:jc w:val="right"/>
              <w:ind w:right="732"/>
              <w:spacing w:after="0"/>
              <w:rPr>
                <w:sz w:val="20"/>
                <w:szCs w:val="20"/>
                <w:color w:val="auto"/>
              </w:rPr>
            </w:pPr>
            <w:r>
              <w:rPr>
                <w:rFonts w:ascii="Arial" w:cs="Arial" w:eastAsia="Arial" w:hAnsi="Arial"/>
                <w:sz w:val="22"/>
                <w:szCs w:val="22"/>
                <w:color w:val="auto"/>
              </w:rPr>
              <w:t>29</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8"/>
        </w:trPr>
        <w:tc>
          <w:tcPr>
            <w:tcW w:w="6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three months ended March 31, 2020:</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29"/>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14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30"/>
        </w:trPr>
        <w:tc>
          <w:tcPr>
            <w:tcW w:w="71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4,207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41.58</w:t>
            </w:r>
          </w:p>
        </w:tc>
      </w:tr>
      <w:tr>
        <w:trPr>
          <w:trHeight w:val="229"/>
        </w:trPr>
        <w:tc>
          <w:tcPr>
            <w:tcW w:w="71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(4,207)</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41.58</w:t>
            </w:r>
          </w:p>
        </w:tc>
      </w:tr>
      <w:tr>
        <w:trPr>
          <w:trHeight w:val="223"/>
        </w:trPr>
        <w:tc>
          <w:tcPr>
            <w:tcW w:w="714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The weighted-average fair value at the date of grant for stock awards granted during the three months ended March 31, 2020 and 2019 was $41.58 and $36.73,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The Company maintains qualified defined benefit pension plan (the “Pension Plans”),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 for the Company’s legacy pension and other postretirement benefit plans: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center"/>
              <w:ind w:right="552"/>
              <w:spacing w:after="0"/>
              <w:rPr>
                <w:sz w:val="20"/>
                <w:szCs w:val="20"/>
                <w:color w:val="auto"/>
              </w:rPr>
            </w:pPr>
            <w:r>
              <w:rPr>
                <w:rFonts w:ascii="Arial" w:cs="Arial" w:eastAsia="Arial" w:hAnsi="Arial"/>
                <w:sz w:val="22"/>
                <w:szCs w:val="22"/>
                <w:color w:val="auto"/>
                <w:w w:val="88"/>
              </w:rPr>
              <w:t>Pension Benefits</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20" w:type="dxa"/>
            <w:vAlign w:val="bottom"/>
            <w:gridSpan w:val="3"/>
          </w:tcPr>
          <w:p>
            <w:pPr>
              <w:jc w:val="center"/>
              <w:ind w:right="532"/>
              <w:spacing w:after="0" w:line="202" w:lineRule="exact"/>
              <w:rPr>
                <w:sz w:val="20"/>
                <w:szCs w:val="20"/>
                <w:color w:val="auto"/>
              </w:rPr>
            </w:pPr>
            <w:r>
              <w:rPr>
                <w:rFonts w:ascii="Arial" w:cs="Arial" w:eastAsia="Arial" w:hAnsi="Arial"/>
                <w:sz w:val="22"/>
                <w:szCs w:val="22"/>
                <w:color w:val="auto"/>
                <w:w w:val="89"/>
              </w:rPr>
              <w:t>Three Months 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center"/>
              <w:ind w:right="532"/>
              <w:spacing w:after="0" w:line="251" w:lineRule="exact"/>
              <w:rPr>
                <w:sz w:val="20"/>
                <w:szCs w:val="20"/>
                <w:color w:val="auto"/>
              </w:rPr>
            </w:pPr>
            <w:r>
              <w:rPr>
                <w:rFonts w:ascii="Arial" w:cs="Arial" w:eastAsia="Arial" w:hAnsi="Arial"/>
                <w:sz w:val="22"/>
                <w:szCs w:val="22"/>
                <w:color w:val="auto"/>
                <w:w w:val="89"/>
              </w:rPr>
              <w:t>March 31,</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2019</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2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8"/>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763</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92"/>
              <w:spacing w:after="0" w:line="223" w:lineRule="exact"/>
              <w:rPr>
                <w:sz w:val="20"/>
                <w:szCs w:val="20"/>
                <w:color w:val="auto"/>
              </w:rPr>
            </w:pPr>
            <w:r>
              <w:rPr>
                <w:rFonts w:ascii="Arial" w:cs="Arial" w:eastAsia="Arial" w:hAnsi="Arial"/>
                <w:sz w:val="22"/>
                <w:szCs w:val="22"/>
                <w:color w:val="auto"/>
                <w:w w:val="81"/>
              </w:rPr>
              <w:t>$</w:t>
            </w:r>
          </w:p>
        </w:tc>
        <w:tc>
          <w:tcPr>
            <w:tcW w:w="7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680</w:t>
            </w:r>
          </w:p>
        </w:tc>
        <w:tc>
          <w:tcPr>
            <w:tcW w:w="0" w:type="dxa"/>
            <w:vAlign w:val="bottom"/>
          </w:tcPr>
          <w:p>
            <w:pPr>
              <w:spacing w:after="0"/>
              <w:rPr>
                <w:sz w:val="1"/>
                <w:szCs w:val="1"/>
                <w:color w:val="auto"/>
              </w:rPr>
            </w:pPr>
          </w:p>
        </w:tc>
      </w:tr>
      <w:tr>
        <w:trPr>
          <w:trHeight w:val="230"/>
        </w:trPr>
        <w:tc>
          <w:tcPr>
            <w:tcW w:w="430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2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2,540</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2,954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2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(3,938)</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w w:val="97"/>
              </w:rPr>
              <w:t>(3,818)</w:t>
            </w:r>
          </w:p>
        </w:tc>
        <w:tc>
          <w:tcPr>
            <w:tcW w:w="0" w:type="dxa"/>
            <w:vAlign w:val="bottom"/>
          </w:tcPr>
          <w:p>
            <w:pPr>
              <w:spacing w:after="0"/>
              <w:rPr>
                <w:sz w:val="1"/>
                <w:szCs w:val="1"/>
                <w:color w:val="auto"/>
              </w:rPr>
            </w:pPr>
          </w:p>
        </w:tc>
      </w:tr>
      <w:tr>
        <w:trPr>
          <w:trHeight w:val="230"/>
        </w:trPr>
        <w:tc>
          <w:tcPr>
            <w:tcW w:w="430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cost</w:t>
            </w:r>
          </w:p>
        </w:tc>
        <w:tc>
          <w:tcPr>
            <w:tcW w:w="2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148</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23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1,992</w:t>
            </w:r>
          </w:p>
        </w:tc>
        <w:tc>
          <w:tcPr>
            <w:tcW w:w="3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1,982</w:t>
            </w:r>
          </w:p>
        </w:tc>
        <w:tc>
          <w:tcPr>
            <w:tcW w:w="0" w:type="dxa"/>
            <w:vAlign w:val="bottom"/>
          </w:tcPr>
          <w:p>
            <w:pPr>
              <w:spacing w:after="0"/>
              <w:rPr>
                <w:sz w:val="1"/>
                <w:szCs w:val="1"/>
                <w:color w:val="auto"/>
              </w:rPr>
            </w:pPr>
          </w:p>
        </w:tc>
      </w:tr>
      <w:tr>
        <w:trPr>
          <w:trHeight w:val="223"/>
        </w:trPr>
        <w:tc>
          <w:tcPr>
            <w:tcW w:w="430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2380" w:type="dxa"/>
            <w:vAlign w:val="bottom"/>
          </w:tcPr>
          <w:p>
            <w:pPr>
              <w:spacing w:after="0"/>
              <w:rPr>
                <w:sz w:val="19"/>
                <w:szCs w:val="19"/>
                <w:color w:val="auto"/>
              </w:rPr>
            </w:pPr>
          </w:p>
        </w:tc>
        <w:tc>
          <w:tcPr>
            <w:tcW w:w="1340" w:type="dxa"/>
            <w:vAlign w:val="bottom"/>
            <w:tcBorders>
              <w:bottom w:val="single" w:sz="8" w:color="auto"/>
            </w:tcBorders>
          </w:tcPr>
          <w:p>
            <w:pPr>
              <w:jc w:val="right"/>
              <w:ind w:right="1138"/>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1,505</w:t>
            </w:r>
          </w:p>
        </w:tc>
        <w:tc>
          <w:tcPr>
            <w:tcW w:w="320" w:type="dxa"/>
            <w:vAlign w:val="bottom"/>
          </w:tcPr>
          <w:p>
            <w:pPr>
              <w:spacing w:after="0"/>
              <w:rPr>
                <w:sz w:val="19"/>
                <w:szCs w:val="19"/>
                <w:color w:val="auto"/>
              </w:rPr>
            </w:pPr>
          </w:p>
        </w:tc>
        <w:tc>
          <w:tcPr>
            <w:tcW w:w="1320" w:type="dxa"/>
            <w:vAlign w:val="bottom"/>
            <w:tcBorders>
              <w:bottom w:val="single" w:sz="8" w:color="auto"/>
            </w:tcBorders>
          </w:tcPr>
          <w:p>
            <w:pPr>
              <w:jc w:val="right"/>
              <w:ind w:right="1092"/>
              <w:spacing w:after="0" w:line="223" w:lineRule="exact"/>
              <w:rPr>
                <w:sz w:val="20"/>
                <w:szCs w:val="20"/>
                <w:color w:val="auto"/>
              </w:rPr>
            </w:pPr>
            <w:r>
              <w:rPr>
                <w:rFonts w:ascii="Arial" w:cs="Arial" w:eastAsia="Arial" w:hAnsi="Arial"/>
                <w:sz w:val="22"/>
                <w:szCs w:val="22"/>
                <w:color w:val="auto"/>
                <w:w w:val="81"/>
              </w:rPr>
              <w:t>$</w:t>
            </w:r>
          </w:p>
        </w:tc>
        <w:tc>
          <w:tcPr>
            <w:tcW w:w="7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1,953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gridSpan w:val="2"/>
          </w:tcPr>
          <w:p>
            <w:pPr>
              <w:jc w:val="center"/>
              <w:ind w:left="572"/>
              <w:spacing w:after="0"/>
              <w:rPr>
                <w:sz w:val="20"/>
                <w:szCs w:val="20"/>
                <w:color w:val="auto"/>
              </w:rPr>
            </w:pPr>
            <w:r>
              <w:rPr>
                <w:rFonts w:ascii="Arial" w:cs="Arial" w:eastAsia="Arial" w:hAnsi="Arial"/>
                <w:sz w:val="22"/>
                <w:szCs w:val="22"/>
                <w:color w:val="auto"/>
                <w:w w:val="87"/>
              </w:rPr>
              <w:t>Other</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860" w:type="dxa"/>
            <w:vAlign w:val="bottom"/>
            <w:tcBorders>
              <w:bottom w:val="single" w:sz="8" w:color="auto"/>
            </w:tcBorders>
            <w:gridSpan w:val="4"/>
          </w:tcPr>
          <w:p>
            <w:pPr>
              <w:jc w:val="center"/>
              <w:ind w:left="598"/>
              <w:spacing w:after="0" w:line="251" w:lineRule="exact"/>
              <w:rPr>
                <w:sz w:val="20"/>
                <w:szCs w:val="20"/>
                <w:color w:val="auto"/>
              </w:rPr>
            </w:pPr>
            <w:r>
              <w:rPr>
                <w:rFonts w:ascii="Arial" w:cs="Arial" w:eastAsia="Arial" w:hAnsi="Arial"/>
                <w:sz w:val="22"/>
                <w:szCs w:val="22"/>
                <w:color w:val="auto"/>
                <w:w w:val="89"/>
              </w:rPr>
              <w:t>Postretirement Benefits</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20" w:type="dxa"/>
            <w:vAlign w:val="bottom"/>
            <w:gridSpan w:val="3"/>
          </w:tcPr>
          <w:p>
            <w:pPr>
              <w:jc w:val="right"/>
              <w:ind w:right="372"/>
              <w:spacing w:after="0" w:line="202" w:lineRule="exact"/>
              <w:rPr>
                <w:sz w:val="20"/>
                <w:szCs w:val="20"/>
                <w:color w:val="auto"/>
              </w:rPr>
            </w:pPr>
            <w:r>
              <w:rPr>
                <w:rFonts w:ascii="Arial" w:cs="Arial" w:eastAsia="Arial" w:hAnsi="Arial"/>
                <w:sz w:val="22"/>
                <w:szCs w:val="22"/>
                <w:color w:val="auto"/>
                <w:w w:val="98"/>
              </w:rPr>
              <w:t>Three Months 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852"/>
              <w:spacing w:after="0" w:line="251" w:lineRule="exact"/>
              <w:rPr>
                <w:sz w:val="20"/>
                <w:szCs w:val="20"/>
                <w:color w:val="auto"/>
              </w:rPr>
            </w:pPr>
            <w:r>
              <w:rPr>
                <w:rFonts w:ascii="Arial" w:cs="Arial" w:eastAsia="Arial" w:hAnsi="Arial"/>
                <w:sz w:val="22"/>
                <w:szCs w:val="22"/>
                <w:color w:val="auto"/>
              </w:rPr>
              <w:t>March 31,</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2019</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2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8"/>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217</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92"/>
              <w:spacing w:after="0" w:line="223" w:lineRule="exact"/>
              <w:rPr>
                <w:sz w:val="20"/>
                <w:szCs w:val="20"/>
                <w:color w:val="auto"/>
              </w:rPr>
            </w:pPr>
            <w:r>
              <w:rPr>
                <w:rFonts w:ascii="Arial" w:cs="Arial" w:eastAsia="Arial" w:hAnsi="Arial"/>
                <w:sz w:val="22"/>
                <w:szCs w:val="22"/>
                <w:color w:val="auto"/>
                <w:w w:val="81"/>
              </w:rPr>
              <w:t>$</w:t>
            </w:r>
          </w:p>
        </w:tc>
        <w:tc>
          <w:tcPr>
            <w:tcW w:w="7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205</w:t>
            </w:r>
          </w:p>
        </w:tc>
        <w:tc>
          <w:tcPr>
            <w:tcW w:w="0" w:type="dxa"/>
            <w:vAlign w:val="bottom"/>
          </w:tcPr>
          <w:p>
            <w:pPr>
              <w:spacing w:after="0"/>
              <w:rPr>
                <w:sz w:val="1"/>
                <w:szCs w:val="1"/>
                <w:color w:val="auto"/>
              </w:rPr>
            </w:pPr>
          </w:p>
        </w:tc>
      </w:tr>
      <w:tr>
        <w:trPr>
          <w:trHeight w:val="230"/>
        </w:trPr>
        <w:tc>
          <w:tcPr>
            <w:tcW w:w="430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2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677</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750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2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(675)</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(621)</w:t>
            </w:r>
          </w:p>
        </w:tc>
        <w:tc>
          <w:tcPr>
            <w:tcW w:w="0" w:type="dxa"/>
            <w:vAlign w:val="bottom"/>
          </w:tcPr>
          <w:p>
            <w:pPr>
              <w:spacing w:after="0"/>
              <w:rPr>
                <w:sz w:val="1"/>
                <w:szCs w:val="1"/>
                <w:color w:val="auto"/>
              </w:rPr>
            </w:pPr>
          </w:p>
        </w:tc>
      </w:tr>
      <w:tr>
        <w:trPr>
          <w:trHeight w:val="230"/>
        </w:trPr>
        <w:tc>
          <w:tcPr>
            <w:tcW w:w="430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credit</w:t>
            </w:r>
          </w:p>
        </w:tc>
        <w:tc>
          <w:tcPr>
            <w:tcW w:w="2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(116)</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23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156</w:t>
            </w:r>
          </w:p>
        </w:tc>
        <w:tc>
          <w:tcPr>
            <w:tcW w:w="3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166</w:t>
            </w:r>
          </w:p>
        </w:tc>
        <w:tc>
          <w:tcPr>
            <w:tcW w:w="0" w:type="dxa"/>
            <w:vAlign w:val="bottom"/>
          </w:tcPr>
          <w:p>
            <w:pPr>
              <w:spacing w:after="0"/>
              <w:rPr>
                <w:sz w:val="1"/>
                <w:szCs w:val="1"/>
                <w:color w:val="auto"/>
              </w:rPr>
            </w:pPr>
          </w:p>
        </w:tc>
      </w:tr>
      <w:tr>
        <w:trPr>
          <w:trHeight w:val="223"/>
        </w:trPr>
        <w:tc>
          <w:tcPr>
            <w:tcW w:w="430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2380" w:type="dxa"/>
            <w:vAlign w:val="bottom"/>
          </w:tcPr>
          <w:p>
            <w:pPr>
              <w:spacing w:after="0"/>
              <w:rPr>
                <w:sz w:val="19"/>
                <w:szCs w:val="19"/>
                <w:color w:val="auto"/>
              </w:rPr>
            </w:pPr>
          </w:p>
        </w:tc>
        <w:tc>
          <w:tcPr>
            <w:tcW w:w="1340" w:type="dxa"/>
            <w:vAlign w:val="bottom"/>
            <w:tcBorders>
              <w:bottom w:val="single" w:sz="8" w:color="auto"/>
            </w:tcBorders>
          </w:tcPr>
          <w:p>
            <w:pPr>
              <w:jc w:val="right"/>
              <w:ind w:right="1138"/>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259</w:t>
            </w:r>
          </w:p>
        </w:tc>
        <w:tc>
          <w:tcPr>
            <w:tcW w:w="320" w:type="dxa"/>
            <w:vAlign w:val="bottom"/>
          </w:tcPr>
          <w:p>
            <w:pPr>
              <w:spacing w:after="0"/>
              <w:rPr>
                <w:sz w:val="19"/>
                <w:szCs w:val="19"/>
                <w:color w:val="auto"/>
              </w:rPr>
            </w:pPr>
          </w:p>
        </w:tc>
        <w:tc>
          <w:tcPr>
            <w:tcW w:w="1320" w:type="dxa"/>
            <w:vAlign w:val="bottom"/>
            <w:tcBorders>
              <w:bottom w:val="single" w:sz="8" w:color="auto"/>
            </w:tcBorders>
          </w:tcPr>
          <w:p>
            <w:pPr>
              <w:jc w:val="right"/>
              <w:ind w:right="1092"/>
              <w:spacing w:after="0" w:line="223" w:lineRule="exact"/>
              <w:rPr>
                <w:sz w:val="20"/>
                <w:szCs w:val="20"/>
                <w:color w:val="auto"/>
              </w:rPr>
            </w:pPr>
            <w:r>
              <w:rPr>
                <w:rFonts w:ascii="Arial" w:cs="Arial" w:eastAsia="Arial" w:hAnsi="Arial"/>
                <w:sz w:val="22"/>
                <w:szCs w:val="22"/>
                <w:color w:val="auto"/>
                <w:w w:val="81"/>
              </w:rPr>
              <w:t>$</w:t>
            </w:r>
          </w:p>
        </w:tc>
        <w:tc>
          <w:tcPr>
            <w:tcW w:w="7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384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80" w:type="dxa"/>
            <w:vAlign w:val="bottom"/>
            <w:vMerge w:val="restart"/>
          </w:tcPr>
          <w:p>
            <w:pPr>
              <w:jc w:val="right"/>
              <w:ind w:right="832"/>
              <w:spacing w:after="0"/>
              <w:rPr>
                <w:sz w:val="20"/>
                <w:szCs w:val="20"/>
                <w:color w:val="auto"/>
              </w:rPr>
            </w:pPr>
            <w:r>
              <w:rPr>
                <w:rFonts w:ascii="Arial" w:cs="Arial" w:eastAsia="Arial" w:hAnsi="Arial"/>
                <w:sz w:val="22"/>
                <w:szCs w:val="22"/>
                <w:color w:val="auto"/>
              </w:rPr>
              <w:t>30</w:t>
            </w: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3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3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580"/>
        <w:spacing w:after="0" w:line="239" w:lineRule="auto"/>
        <w:rPr>
          <w:sz w:val="20"/>
          <w:szCs w:val="20"/>
          <w:color w:val="auto"/>
        </w:rPr>
      </w:pPr>
      <w:r>
        <w:rPr>
          <w:rFonts w:ascii="Arial" w:cs="Arial" w:eastAsia="Arial" w:hAnsi="Arial"/>
          <w:sz w:val="22"/>
          <w:szCs w:val="22"/>
          <w:color w:val="auto"/>
        </w:rPr>
        <w:t>The Company presents the components of net periodic benefit cost other than service cost in the consolidated statements of operations and comprehensive income on the line item “Other.”</w:t>
      </w:r>
    </w:p>
    <w:p>
      <w:pPr>
        <w:spacing w:after="0" w:line="185"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color w:val="auto"/>
        </w:rPr>
        <w:t>During the first three months of 2020 the Company did not make cash contributions to its Pension Plans, and intends to make cash contributions of $17,566 to the Pension Plans during the remainder of 2020.</w:t>
      </w:r>
    </w:p>
    <w:p>
      <w:pPr>
        <w:spacing w:after="0" w:line="185"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color w:val="auto"/>
        </w:rPr>
        <w:t>On March 16, 2020, we completed the Peoples Gas Acquisition and assumed the pension and other postretirement benefit plans for its employees. The operating results of Peoples has been included in our consolidated financial statements since the date of acquisition. As such, the following table presents the components of net periodic benefit costs for the period since March 16, 2020 that are related to the Peoples’ pension and other postretirement benefit plans acquired: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0" w:type="dxa"/>
            <w:vAlign w:val="bottom"/>
            <w:gridSpan w:val="3"/>
          </w:tcPr>
          <w:p>
            <w:pPr>
              <w:jc w:val="right"/>
              <w:ind w:right="459"/>
              <w:spacing w:after="0"/>
              <w:rPr>
                <w:sz w:val="20"/>
                <w:szCs w:val="20"/>
                <w:color w:val="auto"/>
              </w:rPr>
            </w:pPr>
            <w:r>
              <w:rPr>
                <w:rFonts w:ascii="Arial" w:cs="Arial" w:eastAsia="Arial" w:hAnsi="Arial"/>
                <w:sz w:val="22"/>
                <w:szCs w:val="22"/>
                <w:color w:val="auto"/>
              </w:rPr>
              <w:t>Three Months Ended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1"/>
        </w:trPr>
        <w:tc>
          <w:tcPr>
            <w:tcW w:w="65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2"/>
          </w:tcPr>
          <w:p>
            <w:pPr>
              <w:jc w:val="right"/>
              <w:ind w:right="679"/>
              <w:spacing w:after="0" w:line="251" w:lineRule="exact"/>
              <w:rPr>
                <w:sz w:val="20"/>
                <w:szCs w:val="20"/>
                <w:color w:val="auto"/>
              </w:rPr>
            </w:pPr>
            <w:r>
              <w:rPr>
                <w:rFonts w:ascii="Arial" w:cs="Arial" w:eastAsia="Arial" w:hAnsi="Arial"/>
                <w:sz w:val="22"/>
                <w:szCs w:val="22"/>
                <w:color w:val="auto"/>
                <w:w w:val="92"/>
              </w:rPr>
              <w:t>March 31, 2020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5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w w:val="92"/>
              </w:rPr>
              <w:t>Pension Benefits</w:t>
            </w:r>
          </w:p>
        </w:tc>
        <w:tc>
          <w:tcPr>
            <w:tcW w:w="32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2"/>
                <w:szCs w:val="22"/>
                <w:color w:val="auto"/>
                <w:w w:val="92"/>
              </w:rPr>
              <w:t>Other Postretirement Benefits</w:t>
            </w:r>
          </w:p>
        </w:tc>
        <w:tc>
          <w:tcPr>
            <w:tcW w:w="20" w:type="dxa"/>
            <w:vAlign w:val="bottom"/>
          </w:tcPr>
          <w:p>
            <w:pPr>
              <w:spacing w:after="0"/>
              <w:rPr>
                <w:sz w:val="19"/>
                <w:szCs w:val="19"/>
                <w:color w:val="auto"/>
              </w:rPr>
            </w:pPr>
          </w:p>
        </w:tc>
      </w:tr>
      <w:tr>
        <w:trPr>
          <w:trHeight w:val="223"/>
        </w:trPr>
        <w:tc>
          <w:tcPr>
            <w:tcW w:w="65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9"/>
                <w:szCs w:val="19"/>
                <w:color w:val="auto"/>
                <w:w w:val="75"/>
              </w:rPr>
              <w:t>$</w:t>
            </w:r>
          </w:p>
        </w:tc>
        <w:tc>
          <w:tcPr>
            <w:tcW w:w="9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40</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699"/>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CCEEFF"/>
          </w:tcPr>
          <w:p>
            <w:pPr>
              <w:jc w:val="center"/>
              <w:ind w:left="452"/>
              <w:spacing w:after="0" w:line="223" w:lineRule="exact"/>
              <w:rPr>
                <w:sz w:val="20"/>
                <w:szCs w:val="20"/>
                <w:color w:val="auto"/>
              </w:rPr>
            </w:pPr>
            <w:r>
              <w:rPr>
                <w:rFonts w:ascii="Arial" w:cs="Arial" w:eastAsia="Arial" w:hAnsi="Arial"/>
                <w:sz w:val="22"/>
                <w:szCs w:val="22"/>
                <w:color w:val="auto"/>
                <w:w w:val="89"/>
              </w:rPr>
              <w:t>77</w:t>
            </w:r>
          </w:p>
        </w:tc>
        <w:tc>
          <w:tcPr>
            <w:tcW w:w="20" w:type="dxa"/>
            <w:vAlign w:val="bottom"/>
          </w:tcPr>
          <w:p>
            <w:pPr>
              <w:spacing w:after="0"/>
              <w:rPr>
                <w:sz w:val="19"/>
                <w:szCs w:val="19"/>
                <w:color w:val="auto"/>
              </w:rPr>
            </w:pPr>
          </w:p>
        </w:tc>
      </w:tr>
      <w:tr>
        <w:trPr>
          <w:trHeight w:val="230"/>
        </w:trPr>
        <w:tc>
          <w:tcPr>
            <w:tcW w:w="650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64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2"/>
                <w:szCs w:val="22"/>
                <w:color w:val="auto"/>
              </w:rPr>
              <w:t>192</w:t>
            </w: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jc w:val="center"/>
              <w:ind w:left="452"/>
              <w:spacing w:after="0" w:line="229" w:lineRule="exact"/>
              <w:rPr>
                <w:sz w:val="20"/>
                <w:szCs w:val="20"/>
                <w:color w:val="auto"/>
              </w:rPr>
            </w:pPr>
            <w:r>
              <w:rPr>
                <w:rFonts w:ascii="Arial" w:cs="Arial" w:eastAsia="Arial" w:hAnsi="Arial"/>
                <w:sz w:val="22"/>
                <w:szCs w:val="22"/>
                <w:color w:val="auto"/>
                <w:w w:val="89"/>
              </w:rPr>
              <w:t>54</w:t>
            </w:r>
          </w:p>
        </w:tc>
        <w:tc>
          <w:tcPr>
            <w:tcW w:w="20" w:type="dxa"/>
            <w:vAlign w:val="bottom"/>
          </w:tcPr>
          <w:p>
            <w:pPr>
              <w:spacing w:after="0"/>
              <w:rPr>
                <w:sz w:val="19"/>
                <w:szCs w:val="19"/>
                <w:color w:val="auto"/>
              </w:rPr>
            </w:pPr>
          </w:p>
        </w:tc>
      </w:tr>
      <w:tr>
        <w:trPr>
          <w:trHeight w:val="229"/>
        </w:trPr>
        <w:tc>
          <w:tcPr>
            <w:tcW w:w="65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(302)</w:t>
            </w:r>
          </w:p>
        </w:tc>
        <w:tc>
          <w:tcPr>
            <w:tcW w:w="3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2"/>
              <w:spacing w:after="0" w:line="229" w:lineRule="exact"/>
              <w:rPr>
                <w:sz w:val="20"/>
                <w:szCs w:val="20"/>
                <w:color w:val="auto"/>
              </w:rPr>
            </w:pPr>
            <w:r>
              <w:rPr>
                <w:rFonts w:ascii="Arial" w:cs="Arial" w:eastAsia="Arial" w:hAnsi="Arial"/>
                <w:sz w:val="22"/>
                <w:szCs w:val="22"/>
                <w:color w:val="auto"/>
                <w:w w:val="91"/>
              </w:rPr>
              <w:t>(76)</w:t>
            </w:r>
          </w:p>
        </w:tc>
        <w:tc>
          <w:tcPr>
            <w:tcW w:w="20" w:type="dxa"/>
            <w:vAlign w:val="bottom"/>
          </w:tcPr>
          <w:p>
            <w:pPr>
              <w:spacing w:after="0"/>
              <w:rPr>
                <w:sz w:val="19"/>
                <w:szCs w:val="19"/>
                <w:color w:val="auto"/>
              </w:rPr>
            </w:pPr>
          </w:p>
        </w:tc>
      </w:tr>
      <w:tr>
        <w:trPr>
          <w:trHeight w:val="223"/>
        </w:trPr>
        <w:tc>
          <w:tcPr>
            <w:tcW w:w="6500" w:type="dxa"/>
            <w:vAlign w:val="bottom"/>
          </w:tcPr>
          <w:p>
            <w:pPr>
              <w:spacing w:after="0" w:line="223" w:lineRule="exact"/>
              <w:rPr>
                <w:sz w:val="20"/>
                <w:szCs w:val="20"/>
                <w:color w:val="auto"/>
              </w:rPr>
            </w:pPr>
            <w:r>
              <w:rPr>
                <w:rFonts w:ascii="Arial" w:cs="Arial" w:eastAsia="Arial" w:hAnsi="Arial"/>
                <w:sz w:val="22"/>
                <w:szCs w:val="22"/>
                <w:color w:val="auto"/>
              </w:rPr>
              <w:t>Net periodic benefit (income) cost</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9"/>
                <w:szCs w:val="19"/>
                <w:color w:val="auto"/>
                <w:w w:val="75"/>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(70)</w:t>
            </w:r>
          </w:p>
        </w:tc>
        <w:tc>
          <w:tcPr>
            <w:tcW w:w="320" w:type="dxa"/>
            <w:vAlign w:val="bottom"/>
          </w:tcPr>
          <w:p>
            <w:pPr>
              <w:spacing w:after="0"/>
              <w:rPr>
                <w:sz w:val="19"/>
                <w:szCs w:val="19"/>
                <w:color w:val="auto"/>
              </w:rPr>
            </w:pPr>
          </w:p>
        </w:tc>
        <w:tc>
          <w:tcPr>
            <w:tcW w:w="1900" w:type="dxa"/>
            <w:vAlign w:val="bottom"/>
            <w:tcBorders>
              <w:bottom w:val="single" w:sz="8" w:color="auto"/>
            </w:tcBorders>
          </w:tcPr>
          <w:p>
            <w:pPr>
              <w:jc w:val="right"/>
              <w:ind w:right="1699"/>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tcPr>
          <w:p>
            <w:pPr>
              <w:jc w:val="center"/>
              <w:ind w:left="452"/>
              <w:spacing w:after="0" w:line="223" w:lineRule="exact"/>
              <w:rPr>
                <w:sz w:val="20"/>
                <w:szCs w:val="20"/>
                <w:color w:val="auto"/>
              </w:rPr>
            </w:pPr>
            <w:r>
              <w:rPr>
                <w:rFonts w:ascii="Arial" w:cs="Arial" w:eastAsia="Arial" w:hAnsi="Arial"/>
                <w:sz w:val="22"/>
                <w:szCs w:val="22"/>
                <w:color w:val="auto"/>
                <w:w w:val="89"/>
              </w:rPr>
              <w:t>55</w:t>
            </w:r>
          </w:p>
        </w:tc>
        <w:tc>
          <w:tcPr>
            <w:tcW w:w="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Rate Activity</w:t>
      </w:r>
    </w:p>
    <w:p>
      <w:pPr>
        <w:spacing w:after="0" w:line="212" w:lineRule="exact"/>
        <w:rPr>
          <w:sz w:val="20"/>
          <w:szCs w:val="20"/>
          <w:color w:val="auto"/>
        </w:rPr>
      </w:pPr>
    </w:p>
    <w:p>
      <w:pPr>
        <w:ind w:right="140"/>
        <w:spacing w:after="0" w:line="226" w:lineRule="auto"/>
        <w:rPr>
          <w:sz w:val="20"/>
          <w:szCs w:val="20"/>
          <w:color w:val="auto"/>
        </w:rPr>
      </w:pPr>
      <w:r>
        <w:rPr>
          <w:rFonts w:ascii="Arial" w:cs="Arial" w:eastAsia="Arial" w:hAnsi="Arial"/>
          <w:sz w:val="22"/>
          <w:szCs w:val="22"/>
          <w:color w:val="auto"/>
        </w:rPr>
        <w:t>During the first three months of 2020, the Company’s water and wastewater utility operating divisions in Indiana and Ohio were granted base rate increases designed to increase total operating revenues on an annual basis by $1,006. Further, during the first three months of 2020, the Company’s water and wastewater utility operating divisions in Illinois and North Carolina received approval to bill infrastructure rehabilitation surcharges designed to increase total operating revenues on an annual basis by $3,775.</w:t>
      </w:r>
    </w:p>
    <w:p>
      <w:pPr>
        <w:spacing w:after="0" w:line="186"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In August 2018, Aqua Pennsylvania filed for a base rate increase in water and wastewater rates for its customers. In May 2019 the Company received an order from the Pennsylvania Public Utility Commission resulting in an increase of $47,000 in annual revenue, and new rates went into effect on May 24, 2019. The rates in effect at the time of the filing also included $29,493 in Distribution System Improvement Charges (“DSIC”), which was 7.5% above prior base rates. Consequently, the aggregate base rates increased by $76,493 since the last base rate increase and the DSIC was reset to zero.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2" w:name="page33"/>
    <w:bookmarkEnd w:id="3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22"/>
                <w:szCs w:val="22"/>
                <w:color w:val="auto"/>
                <w:w w:val="90"/>
              </w:rPr>
              <w:t>Three Months Ended</w:t>
            </w:r>
          </w:p>
        </w:tc>
        <w:tc>
          <w:tcPr>
            <w:tcW w:w="1320" w:type="dxa"/>
            <w:vAlign w:val="bottom"/>
          </w:tcPr>
          <w:p>
            <w:pPr>
              <w:spacing w:after="0"/>
              <w:rPr>
                <w:sz w:val="21"/>
                <w:szCs w:val="21"/>
                <w:color w:val="auto"/>
              </w:rPr>
            </w:pPr>
          </w:p>
        </w:tc>
      </w:tr>
      <w:tr>
        <w:trPr>
          <w:trHeight w:val="251"/>
        </w:trPr>
        <w:tc>
          <w:tcPr>
            <w:tcW w:w="67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403"/>
              <w:spacing w:after="0" w:line="251" w:lineRule="exact"/>
              <w:rPr>
                <w:sz w:val="20"/>
                <w:szCs w:val="20"/>
                <w:color w:val="auto"/>
              </w:rPr>
            </w:pPr>
            <w:r>
              <w:rPr>
                <w:rFonts w:ascii="Arial" w:cs="Arial" w:eastAsia="Arial" w:hAnsi="Arial"/>
                <w:sz w:val="22"/>
                <w:szCs w:val="22"/>
                <w:color w:val="auto"/>
              </w:rPr>
              <w:t>March 31,</w:t>
            </w:r>
          </w:p>
        </w:tc>
        <w:tc>
          <w:tcPr>
            <w:tcW w:w="1320" w:type="dxa"/>
            <w:vAlign w:val="bottom"/>
            <w:tcBorders>
              <w:bottom w:val="single" w:sz="8" w:color="auto"/>
            </w:tcBorders>
          </w:tcPr>
          <w:p>
            <w:pPr>
              <w:spacing w:after="0"/>
              <w:rPr>
                <w:sz w:val="21"/>
                <w:szCs w:val="2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52"/>
              <w:spacing w:after="0" w:line="223" w:lineRule="exact"/>
              <w:rPr>
                <w:sz w:val="20"/>
                <w:szCs w:val="20"/>
                <w:color w:val="auto"/>
              </w:rPr>
            </w:pPr>
            <w:r>
              <w:rPr>
                <w:rFonts w:ascii="Arial" w:cs="Arial" w:eastAsia="Arial" w:hAnsi="Arial"/>
                <w:sz w:val="22"/>
                <w:szCs w:val="22"/>
                <w:color w:val="auto"/>
                <w:w w:val="89"/>
              </w:rPr>
              <w:t>2019</w:t>
            </w:r>
          </w:p>
        </w:tc>
      </w:tr>
      <w:tr>
        <w:trPr>
          <w:trHeight w:val="223"/>
        </w:trPr>
        <w:tc>
          <w:tcPr>
            <w:tcW w:w="67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1300" w:type="dxa"/>
            <w:vAlign w:val="bottom"/>
            <w:shd w:val="clear" w:color="auto" w:fill="CCEEFF"/>
          </w:tcPr>
          <w:p>
            <w:pPr>
              <w:jc w:val="right"/>
              <w:ind w:right="1072"/>
              <w:spacing w:after="0" w:line="223" w:lineRule="exact"/>
              <w:rPr>
                <w:sz w:val="20"/>
                <w:szCs w:val="20"/>
                <w:color w:val="auto"/>
              </w:rPr>
            </w:pPr>
            <w:r>
              <w:rPr>
                <w:rFonts w:ascii="Arial" w:cs="Arial" w:eastAsia="Arial" w:hAnsi="Arial"/>
                <w:sz w:val="22"/>
                <w:szCs w:val="22"/>
                <w:color w:val="auto"/>
                <w:w w:val="81"/>
              </w:rPr>
              <w:t>$</w:t>
            </w:r>
          </w:p>
        </w:tc>
        <w:tc>
          <w:tcPr>
            <w:tcW w:w="7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7,033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23"/>
              <w:spacing w:after="0"/>
              <w:rPr>
                <w:sz w:val="20"/>
                <w:szCs w:val="20"/>
                <w:color w:val="auto"/>
              </w:rPr>
            </w:pPr>
            <w:r>
              <w:rPr>
                <w:rFonts w:ascii="Arial" w:cs="Arial" w:eastAsia="Arial" w:hAnsi="Arial"/>
                <w:sz w:val="19"/>
                <w:szCs w:val="19"/>
                <w:color w:val="auto"/>
                <w:w w:val="75"/>
              </w:rPr>
              <w:t>$</w:t>
            </w:r>
          </w:p>
        </w:tc>
        <w:tc>
          <w:tcPr>
            <w:tcW w:w="13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6,466</w:t>
            </w:r>
          </w:p>
        </w:tc>
      </w:tr>
      <w:tr>
        <w:trPr>
          <w:trHeight w:val="230"/>
        </w:trPr>
        <w:tc>
          <w:tcPr>
            <w:tcW w:w="670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130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Arial" w:cs="Arial" w:eastAsia="Arial" w:hAnsi="Arial"/>
                <w:sz w:val="22"/>
                <w:szCs w:val="22"/>
                <w:color w:val="auto"/>
              </w:rPr>
              <w:t>3,122</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2"/>
                <w:szCs w:val="22"/>
                <w:color w:val="auto"/>
              </w:rPr>
              <w:t>3,220</w:t>
            </w:r>
          </w:p>
        </w:tc>
      </w:tr>
      <w:tr>
        <w:trPr>
          <w:trHeight w:val="229"/>
        </w:trPr>
        <w:tc>
          <w:tcPr>
            <w:tcW w:w="67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4,280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3,481</w:t>
            </w:r>
          </w:p>
        </w:tc>
      </w:tr>
      <w:tr>
        <w:trPr>
          <w:trHeight w:val="230"/>
        </w:trPr>
        <w:tc>
          <w:tcPr>
            <w:tcW w:w="670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130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Arial" w:cs="Arial" w:eastAsia="Arial" w:hAnsi="Arial"/>
                <w:sz w:val="22"/>
                <w:szCs w:val="22"/>
                <w:color w:val="auto"/>
              </w:rPr>
              <w:t>700</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2"/>
                <w:szCs w:val="22"/>
                <w:color w:val="auto"/>
              </w:rPr>
              <w:t>747</w:t>
            </w:r>
          </w:p>
        </w:tc>
      </w:tr>
      <w:tr>
        <w:trPr>
          <w:trHeight w:val="229"/>
        </w:trPr>
        <w:tc>
          <w:tcPr>
            <w:tcW w:w="67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1,081</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969</w:t>
            </w:r>
          </w:p>
        </w:tc>
      </w:tr>
      <w:tr>
        <w:trPr>
          <w:trHeight w:val="229"/>
        </w:trPr>
        <w:tc>
          <w:tcPr>
            <w:tcW w:w="670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Other</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220</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86</w:t>
            </w:r>
          </w:p>
        </w:tc>
      </w:tr>
      <w:tr>
        <w:trPr>
          <w:trHeight w:val="223"/>
        </w:trPr>
        <w:tc>
          <w:tcPr>
            <w:tcW w:w="67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 taxes other than income</w:t>
            </w:r>
          </w:p>
        </w:tc>
        <w:tc>
          <w:tcPr>
            <w:tcW w:w="1300" w:type="dxa"/>
            <w:vAlign w:val="bottom"/>
            <w:tcBorders>
              <w:bottom w:val="single" w:sz="8" w:color="auto"/>
            </w:tcBorders>
            <w:shd w:val="clear" w:color="auto" w:fill="CCEEFF"/>
          </w:tcPr>
          <w:p>
            <w:pPr>
              <w:jc w:val="right"/>
              <w:ind w:right="1072"/>
              <w:spacing w:after="0" w:line="223" w:lineRule="exact"/>
              <w:rPr>
                <w:sz w:val="20"/>
                <w:szCs w:val="20"/>
                <w:color w:val="auto"/>
              </w:rPr>
            </w:pPr>
            <w:r>
              <w:rPr>
                <w:rFonts w:ascii="Arial" w:cs="Arial" w:eastAsia="Arial" w:hAnsi="Arial"/>
                <w:sz w:val="22"/>
                <w:szCs w:val="22"/>
                <w:color w:val="auto"/>
                <w:w w:val="81"/>
              </w:rPr>
              <w:t>$</w:t>
            </w:r>
          </w:p>
        </w:tc>
        <w:tc>
          <w:tcPr>
            <w:tcW w:w="7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16,436</w:t>
            </w: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9"/>
                <w:szCs w:val="19"/>
                <w:color w:val="auto"/>
                <w:w w:val="75"/>
              </w:rPr>
              <w:t>$</w:t>
            </w:r>
          </w:p>
        </w:tc>
        <w:tc>
          <w:tcPr>
            <w:tcW w:w="13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14,969</w:t>
            </w:r>
          </w:p>
        </w:tc>
      </w:tr>
      <w:tr>
        <w:trPr>
          <w:trHeight w:val="20"/>
        </w:trPr>
        <w:tc>
          <w:tcPr>
            <w:tcW w:w="6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49"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addition to the Company’s two reportable segments, we include two of our operating segments within the Other category below. These segments are not quantitatively significant and are comprised of Aqua Infrastructure and Aqua Resources. Aqua Infrastructure provides non-utility raw water supply services for firms in the natural gas drilling industry. Aqua Resources manages a water system operating and maintenance contract and offers, through a third-party, water and sewer service line protection solutions and repair services to households. In addition to these segments, Other is comprised of business activities not included in the reportable segments, including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3" w:name="page34"/>
    <w:bookmarkEnd w:id="3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color w:val="auto"/>
                <w:w w:val="94"/>
              </w:rPr>
              <w:t>March 31, 2020</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w w:val="94"/>
              </w:rPr>
              <w:t>March 31, 2019</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23"/>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w w:val="97"/>
              </w:rPr>
              <w:t>Regulated</w:t>
            </w:r>
          </w:p>
        </w:tc>
        <w:tc>
          <w:tcPr>
            <w:tcW w:w="80" w:type="dxa"/>
            <w:vAlign w:val="bottom"/>
          </w:tcPr>
          <w:p>
            <w:pPr>
              <w:spacing w:after="0"/>
              <w:rPr>
                <w:sz w:val="10"/>
                <w:szCs w:val="10"/>
                <w:color w:val="auto"/>
              </w:rPr>
            </w:pPr>
          </w:p>
        </w:tc>
        <w:tc>
          <w:tcPr>
            <w:tcW w:w="10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w w:val="97"/>
              </w:rPr>
              <w:t>Regulated</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Regulated</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7"/>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Natural Gas</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w w:val="92"/>
              </w:rPr>
              <w:t>Consolidated</w:t>
            </w:r>
          </w:p>
        </w:tc>
      </w:tr>
      <w:tr>
        <w:trPr>
          <w:trHeight w:val="142"/>
        </w:trPr>
        <w:tc>
          <w:tcPr>
            <w:tcW w:w="3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216,197</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38,544</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255,585</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200,220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201,132</w:t>
            </w: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73,694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8,823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24,120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106,637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74,338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79,314</w:t>
            </w: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Purchased gas</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41,511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4,569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46,245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39,261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39,410</w:t>
            </w: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86,506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(24,724)</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73,497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(5,426)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67,439</w:t>
            </w: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25,495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30,087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23,658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4,192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27,850</w:t>
            </w: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funds used during construction</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4,056</w:t>
            </w: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Change in fair value of interest rate swap agreements</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34,782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34,782</w:t>
            </w: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(loss) earnings in joint venture</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Provision for income taxes (benefit)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3,127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(3,448)</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(6,803)</w:t>
            </w:r>
          </w:p>
        </w:tc>
        <w:tc>
          <w:tcPr>
            <w:tcW w:w="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(7,124)</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936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(9,106)</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(8,170)</w:t>
            </w: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59,934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13,398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(21,551)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51,781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(35,245)</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16,924</w:t>
            </w:r>
          </w:p>
        </w:tc>
      </w:tr>
      <w:tr>
        <w:trPr>
          <w:trHeight w:val="182"/>
        </w:trPr>
        <w:tc>
          <w:tcPr>
            <w:tcW w:w="3460" w:type="dxa"/>
            <w:vAlign w:val="bottom"/>
          </w:tcPr>
          <w:p>
            <w:pPr>
              <w:spacing w:after="0"/>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110,606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8,128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118,734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133,792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133,792</w:t>
            </w:r>
          </w:p>
        </w:tc>
      </w:tr>
    </w:tbl>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March 31,</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jc w:val="right"/>
              <w:ind w:right="71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51"/>
        </w:trPr>
        <w:tc>
          <w:tcPr>
            <w:tcW w:w="3500" w:type="dxa"/>
            <w:vAlign w:val="bottom"/>
            <w:vMerge w:val="restart"/>
          </w:tcPr>
          <w:p>
            <w:pPr>
              <w:spacing w:after="0"/>
              <w:rPr>
                <w:sz w:val="20"/>
                <w:szCs w:val="20"/>
                <w:color w:val="auto"/>
              </w:rPr>
            </w:pPr>
            <w:r>
              <w:rPr>
                <w:rFonts w:ascii="Arial" w:cs="Arial" w:eastAsia="Arial" w:hAnsi="Arial"/>
                <w:sz w:val="22"/>
                <w:szCs w:val="22"/>
                <w:color w:val="auto"/>
              </w:rPr>
              <w:t>Total assets:</w:t>
            </w:r>
          </w:p>
        </w:tc>
        <w:tc>
          <w:tcPr>
            <w:tcW w:w="3480" w:type="dxa"/>
            <w:vAlign w:val="bottom"/>
            <w:gridSpan w:val="2"/>
          </w:tcPr>
          <w:p>
            <w:pPr>
              <w:jc w:val="right"/>
              <w:ind w:right="137"/>
              <w:spacing w:after="0" w:line="251" w:lineRule="exact"/>
              <w:rPr>
                <w:sz w:val="20"/>
                <w:szCs w:val="20"/>
                <w:color w:val="auto"/>
              </w:rPr>
            </w:pPr>
            <w:r>
              <w:rPr>
                <w:rFonts w:ascii="Arial" w:cs="Arial" w:eastAsia="Arial" w:hAnsi="Arial"/>
                <w:sz w:val="22"/>
                <w:szCs w:val="22"/>
                <w:color w:val="auto"/>
              </w:rPr>
              <w:t>2020</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jc w:val="right"/>
              <w:ind w:right="1112"/>
              <w:spacing w:after="0" w:line="251" w:lineRule="exact"/>
              <w:rPr>
                <w:sz w:val="20"/>
                <w:szCs w:val="20"/>
                <w:color w:val="auto"/>
              </w:rPr>
            </w:pPr>
            <w:r>
              <w:rPr>
                <w:rFonts w:ascii="Arial" w:cs="Arial" w:eastAsia="Arial" w:hAnsi="Arial"/>
                <w:sz w:val="22"/>
                <w:szCs w:val="22"/>
                <w:color w:val="auto"/>
              </w:rPr>
              <w:t>2019</w:t>
            </w: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Regulated water</w:t>
            </w:r>
          </w:p>
        </w:tc>
        <w:tc>
          <w:tcPr>
            <w:tcW w:w="3480" w:type="dxa"/>
            <w:vAlign w:val="bottom"/>
            <w:gridSpan w:val="2"/>
            <w:shd w:val="clear" w:color="auto" w:fill="CCEEFF"/>
          </w:tcPr>
          <w:p>
            <w:pPr>
              <w:jc w:val="right"/>
              <w:ind w:right="1757"/>
              <w:spacing w:after="0" w:line="229"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7,362,550</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9"/>
                <w:szCs w:val="19"/>
                <w:color w:val="auto"/>
                <w:w w:val="75"/>
              </w:rPr>
              <w:t>$</w:t>
            </w:r>
          </w:p>
        </w:tc>
        <w:tc>
          <w:tcPr>
            <w:tcW w:w="2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7,269,404</w:t>
            </w:r>
          </w:p>
        </w:tc>
        <w:tc>
          <w:tcPr>
            <w:tcW w:w="0" w:type="dxa"/>
            <w:vAlign w:val="bottom"/>
          </w:tcPr>
          <w:p>
            <w:pPr>
              <w:spacing w:after="0"/>
              <w:rPr>
                <w:sz w:val="1"/>
                <w:szCs w:val="1"/>
                <w:color w:val="auto"/>
              </w:rPr>
            </w:pPr>
          </w:p>
        </w:tc>
      </w:tr>
      <w:tr>
        <w:trPr>
          <w:trHeight w:val="230"/>
        </w:trPr>
        <w:tc>
          <w:tcPr>
            <w:tcW w:w="3500" w:type="dxa"/>
            <w:vAlign w:val="bottom"/>
          </w:tcPr>
          <w:p>
            <w:pPr>
              <w:ind w:left="120"/>
              <w:spacing w:after="0" w:line="229" w:lineRule="exact"/>
              <w:rPr>
                <w:sz w:val="20"/>
                <w:szCs w:val="20"/>
                <w:color w:val="auto"/>
              </w:rPr>
            </w:pPr>
            <w:r>
              <w:rPr>
                <w:rFonts w:ascii="Arial" w:cs="Arial" w:eastAsia="Arial" w:hAnsi="Arial"/>
                <w:sz w:val="22"/>
                <w:szCs w:val="22"/>
                <w:color w:val="auto"/>
              </w:rPr>
              <w:t>Regulated natural gas</w:t>
            </w:r>
          </w:p>
        </w:tc>
        <w:tc>
          <w:tcPr>
            <w:tcW w:w="1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5,362,064</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15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204,372</w:t>
            </w:r>
          </w:p>
        </w:tc>
        <w:tc>
          <w:tcPr>
            <w:tcW w:w="3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2,092,581</w:t>
            </w:r>
          </w:p>
        </w:tc>
        <w:tc>
          <w:tcPr>
            <w:tcW w:w="0" w:type="dxa"/>
            <w:vAlign w:val="bottom"/>
          </w:tcPr>
          <w:p>
            <w:pPr>
              <w:spacing w:after="0"/>
              <w:rPr>
                <w:sz w:val="1"/>
                <w:szCs w:val="1"/>
                <w:color w:val="auto"/>
              </w:rPr>
            </w:pPr>
          </w:p>
        </w:tc>
      </w:tr>
      <w:tr>
        <w:trPr>
          <w:trHeight w:val="223"/>
        </w:trPr>
        <w:tc>
          <w:tcPr>
            <w:tcW w:w="3500" w:type="dxa"/>
            <w:vAlign w:val="bottom"/>
          </w:tcPr>
          <w:p>
            <w:pPr>
              <w:ind w:left="120"/>
              <w:spacing w:after="0" w:line="223" w:lineRule="exact"/>
              <w:rPr>
                <w:sz w:val="20"/>
                <w:szCs w:val="20"/>
                <w:color w:val="auto"/>
              </w:rPr>
            </w:pPr>
            <w:r>
              <w:rPr>
                <w:rFonts w:ascii="Arial" w:cs="Arial" w:eastAsia="Arial" w:hAnsi="Arial"/>
                <w:sz w:val="22"/>
                <w:szCs w:val="22"/>
                <w:color w:val="auto"/>
              </w:rPr>
              <w:t>Consolidated</w:t>
            </w:r>
          </w:p>
        </w:tc>
        <w:tc>
          <w:tcPr>
            <w:tcW w:w="1520" w:type="dxa"/>
            <w:vAlign w:val="bottom"/>
          </w:tcPr>
          <w:p>
            <w:pPr>
              <w:spacing w:after="0"/>
              <w:rPr>
                <w:sz w:val="19"/>
                <w:szCs w:val="19"/>
                <w:color w:val="auto"/>
              </w:rPr>
            </w:pPr>
          </w:p>
        </w:tc>
        <w:tc>
          <w:tcPr>
            <w:tcW w:w="1960" w:type="dxa"/>
            <w:vAlign w:val="bottom"/>
            <w:tcBorders>
              <w:bottom w:val="single" w:sz="8" w:color="auto"/>
            </w:tcBorders>
          </w:tcPr>
          <w:p>
            <w:pPr>
              <w:jc w:val="right"/>
              <w:ind w:right="1757"/>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w w:val="88"/>
              </w:rPr>
              <w:t>12,928,986</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color w:val="auto"/>
                <w:w w:val="75"/>
              </w:rPr>
              <w:t>$</w:t>
            </w:r>
          </w:p>
        </w:tc>
        <w:tc>
          <w:tcPr>
            <w:tcW w:w="24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9,361,985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March 31, 2020, the aggregate amount of $21,769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March 31, 2020, estimates that approximately $7,685 of the amount accrued for these matters are probable of recovery through insurance, which amount is also reported in the Company’s consolidated balance sheet as deferred charges and other assets, net.</w:t>
      </w:r>
    </w:p>
    <w:p>
      <w:pPr>
        <w:spacing w:after="0" w:line="170" w:lineRule="exact"/>
        <w:rPr>
          <w:sz w:val="20"/>
          <w:szCs w:val="20"/>
          <w:color w:val="auto"/>
        </w:rPr>
      </w:pPr>
    </w:p>
    <w:p>
      <w:pPr>
        <w:ind w:right="560"/>
        <w:spacing w:after="0" w:line="226" w:lineRule="auto"/>
        <w:rPr>
          <w:sz w:val="20"/>
          <w:szCs w:val="20"/>
          <w:color w:val="auto"/>
        </w:rPr>
      </w:pPr>
      <w:r>
        <w:rPr>
          <w:rFonts w:ascii="Arial" w:cs="Arial" w:eastAsia="Arial" w:hAnsi="Arial"/>
          <w:sz w:val="22"/>
          <w:szCs w:val="22"/>
          <w:color w:val="auto"/>
        </w:rPr>
        <w:t>During a portion of 2019, the Company initiated a do not consume advisory for some of its water customers in one division served by the Company’s Illinois subsidiary. Although the Company had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4" w:name="page35"/>
    <w:bookmarkEnd w:id="3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determined that it is reasonably possible that a fine or penalty may be incurred, it cannot estimate the possible range of loss at this time and no liability has been accrued for these future costs.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plans to vigorously defend against this claim. A claim for the expenses incurred related to such claim has been submitted to the Company’s insurance carrier for potential recovery of a portion of these costs.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71" w:lineRule="exact"/>
        <w:rPr>
          <w:sz w:val="20"/>
          <w:szCs w:val="20"/>
          <w:color w:val="auto"/>
        </w:rPr>
      </w:pPr>
    </w:p>
    <w:p>
      <w:pPr>
        <w:ind w:right="320"/>
        <w:spacing w:after="0" w:line="228" w:lineRule="auto"/>
        <w:rPr>
          <w:sz w:val="20"/>
          <w:szCs w:val="20"/>
          <w:color w:val="auto"/>
        </w:rPr>
      </w:pPr>
      <w:r>
        <w:rPr>
          <w:rFonts w:ascii="Arial" w:cs="Arial" w:eastAsia="Arial" w:hAnsi="Arial"/>
          <w:sz w:val="22"/>
          <w:szCs w:val="22"/>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6" w:lineRule="exact"/>
        <w:rPr>
          <w:sz w:val="20"/>
          <w:szCs w:val="20"/>
          <w:color w:val="auto"/>
        </w:rPr>
      </w:pPr>
    </w:p>
    <w:p>
      <w:pPr>
        <w:ind w:right="260"/>
        <w:spacing w:after="0" w:line="228" w:lineRule="auto"/>
        <w:rPr>
          <w:sz w:val="20"/>
          <w:szCs w:val="20"/>
          <w:color w:val="auto"/>
        </w:rPr>
      </w:pPr>
      <w:r>
        <w:rPr>
          <w:rFonts w:ascii="Arial" w:cs="Arial" w:eastAsia="Arial" w:hAnsi="Arial"/>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$1,852 at March 31, 2020 and represents a reserve for unpaid claim costs, including an estimate for the cost of incurred but not reported claims.</w:t>
      </w:r>
    </w:p>
    <w:p>
      <w:pPr>
        <w:spacing w:after="0" w:line="186"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the year 2020 to its natural gas utility customers and water and wastewater customers served by Aqua Pennsylvania, Inc.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color w:val="auto"/>
        </w:rPr>
        <w:t>On March 16, 2020, the Company completed the Peoples Gas Acquisition. On March 31, 2020, the Company changed the method of tax accounting for certain qualifying infrastructure investments at its Peoples Natural Gas subsidiary, our largest natural gas subsidiary in Pennsylvania. This change allows a 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2020 Federal Tax Return to be filed in October 2021. As a result, the Company has estimated a portion of its infrastructure investment at Peoples Natural Gas since the acquisition date that will qualify as a utility system repairs deduction for 2020. Consistent with the Company’s accounting for differences between book and tax expenditures in Pennsylvania, the Company is utilizing the flow-through method to account for this timing difference and has reduced income tax expense in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5" w:name="page36"/>
    <w:bookmarkEnd w:id="3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180"/>
        <w:spacing w:after="0" w:line="228" w:lineRule="auto"/>
        <w:rPr>
          <w:sz w:val="20"/>
          <w:szCs w:val="20"/>
          <w:color w:val="auto"/>
        </w:rPr>
      </w:pPr>
      <w:r>
        <w:rPr>
          <w:rFonts w:ascii="Arial" w:cs="Arial" w:eastAsia="Arial" w:hAnsi="Arial"/>
          <w:sz w:val="22"/>
          <w:szCs w:val="22"/>
          <w:color w:val="auto"/>
        </w:rPr>
        <w:t>first quarter of 2020 by $5,938. In addition, the calculation to determine the income tax benefits for qualifying capital expenditures made prior to March 16, 2020 (“catch-up adjustment”) has not yet been finalized. When the analysis is complete, the Company intends to record a regulatory liability for these tax benefits that will remain on the consolidated balance sheet pending regulatory guidance.</w:t>
      </w:r>
    </w:p>
    <w:p>
      <w:pPr>
        <w:spacing w:after="0" w:line="186"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color w:val="auto"/>
        </w:rPr>
        <w:t>The Company’s effective tax rate was (16.0)% and (93.4)% for the three months ended March 31, 2020 and 2019, respectively. The increase in the effective tax rate for this period can be attributed to an increase in our income before income taxes as compared to the prior period. The statutory Federal tax rate is 21% for three months ended March 31, 2020 and 2019. For states with a corporate net income tax, the state corporate net income tax rates range from 2.5% to 9.99% for all periods presented. In determining its interim tax provision, the Company reflects its estimated permanent and flow-through tax differences for the taxable year, including the basis difference for the adoption of the tangible property regulations. Qualifying utility asset improvement costs and the amortization of excess deferred income taxes caused the year-to-date effective tax rate to be significantly different from the statutory rate.</w:t>
      </w:r>
    </w:p>
    <w:p>
      <w:pPr>
        <w:spacing w:after="0" w:line="190" w:lineRule="exact"/>
        <w:rPr>
          <w:sz w:val="20"/>
          <w:szCs w:val="20"/>
          <w:color w:val="auto"/>
        </w:rPr>
      </w:pPr>
    </w:p>
    <w:p>
      <w:pPr>
        <w:ind w:right="220"/>
        <w:spacing w:after="0" w:line="224" w:lineRule="auto"/>
        <w:rPr>
          <w:sz w:val="20"/>
          <w:szCs w:val="20"/>
          <w:color w:val="auto"/>
        </w:rPr>
      </w:pPr>
      <w:r>
        <w:rPr>
          <w:rFonts w:ascii="Arial" w:cs="Arial" w:eastAsia="Arial" w:hAnsi="Arial"/>
          <w:sz w:val="22"/>
          <w:szCs w:val="22"/>
          <w:color w:val="auto"/>
        </w:rPr>
        <w:t>In connection with the completion of the Peoples Gas Acquisition, in the event the Company identifies changes to acquired deferred tax asset valuation allowances or liabilities related to uncertain tax positions during the one year measurement period, and they are related to new information obtained about facts and circumstances that existed as of the acquisition date, those changes are considered a measurement-period adjustment, and the offset will be an adjustment to goodwill. The Company records all other changes to deferred tax asset valuation allowances and liabilities related to uncertain tax positions in current-period income tax expense.</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In response to COVID-19, President Donald Trump signed into law the Coronavirus Aid, Relief, and Economic Security (“CARES”) Act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We evaluated the provisions of the CARES Act and do not anticipate that the associated impacts, if any, will have a material effect on our financial position or liquidity.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6" w:name="page37"/>
    <w:bookmarkEnd w:id="3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17 – </w:t>
      </w:r>
      <w:r>
        <w:rPr>
          <w:rFonts w:ascii="Arial" w:cs="Arial" w:eastAsia="Arial" w:hAnsi="Arial"/>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to be adopted upon the effective date:</w:t>
      </w:r>
    </w:p>
    <w:p>
      <w:pPr>
        <w:spacing w:after="0" w:line="206"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The accounting guidance was effective upon issuance and generally can be applied to applicable contract modifications through December 31, 2022. The Company is evaluating the impact of this accounting guidance.</w:t>
      </w:r>
    </w:p>
    <w:p>
      <w:pPr>
        <w:spacing w:after="0" w:line="18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The updated accounting guidance is effective for fiscal years beginning after December 15, 2020 and interim periods within those fiscal years with early adoption permitted. The Company is evaluating the requirements of the updated guidance to determine the impact of adoption.</w:t>
      </w:r>
    </w:p>
    <w:p>
      <w:pPr>
        <w:spacing w:after="0" w:line="17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August 2018, the FASB issued updated accounting guidance that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is evaluating the requirements of the updated guidance to determine the impact of adoption.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7" w:name="page38"/>
    <w:bookmarkEnd w:id="3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adopted during the year:</w:t>
      </w:r>
    </w:p>
    <w:p>
      <w:pPr>
        <w:spacing w:after="0" w:line="206" w:lineRule="exact"/>
        <w:rPr>
          <w:sz w:val="20"/>
          <w:szCs w:val="20"/>
          <w:color w:val="auto"/>
        </w:rPr>
      </w:pPr>
    </w:p>
    <w:p>
      <w:pPr>
        <w:ind w:right="100"/>
        <w:spacing w:after="0" w:line="223" w:lineRule="auto"/>
        <w:rPr>
          <w:sz w:val="20"/>
          <w:szCs w:val="20"/>
          <w:color w:val="auto"/>
        </w:rPr>
      </w:pPr>
      <w:r>
        <w:rPr>
          <w:rFonts w:ascii="Arial" w:cs="Arial" w:eastAsia="Arial" w:hAnsi="Arial"/>
          <w:sz w:val="22"/>
          <w:szCs w:val="22"/>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On January 1, 2020, we adopted the new guidance prospectively, which did not have a material impact on our consolidated financial statements.</w:t>
      </w:r>
    </w:p>
    <w:p>
      <w:pPr>
        <w:spacing w:after="0" w:line="191" w:lineRule="exact"/>
        <w:rPr>
          <w:sz w:val="20"/>
          <w:szCs w:val="20"/>
          <w:color w:val="auto"/>
        </w:rPr>
      </w:pPr>
    </w:p>
    <w:p>
      <w:pPr>
        <w:ind w:right="340"/>
        <w:spacing w:after="0" w:line="224" w:lineRule="auto"/>
        <w:rPr>
          <w:sz w:val="20"/>
          <w:szCs w:val="20"/>
          <w:color w:val="auto"/>
        </w:rPr>
      </w:pPr>
      <w:r>
        <w:rPr>
          <w:rFonts w:ascii="Arial" w:cs="Arial" w:eastAsia="Arial" w:hAnsi="Arial"/>
          <w:sz w:val="22"/>
          <w:szCs w:val="22"/>
          <w:color w:val="auto"/>
        </w:rPr>
        <w:t>In August 2018, the FASB issued updated accounting guidance that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On January 1, 2020, we adopted the new guidance, which did not have an impact on our consolidated financial statements.</w:t>
      </w:r>
    </w:p>
    <w:p>
      <w:pPr>
        <w:spacing w:after="0" w:line="190"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On January 1, 2020, we adopted the new guidance, which did not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18 – </w:t>
      </w:r>
      <w:r>
        <w:rPr>
          <w:rFonts w:ascii="Arial" w:cs="Arial" w:eastAsia="Arial" w:hAnsi="Arial"/>
          <w:sz w:val="22"/>
          <w:szCs w:val="22"/>
          <w:b w:val="1"/>
          <w:bCs w:val="1"/>
          <w:i w:val="1"/>
          <w:iCs w:val="1"/>
          <w:color w:val="auto"/>
        </w:rPr>
        <w:t>Subsequent Events</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On May 6, 2020, the Company held its annual meeting of shareholders for 2020. The meeting was held as a virtual meeting due to the COVID-19 pandemic. In addition to the election of directors and other routine annual meeting matters, the shareholders approved amendments to the Company’s Amended and Restated Articles of Incorporation, as amended, to increase the number of authorized shares of common stock from 300 million, par value $0.50 per share, to 600 million, par value $0.50 per share, and to establish a majority voting standard in uncontested director elections. The Company will file Amended and Restated Articles of Incorporation promptly with the Secretary of State of the Commonwealth of Pennsylvania.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8" w:name="page39"/>
    <w:bookmarkEnd w:id="3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88" w:lineRule="exact"/>
        <w:rPr>
          <w:sz w:val="20"/>
          <w:szCs w:val="20"/>
          <w:color w:val="auto"/>
        </w:rPr>
      </w:pPr>
    </w:p>
    <w:p>
      <w:pPr>
        <w:jc w:val="center"/>
        <w:ind w:right="40"/>
        <w:spacing w:after="0" w:line="282"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COVID-19,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2019 under the captions “Risk Factors” and “Management’s Discussion and Analysis of Financial Condition and Results of Operations” and elsewhere in such report and those included under the captions “Risk Factors” in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General Information</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Essential Utilities, Inc. (“we”, “us”, “our” or the “Company”), a Pennsylvania corporation, is the holding company for regulated utilities providing water, wastewater, or natural gas services to what we estimate to be almost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other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subsidiaries of Peoples. Aqua Infrastructure provides non-utility raw water supply services for firms in the natural gas drilling industry. Aqua Resources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9" w:name="page40"/>
    <w:bookmarkEnd w:id="3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7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520"/>
        <w:spacing w:after="0" w:line="239" w:lineRule="auto"/>
        <w:rPr>
          <w:sz w:val="20"/>
          <w:szCs w:val="20"/>
          <w:color w:val="auto"/>
        </w:rPr>
      </w:pPr>
      <w:r>
        <w:rPr>
          <w:rFonts w:ascii="Arial" w:cs="Arial" w:eastAsia="Arial" w:hAnsi="Arial"/>
          <w:sz w:val="22"/>
          <w:szCs w:val="22"/>
          <w:color w:val="auto"/>
        </w:rPr>
        <w:t>manages a water system operating and maintenance contract, and offers, through a third-party, water and sewer service line protection solutions and repair services to households.</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Essential Utilities, Inc., which prior to its name change in February 2020 was known as Aqua America, Inc.,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operations in Ohio in 2012, and the March 16, 2020 acquisition of Peoples, a Pittsburgh, Pennsylvania based natural gas distribution company. Since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regulated water and wastewater operations in seven other states. On March 16, 2020, the Company completed the Peoples Gas Acquisition, a natural gas distribution utility, marking its entrance into the regulated natural gas business. The Company seeks to acquire businesses in the U.S. regulated sector, which includes water and wastewater utilities, natural gas utilities, and other regulated utilities, and to opportunistically pursue growth ventures in select market-based activities, such as infrastructure opportunities that are supplementary and complementary to our regulated businesses.</w:t>
      </w:r>
    </w:p>
    <w:p>
      <w:pPr>
        <w:spacing w:after="0" w:line="180" w:lineRule="exact"/>
        <w:rPr>
          <w:sz w:val="20"/>
          <w:szCs w:val="20"/>
          <w:color w:val="auto"/>
        </w:rPr>
      </w:pPr>
    </w:p>
    <w:p>
      <w:pPr>
        <w:ind w:right="54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Recent Developments – COVID-19</w:t>
      </w:r>
    </w:p>
    <w:p>
      <w:pPr>
        <w:spacing w:after="0" w:line="206" w:lineRule="exact"/>
        <w:rPr>
          <w:sz w:val="20"/>
          <w:szCs w:val="20"/>
          <w:color w:val="auto"/>
        </w:rPr>
      </w:pPr>
    </w:p>
    <w:p>
      <w:pPr>
        <w:jc w:val="both"/>
        <w:ind w:right="40"/>
        <w:spacing w:after="0" w:line="244" w:lineRule="auto"/>
        <w:rPr>
          <w:sz w:val="20"/>
          <w:szCs w:val="20"/>
          <w:color w:val="auto"/>
        </w:rPr>
      </w:pPr>
      <w:r>
        <w:rPr>
          <w:rFonts w:ascii="Arial" w:cs="Arial" w:eastAsia="Arial" w:hAnsi="Arial"/>
          <w:sz w:val="21"/>
          <w:szCs w:val="21"/>
          <w:color w:val="auto"/>
        </w:rPr>
        <w:t>The impact of the global outbreak of the current novel coronavirus (“COVID-19”) pandemic has created significant volatility in the global economy and led to reduced economic activity. We are monitoring the global outbreak of COVID-19 and taking steps to mitigate the potential risks to our employees and our customers posed by its spread.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0" w:name="page41"/>
    <w:bookmarkEnd w:id="4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provide a critical service to our customers, which means that it is paramount that we keep our employees who operate the business safe and informed. For example, we have taken precautions with regard to employee and facility hygiene, imposed travel restrictions on our employees and directed our employees to work remotely wherever and whenever possible. We have implemented additional protocols for required work within customers’ premises to protect our employees, our customers and the public. Additionally, we have assessed and updated, where appropriate, our existing business continuity plan in the context of this pandemic, including our recent acquisition of Peoples. We are also working with our suppliers to understand the potential impacts to our supply chain. At this time, no material risks to our supply chain have been identified; however, if there were global shortages it could impact our maintenance and capital programs and the effects of any such impact cannot currently be anticipated. We continue to implement strong physical and cyber-security measures in an effort to ensure that our systems remain functional in order to both serve our operational needs with a remote workforce and maintain uninterrupted service to our customers. To maximize our financial flexibility in light of the uncertainty surrounding the impact of the COVID-19 pandemic, we have taken steps to secure higher-than-typical levels of liquidity during this time in case it is needed, including entering into a credit agreement on April 3, 2020, which provided the Company with a short-term borrowing facility of $500,000 in unsecured term loans, which was drawn and matures on April 2, 2021.</w:t>
      </w:r>
    </w:p>
    <w:p>
      <w:pPr>
        <w:spacing w:after="0" w:line="200" w:lineRule="exact"/>
        <w:rPr>
          <w:sz w:val="20"/>
          <w:szCs w:val="20"/>
          <w:color w:val="auto"/>
        </w:rPr>
      </w:pPr>
    </w:p>
    <w:p>
      <w:pPr>
        <w:spacing w:after="0" w:line="213"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This is a rapidly evolving situation, and we will continue to monitor developments affecting our business, workforce, and suppliers and take additional precautions as we believe are warranted. We are actively monitoring our utility billings as usage patterns may impact various customer classes differently; however, it is too soon to draw conclusions regarding the magnitude or severity of the impact from COVID-19 on operating revenues. In response to concerns about customer economic hardship and affordability during the COVID-19 health crisis, our state regulators mandated the temporary curtailment of certain collection practices, such as disconnections from utility service.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 Some public utility commission are issuing guidance for utilities to defer COVID-19 expenses in anticipation of seeking recovery in a future rate proceeding, and we are currently evaluating the impact of this guidance. We are currently continuing with our capital investment program, and based on the current situation, continue to believe we are able to complete the planned projects and improvements to our utility infrastructure. Despite our efforts, the ultimate impact to the Company of COVID-19 also depends on factors beyond our knowledge or control, including the duration and severity of this outbreak as well as third-party actions taken to contain its spread and mitigate its public health effects. Although we do not currently anticipate a significant impact, by the nature of the outbreak, we currently cannot estimate the potential impact to our financial position, results of operations and cash flows.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80"/>
        <w:spacing w:after="0" w:line="222" w:lineRule="auto"/>
        <w:rPr>
          <w:sz w:val="20"/>
          <w:szCs w:val="20"/>
          <w:color w:val="auto"/>
        </w:rPr>
      </w:pPr>
      <w:r>
        <w:rPr>
          <w:rFonts w:ascii="Arial" w:cs="Arial" w:eastAsia="Arial" w:hAnsi="Arial"/>
          <w:sz w:val="22"/>
          <w:szCs w:val="22"/>
          <w:color w:val="auto"/>
        </w:rPr>
        <w:t>With the exception of periods in 2019 when the proceeds from the April 2019 financings were held as cash pending completion of the Peoples Gas Acquisition, the Company’s consolidated balance sheet historically has had a negative working capital position whereby our current liabilities routinely exceed our current assets. Management believes that internally generated funds along with existing credit</w:t>
      </w: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140"/>
        <w:spacing w:after="0" w:line="313" w:lineRule="auto"/>
        <w:rPr>
          <w:sz w:val="20"/>
          <w:szCs w:val="20"/>
          <w:color w:val="auto"/>
        </w:rPr>
      </w:pPr>
      <w:r>
        <w:rPr>
          <w:rFonts w:ascii="Arial" w:cs="Arial" w:eastAsia="Arial" w:hAnsi="Arial"/>
          <w:sz w:val="19"/>
          <w:szCs w:val="19"/>
          <w:color w:val="auto"/>
        </w:rPr>
        <w:t>facilities, and the proceeds from the issuance of long-term debt and equity will be adequate to provide sufficient working capital to maintain normal operations and to meet our financing requirements for at least the next twelve months.</w:t>
      </w:r>
    </w:p>
    <w:p>
      <w:pPr>
        <w:spacing w:after="0" w:line="119"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During the first three months of 2020, we incurred $118,734 of capital expenditures, expended $3,465,344 for the acquisition of Peoples Natural Gas, $7,500 for the acquisition of a water utility system, issued $730,135 of shares of common stock in a private placement, $800,184 of long-term debt, and repaid debt and made sinking fund contributions and other loan repayments of $11,509. The capital expenditures were related to new and replacement water, wastewater, and natural gas mains, improvements to treatment plants, tanks, hydrants, and service lines, well and booster improvements, and other enhancements and improvements. The issuance of common stock and long-term debt was comprised principally of the permanent financing to complete our acquisition of Peoples and funds borrowed under our revolving credit facility.</w:t>
      </w:r>
    </w:p>
    <w:p>
      <w:pPr>
        <w:spacing w:after="0" w:line="166"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 xml:space="preserve">On March 16, 2020 (the “Closing Date”), the Company completed the Peoples Gas Acquisition and paid cash consideration of $3,465,344, which is subject to adjustment upon completion of a closing balance sheet and the finalization of other adjustments that may occur over the next several months. Peoples is headquartered in Pittsburgh, Pennsylvania and serves approximately 747,000 natural gas utility customers in western Pennsylvania, West Virginia, and Kentucky. The estimated purchase price paid by the Company was determined based on a base price of $4,275,000, which was adjusted by $43,935 for an estimated change in working capital, certain capital expenditures of $247,500, and the assumption of $1,101,091 of indebtedness as of the closing date, consisting of $920,091 of senior notes and $181,000 of short-term debt. The acquisition was financed through a series of financing transactions that included the issuance of common stock from a public offering and a private placement, a tangible equity unit offering, and short and long-term debt. Refer to Note 6 – </w:t>
      </w:r>
      <w:r>
        <w:rPr>
          <w:rFonts w:ascii="Arial" w:cs="Arial" w:eastAsia="Arial" w:hAnsi="Arial"/>
          <w:sz w:val="19"/>
          <w:szCs w:val="19"/>
          <w:i w:val="1"/>
          <w:iCs w:val="1"/>
          <w:color w:val="auto"/>
        </w:rPr>
        <w:t>Capitalization</w:t>
      </w:r>
      <w:r>
        <w:rPr>
          <w:rFonts w:ascii="Arial" w:cs="Arial" w:eastAsia="Arial" w:hAnsi="Arial"/>
          <w:sz w:val="19"/>
          <w:szCs w:val="19"/>
          <w:color w:val="auto"/>
        </w:rPr>
        <w:t xml:space="preserve"> to the consolidated financial statements for further information on these financings.</w:t>
      </w:r>
    </w:p>
    <w:p>
      <w:pPr>
        <w:spacing w:after="0" w:line="176"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auto"/>
        </w:rPr>
        <w:t>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16, 2020, as a result of our completion of the Peoples Gas Acquisition, the Company terminated the Bridge Commitment.</w:t>
      </w:r>
    </w:p>
    <w:p>
      <w:pPr>
        <w:spacing w:after="0" w:line="186"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has committed to provide $23,000 of customer rate credits before the end of the year 2020 to its natural gas utility customers and water and wastewater customers served by Aqua Pennsylvania.</w:t>
      </w:r>
    </w:p>
    <w:p>
      <w:pPr>
        <w:spacing w:after="0" w:line="186" w:lineRule="exact"/>
        <w:rPr>
          <w:sz w:val="20"/>
          <w:szCs w:val="20"/>
          <w:color w:val="auto"/>
        </w:rPr>
      </w:pPr>
    </w:p>
    <w:p>
      <w:pPr>
        <w:ind w:right="100"/>
        <w:spacing w:after="0" w:line="222" w:lineRule="auto"/>
        <w:rPr>
          <w:sz w:val="20"/>
          <w:szCs w:val="20"/>
          <w:color w:val="auto"/>
        </w:rPr>
      </w:pPr>
      <w:r>
        <w:rPr>
          <w:rFonts w:ascii="Arial" w:cs="Arial" w:eastAsia="Arial" w:hAnsi="Arial"/>
          <w:sz w:val="22"/>
          <w:szCs w:val="22"/>
          <w:color w:val="auto"/>
        </w:rPr>
        <w:t>On May 18, 2019, the Company redeemed $313,500 of the Company’s outstanding notes that had maturities ranging from 2019-2037 and interest rates ranging from 3.57-5.83%. Additionally, the redemption of senior unsecured notes was subject to a make whole payment of $25,237, and $18,528 of this payment was expensed and was presented in the consolidated statements of operations and</w:t>
      </w: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spacing w:after="0" w:line="313" w:lineRule="auto"/>
        <w:rPr>
          <w:sz w:val="20"/>
          <w:szCs w:val="20"/>
          <w:color w:val="auto"/>
        </w:rPr>
      </w:pPr>
      <w:r>
        <w:rPr>
          <w:rFonts w:ascii="Arial" w:cs="Arial" w:eastAsia="Arial" w:hAnsi="Arial"/>
          <w:sz w:val="19"/>
          <w:szCs w:val="19"/>
          <w:color w:val="auto"/>
        </w:rPr>
        <w:t>comprehensive income on the line item “loss on debt extinguishment.” The balance of the payment, or $6,709, was deferred, as a regulatory asset, as it represents an amount by which the Company expects to receive prospective rate recovery.</w:t>
      </w:r>
    </w:p>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$900,000 of long-term debt used to finance a portion of the purchase price of this acquisition and redeem $313,500 of the Company’s existing debt. Refer to Note 7 – </w:t>
      </w:r>
      <w:r>
        <w:rPr>
          <w:rFonts w:ascii="Arial" w:cs="Arial" w:eastAsia="Arial" w:hAnsi="Arial"/>
          <w:sz w:val="19"/>
          <w:szCs w:val="19"/>
          <w:i w:val="1"/>
          <w:iCs w:val="1"/>
          <w:color w:val="auto"/>
        </w:rPr>
        <w:t>Interest Rate Swap Agreements</w:t>
      </w:r>
      <w:r>
        <w:rPr>
          <w:rFonts w:ascii="Arial" w:cs="Arial" w:eastAsia="Arial" w:hAnsi="Arial"/>
          <w:sz w:val="19"/>
          <w:szCs w:val="19"/>
          <w:color w:val="auto"/>
        </w:rPr>
        <w:t xml:space="preserve"> to the consolidated financial statements in this report for further information. The interest rate swaps did not qualify for hedge accounting and any changes in the fair value of the swaps was included in our earnings.</w:t>
      </w:r>
    </w:p>
    <w:p>
      <w:pPr>
        <w:spacing w:after="0" w:line="164"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At March 31, 2020, we had $31,848 of cash and cash equivalents compared to $1,868,922 at December 31, 2019. The cash and cash equivalents balance at December 31, 2019 included a portion of the proceeds from the April 2019 financings that were held in an interest-bearing account prior to closing of the Peoples acquisition on March 16, 2020. During the first three months of 2020, we used the proceeds on deposit from the April 2019 financings as well as the proceeds from the issuance of common stock, long-term debt, and internally generated funds to fund the cash requirements discussed above and to pay dividends.</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At March 31, 2020, our $1,000,000 unsecured revolving credit facility, which expires in December 2023, had $178,533 available for borrowing. Additionally, at March 31, 2020, we had short-term lines of credit of $135,500, of which $85,495 was available for borrowing. One of our short-term lines of credit is an Aqua Pennsylvania $100,000 364-day unsecured revolving credit facility with four banks, which is used to provide working capital, and as of March 31, 2020, $57,495 was available for borrowing. Our short-term lines of credit of $135,500 are subject to renewal on an annual basis. Although we believe we will be able to renew these facilities, there is no assurance that they will be renewed, or what the terms of any such renewal will be. Additionally, on March 13, 2020, the Company entered into a 364 day $150,000 credit agreement pursuant to which the Company borrowed $150,000, which was used to fund a portion of the Peoples Gas Acquisition, in lieu of additional borrowings under our revolving credit facility, and was subsequently paid off in April 2020.</w:t>
      </w:r>
    </w:p>
    <w:p>
      <w:pPr>
        <w:spacing w:after="0" w:line="173"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On April 3, 2020, the Company entered into a credit agreement that provided the Company with a short-term borrowing facility of $500,000 in unsecured term loans, which was drawn and matures on April 2, 2021. The Company intends to use the proceeds from the term loans for general corporate purposes and to strengthen its liquidity and cash position, and maximize its financial flexibility in light of the uncertainty surrounding the impact of the COVID-19 pandemic. The proceeds remain on deposit, and the Company will evaluate the timing of repayment based on the development of COVID-19 and its impact on the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100"/>
        <w:spacing w:after="0" w:line="226" w:lineRule="auto"/>
        <w:rPr>
          <w:sz w:val="20"/>
          <w:szCs w:val="20"/>
          <w:color w:val="auto"/>
        </w:rPr>
      </w:pPr>
      <w:r>
        <w:rPr>
          <w:rFonts w:ascii="Arial" w:cs="Arial" w:eastAsia="Arial" w:hAnsi="Arial"/>
          <w:sz w:val="22"/>
          <w:szCs w:val="22"/>
          <w:color w:val="auto"/>
        </w:rPr>
        <w:t>On April 13, 2020, the Company issued $1,100,000 of long-term debt, of which $500,000 is due in 2030, and $600,000 is due in 2050 with interest rates of 2.704% and 3.351%, respectively. The Company used the proceeds from this issuance to repay in full the borrowings of $181,000 of short-term debt assumed in the Peoples Gas Acquisition, $150,000 of short-term debt issued by the Company on March 13, 2020, and to repay a portion of the borrowings under our existing five year unsecured revolving credit agreement.</w:t>
      </w:r>
    </w:p>
    <w:p>
      <w:pPr>
        <w:spacing w:after="0" w:line="186"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On May 1, 2020, Aqua Pennsylvania issued $175,000 of first mortgage bonds, of which $75,000 is due in 2051, $50,000 is due in 2055, and $50,000 is due in 2056 with interest rates of 3.49%, 3.54%, and 3.55%, respectively. The proceeds from these bonds were used to repay existing indebtedness and for general corporate purposes.</w:t>
      </w:r>
    </w:p>
    <w:p>
      <w:pPr>
        <w:spacing w:after="0" w:line="188"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Consolidated Results of Operations</w:t>
      </w:r>
    </w:p>
    <w:p>
      <w:pPr>
        <w:spacing w:after="0" w:line="206" w:lineRule="exact"/>
        <w:rPr>
          <w:sz w:val="20"/>
          <w:szCs w:val="20"/>
          <w:color w:val="auto"/>
        </w:rPr>
      </w:pPr>
    </w:p>
    <w:p>
      <w:pPr>
        <w:ind w:left="2660"/>
        <w:spacing w:after="0"/>
        <w:rPr>
          <w:sz w:val="20"/>
          <w:szCs w:val="20"/>
          <w:color w:val="auto"/>
        </w:rPr>
      </w:pPr>
      <w:r>
        <w:rPr>
          <w:rFonts w:ascii="Arial" w:cs="Arial" w:eastAsia="Arial" w:hAnsi="Arial"/>
          <w:sz w:val="22"/>
          <w:szCs w:val="22"/>
          <w:u w:val="single" w:color="auto"/>
          <w:color w:val="auto"/>
        </w:rPr>
        <w:t>Analysis of First Quarter of 2020 Compared to First Quarter of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$54,453 or 27.1%, primarily due to:</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natural gas revenues of $38,544 associated with the Peoples Gas Acquisition;</w:t>
      </w:r>
    </w:p>
    <w:p>
      <w:pPr>
        <w:ind w:left="700"/>
        <w:spacing w:after="0" w:line="217" w:lineRule="auto"/>
        <w:rPr>
          <w:sz w:val="20"/>
          <w:szCs w:val="20"/>
          <w:color w:val="auto"/>
        </w:rPr>
      </w:pPr>
      <w:r>
        <w:rPr>
          <w:rFonts w:ascii="Arial" w:cs="Arial" w:eastAsia="Arial" w:hAnsi="Arial"/>
          <w:sz w:val="22"/>
          <w:szCs w:val="22"/>
          <w:color w:val="auto"/>
        </w:rPr>
        <w:t>an increase in water and wastewater rates, net of infrastructure rehabilitation surcharges, of $12,968;</w:t>
      </w:r>
    </w:p>
    <w:p>
      <w:pPr>
        <w:spacing w:after="0" w:line="1" w:lineRule="exact"/>
        <w:rPr>
          <w:sz w:val="20"/>
          <w:szCs w:val="20"/>
          <w:color w:val="auto"/>
        </w:rPr>
      </w:pPr>
    </w:p>
    <w:p>
      <w:pPr>
        <w:ind w:left="700" w:right="360"/>
        <w:spacing w:after="0" w:line="217" w:lineRule="auto"/>
        <w:rPr>
          <w:sz w:val="20"/>
          <w:szCs w:val="20"/>
          <w:color w:val="auto"/>
        </w:rPr>
      </w:pPr>
      <w:r>
        <w:rPr>
          <w:rFonts w:ascii="Arial" w:cs="Arial" w:eastAsia="Arial" w:hAnsi="Arial"/>
          <w:sz w:val="22"/>
          <w:szCs w:val="22"/>
          <w:color w:val="auto"/>
        </w:rPr>
        <w:t>additional water and wastewater revenues of $3,792 associated with a larger customer base due to organic growth and utility acquisitions, and other growth ventures;</w:t>
      </w:r>
    </w:p>
    <w:p>
      <w:pPr>
        <w:ind w:left="700"/>
        <w:spacing w:after="0" w:line="219" w:lineRule="auto"/>
        <w:rPr>
          <w:sz w:val="20"/>
          <w:szCs w:val="20"/>
          <w:color w:val="auto"/>
        </w:rPr>
      </w:pPr>
      <w:r>
        <w:rPr>
          <w:rFonts w:ascii="Arial" w:cs="Arial" w:eastAsia="Arial" w:hAnsi="Arial"/>
          <w:sz w:val="22"/>
          <w:szCs w:val="22"/>
          <w:color w:val="auto"/>
        </w:rPr>
        <w:t>offset by a decrease in customer water consumption; and</w:t>
      </w:r>
    </w:p>
    <w:p>
      <w:pPr>
        <w:ind w:left="700" w:right="320"/>
        <w:spacing w:after="0" w:line="293" w:lineRule="auto"/>
        <w:rPr>
          <w:sz w:val="20"/>
          <w:szCs w:val="20"/>
          <w:color w:val="auto"/>
        </w:rPr>
      </w:pPr>
      <w:r>
        <w:rPr>
          <w:rFonts w:ascii="Arial" w:cs="Arial" w:eastAsia="Arial" w:hAnsi="Arial"/>
          <w:sz w:val="19"/>
          <w:szCs w:val="19"/>
          <w:color w:val="auto"/>
        </w:rPr>
        <w:t>a decrease in water and wastewater revenues of $300 as a result of an advisory for some of our water utility customers served by our Illinois subsidiary. We expect this decrease in revenues to continue into the second half of 2020.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$27,323 or 34.4%, primarily due to:</w:t>
      </w:r>
    </w:p>
    <w:p>
      <w:pPr>
        <w:spacing w:after="0" w:line="206" w:lineRule="exact"/>
        <w:rPr>
          <w:sz w:val="20"/>
          <w:szCs w:val="20"/>
          <w:color w:val="auto"/>
        </w:rPr>
      </w:pPr>
    </w:p>
    <w:p>
      <w:pPr>
        <w:ind w:left="700" w:right="420"/>
        <w:spacing w:after="0" w:line="222" w:lineRule="auto"/>
        <w:rPr>
          <w:sz w:val="20"/>
          <w:szCs w:val="20"/>
          <w:color w:val="auto"/>
        </w:rPr>
      </w:pPr>
      <w:r>
        <w:rPr>
          <w:rFonts w:ascii="Arial" w:cs="Arial" w:eastAsia="Arial" w:hAnsi="Arial"/>
          <w:sz w:val="22"/>
          <w:szCs w:val="22"/>
          <w:color w:val="auto"/>
        </w:rPr>
        <w:t>transaction expenses of $25,397 in the first quarter of 2020 as compared to $6,646 in the first quarter of 2019 for the Peoples Gas Acquisition, primarily representing expenses associated with investment banking fees, employee related expenses, obtaining regulatory approvals, legal expenses and integration planning; operating costs of $8,823 associated with the Peoples Gas Acquisition;</w:t>
      </w:r>
    </w:p>
    <w:p>
      <w:pPr>
        <w:ind w:left="700" w:right="24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$1,488; and</w:t>
      </w:r>
    </w:p>
    <w:p>
      <w:pPr>
        <w:spacing w:after="0" w:line="2" w:lineRule="exact"/>
        <w:rPr>
          <w:sz w:val="20"/>
          <w:szCs w:val="20"/>
          <w:color w:val="auto"/>
        </w:rPr>
      </w:pPr>
    </w:p>
    <w:p>
      <w:pPr>
        <w:ind w:left="700" w:right="100"/>
        <w:spacing w:after="0" w:line="252" w:lineRule="auto"/>
        <w:rPr>
          <w:sz w:val="20"/>
          <w:szCs w:val="20"/>
          <w:color w:val="auto"/>
        </w:rPr>
      </w:pPr>
      <w:r>
        <w:rPr>
          <w:rFonts w:ascii="Arial" w:cs="Arial" w:eastAsia="Arial" w:hAnsi="Arial"/>
          <w:sz w:val="19"/>
          <w:szCs w:val="19"/>
          <w:color w:val="auto"/>
        </w:rPr>
        <w:t>expenses of $605 associated with remediating an advisory for some of our water utility customers served by our Illinois subsidiary. We expect that the expenses associated with remediating the advisory to continue in the second half of 2020.</w:t>
      </w: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700"/>
        <w:spacing w:after="0" w:line="239" w:lineRule="auto"/>
        <w:rPr>
          <w:sz w:val="20"/>
          <w:szCs w:val="20"/>
          <w:color w:val="auto"/>
        </w:rPr>
      </w:pPr>
      <w:r>
        <w:rPr>
          <w:rFonts w:ascii="Arial" w:cs="Arial" w:eastAsia="Arial" w:hAnsi="Arial"/>
          <w:sz w:val="22"/>
          <w:szCs w:val="22"/>
          <w:color w:val="auto"/>
        </w:rPr>
        <w:t>Purchased gas of $12,770 in the first quarter of 2020 represents the cost of gas sold by Peoples during the period since the acquisition date of March 16, 2020. There were no corresponding amounts in prior periods.</w:t>
      </w:r>
    </w:p>
    <w:p>
      <w:pPr>
        <w:spacing w:after="0" w:line="185" w:lineRule="exact"/>
        <w:rPr>
          <w:sz w:val="20"/>
          <w:szCs w:val="20"/>
          <w:color w:val="auto"/>
        </w:rPr>
      </w:pPr>
    </w:p>
    <w:p>
      <w:pPr>
        <w:ind w:right="760"/>
        <w:spacing w:after="0" w:line="313" w:lineRule="auto"/>
        <w:rPr>
          <w:sz w:val="20"/>
          <w:szCs w:val="20"/>
          <w:color w:val="auto"/>
        </w:rPr>
      </w:pPr>
      <w:r>
        <w:rPr>
          <w:rFonts w:ascii="Arial" w:cs="Arial" w:eastAsia="Arial" w:hAnsi="Arial"/>
          <w:sz w:val="19"/>
          <w:szCs w:val="19"/>
          <w:color w:val="auto"/>
        </w:rPr>
        <w:t>Depreciation expense increased by $6,492 or 16.6%, primarily due to depreciation expense of $4,373 associated with our completion of the Peoples Gas Acquisition and the utility plant placed in service since March 31, 2019.</w:t>
      </w:r>
    </w:p>
    <w:p>
      <w:pPr>
        <w:spacing w:after="0" w:line="119" w:lineRule="exact"/>
        <w:rPr>
          <w:sz w:val="20"/>
          <w:szCs w:val="20"/>
          <w:color w:val="auto"/>
        </w:rPr>
      </w:pPr>
    </w:p>
    <w:p>
      <w:pPr>
        <w:jc w:val="both"/>
        <w:ind w:right="480"/>
        <w:spacing w:after="0" w:line="313" w:lineRule="auto"/>
        <w:rPr>
          <w:sz w:val="20"/>
          <w:szCs w:val="20"/>
          <w:color w:val="auto"/>
        </w:rPr>
      </w:pPr>
      <w:r>
        <w:rPr>
          <w:rFonts w:ascii="Arial" w:cs="Arial" w:eastAsia="Arial" w:hAnsi="Arial"/>
          <w:sz w:val="19"/>
          <w:szCs w:val="19"/>
          <w:color w:val="auto"/>
        </w:rPr>
        <w:t>Taxes other than income taxes increased by $1,467 or 9.8%, primarily due to increases in payroll taxes of $799 and property taxes of $567 resulting from additional expenses associated with acquired operations including the Peoples Gas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$7,253 or 26.0%, primarily due to the following items:</w:t>
      </w:r>
    </w:p>
    <w:p>
      <w:pPr>
        <w:spacing w:after="0" w:line="206" w:lineRule="exact"/>
        <w:rPr>
          <w:sz w:val="20"/>
          <w:szCs w:val="20"/>
          <w:color w:val="auto"/>
        </w:rPr>
      </w:pPr>
    </w:p>
    <w:p>
      <w:pPr>
        <w:ind w:left="700" w:right="460"/>
        <w:spacing w:after="0" w:line="226" w:lineRule="auto"/>
        <w:rPr>
          <w:sz w:val="20"/>
          <w:szCs w:val="20"/>
          <w:color w:val="auto"/>
        </w:rPr>
      </w:pPr>
      <w:r>
        <w:rPr>
          <w:rFonts w:ascii="Arial" w:cs="Arial" w:eastAsia="Arial" w:hAnsi="Arial"/>
          <w:sz w:val="22"/>
          <w:szCs w:val="22"/>
          <w:color w:val="auto"/>
        </w:rPr>
        <w:t>pre-acquisition interest expense of $3,959 from the issuance of $900,000 long-term debt and $119,081 of amortizing notes in April 2019 to partially fund the Peoples Gas Acquisition</w:t>
      </w:r>
    </w:p>
    <w:p>
      <w:pPr>
        <w:spacing w:after="0" w:line="1" w:lineRule="exact"/>
        <w:rPr>
          <w:sz w:val="20"/>
          <w:szCs w:val="20"/>
          <w:color w:val="auto"/>
        </w:rPr>
      </w:pPr>
    </w:p>
    <w:p>
      <w:pPr>
        <w:ind w:left="700" w:right="4380"/>
        <w:spacing w:after="0" w:line="230" w:lineRule="auto"/>
        <w:rPr>
          <w:sz w:val="20"/>
          <w:szCs w:val="20"/>
          <w:color w:val="auto"/>
        </w:rPr>
      </w:pPr>
      <w:r>
        <w:rPr>
          <w:rFonts w:ascii="Arial" w:cs="Arial" w:eastAsia="Arial" w:hAnsi="Arial"/>
          <w:sz w:val="22"/>
          <w:szCs w:val="22"/>
          <w:color w:val="auto"/>
        </w:rPr>
        <w:t>interest of $1,887 on debt assumed in the Peoples Gas Acquisition; and an increase in average borrowings.</w:t>
      </w:r>
    </w:p>
    <w:p>
      <w:pPr>
        <w:spacing w:after="0" w:line="186" w:lineRule="exact"/>
        <w:rPr>
          <w:sz w:val="20"/>
          <w:szCs w:val="20"/>
          <w:color w:val="auto"/>
        </w:rPr>
      </w:pPr>
    </w:p>
    <w:p>
      <w:pPr>
        <w:ind w:right="540"/>
        <w:spacing w:after="0" w:line="239" w:lineRule="auto"/>
        <w:rPr>
          <w:sz w:val="20"/>
          <w:szCs w:val="20"/>
          <w:color w:val="auto"/>
        </w:rPr>
      </w:pPr>
      <w:r>
        <w:rPr>
          <w:rFonts w:ascii="Arial" w:cs="Arial" w:eastAsia="Arial" w:hAnsi="Arial"/>
          <w:sz w:val="22"/>
          <w:szCs w:val="22"/>
          <w:color w:val="auto"/>
        </w:rPr>
        <w:t>Interest income increased by $5,016 primarily due to interest income of $4,930 earned on the proceeds from our April 2019 equity offerings.</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Allowance for funds used during construction (“AFUDC”) decreased by $1,108 due to a decrease in the average balance of utility plant construction work in progress, to which AFUDC is applied.</w:t>
      </w:r>
    </w:p>
    <w:p>
      <w:pPr>
        <w:spacing w:after="0" w:line="185" w:lineRule="exact"/>
        <w:rPr>
          <w:sz w:val="20"/>
          <w:szCs w:val="20"/>
          <w:color w:val="auto"/>
        </w:rPr>
      </w:pPr>
    </w:p>
    <w:p>
      <w:pPr>
        <w:ind w:right="420"/>
        <w:spacing w:after="0" w:line="231" w:lineRule="auto"/>
        <w:rPr>
          <w:sz w:val="20"/>
          <w:szCs w:val="20"/>
          <w:color w:val="auto"/>
        </w:rPr>
      </w:pPr>
      <w:r>
        <w:rPr>
          <w:rFonts w:ascii="Arial" w:cs="Arial" w:eastAsia="Arial" w:hAnsi="Arial"/>
          <w:sz w:val="22"/>
          <w:szCs w:val="22"/>
          <w:color w:val="auto"/>
        </w:rPr>
        <w:t>The decrease in the change in the fair value of interest rate swap agreements of $34,782 represents the mark-to-market adjustment recognized in the first quarter of 2019 of our interest rate swap agreement, which was entered into on October 23, 2018 and was settled on April 24, 2019.</w:t>
      </w:r>
    </w:p>
    <w:p>
      <w:pPr>
        <w:spacing w:after="0" w:line="188" w:lineRule="exact"/>
        <w:rPr>
          <w:sz w:val="20"/>
          <w:szCs w:val="20"/>
          <w:color w:val="auto"/>
        </w:rPr>
      </w:pPr>
    </w:p>
    <w:p>
      <w:pPr>
        <w:ind w:right="700"/>
        <w:spacing w:after="0" w:line="239" w:lineRule="auto"/>
        <w:rPr>
          <w:sz w:val="20"/>
          <w:szCs w:val="20"/>
          <w:color w:val="auto"/>
        </w:rPr>
      </w:pPr>
      <w:r>
        <w:rPr>
          <w:rFonts w:ascii="Arial" w:cs="Arial" w:eastAsia="Arial" w:hAnsi="Arial"/>
          <w:sz w:val="22"/>
          <w:szCs w:val="22"/>
          <w:color w:val="auto"/>
        </w:rPr>
        <w:t>Equity loss in joint venture increased by $670 due to a decrease in the sale of raw water to firms in the natural gas drilling industry.</w:t>
      </w:r>
    </w:p>
    <w:p>
      <w:pPr>
        <w:spacing w:after="0" w:line="185" w:lineRule="exact"/>
        <w:rPr>
          <w:sz w:val="20"/>
          <w:szCs w:val="20"/>
          <w:color w:val="auto"/>
        </w:rPr>
      </w:pPr>
    </w:p>
    <w:p>
      <w:pPr>
        <w:ind w:right="560"/>
        <w:spacing w:after="0" w:line="239" w:lineRule="auto"/>
        <w:rPr>
          <w:sz w:val="20"/>
          <w:szCs w:val="20"/>
          <w:color w:val="auto"/>
        </w:rPr>
      </w:pPr>
      <w:r>
        <w:rPr>
          <w:rFonts w:ascii="Arial" w:cs="Arial" w:eastAsia="Arial" w:hAnsi="Arial"/>
          <w:sz w:val="22"/>
          <w:szCs w:val="22"/>
          <w:color w:val="auto"/>
        </w:rPr>
        <w:t>Other increased by $807 primarily due to an increase in the non-service cost components of our net benefit cost for pension benefits.</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Our effective income tax rate was (16.0)% in the first quarter of 2020 and (93.3)% in the first quarter of 2019. The effective income tax rate increased due to the increase in our income before income taxes of $35,903. The Company’s provision for income taxes represents an income tax benefit due to the effects of tax deductions recognized for certain qualifying infrastructure improvements for Aqua Pennsylvania and Peoples. On March 31, 2020, we changed the method of tax accounting for certain qualifying infrastructure investments at Peoples Natural Gas, our largest natural gas subsidiary in Pennsylvania,</w:t>
      </w: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which provided for a reduction to income tax expense of $5,938 due to the flow-through treatment of the current tax benefits.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$34,857 primarily as a result of the factors described above.</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auto"/>
        </w:rPr>
        <w:t>Results of Operations – Regulated Water Segment</w:t>
      </w:r>
    </w:p>
    <w:p>
      <w:pPr>
        <w:spacing w:after="0" w:line="206" w:lineRule="exact"/>
        <w:rPr>
          <w:sz w:val="20"/>
          <w:szCs w:val="20"/>
          <w:color w:val="auto"/>
        </w:rPr>
      </w:pPr>
    </w:p>
    <w:p>
      <w:pPr>
        <w:ind w:right="100"/>
        <w:spacing w:after="0" w:line="228" w:lineRule="auto"/>
        <w:rPr>
          <w:sz w:val="20"/>
          <w:szCs w:val="20"/>
          <w:color w:val="auto"/>
        </w:rPr>
      </w:pPr>
      <w:r>
        <w:rPr>
          <w:rFonts w:ascii="Arial" w:cs="Arial" w:eastAsia="Arial" w:hAnsi="Arial"/>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 and for a discussion and analysis of the segment operating results, refer to the consolidated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Results of Operations – Regulated Natural Gas Segment</w:t>
      </w:r>
    </w:p>
    <w:p>
      <w:pPr>
        <w:spacing w:after="0" w:line="206"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Upon closing on the Peoples Gas acquisition on March 16, 2020, the operating results since the acquisition date comprises the Regulated Natural Gas segment. Our Regulated Natural Gas segment recognizes revenues by selling gas directly to customers at approved rates or by transporting gas through its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62" w:lineRule="exact"/>
        <w:rPr>
          <w:sz w:val="20"/>
          <w:szCs w:val="20"/>
          <w:color w:val="auto"/>
        </w:rPr>
      </w:pPr>
    </w:p>
    <w:p>
      <w:pPr>
        <w:ind w:right="60"/>
        <w:spacing w:after="0" w:line="233" w:lineRule="auto"/>
        <w:rPr>
          <w:sz w:val="20"/>
          <w:szCs w:val="20"/>
          <w:color w:val="auto"/>
        </w:rPr>
      </w:pPr>
      <w:r>
        <w:rPr>
          <w:rFonts w:ascii="Arial" w:cs="Arial" w:eastAsia="Arial" w:hAnsi="Arial"/>
          <w:sz w:val="21"/>
          <w:szCs w:val="21"/>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but does not impact gross margin or operating income. Accordingly, gross margin, a non-GAAP financial measure, defined as operating revenues less purchased gas expense, is a useful and relevant measure to analyze the financial performance of our Regulated Natural Gas segment’s financial performance. The following table includes the operating results of the Peoples Gas Acquisition for the period since the acquisition date of March 16,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60" w:type="dxa"/>
            <w:vAlign w:val="bottom"/>
          </w:tcPr>
          <w:p>
            <w:pPr>
              <w:jc w:val="right"/>
              <w:ind w:right="1412"/>
              <w:spacing w:after="0"/>
              <w:rPr>
                <w:sz w:val="20"/>
                <w:szCs w:val="20"/>
                <w:color w:val="auto"/>
              </w:rPr>
            </w:pPr>
            <w:r>
              <w:rPr>
                <w:rFonts w:ascii="Arial" w:cs="Arial" w:eastAsia="Arial" w:hAnsi="Arial"/>
                <w:sz w:val="22"/>
                <w:szCs w:val="22"/>
                <w:color w:val="auto"/>
              </w:rPr>
              <w:t>Three Months Ended</w:t>
            </w:r>
          </w:p>
        </w:tc>
        <w:tc>
          <w:tcPr>
            <w:tcW w:w="0" w:type="dxa"/>
            <w:vAlign w:val="bottom"/>
          </w:tcPr>
          <w:p>
            <w:pPr>
              <w:spacing w:after="0"/>
              <w:rPr>
                <w:sz w:val="1"/>
                <w:szCs w:val="1"/>
                <w:color w:val="auto"/>
              </w:rPr>
            </w:pPr>
          </w:p>
        </w:tc>
      </w:tr>
      <w:tr>
        <w:trPr>
          <w:trHeight w:val="251"/>
        </w:trPr>
        <w:tc>
          <w:tcPr>
            <w:tcW w:w="406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jc w:val="right"/>
              <w:ind w:right="1632"/>
              <w:spacing w:after="0" w:line="251" w:lineRule="exact"/>
              <w:rPr>
                <w:sz w:val="20"/>
                <w:szCs w:val="20"/>
                <w:color w:val="auto"/>
              </w:rPr>
            </w:pPr>
            <w:r>
              <w:rPr>
                <w:rFonts w:ascii="Arial" w:cs="Arial" w:eastAsia="Arial" w:hAnsi="Arial"/>
                <w:sz w:val="22"/>
                <w:szCs w:val="22"/>
                <w:color w:val="auto"/>
              </w:rPr>
              <w:t>March 31, 2020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2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2"/>
              <w:spacing w:after="0" w:line="223" w:lineRule="exact"/>
              <w:rPr>
                <w:sz w:val="20"/>
                <w:szCs w:val="20"/>
                <w:color w:val="auto"/>
              </w:rPr>
            </w:pPr>
            <w:r>
              <w:rPr>
                <w:rFonts w:ascii="Arial" w:cs="Arial" w:eastAsia="Arial" w:hAnsi="Arial"/>
                <w:sz w:val="22"/>
                <w:szCs w:val="22"/>
                <w:color w:val="auto"/>
                <w:w w:val="81"/>
              </w:rPr>
              <w:t>$</w:t>
            </w:r>
          </w:p>
        </w:tc>
        <w:tc>
          <w:tcPr>
            <w:tcW w:w="4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38,544</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Purchased gas</w:t>
            </w:r>
          </w:p>
        </w:tc>
        <w:tc>
          <w:tcPr>
            <w:tcW w:w="2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12,770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Gross margin</w:t>
            </w:r>
          </w:p>
        </w:tc>
        <w:tc>
          <w:tcPr>
            <w:tcW w:w="2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25,774</w:t>
            </w:r>
          </w:p>
        </w:tc>
        <w:tc>
          <w:tcPr>
            <w:tcW w:w="0" w:type="dxa"/>
            <w:vAlign w:val="bottom"/>
          </w:tcPr>
          <w:p>
            <w:pPr>
              <w:spacing w:after="0"/>
              <w:rPr>
                <w:sz w:val="1"/>
                <w:szCs w:val="1"/>
                <w:color w:val="auto"/>
              </w:rPr>
            </w:pPr>
          </w:p>
        </w:tc>
      </w:tr>
      <w:tr>
        <w:trPr>
          <w:trHeight w:val="230"/>
        </w:trPr>
        <w:tc>
          <w:tcPr>
            <w:tcW w:w="4060" w:type="dxa"/>
            <w:vAlign w:val="bottom"/>
          </w:tcPr>
          <w:p>
            <w:pPr>
              <w:spacing w:after="0" w:line="229" w:lineRule="exact"/>
              <w:rPr>
                <w:sz w:val="20"/>
                <w:szCs w:val="20"/>
                <w:color w:val="auto"/>
              </w:rPr>
            </w:pPr>
            <w:r>
              <w:rPr>
                <w:rFonts w:ascii="Arial" w:cs="Arial" w:eastAsia="Arial" w:hAnsi="Arial"/>
                <w:sz w:val="22"/>
                <w:szCs w:val="22"/>
                <w:color w:val="auto"/>
              </w:rPr>
              <w:t>Operations and maintenance</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60" w:type="dxa"/>
            <w:vAlign w:val="bottom"/>
          </w:tcPr>
          <w:p>
            <w:pPr>
              <w:jc w:val="right"/>
              <w:spacing w:after="0" w:line="229" w:lineRule="exact"/>
              <w:rPr>
                <w:sz w:val="20"/>
                <w:szCs w:val="20"/>
                <w:color w:val="auto"/>
              </w:rPr>
            </w:pPr>
            <w:r>
              <w:rPr>
                <w:rFonts w:ascii="Arial" w:cs="Arial" w:eastAsia="Arial" w:hAnsi="Arial"/>
                <w:sz w:val="22"/>
                <w:szCs w:val="22"/>
                <w:color w:val="auto"/>
              </w:rPr>
              <w:t>8,823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Depreciation</w:t>
            </w:r>
          </w:p>
        </w:tc>
        <w:tc>
          <w:tcPr>
            <w:tcW w:w="2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4,373</w:t>
            </w:r>
          </w:p>
        </w:tc>
        <w:tc>
          <w:tcPr>
            <w:tcW w:w="0" w:type="dxa"/>
            <w:vAlign w:val="bottom"/>
          </w:tcPr>
          <w:p>
            <w:pPr>
              <w:spacing w:after="0"/>
              <w:rPr>
                <w:sz w:val="1"/>
                <w:szCs w:val="1"/>
                <w:color w:val="auto"/>
              </w:rPr>
            </w:pPr>
          </w:p>
        </w:tc>
      </w:tr>
      <w:tr>
        <w:trPr>
          <w:trHeight w:val="229"/>
        </w:trPr>
        <w:tc>
          <w:tcPr>
            <w:tcW w:w="4060" w:type="dxa"/>
            <w:vAlign w:val="bottom"/>
          </w:tcPr>
          <w:p>
            <w:pPr>
              <w:spacing w:after="0" w:line="229" w:lineRule="exact"/>
              <w:rPr>
                <w:sz w:val="20"/>
                <w:szCs w:val="20"/>
                <w:color w:val="auto"/>
              </w:rPr>
            </w:pPr>
            <w:r>
              <w:rPr>
                <w:rFonts w:ascii="Arial" w:cs="Arial" w:eastAsia="Arial" w:hAnsi="Arial"/>
                <w:sz w:val="22"/>
                <w:szCs w:val="22"/>
                <w:color w:val="auto"/>
              </w:rPr>
              <w:t>Amortization</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60" w:type="dxa"/>
            <w:vAlign w:val="bottom"/>
          </w:tcPr>
          <w:p>
            <w:pPr>
              <w:jc w:val="right"/>
              <w:spacing w:after="0" w:line="229" w:lineRule="exact"/>
              <w:rPr>
                <w:sz w:val="20"/>
                <w:szCs w:val="20"/>
                <w:color w:val="auto"/>
              </w:rPr>
            </w:pPr>
            <w:r>
              <w:rPr>
                <w:rFonts w:ascii="Arial" w:cs="Arial" w:eastAsia="Arial" w:hAnsi="Arial"/>
                <w:sz w:val="22"/>
                <w:szCs w:val="22"/>
                <w:color w:val="auto"/>
              </w:rPr>
              <w:t>196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Taxes other than income taxes</w:t>
            </w:r>
          </w:p>
        </w:tc>
        <w:tc>
          <w:tcPr>
            <w:tcW w:w="23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667</w:t>
            </w:r>
          </w:p>
        </w:tc>
        <w:tc>
          <w:tcPr>
            <w:tcW w:w="0" w:type="dxa"/>
            <w:vAlign w:val="bottom"/>
          </w:tcPr>
          <w:p>
            <w:pPr>
              <w:spacing w:after="0"/>
              <w:rPr>
                <w:sz w:val="1"/>
                <w:szCs w:val="1"/>
                <w:color w:val="auto"/>
              </w:rPr>
            </w:pPr>
          </w:p>
        </w:tc>
      </w:tr>
      <w:tr>
        <w:trPr>
          <w:trHeight w:val="223"/>
        </w:trPr>
        <w:tc>
          <w:tcPr>
            <w:tcW w:w="4060" w:type="dxa"/>
            <w:vAlign w:val="bottom"/>
          </w:tcPr>
          <w:p>
            <w:pPr>
              <w:spacing w:after="0" w:line="223" w:lineRule="exact"/>
              <w:rPr>
                <w:sz w:val="20"/>
                <w:szCs w:val="20"/>
                <w:color w:val="auto"/>
              </w:rPr>
            </w:pPr>
            <w:r>
              <w:rPr>
                <w:rFonts w:ascii="Arial" w:cs="Arial" w:eastAsia="Arial" w:hAnsi="Arial"/>
                <w:sz w:val="22"/>
                <w:szCs w:val="22"/>
                <w:color w:val="auto"/>
              </w:rPr>
              <w:t>Operating income</w:t>
            </w:r>
          </w:p>
        </w:tc>
        <w:tc>
          <w:tcPr>
            <w:tcW w:w="2300" w:type="dxa"/>
            <w:vAlign w:val="bottom"/>
          </w:tcPr>
          <w:p>
            <w:pPr>
              <w:spacing w:after="0"/>
              <w:rPr>
                <w:sz w:val="19"/>
                <w:szCs w:val="19"/>
                <w:color w:val="auto"/>
              </w:rPr>
            </w:pPr>
          </w:p>
        </w:tc>
        <w:tc>
          <w:tcPr>
            <w:tcW w:w="820" w:type="dxa"/>
            <w:vAlign w:val="bottom"/>
            <w:tcBorders>
              <w:bottom w:val="single" w:sz="8" w:color="auto"/>
            </w:tcBorders>
          </w:tcPr>
          <w:p>
            <w:pPr>
              <w:jc w:val="right"/>
              <w:ind w:right="592"/>
              <w:spacing w:after="0" w:line="223" w:lineRule="exact"/>
              <w:rPr>
                <w:sz w:val="20"/>
                <w:szCs w:val="20"/>
                <w:color w:val="auto"/>
              </w:rPr>
            </w:pPr>
            <w:r>
              <w:rPr>
                <w:rFonts w:ascii="Arial" w:cs="Arial" w:eastAsia="Arial" w:hAnsi="Arial"/>
                <w:sz w:val="22"/>
                <w:szCs w:val="22"/>
                <w:color w:val="auto"/>
                <w:w w:val="81"/>
              </w:rPr>
              <w:t>$</w:t>
            </w:r>
          </w:p>
        </w:tc>
        <w:tc>
          <w:tcPr>
            <w:tcW w:w="4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11,715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300" w:type="dxa"/>
            <w:vAlign w:val="bottom"/>
            <w:vMerge w:val="restart"/>
          </w:tcPr>
          <w:p>
            <w:pPr>
              <w:jc w:val="right"/>
              <w:ind w:right="512"/>
              <w:spacing w:after="0"/>
              <w:rPr>
                <w:sz w:val="20"/>
                <w:szCs w:val="20"/>
                <w:color w:val="auto"/>
              </w:rPr>
            </w:pPr>
            <w:r>
              <w:rPr>
                <w:rFonts w:ascii="Arial" w:cs="Arial" w:eastAsia="Arial" w:hAnsi="Arial"/>
                <w:sz w:val="22"/>
                <w:szCs w:val="22"/>
                <w:color w:val="auto"/>
              </w:rPr>
              <w:t>45</w:t>
            </w:r>
          </w:p>
        </w:tc>
        <w:tc>
          <w:tcPr>
            <w:tcW w:w="8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0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both"/>
        <w:ind w:right="640"/>
        <w:spacing w:after="0" w:line="282" w:lineRule="auto"/>
        <w:rPr>
          <w:sz w:val="20"/>
          <w:szCs w:val="20"/>
          <w:color w:val="auto"/>
        </w:rPr>
      </w:pPr>
      <w:r>
        <w:rPr>
          <w:rFonts w:ascii="Arial" w:cs="Arial" w:eastAsia="Arial" w:hAnsi="Arial"/>
          <w:sz w:val="19"/>
          <w:szCs w:val="19"/>
          <w:color w:val="auto"/>
        </w:rPr>
        <w:t>The term gross margin is not intended to represent operating income, the most comparable GAAP financial measure, as an indicator of operating performance and should only be used in conjunction with income from operations. In addition, our measurement of gross margin is not necessarily comparable to similarly titled measures reported by other companies.</w:t>
      </w:r>
    </w:p>
    <w:p>
      <w:pPr>
        <w:spacing w:after="0" w:line="148"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On March 31, 2020, we changed the method of tax accounting for certain qualifying infrastructure investments at Peoples Natural Gas, our largest natural gas subsidiary in Pennsylvania, which provided for a reduction to income tax expense of $5,923 due to the flow-through treatment of the current tax benefits. In addition, since the date of acquisition of March 16, 2020, operating revenues of $38,544, operations and maintenance expenses of $8,823, and earnings of $13,398 were included in our consolidated operating results.</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ind w:right="1120"/>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17,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100"/>
        <w:spacing w:after="0" w:line="237" w:lineRule="auto"/>
        <w:rPr>
          <w:sz w:val="20"/>
          <w:szCs w:val="20"/>
          <w:color w:val="auto"/>
        </w:rPr>
      </w:pPr>
      <w:r>
        <w:rPr>
          <w:rFonts w:ascii="Arial" w:cs="Arial" w:eastAsia="Arial" w:hAnsi="Arial"/>
          <w:sz w:val="21"/>
          <w:szCs w:val="21"/>
          <w:color w:val="auto"/>
        </w:rPr>
        <w:t>We are subject to market risks in the normal course of business, including changes in interest rates and equity prices. Volatile equity market conditions arising from the COVID-19 pandemic may result in our pension and other post-retirement plans’ assets market values suffering a decline, which could increase our required cash contributions to the plans and expense in subsequent years. Refer to Item 7A of the Company’s Annual Report on Form 10-K for the year ended December 31, 2019, filed February 28, 2020, for additional information on market risks.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0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ind w:right="140"/>
        <w:spacing w:after="0" w:line="223" w:lineRule="auto"/>
        <w:rPr>
          <w:sz w:val="20"/>
          <w:szCs w:val="20"/>
          <w:color w:val="auto"/>
        </w:rPr>
      </w:pPr>
      <w:r>
        <w:rPr>
          <w:rFonts w:ascii="Arial" w:cs="Arial" w:eastAsia="Arial" w:hAnsi="Arial"/>
          <w:sz w:val="22"/>
          <w:szCs w:val="22"/>
          <w:color w:val="auto"/>
        </w:rPr>
        <w:t xml:space="preserve">On March 16, 2020, we completed the Peoples Gas Acquisition. For additional information refer to Note 3 – </w:t>
      </w:r>
      <w:r>
        <w:rPr>
          <w:rFonts w:ascii="Arial" w:cs="Arial" w:eastAsia="Arial" w:hAnsi="Arial"/>
          <w:sz w:val="22"/>
          <w:szCs w:val="22"/>
          <w:i w:val="1"/>
          <w:iCs w:val="1"/>
          <w:color w:val="auto"/>
        </w:rPr>
        <w:t>Acquisitions</w:t>
      </w:r>
      <w:r>
        <w:rPr>
          <w:rFonts w:ascii="Arial" w:cs="Arial" w:eastAsia="Arial" w:hAnsi="Arial"/>
          <w:sz w:val="22"/>
          <w:szCs w:val="22"/>
          <w:color w:val="auto"/>
        </w:rPr>
        <w:t xml:space="preserve"> to the consolidated financial statements included in this report. We consider this acquisition material to our business, financial condition, and results of operations, and believe the internal controls and procedures of Peoples have a material effect on our internal control over financial reporting. We are in the process of integrating Peoples internal controls over financial reporting. Except for the Peoples Gas Acquisition, no change in our internal control over financial reporting occurred during our most recent fiscal quarter that has materially affected, or is reasonably likely to materially affect, our internal control over financial reporting.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plans to vigorously defend against this claim, and believes the final resolution of this matter is not expected to have a material adverse effect on the Company’s financial position, results of operations or cash flows.</w:t>
      </w:r>
    </w:p>
    <w:p>
      <w:pPr>
        <w:spacing w:after="0" w:line="172" w:lineRule="exact"/>
        <w:rPr>
          <w:sz w:val="20"/>
          <w:szCs w:val="20"/>
          <w:color w:val="auto"/>
        </w:rPr>
      </w:pPr>
    </w:p>
    <w:p>
      <w:pPr>
        <w:ind w:right="760"/>
        <w:spacing w:after="0" w:line="237" w:lineRule="auto"/>
        <w:rPr>
          <w:sz w:val="20"/>
          <w:szCs w:val="20"/>
          <w:color w:val="auto"/>
        </w:rPr>
      </w:pPr>
      <w:r>
        <w:rPr>
          <w:rFonts w:ascii="Arial" w:cs="Arial" w:eastAsia="Arial" w:hAnsi="Arial"/>
          <w:sz w:val="21"/>
          <w:szCs w:val="21"/>
          <w:color w:val="auto"/>
        </w:rPr>
        <w:t>Other than the matter described above, we are party to other various legal proceedings in the ordinary course of business. Although the results of these legal proceedings cannot be predicted with certainty, there are no</w:t>
      </w: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right="180"/>
        <w:spacing w:after="0" w:line="231" w:lineRule="auto"/>
        <w:rPr>
          <w:sz w:val="20"/>
          <w:szCs w:val="20"/>
          <w:color w:val="auto"/>
        </w:rPr>
      </w:pPr>
      <w:r>
        <w:rPr>
          <w:rFonts w:ascii="Arial" w:cs="Arial" w:eastAsia="Arial" w:hAnsi="Arial"/>
          <w:sz w:val="22"/>
          <w:szCs w:val="22"/>
          <w:color w:val="auto"/>
        </w:rPr>
        <w:t>other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ind w:right="140"/>
        <w:spacing w:after="0" w:line="244" w:lineRule="auto"/>
        <w:rPr>
          <w:sz w:val="20"/>
          <w:szCs w:val="20"/>
          <w:color w:val="auto"/>
        </w:rPr>
      </w:pPr>
      <w:r>
        <w:rPr>
          <w:rFonts w:ascii="Arial" w:cs="Arial" w:eastAsia="Arial" w:hAnsi="Arial"/>
          <w:sz w:val="21"/>
          <w:szCs w:val="21"/>
          <w:color w:val="auto"/>
        </w:rPr>
        <w:t>Please review the risks disclosed in our Annual Report on Form 10-K for the year ended December 31, 2019, filed with the SEC on February 28, 2020, under “Part 1, Item 1A – Risk Factors.” In addition, we provide the following risk factors related to our business now that the Peoples Gas Acquisition is completed and related to the COVID-19 pandemic:</w:t>
      </w:r>
    </w:p>
    <w:p>
      <w:pPr>
        <w:spacing w:after="0" w:line="181" w:lineRule="exact"/>
        <w:rPr>
          <w:sz w:val="20"/>
          <w:szCs w:val="20"/>
          <w:color w:val="auto"/>
        </w:rPr>
      </w:pPr>
    </w:p>
    <w:p>
      <w:pPr>
        <w:ind w:right="160"/>
        <w:spacing w:after="0" w:line="305" w:lineRule="auto"/>
        <w:rPr>
          <w:sz w:val="20"/>
          <w:szCs w:val="20"/>
          <w:color w:val="auto"/>
        </w:rPr>
      </w:pPr>
      <w:r>
        <w:rPr>
          <w:rFonts w:ascii="Arial" w:cs="Arial" w:eastAsia="Arial" w:hAnsi="Arial"/>
          <w:sz w:val="18"/>
          <w:szCs w:val="18"/>
          <w:b w:val="1"/>
          <w:bCs w:val="1"/>
          <w:i w:val="1"/>
          <w:iCs w:val="1"/>
          <w:color w:val="252525"/>
        </w:rPr>
        <w:t>Our ability to meet customers’ natural gas requirements may be impaired if contracted natural gas supplies and interstate pipelines services are not available, are not delivered in a timely manner or if federal regulations decrease its available capacity, which may result in a loss of customers and an adverse effect on our financial conditions and results of operations.</w:t>
      </w:r>
    </w:p>
    <w:p>
      <w:pPr>
        <w:spacing w:after="0" w:line="129"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We are responsible for acquiring sufficient natural gas supplies, interstate pipeline capacity and storage capacity to meet current and future customers’ peak, annual and seasonal natural gas requirements. We rely on third-party service providers, as we purchase a portion of our natural gas supply from interstate sources and rely on interstate pipelines to transport natural gas to our distribution system, in addition to local production that is delivered directly into its pipeline system. The Federal Energy Regulatory Commission (“FERC”) regulates the transportation of the natural gas received from interstate sources, and any change in regulatory policies could increase our transportation costs or decrease our available pipeline capacity. A decrease in interstate pipeline capacity available, an increase in competition for interstate pipeline transportation service or other interruptions to pipeline gas supplies could reduce our normal interstate supply of natural gas. Additionally, federal or state legislation could restrict or limit natural gas drilling, which could decrease the supply of available natural gas. If we are unable to maintain access to a reliable and adequate natural gas supply or sufficient pipeline capacity to deliver that supply, we may be unable to meet our customers’ requirements resulting in a loss of customers and an adverse effect on our financial conditions and results of operations.</w:t>
      </w:r>
    </w:p>
    <w:p>
      <w:pPr>
        <w:spacing w:after="0" w:line="194"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auto"/>
        </w:rPr>
        <w:t>Peoples has traditionally used local production as its primary source of supply to fulfill its supply requirements. In order to absorb local gas into its system, Peoples has in place a network of pipelines and related facilities that move the gas either to customers located where gas is produced or to the more populated areas of the service territory where the greatest level of consumption occurs, and, in summer months, to Peoples’ on-system and off-system storage facilities. This network of facilities includes gathering lines, compressor stations and transmission lines. Peoples has entered into gas purchase agreements with various producers to supply this local production. A decrease in this supply could occur, for example, if the local gas producers no longer drill wells to offset natural well production decline or if such producers decide to cease production or produce into another pipeline. State and federal legislation or regulations could also limit drilling activities and in turn limit gas supply. If supply is limited, we would be faced with purchasing gas supplies likely at a higher cost, may be unable to find alternative gas supply, and accordingly, may be unable to meet customer requirements, resulting in a loss of customers and an adverse effect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and liabilities resulting from pipeline integrity and other similar programs and related repairs.</w:t>
      </w:r>
    </w:p>
    <w:p>
      <w:pPr>
        <w:spacing w:after="0" w:line="252" w:lineRule="exact"/>
        <w:rPr>
          <w:sz w:val="20"/>
          <w:szCs w:val="20"/>
          <w:color w:val="auto"/>
        </w:rPr>
      </w:pPr>
    </w:p>
    <w:p>
      <w:pPr>
        <w:ind w:right="40"/>
        <w:spacing w:after="0" w:line="223" w:lineRule="auto"/>
        <w:rPr>
          <w:sz w:val="20"/>
          <w:szCs w:val="20"/>
          <w:color w:val="auto"/>
        </w:rPr>
      </w:pPr>
      <w:r>
        <w:rPr>
          <w:rFonts w:ascii="Arial" w:cs="Arial" w:eastAsia="Arial" w:hAnsi="Arial"/>
          <w:sz w:val="22"/>
          <w:szCs w:val="22"/>
          <w:color w:val="auto"/>
        </w:rPr>
        <w:t>Certain of Peoples’ pipeline operations are subject to pipeline safety laws and regulations. The Department of Transportation’s Pipeline and Hazardous Materials Safety Administration has adopted regulations requiring pipeline operators to develop integrity management programs, including more frequent inspections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and other measures, for transmission pipelines located in “high consequence areas,” which are those areas where a leak or rupture could do the most harm. The regulations require pipeline operators, including Peoples, to, among other things: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perform ongoing assessments of pipeline integrity;</w:t>
      </w:r>
    </w:p>
    <w:p>
      <w:pPr>
        <w:spacing w:after="0" w:line="8" w:lineRule="exact"/>
        <w:rPr>
          <w:sz w:val="20"/>
          <w:szCs w:val="20"/>
          <w:color w:val="auto"/>
        </w:rPr>
      </w:pPr>
    </w:p>
    <w:p>
      <w:pPr>
        <w:ind w:left="660" w:right="3080"/>
        <w:spacing w:after="0" w:line="230" w:lineRule="auto"/>
        <w:rPr>
          <w:sz w:val="20"/>
          <w:szCs w:val="20"/>
          <w:color w:val="auto"/>
        </w:rPr>
      </w:pPr>
      <w:r>
        <w:rPr>
          <w:rFonts w:ascii="Arial" w:cs="Arial" w:eastAsia="Arial" w:hAnsi="Arial"/>
          <w:sz w:val="22"/>
          <w:szCs w:val="22"/>
          <w:color w:val="auto"/>
        </w:rPr>
        <w:t>develop a baseline plan to prioritize the assessment of a covered pipeline segment; identify and characterize applicable threats that could impact a high consequence area; improve data collection, integration, and analysis;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develop processes for performance management, record keeping, management of change and communication;</w:t>
      </w:r>
    </w:p>
    <w:p>
      <w:pPr>
        <w:ind w:left="660"/>
        <w:spacing w:after="0" w:line="231" w:lineRule="auto"/>
        <w:rPr>
          <w:sz w:val="20"/>
          <w:szCs w:val="20"/>
          <w:color w:val="auto"/>
        </w:rPr>
      </w:pPr>
      <w:r>
        <w:rPr>
          <w:rFonts w:ascii="Arial" w:cs="Arial" w:eastAsia="Arial" w:hAnsi="Arial"/>
          <w:sz w:val="22"/>
          <w:szCs w:val="22"/>
          <w:color w:val="auto"/>
        </w:rPr>
        <w:t>repair and remediate pipelines as necessary;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implement preventative and mitigating action.</w:t>
      </w:r>
    </w:p>
    <w:p>
      <w:pPr>
        <w:spacing w:after="0" w:line="148"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We are required to maintain pipeline integrity testing programs that are intended to assess pipeline integrity. Peoples is also required to establish and maintain a Distribution Integrity Management Program for all distribution assets. This program requires protocols for identifying risks and threats to the distribution systems. The program incorporates a relative risk model to measure risk reduction to these threats. Any repair, remediation, preventative or mitigating actions may require significant capital and operating expenditures. Should we fail to comply with applicable statutes and related rules, regulations and orders, we could be subject to significant penalties and fines.</w:t>
      </w:r>
    </w:p>
    <w:p>
      <w:pPr>
        <w:spacing w:after="0" w:line="190"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b w:val="1"/>
          <w:bCs w:val="1"/>
          <w:i w:val="1"/>
          <w:iCs w:val="1"/>
          <w:color w:val="auto"/>
        </w:rPr>
        <w:t>Our liquidity and, in certain circumstances, results of operations may be adversely affected by the cost of purchasing natural gas during periods in which natural gas prices are rising significantly.</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Peoples’ regulated companies purchase their natural gas supply primarily through a combination of requirements contracts, some of which contain minimum purchase obligations, monthly spot purchase contracts and forward purchase contracts. The price paid for natural gas acquired under forward purchase contracts is fixed prior to the delivery of the natural gas. Additionally, a portion of natural gas purchases is injected into natural gas storage facilities in the non-heating months and withdrawn from storage for delivery to customers during the heating months.</w:t>
      </w:r>
    </w:p>
    <w:p>
      <w:pPr>
        <w:spacing w:after="0" w:line="185"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auto"/>
        </w:rPr>
        <w:t>Our short-term borrowing requirements and liquidity are also significantly affected by the seasonal nature of the natural gas business. Changes in the price of natural gas and the amount of natural gas needed to supply customers’ needs due to, for example, colder than expected seasonal temperatures, could significantly affect the price and amount of natural gas we are required to purchase and the timing of such purchases, and, in turn, affect our borrowing requirements and liquidity position. If we fail to secure sufficient natural gas supplies at appropriate prices (due to, for example, more extreme winter conditions), we may be required to purchase additional natural gas supplies or purchase natural gas at elevated prices, which could adversely affect our borrowing levels, liquidity and financial condition.</w:t>
      </w:r>
    </w:p>
    <w:p>
      <w:pPr>
        <w:spacing w:after="0" w:line="166" w:lineRule="exact"/>
        <w:rPr>
          <w:sz w:val="20"/>
          <w:szCs w:val="20"/>
          <w:color w:val="auto"/>
        </w:rPr>
      </w:pPr>
    </w:p>
    <w:p>
      <w:pPr>
        <w:ind w:right="240"/>
        <w:spacing w:after="0" w:line="228" w:lineRule="auto"/>
        <w:rPr>
          <w:sz w:val="20"/>
          <w:szCs w:val="20"/>
          <w:color w:val="auto"/>
        </w:rPr>
      </w:pPr>
      <w:r>
        <w:rPr>
          <w:rFonts w:ascii="Arial" w:cs="Arial" w:eastAsia="Arial" w:hAnsi="Arial"/>
          <w:sz w:val="22"/>
          <w:szCs w:val="22"/>
          <w:color w:val="auto"/>
        </w:rPr>
        <w:t>Peoples’ tariff rate schedules contain Purchased Gas Adjustment (“PGA”) clauses that permit filings for rate adjustments to recover the cost of purchased gas. Subject to regulatory approval, as described below, changes in the cost of purchased gas are flowed through to customers and may affect uncollectible amounts and cash flows and can therefore impact our financial condition and results of operations.</w:t>
      </w:r>
    </w:p>
    <w:p>
      <w:pPr>
        <w:spacing w:after="0" w:line="186" w:lineRule="exact"/>
        <w:rPr>
          <w:sz w:val="20"/>
          <w:szCs w:val="20"/>
          <w:color w:val="auto"/>
        </w:rPr>
      </w:pPr>
    </w:p>
    <w:p>
      <w:pPr>
        <w:ind w:right="420"/>
        <w:spacing w:after="0" w:line="223" w:lineRule="auto"/>
        <w:rPr>
          <w:sz w:val="20"/>
          <w:szCs w:val="20"/>
          <w:color w:val="auto"/>
        </w:rPr>
      </w:pPr>
      <w:r>
        <w:rPr>
          <w:rFonts w:ascii="Arial" w:cs="Arial" w:eastAsia="Arial" w:hAnsi="Arial"/>
          <w:sz w:val="22"/>
          <w:szCs w:val="22"/>
          <w:color w:val="auto"/>
        </w:rPr>
        <w:t>The state regulatory commissions approve the PGA changes on an interim basis, subject to refund and the outcome of a subsequent audit and prudence review. Due to such review process, there is a risk of a disallowance of full recovery of these costs. We are also subject to regulations and standards regarding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right="480"/>
        <w:spacing w:after="0" w:line="239" w:lineRule="auto"/>
        <w:rPr>
          <w:sz w:val="20"/>
          <w:szCs w:val="20"/>
          <w:color w:val="auto"/>
        </w:rPr>
      </w:pPr>
      <w:r>
        <w:rPr>
          <w:rFonts w:ascii="Arial" w:cs="Arial" w:eastAsia="Arial" w:hAnsi="Arial"/>
          <w:sz w:val="22"/>
          <w:szCs w:val="22"/>
          <w:color w:val="auto"/>
        </w:rPr>
        <w:t>amount of lost and unaccounted for gas that may be recovered from customers. Any material disallowance of purchased gas costs would adversely affect our financial condition and results of operations.</w:t>
      </w:r>
    </w:p>
    <w:p>
      <w:pPr>
        <w:spacing w:after="0" w:line="185"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Increases in the prices that we charge for gas may also adversely affect our business because increased prices could lead customers to reduce usage and cause some customers to have difficulty paying the resulting higher bills. These higher prices may increase bad debt expenses and ultimately reduce earnings. Rapid increases in the price of purchased gas may result in an increase in short-term debt.</w:t>
      </w:r>
    </w:p>
    <w:p>
      <w:pPr>
        <w:spacing w:after="0" w:line="186" w:lineRule="exact"/>
        <w:rPr>
          <w:sz w:val="20"/>
          <w:szCs w:val="20"/>
          <w:color w:val="auto"/>
        </w:rPr>
      </w:pPr>
    </w:p>
    <w:p>
      <w:pPr>
        <w:ind w:right="40"/>
        <w:spacing w:after="0" w:line="226" w:lineRule="auto"/>
        <w:rPr>
          <w:sz w:val="20"/>
          <w:szCs w:val="20"/>
          <w:color w:val="auto"/>
        </w:rPr>
      </w:pPr>
      <w:r>
        <w:rPr>
          <w:rFonts w:ascii="Arial" w:cs="Arial" w:eastAsia="Arial" w:hAnsi="Arial"/>
          <w:sz w:val="22"/>
          <w:szCs w:val="22"/>
          <w:color w:val="auto"/>
        </w:rPr>
        <w:t>Peoples’ nonregulated companies purchase natural gas utilizing a combination of requirements contracts, some of which contain minimum purchase obligations, monthly spot purchase contracts and forward purchase contracts. Although price risk for the non-regulated companies is mitigated to a degree by efforts aimed at balancing supply and demand, there are practical limitations on the ability to accurately predict demand and any failure to do so could adversely affect our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12529"/>
        </w:rPr>
        <w:t>Workforce-related risks may affect our results of operations.</w:t>
      </w:r>
    </w:p>
    <w:p>
      <w:pPr>
        <w:spacing w:after="0" w:line="206" w:lineRule="exact"/>
        <w:rPr>
          <w:sz w:val="20"/>
          <w:szCs w:val="20"/>
          <w:color w:val="auto"/>
        </w:rPr>
      </w:pPr>
    </w:p>
    <w:p>
      <w:pPr>
        <w:ind w:right="180"/>
        <w:spacing w:after="0" w:line="257" w:lineRule="auto"/>
        <w:rPr>
          <w:sz w:val="20"/>
          <w:szCs w:val="20"/>
          <w:color w:val="auto"/>
        </w:rPr>
      </w:pPr>
      <w:r>
        <w:rPr>
          <w:rFonts w:ascii="Arial" w:cs="Arial" w:eastAsia="Arial" w:hAnsi="Arial"/>
          <w:sz w:val="19"/>
          <w:szCs w:val="19"/>
          <w:color w:val="212529"/>
        </w:rPr>
        <w:t>We are subject to various workforce-related risks, including the risk that we will be unable to attract and retain qualified personnel for our water, wastewater and natural gas operations, that we will be unable to effectively transfer the knowledge and expertise of an aging workforce to new personnel as those workers retire, and that we will be unable to reach collective bargaining arrangements with the unions that represent certain of our workers, which could result in work stoppages. Additionally, we rely on outside resources to supplement our workforce, including construction crews which are key to our infrastructure replacement program. We face the same risks associated with these outside resources as we do with our own workforce. As a result, we may be unable to hire or retain an adequate number of individuals who are knowledgeable about public utilities, water or the natural gas industry or face a lengthy time period associated with skill development and knowledge transfer. Failure to address these risks may result in increased operational and safety risks as well as increased costs. Even with reasonable plans in place to address succession planning and workforce training, we cannot control the future availability of qualified labor. If we are unable to successfully attract and retain an appropriately qualified workforce, it could adversely affect our financial condition and results of operations.</w:t>
      </w:r>
    </w:p>
    <w:p>
      <w:pPr>
        <w:spacing w:after="0" w:line="176" w:lineRule="exact"/>
        <w:rPr>
          <w:sz w:val="20"/>
          <w:szCs w:val="20"/>
          <w:color w:val="auto"/>
        </w:rPr>
      </w:pPr>
    </w:p>
    <w:p>
      <w:pPr>
        <w:ind w:right="620"/>
        <w:spacing w:after="0" w:line="260" w:lineRule="auto"/>
        <w:rPr>
          <w:sz w:val="20"/>
          <w:szCs w:val="20"/>
          <w:color w:val="auto"/>
        </w:rPr>
      </w:pPr>
      <w:r>
        <w:rPr>
          <w:rFonts w:ascii="Arial" w:cs="Arial" w:eastAsia="Arial" w:hAnsi="Arial"/>
          <w:sz w:val="21"/>
          <w:szCs w:val="21"/>
          <w:b w:val="1"/>
          <w:bCs w:val="1"/>
          <w:i w:val="1"/>
          <w:iCs w:val="1"/>
          <w:color w:val="212529"/>
        </w:rPr>
        <w:t>Global or regional health pandemics, epidemics or similar public health threats, including COVID-19, could negatively impact our business, outlook, financial condition, results of operations and liquidity.</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212529"/>
        </w:rPr>
        <w:t>Our business and financial results could be negatively impacted by the COVID-19 pandemic or other pandemics, epidemics or similar public health threats. The severity, magnitude and duration of COVID-19 is uncertain, rapidly changing and hard to predict. In 2020, COVID-19 has significantly impacted economic activity and markets around the world, including in our service areas, and it could negatively impact our business in numerous ways, including, but not limited to, those outlined below:</w:t>
      </w:r>
    </w:p>
    <w:p>
      <w:pPr>
        <w:spacing w:after="0" w:line="157" w:lineRule="exact"/>
        <w:rPr>
          <w:sz w:val="20"/>
          <w:szCs w:val="20"/>
          <w:color w:val="auto"/>
        </w:rPr>
      </w:pPr>
    </w:p>
    <w:p>
      <w:pPr>
        <w:ind w:left="660" w:right="680"/>
        <w:spacing w:after="0" w:line="234" w:lineRule="auto"/>
        <w:rPr>
          <w:sz w:val="20"/>
          <w:szCs w:val="20"/>
          <w:color w:val="auto"/>
        </w:rPr>
      </w:pPr>
      <w:r>
        <w:rPr>
          <w:rFonts w:ascii="Arial" w:cs="Arial" w:eastAsia="Arial" w:hAnsi="Arial"/>
          <w:sz w:val="21"/>
          <w:szCs w:val="21"/>
          <w:color w:val="212529"/>
        </w:rPr>
        <w:t>we expect reduced demand from our commercial customers and shifts in demand for our regulated utility services; our ability to maintain our service to customers may be impaired because of shutdowns and/or illness and travel restrictions among our employees or employees of other companies on whom we rely;</w:t>
      </w:r>
    </w:p>
    <w:p>
      <w:pPr>
        <w:jc w:val="both"/>
        <w:ind w:left="660" w:right="160"/>
        <w:spacing w:after="0" w:line="226" w:lineRule="auto"/>
        <w:rPr>
          <w:sz w:val="20"/>
          <w:szCs w:val="20"/>
          <w:color w:val="auto"/>
        </w:rPr>
      </w:pPr>
      <w:r>
        <w:rPr>
          <w:rFonts w:ascii="Arial" w:cs="Arial" w:eastAsia="Arial" w:hAnsi="Arial"/>
          <w:sz w:val="22"/>
          <w:szCs w:val="22"/>
          <w:color w:val="212529"/>
        </w:rPr>
        <w:t>we expect that some of our customers may become unable to pay for our services, and we are temporarily limited in our ability to disconnect service for non-payment, and state regulators may impose bill deferral programs, all of which could impact our business, results of operations, liquidity and financial condition;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right="120"/>
        <w:spacing w:after="0" w:line="222" w:lineRule="auto"/>
        <w:rPr>
          <w:sz w:val="20"/>
          <w:szCs w:val="20"/>
          <w:color w:val="auto"/>
        </w:rPr>
      </w:pPr>
      <w:r>
        <w:rPr>
          <w:rFonts w:ascii="Arial" w:cs="Arial" w:eastAsia="Arial" w:hAnsi="Arial"/>
          <w:sz w:val="22"/>
          <w:szCs w:val="22"/>
          <w:color w:val="212529"/>
        </w:rPr>
        <w:t>the COVID-19 pandemic may limit or curtail significantly or entirely the ability of public utility commissions to approve or authorize applications and other requests we may make with respect to our regulated water and natural gas businesses; our supply chain and our ability to complete maintenance, repairs and capital programs, could be impacted, which could result in delays and/or increased costs; and</w:t>
      </w:r>
    </w:p>
    <w:p>
      <w:pPr>
        <w:jc w:val="both"/>
        <w:ind w:left="660" w:right="100"/>
        <w:spacing w:after="0" w:line="242" w:lineRule="auto"/>
        <w:rPr>
          <w:sz w:val="20"/>
          <w:szCs w:val="20"/>
          <w:color w:val="auto"/>
        </w:rPr>
      </w:pPr>
      <w:r>
        <w:rPr>
          <w:rFonts w:ascii="Arial" w:cs="Arial" w:eastAsia="Arial" w:hAnsi="Arial"/>
          <w:sz w:val="21"/>
          <w:szCs w:val="21"/>
          <w:color w:val="212529"/>
        </w:rPr>
        <w:t>the COVID-19 pandemic has increased volatility and pricing in the capital markets, and we might not be able to continue to access preferred sources of liquidity when we would like, and our borrowing costs could increase.</w:t>
      </w:r>
    </w:p>
    <w:p>
      <w:pPr>
        <w:spacing w:after="0" w:line="292" w:lineRule="exact"/>
        <w:rPr>
          <w:sz w:val="20"/>
          <w:szCs w:val="20"/>
          <w:color w:val="auto"/>
        </w:rPr>
      </w:pPr>
    </w:p>
    <w:p>
      <w:pPr>
        <w:spacing w:after="0" w:line="262" w:lineRule="auto"/>
        <w:rPr>
          <w:sz w:val="20"/>
          <w:szCs w:val="20"/>
          <w:color w:val="auto"/>
        </w:rPr>
      </w:pPr>
      <w:r>
        <w:rPr>
          <w:rFonts w:ascii="Arial" w:cs="Arial" w:eastAsia="Arial" w:hAnsi="Arial"/>
          <w:sz w:val="19"/>
          <w:szCs w:val="19"/>
          <w:color w:val="212529"/>
        </w:rPr>
        <w:t>These and other impacts of COVID-19 or other global or regional health pandemics, epidemics or similar public health threats could also have the effect of heightening many of the other risks described in “Risk Factors” in the Form 10-K and the other reports we file from time to time with the SEC. We might not be able to predict or respond to all impacts on a timely basis to prevent near- or long-term adverse impacts to our results of operations, financial condition and liquidity. The ultimate impact of COVID-19 on our business depends on factors beyond our knowledge or control, including the duration and severity of the outbreak as well as third-party actions taken to contain its spread and mitigate its public health effects. Any of these factors could have a negative impact on our business, outlook, financial condition, and results of operations, which impact could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purchases of its common stock for the quarter ended March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920" w:type="dxa"/>
            <w:vAlign w:val="bottom"/>
            <w:gridSpan w:val="7"/>
          </w:tcPr>
          <w:p>
            <w:pPr>
              <w:ind w:left="760"/>
              <w:spacing w:after="0"/>
              <w:rPr>
                <w:sz w:val="20"/>
                <w:szCs w:val="20"/>
                <w:color w:val="auto"/>
              </w:rPr>
            </w:pPr>
            <w:r>
              <w:rPr>
                <w:rFonts w:ascii="Arial" w:cs="Arial" w:eastAsia="Arial" w:hAnsi="Arial"/>
                <w:sz w:val="22"/>
                <w:szCs w:val="22"/>
                <w:color w:val="auto"/>
              </w:rPr>
              <w:t>Issuer Purchases of Equity Securities</w:t>
            </w:r>
          </w:p>
        </w:tc>
        <w:tc>
          <w:tcPr>
            <w:tcW w:w="184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4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Total</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w:t>
            </w:r>
          </w:p>
        </w:tc>
        <w:tc>
          <w:tcPr>
            <w:tcW w:w="46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Average</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of Shares</w:t>
            </w:r>
          </w:p>
        </w:tc>
        <w:tc>
          <w:tcPr>
            <w:tcW w:w="46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Price Paid</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264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760" w:type="dxa"/>
            <w:vAlign w:val="bottom"/>
          </w:tcPr>
          <w:p>
            <w:pPr>
              <w:spacing w:after="0"/>
              <w:rPr>
                <w:sz w:val="19"/>
                <w:szCs w:val="19"/>
                <w:color w:val="auto"/>
              </w:rPr>
            </w:pPr>
          </w:p>
        </w:tc>
        <w:tc>
          <w:tcPr>
            <w:tcW w:w="220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Purchased (1)</w:t>
            </w:r>
          </w:p>
        </w:tc>
        <w:tc>
          <w:tcPr>
            <w:tcW w:w="460" w:type="dxa"/>
            <w:vAlign w:val="bottom"/>
          </w:tcPr>
          <w:p>
            <w:pPr>
              <w:spacing w:after="0"/>
              <w:rPr>
                <w:sz w:val="19"/>
                <w:szCs w:val="19"/>
                <w:color w:val="auto"/>
              </w:rPr>
            </w:pPr>
          </w:p>
        </w:tc>
        <w:tc>
          <w:tcPr>
            <w:tcW w:w="150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rPr>
              <w:t>per Share</w:t>
            </w:r>
          </w:p>
        </w:tc>
        <w:tc>
          <w:tcPr>
            <w:tcW w:w="184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4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gridSpan w:val="2"/>
            <w:shd w:val="clear" w:color="auto" w:fill="CCEEFF"/>
          </w:tcPr>
          <w:p>
            <w:pPr>
              <w:spacing w:after="0" w:line="210" w:lineRule="exact"/>
              <w:rPr>
                <w:sz w:val="20"/>
                <w:szCs w:val="20"/>
                <w:color w:val="auto"/>
              </w:rPr>
            </w:pPr>
            <w:r>
              <w:rPr>
                <w:rFonts w:ascii="Arial" w:cs="Arial" w:eastAsia="Arial" w:hAnsi="Arial"/>
                <w:sz w:val="22"/>
                <w:szCs w:val="22"/>
                <w:color w:val="auto"/>
              </w:rPr>
              <w:t>January 1 - 31, 2020</w:t>
            </w:r>
          </w:p>
        </w:tc>
        <w:tc>
          <w:tcPr>
            <w:tcW w:w="7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2,592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3"/>
              <w:spacing w:after="0" w:line="210" w:lineRule="exact"/>
              <w:rPr>
                <w:sz w:val="20"/>
                <w:szCs w:val="20"/>
                <w:color w:val="auto"/>
              </w:rPr>
            </w:pPr>
            <w:r>
              <w:rPr>
                <w:rFonts w:ascii="Arial" w:cs="Arial" w:eastAsia="Arial" w:hAnsi="Arial"/>
                <w:sz w:val="19"/>
                <w:szCs w:val="19"/>
                <w:color w:val="auto"/>
                <w:w w:val="75"/>
              </w:rPr>
              <w:t>$</w:t>
            </w:r>
          </w:p>
        </w:tc>
        <w:tc>
          <w:tcPr>
            <w:tcW w:w="124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22"/>
                <w:szCs w:val="22"/>
                <w:color w:val="auto"/>
              </w:rPr>
              <w:t>46.37</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line="229" w:lineRule="exact"/>
              <w:rPr>
                <w:sz w:val="20"/>
                <w:szCs w:val="20"/>
                <w:color w:val="auto"/>
              </w:rPr>
            </w:pPr>
            <w:r>
              <w:rPr>
                <w:rFonts w:ascii="Arial" w:cs="Arial" w:eastAsia="Arial" w:hAnsi="Arial"/>
                <w:sz w:val="22"/>
                <w:szCs w:val="22"/>
                <w:color w:val="auto"/>
              </w:rPr>
              <w:t>February 1 - 29, 2020</w:t>
            </w:r>
          </w:p>
        </w:tc>
        <w:tc>
          <w:tcPr>
            <w:tcW w:w="270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79,130</w:t>
            </w:r>
          </w:p>
        </w:tc>
        <w:tc>
          <w:tcPr>
            <w:tcW w:w="260" w:type="dxa"/>
            <w:vAlign w:val="bottom"/>
          </w:tcPr>
          <w:p>
            <w:pPr>
              <w:spacing w:after="0"/>
              <w:rPr>
                <w:sz w:val="19"/>
                <w:szCs w:val="19"/>
                <w:color w:val="auto"/>
              </w:rPr>
            </w:pPr>
          </w:p>
        </w:tc>
        <w:tc>
          <w:tcPr>
            <w:tcW w:w="460" w:type="dxa"/>
            <w:vAlign w:val="bottom"/>
          </w:tcPr>
          <w:p>
            <w:pPr>
              <w:jc w:val="right"/>
              <w:ind w:right="263"/>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53.31</w:t>
            </w: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spacing w:after="0" w:line="229" w:lineRule="exact"/>
              <w:rPr>
                <w:sz w:val="20"/>
                <w:szCs w:val="20"/>
                <w:color w:val="auto"/>
              </w:rPr>
            </w:pPr>
            <w:r>
              <w:rPr>
                <w:rFonts w:ascii="Arial" w:cs="Arial" w:eastAsia="Arial" w:hAnsi="Arial"/>
                <w:sz w:val="22"/>
                <w:szCs w:val="22"/>
                <w:color w:val="auto"/>
              </w:rPr>
              <w:t>March 1 - 31, 2020</w:t>
            </w:r>
          </w:p>
        </w:tc>
        <w:tc>
          <w:tcPr>
            <w:tcW w:w="270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9"/>
                <w:szCs w:val="19"/>
                <w:color w:val="auto"/>
                <w:w w:val="75"/>
              </w:rPr>
              <w:t>$</w:t>
            </w:r>
          </w:p>
        </w:tc>
        <w:tc>
          <w:tcPr>
            <w:tcW w:w="1500" w:type="dxa"/>
            <w:vAlign w:val="bottom"/>
            <w:gridSpan w:val="3"/>
            <w:shd w:val="clear" w:color="auto" w:fill="CCEEFF"/>
          </w:tcPr>
          <w:p>
            <w:pPr>
              <w:jc w:val="right"/>
              <w:ind w:right="260"/>
              <w:spacing w:after="0" w:line="229" w:lineRule="exact"/>
              <w:rPr>
                <w:sz w:val="20"/>
                <w:szCs w:val="20"/>
                <w:color w:val="auto"/>
              </w:rPr>
            </w:pPr>
            <w:r>
              <w:rPr>
                <w:rFonts w:ascii="Arial" w:cs="Arial" w:eastAsia="Arial" w:hAnsi="Arial"/>
                <w:sz w:val="22"/>
                <w:szCs w:val="22"/>
                <w:color w:val="auto"/>
              </w:rPr>
              <w:t>-</w:t>
            </w:r>
          </w:p>
        </w:tc>
        <w:tc>
          <w:tcPr>
            <w:tcW w:w="15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line="223" w:lineRule="exact"/>
              <w:rPr>
                <w:sz w:val="20"/>
                <w:szCs w:val="20"/>
                <w:color w:val="auto"/>
              </w:rPr>
            </w:pPr>
            <w:r>
              <w:rPr>
                <w:rFonts w:ascii="Arial" w:cs="Arial" w:eastAsia="Arial" w:hAnsi="Arial"/>
                <w:sz w:val="22"/>
                <w:szCs w:val="22"/>
                <w:color w:val="auto"/>
              </w:rPr>
              <w:t>Total</w:t>
            </w:r>
          </w:p>
        </w:tc>
        <w:tc>
          <w:tcPr>
            <w:tcW w:w="76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81,722</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9"/>
                <w:szCs w:val="19"/>
                <w:color w:val="auto"/>
                <w:w w:val="75"/>
              </w:rPr>
              <w:t>$</w:t>
            </w:r>
          </w:p>
        </w:tc>
        <w:tc>
          <w:tcPr>
            <w:tcW w:w="1240" w:type="dxa"/>
            <w:vAlign w:val="bottom"/>
            <w:tcBorders>
              <w:top w:val="single" w:sz="8" w:color="auto"/>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rPr>
              <w:t>53.09</w:t>
            </w:r>
          </w:p>
        </w:tc>
        <w:tc>
          <w:tcPr>
            <w:tcW w:w="2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hanging="328"/>
        <w:spacing w:after="0" w:line="255"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These amounts include the following: (a) 80,209 shares we acquired from employees associated with the withholding of shares to pay certain withholding taxes upon the vesting of stock-based compensation; and (b) 1,513 shares we acquired from our employees who elected to pay the exercise price of their stock options (and then hold shares of the stock), upon exercise, by delivering to us shares of or common stock in accordance with the terms of our equity compensation plan that were previously approved by our shareholders and disclosed in our proxy statements. These features of our equity compensation plan are available to all employees who receive stock-based compensation under the plan. We purchased</w:t>
      </w:r>
    </w:p>
    <w:p>
      <w:pPr>
        <w:spacing w:after="0" w:line="2" w:lineRule="exact"/>
        <w:rPr>
          <w:sz w:val="20"/>
          <w:szCs w:val="20"/>
          <w:color w:val="auto"/>
        </w:rPr>
      </w:pPr>
    </w:p>
    <w:p>
      <w:pPr>
        <w:ind w:left="660" w:right="360"/>
        <w:spacing w:after="0" w:line="217" w:lineRule="auto"/>
        <w:rPr>
          <w:sz w:val="20"/>
          <w:szCs w:val="20"/>
          <w:color w:val="auto"/>
        </w:rPr>
      </w:pPr>
      <w:r>
        <w:rPr>
          <w:rFonts w:ascii="Arial" w:cs="Arial" w:eastAsia="Arial" w:hAnsi="Arial"/>
          <w:sz w:val="22"/>
          <w:szCs w:val="22"/>
          <w:color w:val="auto"/>
        </w:rPr>
        <w:t>these shares at their fair market value, as determined by reference to the closing price of our common stock on the day prior to the option exercise.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Unregistered Sales of Equity Securities</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9"/>
          <w:szCs w:val="19"/>
          <w:color w:val="212529"/>
        </w:rPr>
        <w:t>On March 16, 2020, in connection with the Peoples Gas Acquisition, the Company issued and sold 21,661,095 shares of common stock, par value $0.50 per share (the “Common Stock”) to the CPP Investment Board PMI-2 Inc. (the “Investor”), an affiliate of Canada Pension Plan Investment Board (“CPP Investments”). The shares of Common Stock issued and sold to Investor were priced at $34.62 per share, resulting in proceeds of $749,907,109 (the “Private Placement”). The net proceeds from the Private Placement were used to fund a portion of the purchase price for the Peoples Gas Acquisition. The Private Placement was completed in accordance with the terms of the previously announced Stock Purchase Agreement entered into on March 29, 2019, between the Company and CPP Investments (and assigned by CPP Investments to the Investor) and disclosed in the Company’s Current Report on Form 8-K filed on March 29, 2019.</w:t>
      </w:r>
    </w:p>
    <w:p>
      <w:pPr>
        <w:spacing w:after="0" w:line="158" w:lineRule="exact"/>
        <w:rPr>
          <w:sz w:val="20"/>
          <w:szCs w:val="20"/>
          <w:color w:val="auto"/>
        </w:rPr>
      </w:pPr>
    </w:p>
    <w:p>
      <w:pPr>
        <w:ind w:right="380"/>
        <w:spacing w:after="0" w:line="260" w:lineRule="auto"/>
        <w:rPr>
          <w:sz w:val="20"/>
          <w:szCs w:val="20"/>
          <w:color w:val="auto"/>
        </w:rPr>
      </w:pPr>
      <w:r>
        <w:rPr>
          <w:rFonts w:ascii="Arial" w:cs="Arial" w:eastAsia="Arial" w:hAnsi="Arial"/>
          <w:sz w:val="21"/>
          <w:szCs w:val="21"/>
          <w:color w:val="212529"/>
        </w:rPr>
        <w:t>The Private Placement of the shares of Common Stock pursuant to the Stock Purchase Agreement was undertaken in reliance upon an exemption from the registration requirements under Section 4(a)(2) of the Securities Act.</w:t>
      </w:r>
    </w:p>
    <w:p>
      <w:pPr>
        <w:spacing w:after="0" w:line="152" w:lineRule="exact"/>
        <w:rPr>
          <w:sz w:val="20"/>
          <w:szCs w:val="20"/>
          <w:color w:val="auto"/>
        </w:rPr>
      </w:pPr>
    </w:p>
    <w:p>
      <w:pPr>
        <w:jc w:val="both"/>
        <w:ind w:right="640"/>
        <w:spacing w:after="0" w:line="231" w:lineRule="auto"/>
        <w:rPr>
          <w:sz w:val="20"/>
          <w:szCs w:val="20"/>
          <w:color w:val="auto"/>
        </w:rPr>
      </w:pPr>
      <w:r>
        <w:rPr>
          <w:rFonts w:ascii="Arial" w:cs="Arial" w:eastAsia="Arial" w:hAnsi="Arial"/>
          <w:sz w:val="22"/>
          <w:szCs w:val="22"/>
          <w:color w:val="212529"/>
        </w:rPr>
        <w:t>The shares of Common Stock issued and sold in the Private Placement described above have not been registered under the Securities Act and may not be offered or sold except pursuant to an exemption from, or in a transaction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75"/>
        </w:trPr>
        <w:tc>
          <w:tcPr>
            <w:tcW w:w="2120" w:type="dxa"/>
            <w:vAlign w:val="bottom"/>
            <w:gridSpan w:val="2"/>
          </w:tcPr>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743"/>
        </w:trPr>
        <w:tc>
          <w:tcPr>
            <w:tcW w:w="2120" w:type="dxa"/>
            <w:vAlign w:val="bottom"/>
            <w:gridSpan w:val="2"/>
          </w:tcPr>
          <w:p>
            <w:pPr>
              <w:spacing w:after="0"/>
              <w:rPr>
                <w:sz w:val="20"/>
                <w:szCs w:val="20"/>
                <w:color w:val="auto"/>
              </w:rPr>
            </w:pPr>
            <w:r>
              <w:rPr>
                <w:rFonts w:ascii="Arial" w:cs="Arial" w:eastAsia="Arial" w:hAnsi="Arial"/>
                <w:sz w:val="22"/>
                <w:szCs w:val="22"/>
                <w:color w:val="auto"/>
              </w:rPr>
              <w:t>Item 6 – Exhibits</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9"/>
        </w:trPr>
        <w:tc>
          <w:tcPr>
            <w:tcW w:w="2120" w:type="dxa"/>
            <w:vAlign w:val="bottom"/>
            <w:gridSpan w:val="2"/>
          </w:tcPr>
          <w:p>
            <w:pPr>
              <w:ind w:left="20"/>
              <w:spacing w:after="0"/>
              <w:rPr>
                <w:sz w:val="20"/>
                <w:szCs w:val="20"/>
                <w:color w:val="auto"/>
              </w:rPr>
            </w:pPr>
            <w:r>
              <w:rPr>
                <w:rFonts w:ascii="Arial" w:cs="Arial" w:eastAsia="Arial" w:hAnsi="Arial"/>
                <w:sz w:val="22"/>
                <w:szCs w:val="22"/>
                <w:b w:val="1"/>
                <w:bCs w:val="1"/>
                <w:color w:val="auto"/>
              </w:rPr>
              <w:t>Exhibit No.</w:t>
            </w:r>
          </w:p>
        </w:tc>
        <w:tc>
          <w:tcPr>
            <w:tcW w:w="20" w:type="dxa"/>
            <w:vAlign w:val="bottom"/>
          </w:tcPr>
          <w:p>
            <w:pPr>
              <w:spacing w:after="0"/>
              <w:rPr>
                <w:sz w:val="24"/>
                <w:szCs w:val="24"/>
                <w:color w:val="auto"/>
              </w:rPr>
            </w:pPr>
          </w:p>
        </w:tc>
        <w:tc>
          <w:tcPr>
            <w:tcW w:w="9100" w:type="dxa"/>
            <w:vAlign w:val="bottom"/>
            <w:gridSpan w:val="26"/>
          </w:tcPr>
          <w:p>
            <w:pPr>
              <w:ind w:left="60"/>
              <w:spacing w:after="0"/>
              <w:rPr>
                <w:sz w:val="20"/>
                <w:szCs w:val="20"/>
                <w:color w:val="auto"/>
              </w:rPr>
            </w:pPr>
            <w:r>
              <w:rPr>
                <w:rFonts w:ascii="Arial" w:cs="Arial" w:eastAsia="Arial" w:hAnsi="Arial"/>
                <w:sz w:val="22"/>
                <w:szCs w:val="22"/>
                <w:b w:val="1"/>
                <w:bCs w:val="1"/>
                <w:color w:val="auto"/>
              </w:rPr>
              <w:t>Description</w:t>
            </w:r>
          </w:p>
        </w:tc>
      </w:tr>
      <w:tr>
        <w:trPr>
          <w:trHeight w:val="196"/>
        </w:trPr>
        <w:tc>
          <w:tcPr>
            <w:tcW w:w="1680" w:type="dxa"/>
            <w:vAlign w:val="bottom"/>
            <w:tcBorders>
              <w:top w:val="single" w:sz="8" w:color="auto"/>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22"/>
                <w:szCs w:val="22"/>
                <w:color w:val="auto"/>
              </w:rPr>
              <w:t>3.1</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580" w:type="dxa"/>
            <w:vAlign w:val="bottom"/>
            <w:tcBorders>
              <w:top w:val="single" w:sz="8" w:color="auto"/>
              <w:bottom w:val="single" w:sz="8" w:color="0563C1"/>
            </w:tcBorders>
            <w:gridSpan w:val="14"/>
            <w:shd w:val="clear" w:color="auto" w:fill="CCEEFF"/>
          </w:tcPr>
          <w:p>
            <w:pPr>
              <w:spacing w:after="0" w:line="195" w:lineRule="exact"/>
              <w:rPr>
                <w:rFonts w:ascii="Arial" w:cs="Arial" w:eastAsia="Arial" w:hAnsi="Arial"/>
                <w:sz w:val="22"/>
                <w:szCs w:val="22"/>
                <w:color w:val="0563C1"/>
                <w:w w:val="90"/>
              </w:rPr>
            </w:pPr>
            <w:hyperlink r:id="rId77">
              <w:r>
                <w:rPr>
                  <w:rFonts w:ascii="Arial" w:cs="Arial" w:eastAsia="Arial" w:hAnsi="Arial"/>
                  <w:sz w:val="22"/>
                  <w:szCs w:val="22"/>
                  <w:color w:val="0563C1"/>
                  <w:w w:val="90"/>
                </w:rPr>
                <w:t>Amendment to Amended and Restated Articles of Incorporation of the Registrant (incorporated by</w:t>
              </w:r>
            </w:hyperlink>
          </w:p>
        </w:tc>
        <w:tc>
          <w:tcPr>
            <w:tcW w:w="520" w:type="dxa"/>
            <w:vAlign w:val="bottom"/>
            <w:tcBorders>
              <w:top w:val="single" w:sz="8" w:color="auto"/>
              <w:bottom w:val="single" w:sz="8" w:color="CCEEFF"/>
            </w:tcBorders>
            <w:gridSpan w:val="12"/>
            <w:shd w:val="clear" w:color="auto" w:fill="CCEEFF"/>
          </w:tcPr>
          <w:p>
            <w:pPr>
              <w:spacing w:after="0"/>
              <w:rPr>
                <w:sz w:val="17"/>
                <w:szCs w:val="17"/>
                <w:color w:val="auto"/>
              </w:rPr>
            </w:pPr>
          </w:p>
        </w:tc>
      </w:tr>
      <w:tr>
        <w:trPr>
          <w:trHeight w:val="209"/>
        </w:trPr>
        <w:tc>
          <w:tcPr>
            <w:tcW w:w="1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00" w:type="dxa"/>
            <w:vAlign w:val="bottom"/>
            <w:gridSpan w:val="26"/>
            <w:shd w:val="clear" w:color="auto" w:fill="CCEEFF"/>
          </w:tcPr>
          <w:p>
            <w:pPr>
              <w:spacing w:after="0" w:line="209" w:lineRule="exact"/>
              <w:rPr>
                <w:rFonts w:ascii="Arial" w:cs="Arial" w:eastAsia="Arial" w:hAnsi="Arial"/>
                <w:sz w:val="22"/>
                <w:szCs w:val="22"/>
                <w:color w:val="0563C1"/>
                <w:w w:val="91"/>
              </w:rPr>
            </w:pPr>
            <w:hyperlink r:id="rId77">
              <w:r>
                <w:rPr>
                  <w:rFonts w:ascii="Arial" w:cs="Arial" w:eastAsia="Arial" w:hAnsi="Arial"/>
                  <w:sz w:val="22"/>
                  <w:szCs w:val="22"/>
                  <w:color w:val="0563C1"/>
                  <w:w w:val="91"/>
                </w:rPr>
                <w:t>reference to Exhibit 3.1 to the Company’s Current Report on Form 8-K, filed with the SEC on February</w:t>
              </w:r>
            </w:hyperlink>
          </w:p>
        </w:tc>
      </w:tr>
      <w:tr>
        <w:trPr>
          <w:trHeight w:val="217"/>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0563C1"/>
            </w:tcBorders>
            <w:gridSpan w:val="2"/>
            <w:shd w:val="clear" w:color="auto" w:fill="CCEEFF"/>
          </w:tcPr>
          <w:p>
            <w:pPr>
              <w:spacing w:after="0" w:line="209" w:lineRule="exact"/>
              <w:rPr>
                <w:rFonts w:ascii="Arial" w:cs="Arial" w:eastAsia="Arial" w:hAnsi="Arial"/>
                <w:sz w:val="22"/>
                <w:szCs w:val="22"/>
                <w:color w:val="0563C1"/>
              </w:rPr>
            </w:pPr>
            <w:hyperlink r:id="rId77">
              <w:r>
                <w:rPr>
                  <w:rFonts w:ascii="Arial" w:cs="Arial" w:eastAsia="Arial" w:hAnsi="Arial"/>
                  <w:sz w:val="22"/>
                  <w:szCs w:val="22"/>
                  <w:color w:val="0563C1"/>
                </w:rPr>
                <w:t>3, 2020)</w:t>
              </w:r>
            </w:hyperlink>
          </w:p>
        </w:tc>
        <w:tc>
          <w:tcPr>
            <w:tcW w:w="1080" w:type="dxa"/>
            <w:vAlign w:val="bottom"/>
            <w:tcBorders>
              <w:top w:val="single" w:sz="8" w:color="0563C1"/>
            </w:tcBorders>
            <w:shd w:val="clear" w:color="auto" w:fill="CCEEFF"/>
          </w:tcPr>
          <w:p>
            <w:pPr>
              <w:spacing w:after="0"/>
              <w:rPr>
                <w:sz w:val="18"/>
                <w:szCs w:val="18"/>
                <w:color w:val="auto"/>
              </w:rPr>
            </w:pPr>
          </w:p>
        </w:tc>
        <w:tc>
          <w:tcPr>
            <w:tcW w:w="860" w:type="dxa"/>
            <w:vAlign w:val="bottom"/>
            <w:tcBorders>
              <w:top w:val="single" w:sz="8" w:color="0563C1"/>
            </w:tcBorders>
            <w:shd w:val="clear" w:color="auto" w:fill="CCEEFF"/>
          </w:tcPr>
          <w:p>
            <w:pPr>
              <w:spacing w:after="0"/>
              <w:rPr>
                <w:sz w:val="18"/>
                <w:szCs w:val="18"/>
                <w:color w:val="auto"/>
              </w:rPr>
            </w:pPr>
          </w:p>
        </w:tc>
        <w:tc>
          <w:tcPr>
            <w:tcW w:w="1020" w:type="dxa"/>
            <w:vAlign w:val="bottom"/>
            <w:tcBorders>
              <w:top w:val="single" w:sz="8" w:color="0563C1"/>
            </w:tcBorders>
            <w:shd w:val="clear" w:color="auto" w:fill="CCEEFF"/>
          </w:tcPr>
          <w:p>
            <w:pPr>
              <w:spacing w:after="0"/>
              <w:rPr>
                <w:sz w:val="18"/>
                <w:szCs w:val="18"/>
                <w:color w:val="auto"/>
              </w:rPr>
            </w:pPr>
          </w:p>
        </w:tc>
        <w:tc>
          <w:tcPr>
            <w:tcW w:w="600" w:type="dxa"/>
            <w:vAlign w:val="bottom"/>
            <w:tcBorders>
              <w:top w:val="single" w:sz="8" w:color="0563C1"/>
            </w:tcBorders>
            <w:shd w:val="clear" w:color="auto" w:fill="CCEEFF"/>
          </w:tcPr>
          <w:p>
            <w:pPr>
              <w:spacing w:after="0"/>
              <w:rPr>
                <w:sz w:val="18"/>
                <w:szCs w:val="18"/>
                <w:color w:val="auto"/>
              </w:rPr>
            </w:pPr>
          </w:p>
        </w:tc>
        <w:tc>
          <w:tcPr>
            <w:tcW w:w="920" w:type="dxa"/>
            <w:vAlign w:val="bottom"/>
            <w:tcBorders>
              <w:top w:val="single" w:sz="8" w:color="0563C1"/>
            </w:tcBorders>
            <w:shd w:val="clear" w:color="auto" w:fill="CCEEFF"/>
          </w:tcPr>
          <w:p>
            <w:pPr>
              <w:spacing w:after="0"/>
              <w:rPr>
                <w:sz w:val="18"/>
                <w:szCs w:val="18"/>
                <w:color w:val="auto"/>
              </w:rPr>
            </w:pPr>
          </w:p>
        </w:tc>
        <w:tc>
          <w:tcPr>
            <w:tcW w:w="1420" w:type="dxa"/>
            <w:vAlign w:val="bottom"/>
            <w:tcBorders>
              <w:top w:val="single" w:sz="8" w:color="0563C1"/>
            </w:tcBorders>
            <w:shd w:val="clear" w:color="auto" w:fill="CCEEFF"/>
          </w:tcPr>
          <w:p>
            <w:pPr>
              <w:spacing w:after="0"/>
              <w:rPr>
                <w:sz w:val="18"/>
                <w:szCs w:val="18"/>
                <w:color w:val="auto"/>
              </w:rPr>
            </w:pPr>
          </w:p>
        </w:tc>
        <w:tc>
          <w:tcPr>
            <w:tcW w:w="16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4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4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80" w:type="dxa"/>
            <w:vAlign w:val="bottom"/>
            <w:tcBorders>
              <w:top w:val="single" w:sz="8" w:color="0563C1"/>
            </w:tcBorders>
            <w:shd w:val="clear" w:color="auto" w:fill="CCEEFF"/>
          </w:tcPr>
          <w:p>
            <w:pPr>
              <w:spacing w:after="0"/>
              <w:rPr>
                <w:sz w:val="18"/>
                <w:szCs w:val="18"/>
                <w:color w:val="auto"/>
              </w:rPr>
            </w:pPr>
          </w:p>
        </w:tc>
        <w:tc>
          <w:tcPr>
            <w:tcW w:w="4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2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9"/>
        </w:trPr>
        <w:tc>
          <w:tcPr>
            <w:tcW w:w="16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30"/>
        </w:trPr>
        <w:tc>
          <w:tcPr>
            <w:tcW w:w="168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3.2*</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100" w:type="dxa"/>
            <w:vAlign w:val="bottom"/>
            <w:gridSpan w:val="26"/>
            <w:shd w:val="clear" w:color="auto" w:fill="CCEEFF"/>
          </w:tcPr>
          <w:p>
            <w:pPr>
              <w:spacing w:after="0" w:line="229" w:lineRule="exact"/>
              <w:rPr>
                <w:rFonts w:ascii="Arial" w:cs="Arial" w:eastAsia="Arial" w:hAnsi="Arial"/>
                <w:sz w:val="22"/>
                <w:szCs w:val="22"/>
                <w:u w:val="single" w:color="auto"/>
                <w:color w:val="0563C1"/>
              </w:rPr>
            </w:pPr>
            <w:hyperlink w:anchor="page58">
              <w:r>
                <w:rPr>
                  <w:rFonts w:ascii="Arial" w:cs="Arial" w:eastAsia="Arial" w:hAnsi="Arial"/>
                  <w:sz w:val="22"/>
                  <w:szCs w:val="22"/>
                  <w:u w:val="single" w:color="auto"/>
                  <w:color w:val="0563C1"/>
                </w:rPr>
                <w:t>Amendment to the Amended and Restated Bylaws of the Registrant</w:t>
              </w:r>
            </w:hyperlink>
          </w:p>
        </w:tc>
      </w:tr>
      <w:tr>
        <w:trPr>
          <w:trHeight w:val="229"/>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16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4.1</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00" w:type="dxa"/>
            <w:vAlign w:val="bottom"/>
            <w:gridSpan w:val="26"/>
            <w:shd w:val="clear" w:color="auto" w:fill="CCEEFF"/>
          </w:tcPr>
          <w:p>
            <w:pPr>
              <w:spacing w:after="0" w:line="203" w:lineRule="exact"/>
              <w:rPr>
                <w:rFonts w:ascii="Arial" w:cs="Arial" w:eastAsia="Arial" w:hAnsi="Arial"/>
                <w:sz w:val="22"/>
                <w:szCs w:val="22"/>
                <w:color w:val="0563C1"/>
                <w:w w:val="93"/>
              </w:rPr>
            </w:pPr>
            <w:hyperlink r:id="rId78">
              <w:r>
                <w:rPr>
                  <w:rFonts w:ascii="Arial" w:cs="Arial" w:eastAsia="Arial" w:hAnsi="Arial"/>
                  <w:sz w:val="22"/>
                  <w:szCs w:val="22"/>
                  <w:color w:val="0563C1"/>
                  <w:w w:val="93"/>
                </w:rPr>
                <w:t>Fourth Supplemental Indenture, dated as of April 15, 2020, between Essential Utilities, Inc. and U.S.</w:t>
              </w:r>
            </w:hyperlink>
          </w:p>
        </w:tc>
      </w:tr>
      <w:tr>
        <w:trPr>
          <w:trHeight w:val="209"/>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0563C1"/>
            </w:tcBorders>
            <w:gridSpan w:val="18"/>
            <w:shd w:val="clear" w:color="auto" w:fill="CCEEFF"/>
          </w:tcPr>
          <w:p>
            <w:pPr>
              <w:spacing w:after="0" w:line="209" w:lineRule="exact"/>
              <w:rPr>
                <w:rFonts w:ascii="Arial" w:cs="Arial" w:eastAsia="Arial" w:hAnsi="Arial"/>
                <w:sz w:val="22"/>
                <w:szCs w:val="22"/>
                <w:color w:val="0563C1"/>
                <w:w w:val="90"/>
              </w:rPr>
            </w:pPr>
            <w:hyperlink r:id="rId78">
              <w:r>
                <w:rPr>
                  <w:rFonts w:ascii="Arial" w:cs="Arial" w:eastAsia="Arial" w:hAnsi="Arial"/>
                  <w:sz w:val="22"/>
                  <w:szCs w:val="22"/>
                  <w:color w:val="0563C1"/>
                  <w:w w:val="90"/>
                </w:rPr>
                <w:t>Bank N.A., as trustee (incorporated by reference to Exhibit 4.3 to the Company’s Current Report on</w:t>
              </w:r>
            </w:hyperlink>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7"/>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80" w:type="dxa"/>
            <w:vAlign w:val="bottom"/>
            <w:tcBorders>
              <w:top w:val="single" w:sz="8" w:color="0563C1"/>
            </w:tcBorders>
            <w:gridSpan w:val="16"/>
            <w:shd w:val="clear" w:color="auto" w:fill="CCEEFF"/>
          </w:tcPr>
          <w:p>
            <w:pPr>
              <w:spacing w:after="0" w:line="209" w:lineRule="exact"/>
              <w:rPr>
                <w:rFonts w:ascii="Arial" w:cs="Arial" w:eastAsia="Arial" w:hAnsi="Arial"/>
                <w:sz w:val="22"/>
                <w:szCs w:val="22"/>
                <w:color w:val="0563C1"/>
              </w:rPr>
            </w:pPr>
            <w:hyperlink r:id="rId78">
              <w:r>
                <w:rPr>
                  <w:rFonts w:ascii="Arial" w:cs="Arial" w:eastAsia="Arial" w:hAnsi="Arial"/>
                  <w:sz w:val="22"/>
                  <w:szCs w:val="22"/>
                  <w:color w:val="0563C1"/>
                </w:rPr>
                <w:t>Form 8-K, filed with the SEC on April 15, 2020)</w:t>
              </w:r>
            </w:hyperlink>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9"/>
        </w:trPr>
        <w:tc>
          <w:tcPr>
            <w:tcW w:w="16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1580" w:type="dxa"/>
            <w:vAlign w:val="bottom"/>
            <w:tcBorders>
              <w:top w:val="single" w:sz="8" w:color="0563C1"/>
            </w:tcBorders>
          </w:tcPr>
          <w:p>
            <w:pPr>
              <w:spacing w:after="0"/>
              <w:rPr>
                <w:sz w:val="19"/>
                <w:szCs w:val="19"/>
                <w:color w:val="auto"/>
              </w:rPr>
            </w:pPr>
          </w:p>
        </w:tc>
        <w:tc>
          <w:tcPr>
            <w:tcW w:w="1080" w:type="dxa"/>
            <w:vAlign w:val="bottom"/>
            <w:tcBorders>
              <w:top w:val="single" w:sz="8" w:color="0563C1"/>
            </w:tcBorders>
          </w:tcPr>
          <w:p>
            <w:pPr>
              <w:spacing w:after="0"/>
              <w:rPr>
                <w:sz w:val="19"/>
                <w:szCs w:val="19"/>
                <w:color w:val="auto"/>
              </w:rPr>
            </w:pPr>
          </w:p>
        </w:tc>
        <w:tc>
          <w:tcPr>
            <w:tcW w:w="860" w:type="dxa"/>
            <w:vAlign w:val="bottom"/>
            <w:tcBorders>
              <w:top w:val="single" w:sz="8" w:color="0563C1"/>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6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4.2</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00" w:type="dxa"/>
            <w:vAlign w:val="bottom"/>
            <w:gridSpan w:val="26"/>
            <w:shd w:val="clear" w:color="auto" w:fill="CCEEFF"/>
          </w:tcPr>
          <w:p>
            <w:pPr>
              <w:spacing w:after="0" w:line="203" w:lineRule="exact"/>
              <w:rPr>
                <w:rFonts w:ascii="Arial" w:cs="Arial" w:eastAsia="Arial" w:hAnsi="Arial"/>
                <w:sz w:val="22"/>
                <w:szCs w:val="22"/>
                <w:color w:val="0563C1"/>
                <w:w w:val="94"/>
              </w:rPr>
            </w:pPr>
            <w:hyperlink r:id="rId78">
              <w:r>
                <w:rPr>
                  <w:rFonts w:ascii="Arial" w:cs="Arial" w:eastAsia="Arial" w:hAnsi="Arial"/>
                  <w:sz w:val="22"/>
                  <w:szCs w:val="22"/>
                  <w:color w:val="0563C1"/>
                  <w:w w:val="94"/>
                </w:rPr>
                <w:t>Form of Global Note for the 2030 Notes (incorporated by reference to Exhibit 4.4 to the Company’s</w:t>
              </w:r>
            </w:hyperlink>
          </w:p>
        </w:tc>
      </w:tr>
      <w:tr>
        <w:trPr>
          <w:trHeight w:val="217"/>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0563C1"/>
            </w:tcBorders>
            <w:gridSpan w:val="17"/>
            <w:shd w:val="clear" w:color="auto" w:fill="CCEEFF"/>
          </w:tcPr>
          <w:p>
            <w:pPr>
              <w:spacing w:after="0" w:line="209" w:lineRule="exact"/>
              <w:rPr>
                <w:rFonts w:ascii="Arial" w:cs="Arial" w:eastAsia="Arial" w:hAnsi="Arial"/>
                <w:sz w:val="22"/>
                <w:szCs w:val="22"/>
                <w:color w:val="0563C1"/>
              </w:rPr>
            </w:pPr>
            <w:hyperlink r:id="rId78">
              <w:r>
                <w:rPr>
                  <w:rFonts w:ascii="Arial" w:cs="Arial" w:eastAsia="Arial" w:hAnsi="Arial"/>
                  <w:sz w:val="22"/>
                  <w:szCs w:val="22"/>
                  <w:color w:val="0563C1"/>
                </w:rPr>
                <w:t>Current Report on Form 8-K, filed with the SEC on April 15, 2020)</w:t>
              </w:r>
            </w:hyperlink>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30"/>
        </w:trPr>
        <w:tc>
          <w:tcPr>
            <w:tcW w:w="16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1580" w:type="dxa"/>
            <w:vAlign w:val="bottom"/>
            <w:tcBorders>
              <w:top w:val="single" w:sz="8" w:color="0563C1"/>
            </w:tcBorders>
          </w:tcPr>
          <w:p>
            <w:pPr>
              <w:spacing w:after="0"/>
              <w:rPr>
                <w:sz w:val="19"/>
                <w:szCs w:val="19"/>
                <w:color w:val="auto"/>
              </w:rPr>
            </w:pPr>
          </w:p>
        </w:tc>
        <w:tc>
          <w:tcPr>
            <w:tcW w:w="1080" w:type="dxa"/>
            <w:vAlign w:val="bottom"/>
            <w:tcBorders>
              <w:top w:val="single" w:sz="8" w:color="0563C1"/>
            </w:tcBorders>
          </w:tcPr>
          <w:p>
            <w:pPr>
              <w:spacing w:after="0"/>
              <w:rPr>
                <w:sz w:val="19"/>
                <w:szCs w:val="19"/>
                <w:color w:val="auto"/>
              </w:rPr>
            </w:pPr>
          </w:p>
        </w:tc>
        <w:tc>
          <w:tcPr>
            <w:tcW w:w="860" w:type="dxa"/>
            <w:vAlign w:val="bottom"/>
            <w:tcBorders>
              <w:top w:val="single" w:sz="8" w:color="0563C1"/>
            </w:tcBorders>
          </w:tcPr>
          <w:p>
            <w:pPr>
              <w:spacing w:after="0"/>
              <w:rPr>
                <w:sz w:val="19"/>
                <w:szCs w:val="19"/>
                <w:color w:val="auto"/>
              </w:rPr>
            </w:pPr>
          </w:p>
        </w:tc>
        <w:tc>
          <w:tcPr>
            <w:tcW w:w="102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6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4.3</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00" w:type="dxa"/>
            <w:vAlign w:val="bottom"/>
            <w:gridSpan w:val="26"/>
            <w:shd w:val="clear" w:color="auto" w:fill="CCEEFF"/>
          </w:tcPr>
          <w:p>
            <w:pPr>
              <w:spacing w:after="0" w:line="203" w:lineRule="exact"/>
              <w:rPr>
                <w:rFonts w:ascii="Arial" w:cs="Arial" w:eastAsia="Arial" w:hAnsi="Arial"/>
                <w:sz w:val="22"/>
                <w:szCs w:val="22"/>
                <w:color w:val="0563C1"/>
                <w:w w:val="94"/>
              </w:rPr>
            </w:pPr>
            <w:hyperlink r:id="rId78">
              <w:r>
                <w:rPr>
                  <w:rFonts w:ascii="Arial" w:cs="Arial" w:eastAsia="Arial" w:hAnsi="Arial"/>
                  <w:sz w:val="22"/>
                  <w:szCs w:val="22"/>
                  <w:color w:val="0563C1"/>
                  <w:w w:val="94"/>
                </w:rPr>
                <w:t>Form of Global Note for the 2050 Notes (incorporated by reference to Exhibit 4.5 to the Company’s</w:t>
              </w:r>
            </w:hyperlink>
          </w:p>
        </w:tc>
      </w:tr>
      <w:tr>
        <w:trPr>
          <w:trHeight w:val="216"/>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0563C1"/>
            </w:tcBorders>
            <w:gridSpan w:val="17"/>
            <w:shd w:val="clear" w:color="auto" w:fill="CCEEFF"/>
          </w:tcPr>
          <w:p>
            <w:pPr>
              <w:spacing w:after="0" w:line="209" w:lineRule="exact"/>
              <w:rPr>
                <w:rFonts w:ascii="Arial" w:cs="Arial" w:eastAsia="Arial" w:hAnsi="Arial"/>
                <w:sz w:val="22"/>
                <w:szCs w:val="22"/>
                <w:color w:val="0563C1"/>
              </w:rPr>
            </w:pPr>
            <w:hyperlink r:id="rId78">
              <w:r>
                <w:rPr>
                  <w:rFonts w:ascii="Arial" w:cs="Arial" w:eastAsia="Arial" w:hAnsi="Arial"/>
                  <w:sz w:val="22"/>
                  <w:szCs w:val="22"/>
                  <w:color w:val="0563C1"/>
                </w:rPr>
                <w:t>Current Report on Form 8-K, filed with the SEC on April 15, 2020)</w:t>
              </w:r>
            </w:hyperlink>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30"/>
        </w:trPr>
        <w:tc>
          <w:tcPr>
            <w:tcW w:w="16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1580" w:type="dxa"/>
            <w:vAlign w:val="bottom"/>
            <w:tcBorders>
              <w:top w:val="single" w:sz="8" w:color="0563C1"/>
            </w:tcBorders>
          </w:tcPr>
          <w:p>
            <w:pPr>
              <w:spacing w:after="0"/>
              <w:rPr>
                <w:sz w:val="19"/>
                <w:szCs w:val="19"/>
                <w:color w:val="auto"/>
              </w:rPr>
            </w:pPr>
          </w:p>
        </w:tc>
        <w:tc>
          <w:tcPr>
            <w:tcW w:w="1080" w:type="dxa"/>
            <w:vAlign w:val="bottom"/>
            <w:tcBorders>
              <w:top w:val="single" w:sz="8" w:color="0563C1"/>
            </w:tcBorders>
          </w:tcPr>
          <w:p>
            <w:pPr>
              <w:spacing w:after="0"/>
              <w:rPr>
                <w:sz w:val="19"/>
                <w:szCs w:val="19"/>
                <w:color w:val="auto"/>
              </w:rPr>
            </w:pPr>
          </w:p>
        </w:tc>
        <w:tc>
          <w:tcPr>
            <w:tcW w:w="860" w:type="dxa"/>
            <w:vAlign w:val="bottom"/>
            <w:tcBorders>
              <w:top w:val="single" w:sz="8" w:color="0563C1"/>
            </w:tcBorders>
          </w:tcPr>
          <w:p>
            <w:pPr>
              <w:spacing w:after="0"/>
              <w:rPr>
                <w:sz w:val="19"/>
                <w:szCs w:val="19"/>
                <w:color w:val="auto"/>
              </w:rPr>
            </w:pPr>
          </w:p>
        </w:tc>
        <w:tc>
          <w:tcPr>
            <w:tcW w:w="102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6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4.4*</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00" w:type="dxa"/>
            <w:vAlign w:val="bottom"/>
            <w:gridSpan w:val="26"/>
            <w:shd w:val="clear" w:color="auto" w:fill="CCEEFF"/>
          </w:tcPr>
          <w:p>
            <w:pPr>
              <w:spacing w:after="0" w:line="203" w:lineRule="exact"/>
              <w:rPr>
                <w:rFonts w:ascii="Arial" w:cs="Arial" w:eastAsia="Arial" w:hAnsi="Arial"/>
                <w:sz w:val="22"/>
                <w:szCs w:val="22"/>
                <w:color w:val="0563C1"/>
                <w:w w:val="96"/>
              </w:rPr>
            </w:pPr>
            <w:hyperlink w:anchor="page59">
              <w:r>
                <w:rPr>
                  <w:rFonts w:ascii="Arial" w:cs="Arial" w:eastAsia="Arial" w:hAnsi="Arial"/>
                  <w:sz w:val="22"/>
                  <w:szCs w:val="22"/>
                  <w:color w:val="0563C1"/>
                  <w:w w:val="96"/>
                </w:rPr>
                <w:t>Bond Purchase Agreement, dated May 1, 2020, by and among Aqua Pennsylvania. Inc., Teacher</w:t>
              </w:r>
            </w:hyperlink>
          </w:p>
        </w:tc>
      </w:tr>
      <w:tr>
        <w:trPr>
          <w:trHeight w:val="209"/>
        </w:trPr>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360" w:type="dxa"/>
            <w:vAlign w:val="bottom"/>
            <w:tcBorders>
              <w:top w:val="single" w:sz="8" w:color="0563C1"/>
              <w:bottom w:val="single" w:sz="8" w:color="0563C1"/>
            </w:tcBorders>
            <w:gridSpan w:val="9"/>
            <w:shd w:val="clear" w:color="auto" w:fill="CCEEFF"/>
          </w:tcPr>
          <w:p>
            <w:pPr>
              <w:spacing w:after="0" w:line="209" w:lineRule="exact"/>
              <w:rPr>
                <w:rFonts w:ascii="Arial" w:cs="Arial" w:eastAsia="Arial" w:hAnsi="Arial"/>
                <w:sz w:val="22"/>
                <w:szCs w:val="22"/>
                <w:color w:val="0563C1"/>
                <w:w w:val="91"/>
              </w:rPr>
            </w:pPr>
            <w:hyperlink w:anchor="page59">
              <w:r>
                <w:rPr>
                  <w:rFonts w:ascii="Arial" w:cs="Arial" w:eastAsia="Arial" w:hAnsi="Arial"/>
                  <w:sz w:val="22"/>
                  <w:szCs w:val="22"/>
                  <w:color w:val="0563C1"/>
                  <w:w w:val="91"/>
                </w:rPr>
                <w:t>Insurance and Annuity Association of America, Metropolitan Life Insurance Company, MetLife</w:t>
              </w:r>
            </w:hyperlink>
          </w:p>
        </w:tc>
        <w:tc>
          <w:tcPr>
            <w:tcW w:w="20" w:type="dxa"/>
            <w:vAlign w:val="bottom"/>
            <w:tcBorders>
              <w:top w:val="single" w:sz="8" w:color="0563C1"/>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1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00" w:type="dxa"/>
            <w:vAlign w:val="bottom"/>
            <w:gridSpan w:val="26"/>
            <w:shd w:val="clear" w:color="auto" w:fill="CCEEFF"/>
          </w:tcPr>
          <w:p>
            <w:pPr>
              <w:spacing w:after="0" w:line="209" w:lineRule="exact"/>
              <w:rPr>
                <w:rFonts w:ascii="Arial" w:cs="Arial" w:eastAsia="Arial" w:hAnsi="Arial"/>
                <w:sz w:val="22"/>
                <w:szCs w:val="22"/>
                <w:color w:val="0563C1"/>
                <w:w w:val="93"/>
              </w:rPr>
            </w:pPr>
            <w:hyperlink w:anchor="page59">
              <w:r>
                <w:rPr>
                  <w:rFonts w:ascii="Arial" w:cs="Arial" w:eastAsia="Arial" w:hAnsi="Arial"/>
                  <w:sz w:val="22"/>
                  <w:szCs w:val="22"/>
                  <w:color w:val="0563C1"/>
                  <w:w w:val="93"/>
                </w:rPr>
                <w:t>Insurance K.K., Metropolitan Tower Life Insurance Company, Rothesay Life PLC, American General</w:t>
              </w:r>
            </w:hyperlink>
          </w:p>
        </w:tc>
      </w:tr>
      <w:tr>
        <w:trPr>
          <w:trHeight w:val="210"/>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60" w:type="dxa"/>
            <w:vAlign w:val="bottom"/>
            <w:tcBorders>
              <w:top w:val="single" w:sz="8" w:color="0563C1"/>
            </w:tcBorders>
            <w:gridSpan w:val="19"/>
            <w:shd w:val="clear" w:color="auto" w:fill="CCEEFF"/>
          </w:tcPr>
          <w:p>
            <w:pPr>
              <w:spacing w:after="0" w:line="209" w:lineRule="exact"/>
              <w:rPr>
                <w:rFonts w:ascii="Arial" w:cs="Arial" w:eastAsia="Arial" w:hAnsi="Arial"/>
                <w:sz w:val="22"/>
                <w:szCs w:val="22"/>
                <w:color w:val="0563C1"/>
                <w:w w:val="92"/>
              </w:rPr>
            </w:pPr>
            <w:hyperlink w:anchor="page59">
              <w:r>
                <w:rPr>
                  <w:rFonts w:ascii="Arial" w:cs="Arial" w:eastAsia="Arial" w:hAnsi="Arial"/>
                  <w:sz w:val="22"/>
                  <w:szCs w:val="22"/>
                  <w:color w:val="0563C1"/>
                  <w:w w:val="92"/>
                </w:rPr>
                <w:t>Life Insurance Company, The United States Life Insurance Company in the City of New York, The</w:t>
              </w:r>
            </w:hyperlink>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09"/>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20" w:type="dxa"/>
            <w:vAlign w:val="bottom"/>
            <w:tcBorders>
              <w:top w:val="single" w:sz="8" w:color="0563C1"/>
            </w:tcBorders>
            <w:gridSpan w:val="15"/>
            <w:shd w:val="clear" w:color="auto" w:fill="CCEEFF"/>
          </w:tcPr>
          <w:p>
            <w:pPr>
              <w:spacing w:after="0" w:line="209" w:lineRule="exact"/>
              <w:rPr>
                <w:rFonts w:ascii="Arial" w:cs="Arial" w:eastAsia="Arial" w:hAnsi="Arial"/>
                <w:sz w:val="22"/>
                <w:szCs w:val="22"/>
                <w:color w:val="0563C1"/>
                <w:w w:val="90"/>
              </w:rPr>
            </w:pPr>
            <w:hyperlink w:anchor="page59">
              <w:r>
                <w:rPr>
                  <w:rFonts w:ascii="Arial" w:cs="Arial" w:eastAsia="Arial" w:hAnsi="Arial"/>
                  <w:sz w:val="22"/>
                  <w:szCs w:val="22"/>
                  <w:color w:val="0563C1"/>
                  <w:w w:val="90"/>
                </w:rPr>
                <w:t>Northwestern Mutual Life Insurance Company, The Northwestern Mutual Life Insurance Company</w:t>
              </w:r>
            </w:hyperlink>
          </w:p>
        </w:tc>
        <w:tc>
          <w:tcPr>
            <w:tcW w:w="480" w:type="dxa"/>
            <w:vAlign w:val="bottom"/>
            <w:tcBorders>
              <w:top w:val="single" w:sz="8" w:color="CCEEFF"/>
            </w:tcBorders>
            <w:gridSpan w:val="11"/>
            <w:shd w:val="clear" w:color="auto" w:fill="CCEEFF"/>
          </w:tcPr>
          <w:p>
            <w:pPr>
              <w:ind w:left="20"/>
              <w:spacing w:after="0" w:line="209" w:lineRule="exact"/>
              <w:rPr>
                <w:rFonts w:ascii="Arial" w:cs="Arial" w:eastAsia="Arial" w:hAnsi="Arial"/>
                <w:sz w:val="22"/>
                <w:szCs w:val="22"/>
                <w:color w:val="0563C1"/>
              </w:rPr>
            </w:pPr>
            <w:hyperlink w:anchor="page59">
              <w:r>
                <w:rPr>
                  <w:rFonts w:ascii="Arial" w:cs="Arial" w:eastAsia="Arial" w:hAnsi="Arial"/>
                  <w:sz w:val="22"/>
                  <w:szCs w:val="22"/>
                  <w:color w:val="0563C1"/>
                </w:rPr>
                <w:t>for</w:t>
              </w:r>
            </w:hyperlink>
          </w:p>
        </w:tc>
      </w:tr>
      <w:tr>
        <w:trPr>
          <w:trHeight w:val="210"/>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60" w:type="dxa"/>
            <w:vAlign w:val="bottom"/>
            <w:tcBorders>
              <w:top w:val="single" w:sz="8" w:color="0563C1"/>
            </w:tcBorders>
            <w:gridSpan w:val="23"/>
            <w:shd w:val="clear" w:color="auto" w:fill="CCEEFF"/>
          </w:tcPr>
          <w:p>
            <w:pPr>
              <w:spacing w:after="0" w:line="209" w:lineRule="exact"/>
              <w:rPr>
                <w:rFonts w:ascii="Arial" w:cs="Arial" w:eastAsia="Arial" w:hAnsi="Arial"/>
                <w:sz w:val="22"/>
                <w:szCs w:val="22"/>
                <w:color w:val="0563C1"/>
                <w:w w:val="94"/>
              </w:rPr>
            </w:pPr>
            <w:hyperlink w:anchor="page59">
              <w:r>
                <w:rPr>
                  <w:rFonts w:ascii="Arial" w:cs="Arial" w:eastAsia="Arial" w:hAnsi="Arial"/>
                  <w:sz w:val="22"/>
                  <w:szCs w:val="22"/>
                  <w:color w:val="0563C1"/>
                  <w:w w:val="94"/>
                </w:rPr>
                <w:t>its Group Annuity Separate Account, Banner Life Insurance Company, West Coast Life Insurance</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5"/>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0563C1"/>
            </w:tcBorders>
            <w:gridSpan w:val="12"/>
            <w:shd w:val="clear" w:color="auto" w:fill="CCEEFF"/>
          </w:tcPr>
          <w:p>
            <w:pPr>
              <w:spacing w:after="0" w:line="216" w:lineRule="exact"/>
              <w:rPr>
                <w:rFonts w:ascii="Arial" w:cs="Arial" w:eastAsia="Arial" w:hAnsi="Arial"/>
                <w:sz w:val="22"/>
                <w:szCs w:val="22"/>
                <w:u w:val="single" w:color="auto"/>
                <w:color w:val="0563C1"/>
                <w:w w:val="93"/>
              </w:rPr>
            </w:pPr>
            <w:hyperlink w:anchor="page59">
              <w:r>
                <w:rPr>
                  <w:rFonts w:ascii="Arial" w:cs="Arial" w:eastAsia="Arial" w:hAnsi="Arial"/>
                  <w:sz w:val="22"/>
                  <w:szCs w:val="22"/>
                  <w:u w:val="single" w:color="auto"/>
                  <w:color w:val="0563C1"/>
                  <w:w w:val="93"/>
                </w:rPr>
                <w:t>Company, Manulife (International) Limited, Manufacturers Life Reinsurance Limited, Manulife</w:t>
              </w:r>
            </w:hyperlink>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7"/>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51"/>
        </w:trPr>
        <w:tc>
          <w:tcPr>
            <w:tcW w:w="16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100" w:type="dxa"/>
            <w:vAlign w:val="bottom"/>
            <w:gridSpan w:val="26"/>
            <w:shd w:val="clear" w:color="auto" w:fill="CCEEFF"/>
          </w:tcPr>
          <w:p>
            <w:pPr>
              <w:spacing w:after="0" w:line="251" w:lineRule="exact"/>
              <w:rPr>
                <w:rFonts w:ascii="Arial" w:cs="Arial" w:eastAsia="Arial" w:hAnsi="Arial"/>
                <w:sz w:val="22"/>
                <w:szCs w:val="22"/>
                <w:u w:val="single" w:color="auto"/>
                <w:color w:val="0563C1"/>
              </w:rPr>
            </w:pPr>
            <w:hyperlink w:anchor="page59">
              <w:r>
                <w:rPr>
                  <w:rFonts w:ascii="Arial" w:cs="Arial" w:eastAsia="Arial" w:hAnsi="Arial"/>
                  <w:sz w:val="22"/>
                  <w:szCs w:val="22"/>
                  <w:u w:val="single" w:color="auto"/>
                  <w:color w:val="0563C1"/>
                </w:rPr>
                <w:t>Insurance Company</w:t>
              </w:r>
            </w:hyperlink>
          </w:p>
        </w:tc>
      </w:tr>
      <w:tr>
        <w:trPr>
          <w:trHeight w:val="229"/>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1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2"/>
                <w:szCs w:val="22"/>
                <w:color w:val="auto"/>
              </w:rPr>
              <w:t>10.1*</w:t>
            </w:r>
          </w:p>
        </w:tc>
        <w:tc>
          <w:tcPr>
            <w:tcW w:w="4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440" w:type="dxa"/>
            <w:vAlign w:val="bottom"/>
            <w:tcBorders>
              <w:bottom w:val="single" w:sz="8" w:color="0563C1"/>
            </w:tcBorders>
            <w:gridSpan w:val="11"/>
            <w:shd w:val="clear" w:color="auto" w:fill="CCEEFF"/>
          </w:tcPr>
          <w:p>
            <w:pPr>
              <w:spacing w:after="0" w:line="203" w:lineRule="exact"/>
              <w:rPr>
                <w:rFonts w:ascii="Arial" w:cs="Arial" w:eastAsia="Arial" w:hAnsi="Arial"/>
                <w:sz w:val="22"/>
                <w:szCs w:val="22"/>
                <w:color w:val="0563C1"/>
                <w:w w:val="90"/>
              </w:rPr>
            </w:pPr>
            <w:hyperlink w:anchor="page122">
              <w:r>
                <w:rPr>
                  <w:rFonts w:ascii="Arial" w:cs="Arial" w:eastAsia="Arial" w:hAnsi="Arial"/>
                  <w:sz w:val="22"/>
                  <w:szCs w:val="22"/>
                  <w:color w:val="0563C1"/>
                  <w:w w:val="90"/>
                </w:rPr>
                <w:t>Third Amendment to Revolving Credit Agreement, dated as of November 8, 2019 between Aqua</w:t>
              </w:r>
            </w:hyperlink>
          </w:p>
        </w:tc>
        <w:tc>
          <w:tcPr>
            <w:tcW w:w="660" w:type="dxa"/>
            <w:vAlign w:val="bottom"/>
            <w:tcBorders>
              <w:bottom w:val="single" w:sz="8" w:color="CCEEFF"/>
            </w:tcBorders>
            <w:gridSpan w:val="15"/>
            <w:shd w:val="clear" w:color="auto" w:fill="CCEEFF"/>
          </w:tcPr>
          <w:p>
            <w:pPr>
              <w:spacing w:after="0"/>
              <w:rPr>
                <w:sz w:val="17"/>
                <w:szCs w:val="17"/>
                <w:color w:val="auto"/>
              </w:rPr>
            </w:pPr>
          </w:p>
        </w:tc>
      </w:tr>
      <w:tr>
        <w:trPr>
          <w:trHeight w:val="210"/>
        </w:trPr>
        <w:tc>
          <w:tcPr>
            <w:tcW w:w="1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00" w:type="dxa"/>
            <w:vAlign w:val="bottom"/>
            <w:gridSpan w:val="26"/>
            <w:shd w:val="clear" w:color="auto" w:fill="CCEEFF"/>
          </w:tcPr>
          <w:p>
            <w:pPr>
              <w:spacing w:after="0" w:line="209" w:lineRule="exact"/>
              <w:rPr>
                <w:rFonts w:ascii="Arial" w:cs="Arial" w:eastAsia="Arial" w:hAnsi="Arial"/>
                <w:sz w:val="22"/>
                <w:szCs w:val="22"/>
                <w:color w:val="0563C1"/>
                <w:w w:val="90"/>
              </w:rPr>
            </w:pPr>
            <w:hyperlink w:anchor="page122">
              <w:r>
                <w:rPr>
                  <w:rFonts w:ascii="Arial" w:cs="Arial" w:eastAsia="Arial" w:hAnsi="Arial"/>
                  <w:sz w:val="22"/>
                  <w:szCs w:val="22"/>
                  <w:color w:val="0563C1"/>
                  <w:w w:val="90"/>
                </w:rPr>
                <w:t>Pennsylvania and PNC Bank, National Association, Citizens Bank of Pennsylvania, TD Bank, N.A., and</w:t>
              </w:r>
            </w:hyperlink>
          </w:p>
        </w:tc>
      </w:tr>
      <w:tr>
        <w:trPr>
          <w:trHeight w:val="217"/>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80" w:type="dxa"/>
            <w:vAlign w:val="bottom"/>
            <w:tcBorders>
              <w:top w:val="single" w:sz="8" w:color="0563C1"/>
            </w:tcBorders>
            <w:gridSpan w:val="25"/>
            <w:shd w:val="clear" w:color="auto" w:fill="CCEEFF"/>
          </w:tcPr>
          <w:p>
            <w:pPr>
              <w:spacing w:after="0" w:line="209" w:lineRule="exact"/>
              <w:rPr>
                <w:rFonts w:ascii="Arial" w:cs="Arial" w:eastAsia="Arial" w:hAnsi="Arial"/>
                <w:sz w:val="22"/>
                <w:szCs w:val="22"/>
                <w:color w:val="0563C1"/>
              </w:rPr>
            </w:pPr>
            <w:hyperlink w:anchor="page122">
              <w:r>
                <w:rPr>
                  <w:rFonts w:ascii="Arial" w:cs="Arial" w:eastAsia="Arial" w:hAnsi="Arial"/>
                  <w:sz w:val="22"/>
                  <w:szCs w:val="22"/>
                  <w:color w:val="0563C1"/>
                </w:rPr>
                <w:t>Huntington National Bank</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29"/>
        </w:trPr>
        <w:tc>
          <w:tcPr>
            <w:tcW w:w="16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1580" w:type="dxa"/>
            <w:vAlign w:val="bottom"/>
            <w:tcBorders>
              <w:top w:val="single" w:sz="8" w:color="0563C1"/>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6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10.2</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00" w:type="dxa"/>
            <w:vAlign w:val="bottom"/>
            <w:gridSpan w:val="26"/>
            <w:shd w:val="clear" w:color="auto" w:fill="CCEEFF"/>
          </w:tcPr>
          <w:p>
            <w:pPr>
              <w:spacing w:after="0" w:line="203" w:lineRule="exact"/>
              <w:rPr>
                <w:rFonts w:ascii="Arial" w:cs="Arial" w:eastAsia="Arial" w:hAnsi="Arial"/>
                <w:sz w:val="22"/>
                <w:szCs w:val="22"/>
                <w:color w:val="0563C1"/>
                <w:w w:val="89"/>
              </w:rPr>
            </w:pPr>
            <w:hyperlink r:id="rId79">
              <w:r>
                <w:rPr>
                  <w:rFonts w:ascii="Arial" w:cs="Arial" w:eastAsia="Arial" w:hAnsi="Arial"/>
                  <w:sz w:val="22"/>
                  <w:szCs w:val="22"/>
                  <w:color w:val="0563C1"/>
                  <w:w w:val="89"/>
                </w:rPr>
                <w:t>Form of Incremental Facility Amendment Agreement, dated March 13, 2020, between the Company and</w:t>
              </w:r>
            </w:hyperlink>
          </w:p>
        </w:tc>
      </w:tr>
      <w:tr>
        <w:trPr>
          <w:trHeight w:val="210"/>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80" w:type="dxa"/>
            <w:vAlign w:val="bottom"/>
            <w:tcBorders>
              <w:top w:val="single" w:sz="8" w:color="0563C1"/>
            </w:tcBorders>
            <w:gridSpan w:val="25"/>
            <w:shd w:val="clear" w:color="auto" w:fill="CCEEFF"/>
          </w:tcPr>
          <w:p>
            <w:pPr>
              <w:spacing w:after="0" w:line="209" w:lineRule="exact"/>
              <w:rPr>
                <w:rFonts w:ascii="Arial" w:cs="Arial" w:eastAsia="Arial" w:hAnsi="Arial"/>
                <w:sz w:val="22"/>
                <w:szCs w:val="22"/>
                <w:color w:val="0563C1"/>
                <w:w w:val="92"/>
              </w:rPr>
            </w:pPr>
            <w:hyperlink r:id="rId79">
              <w:r>
                <w:rPr>
                  <w:rFonts w:ascii="Arial" w:cs="Arial" w:eastAsia="Arial" w:hAnsi="Arial"/>
                  <w:sz w:val="22"/>
                  <w:szCs w:val="22"/>
                  <w:color w:val="0563C1"/>
                  <w:w w:val="92"/>
                </w:rPr>
                <w:t>PNC Bank, National Association (incorporated by reference to Exhibit 10.1 to the Company’s Current</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7"/>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00" w:type="dxa"/>
            <w:vAlign w:val="bottom"/>
            <w:tcBorders>
              <w:top w:val="single" w:sz="8" w:color="0563C1"/>
            </w:tcBorders>
            <w:gridSpan w:val="20"/>
            <w:shd w:val="clear" w:color="auto" w:fill="CCEEFF"/>
          </w:tcPr>
          <w:p>
            <w:pPr>
              <w:spacing w:after="0" w:line="209" w:lineRule="exact"/>
              <w:rPr>
                <w:rFonts w:ascii="Arial" w:cs="Arial" w:eastAsia="Arial" w:hAnsi="Arial"/>
                <w:sz w:val="22"/>
                <w:szCs w:val="22"/>
                <w:color w:val="0563C1"/>
              </w:rPr>
            </w:pPr>
            <w:hyperlink r:id="rId79">
              <w:r>
                <w:rPr>
                  <w:rFonts w:ascii="Arial" w:cs="Arial" w:eastAsia="Arial" w:hAnsi="Arial"/>
                  <w:sz w:val="22"/>
                  <w:szCs w:val="22"/>
                  <w:color w:val="0563C1"/>
                </w:rPr>
                <w:t>Report on Form 8-K, filed with the SEC on March 16, 2020)</w:t>
              </w:r>
            </w:hyperlink>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4"/>
            <w:shd w:val="clear" w:color="auto" w:fill="CCEEFF"/>
          </w:tcPr>
          <w:p>
            <w:pPr>
              <w:spacing w:after="0"/>
              <w:rPr>
                <w:sz w:val="18"/>
                <w:szCs w:val="18"/>
                <w:color w:val="auto"/>
              </w:rPr>
            </w:pPr>
          </w:p>
        </w:tc>
      </w:tr>
      <w:tr>
        <w:trPr>
          <w:trHeight w:val="229"/>
        </w:trPr>
        <w:tc>
          <w:tcPr>
            <w:tcW w:w="16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1580" w:type="dxa"/>
            <w:vAlign w:val="bottom"/>
            <w:tcBorders>
              <w:top w:val="single" w:sz="8" w:color="0563C1"/>
            </w:tcBorders>
          </w:tcPr>
          <w:p>
            <w:pPr>
              <w:spacing w:after="0"/>
              <w:rPr>
                <w:sz w:val="19"/>
                <w:szCs w:val="19"/>
                <w:color w:val="auto"/>
              </w:rPr>
            </w:pPr>
          </w:p>
        </w:tc>
        <w:tc>
          <w:tcPr>
            <w:tcW w:w="1080" w:type="dxa"/>
            <w:vAlign w:val="bottom"/>
            <w:tcBorders>
              <w:top w:val="single" w:sz="8" w:color="0563C1"/>
            </w:tcBorders>
          </w:tcPr>
          <w:p>
            <w:pPr>
              <w:spacing w:after="0"/>
              <w:rPr>
                <w:sz w:val="19"/>
                <w:szCs w:val="19"/>
                <w:color w:val="auto"/>
              </w:rPr>
            </w:pPr>
          </w:p>
        </w:tc>
        <w:tc>
          <w:tcPr>
            <w:tcW w:w="860" w:type="dxa"/>
            <w:vAlign w:val="bottom"/>
            <w:tcBorders>
              <w:top w:val="single" w:sz="8" w:color="0563C1"/>
            </w:tcBorders>
          </w:tcPr>
          <w:p>
            <w:pPr>
              <w:spacing w:after="0"/>
              <w:rPr>
                <w:sz w:val="19"/>
                <w:szCs w:val="19"/>
                <w:color w:val="auto"/>
              </w:rPr>
            </w:pPr>
          </w:p>
        </w:tc>
        <w:tc>
          <w:tcPr>
            <w:tcW w:w="1020" w:type="dxa"/>
            <w:vAlign w:val="bottom"/>
            <w:tcBorders>
              <w:top w:val="single" w:sz="8" w:color="0563C1"/>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1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2"/>
                <w:szCs w:val="22"/>
                <w:color w:val="auto"/>
              </w:rPr>
              <w:t>10.3</w:t>
            </w:r>
          </w:p>
        </w:tc>
        <w:tc>
          <w:tcPr>
            <w:tcW w:w="4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560" w:type="dxa"/>
            <w:vAlign w:val="bottom"/>
            <w:tcBorders>
              <w:bottom w:val="single" w:sz="8" w:color="0563C1"/>
            </w:tcBorders>
            <w:gridSpan w:val="13"/>
            <w:shd w:val="clear" w:color="auto" w:fill="CCEEFF"/>
          </w:tcPr>
          <w:p>
            <w:pPr>
              <w:spacing w:after="0" w:line="203" w:lineRule="exact"/>
              <w:rPr>
                <w:rFonts w:ascii="Arial" w:cs="Arial" w:eastAsia="Arial" w:hAnsi="Arial"/>
                <w:sz w:val="22"/>
                <w:szCs w:val="22"/>
                <w:color w:val="0563C1"/>
                <w:w w:val="89"/>
              </w:rPr>
            </w:pPr>
            <w:hyperlink r:id="rId80">
              <w:r>
                <w:rPr>
                  <w:rFonts w:ascii="Arial" w:cs="Arial" w:eastAsia="Arial" w:hAnsi="Arial"/>
                  <w:sz w:val="22"/>
                  <w:szCs w:val="22"/>
                  <w:color w:val="0563C1"/>
                  <w:w w:val="89"/>
                </w:rPr>
                <w:t>Form of Credit Agreement, dated March 13, 2020 between the Company and PNC Bank, National</w:t>
              </w:r>
            </w:hyperlink>
          </w:p>
        </w:tc>
        <w:tc>
          <w:tcPr>
            <w:tcW w:w="540" w:type="dxa"/>
            <w:vAlign w:val="bottom"/>
            <w:tcBorders>
              <w:bottom w:val="single" w:sz="8" w:color="CCEEFF"/>
            </w:tcBorders>
            <w:gridSpan w:val="13"/>
            <w:shd w:val="clear" w:color="auto" w:fill="CCEEFF"/>
          </w:tcPr>
          <w:p>
            <w:pPr>
              <w:spacing w:after="0"/>
              <w:rPr>
                <w:sz w:val="17"/>
                <w:szCs w:val="17"/>
                <w:color w:val="auto"/>
              </w:rPr>
            </w:pPr>
          </w:p>
        </w:tc>
      </w:tr>
      <w:tr>
        <w:trPr>
          <w:trHeight w:val="210"/>
        </w:trPr>
        <w:tc>
          <w:tcPr>
            <w:tcW w:w="1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00" w:type="dxa"/>
            <w:vAlign w:val="bottom"/>
            <w:gridSpan w:val="26"/>
            <w:shd w:val="clear" w:color="auto" w:fill="CCEEFF"/>
          </w:tcPr>
          <w:p>
            <w:pPr>
              <w:spacing w:after="0" w:line="209" w:lineRule="exact"/>
              <w:rPr>
                <w:rFonts w:ascii="Arial" w:cs="Arial" w:eastAsia="Arial" w:hAnsi="Arial"/>
                <w:sz w:val="22"/>
                <w:szCs w:val="22"/>
                <w:color w:val="0563C1"/>
                <w:w w:val="92"/>
              </w:rPr>
            </w:pPr>
            <w:hyperlink r:id="rId80">
              <w:r>
                <w:rPr>
                  <w:rFonts w:ascii="Arial" w:cs="Arial" w:eastAsia="Arial" w:hAnsi="Arial"/>
                  <w:sz w:val="22"/>
                  <w:szCs w:val="22"/>
                  <w:color w:val="0563C1"/>
                  <w:w w:val="92"/>
                </w:rPr>
                <w:t>Association (incorporated by reference to Exhibit 10.2 to the Company’s Current Report on Form 8-K,</w:t>
              </w:r>
            </w:hyperlink>
          </w:p>
        </w:tc>
      </w:tr>
      <w:tr>
        <w:trPr>
          <w:trHeight w:val="217"/>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40" w:type="dxa"/>
            <w:vAlign w:val="bottom"/>
            <w:tcBorders>
              <w:top w:val="single" w:sz="8" w:color="0563C1"/>
            </w:tcBorders>
            <w:gridSpan w:val="22"/>
            <w:shd w:val="clear" w:color="auto" w:fill="CCEEFF"/>
          </w:tcPr>
          <w:p>
            <w:pPr>
              <w:spacing w:after="0" w:line="209" w:lineRule="exact"/>
              <w:rPr>
                <w:rFonts w:ascii="Arial" w:cs="Arial" w:eastAsia="Arial" w:hAnsi="Arial"/>
                <w:sz w:val="22"/>
                <w:szCs w:val="22"/>
                <w:color w:val="0563C1"/>
              </w:rPr>
            </w:pPr>
            <w:hyperlink r:id="rId80">
              <w:r>
                <w:rPr>
                  <w:rFonts w:ascii="Arial" w:cs="Arial" w:eastAsia="Arial" w:hAnsi="Arial"/>
                  <w:sz w:val="22"/>
                  <w:szCs w:val="22"/>
                  <w:color w:val="0563C1"/>
                </w:rPr>
                <w:t>filed with the SEC on March 16, 2020)</w:t>
              </w:r>
            </w:hyperlink>
          </w:p>
        </w:tc>
        <w:tc>
          <w:tcPr>
            <w:tcW w:w="160" w:type="dxa"/>
            <w:vAlign w:val="bottom"/>
            <w:tcBorders>
              <w:top w:val="single" w:sz="8" w:color="CCEEFF"/>
            </w:tcBorders>
            <w:gridSpan w:val="4"/>
            <w:shd w:val="clear" w:color="auto" w:fill="CCEEFF"/>
          </w:tcPr>
          <w:p>
            <w:pPr>
              <w:spacing w:after="0"/>
              <w:rPr>
                <w:sz w:val="18"/>
                <w:szCs w:val="18"/>
                <w:color w:val="auto"/>
              </w:rPr>
            </w:pPr>
          </w:p>
        </w:tc>
      </w:tr>
      <w:tr>
        <w:trPr>
          <w:trHeight w:val="229"/>
        </w:trPr>
        <w:tc>
          <w:tcPr>
            <w:tcW w:w="16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1580" w:type="dxa"/>
            <w:vAlign w:val="bottom"/>
            <w:tcBorders>
              <w:top w:val="single" w:sz="8" w:color="0563C1"/>
            </w:tcBorders>
          </w:tcPr>
          <w:p>
            <w:pPr>
              <w:spacing w:after="0"/>
              <w:rPr>
                <w:sz w:val="19"/>
                <w:szCs w:val="19"/>
                <w:color w:val="auto"/>
              </w:rPr>
            </w:pPr>
          </w:p>
        </w:tc>
        <w:tc>
          <w:tcPr>
            <w:tcW w:w="1080" w:type="dxa"/>
            <w:vAlign w:val="bottom"/>
            <w:tcBorders>
              <w:top w:val="single" w:sz="8" w:color="0563C1"/>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30"/>
        </w:trPr>
        <w:tc>
          <w:tcPr>
            <w:tcW w:w="168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10.4* **</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100" w:type="dxa"/>
            <w:vAlign w:val="bottom"/>
            <w:gridSpan w:val="26"/>
            <w:shd w:val="clear" w:color="auto" w:fill="CCEEFF"/>
          </w:tcPr>
          <w:p>
            <w:pPr>
              <w:spacing w:after="0" w:line="229" w:lineRule="exact"/>
              <w:rPr>
                <w:rFonts w:ascii="Arial" w:cs="Arial" w:eastAsia="Arial" w:hAnsi="Arial"/>
                <w:sz w:val="22"/>
                <w:szCs w:val="22"/>
                <w:u w:val="single" w:color="auto"/>
                <w:color w:val="0563C1"/>
              </w:rPr>
            </w:pPr>
            <w:hyperlink w:anchor="page128">
              <w:r>
                <w:rPr>
                  <w:rFonts w:ascii="Arial" w:cs="Arial" w:eastAsia="Arial" w:hAnsi="Arial"/>
                  <w:sz w:val="22"/>
                  <w:szCs w:val="22"/>
                  <w:u w:val="single" w:color="auto"/>
                  <w:color w:val="0563C1"/>
                </w:rPr>
                <w:t>Form of Stock Award Grant Instrument</w:t>
              </w:r>
            </w:hyperlink>
          </w:p>
        </w:tc>
      </w:tr>
      <w:tr>
        <w:trPr>
          <w:trHeight w:val="230"/>
        </w:trPr>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16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10.5</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100" w:type="dxa"/>
            <w:vAlign w:val="bottom"/>
            <w:gridSpan w:val="26"/>
            <w:shd w:val="clear" w:color="auto" w:fill="CCEEFF"/>
          </w:tcPr>
          <w:p>
            <w:pPr>
              <w:spacing w:after="0" w:line="203" w:lineRule="exact"/>
              <w:rPr>
                <w:rFonts w:ascii="Arial" w:cs="Arial" w:eastAsia="Arial" w:hAnsi="Arial"/>
                <w:sz w:val="22"/>
                <w:szCs w:val="22"/>
                <w:color w:val="0563C1"/>
                <w:w w:val="91"/>
              </w:rPr>
            </w:pPr>
            <w:hyperlink r:id="rId81">
              <w:r>
                <w:rPr>
                  <w:rFonts w:ascii="Arial" w:cs="Arial" w:eastAsia="Arial" w:hAnsi="Arial"/>
                  <w:sz w:val="22"/>
                  <w:szCs w:val="22"/>
                  <w:color w:val="0563C1"/>
                  <w:w w:val="91"/>
                </w:rPr>
                <w:t>Credit Agreement, dated April 3, 2020, among the Company, the lenders party thereto and PNC Bank,</w:t>
              </w:r>
            </w:hyperlink>
          </w:p>
        </w:tc>
      </w:tr>
      <w:tr>
        <w:trPr>
          <w:trHeight w:val="210"/>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920" w:type="dxa"/>
            <w:vAlign w:val="bottom"/>
            <w:tcBorders>
              <w:top w:val="single" w:sz="8" w:color="0563C1"/>
            </w:tcBorders>
            <w:gridSpan w:val="21"/>
            <w:shd w:val="clear" w:color="auto" w:fill="CCEEFF"/>
          </w:tcPr>
          <w:p>
            <w:pPr>
              <w:spacing w:after="0" w:line="209" w:lineRule="exact"/>
              <w:rPr>
                <w:rFonts w:ascii="Arial" w:cs="Arial" w:eastAsia="Arial" w:hAnsi="Arial"/>
                <w:sz w:val="22"/>
                <w:szCs w:val="22"/>
                <w:color w:val="0563C1"/>
                <w:w w:val="97"/>
              </w:rPr>
            </w:pPr>
            <w:hyperlink r:id="rId81">
              <w:r>
                <w:rPr>
                  <w:rFonts w:ascii="Arial" w:cs="Arial" w:eastAsia="Arial" w:hAnsi="Arial"/>
                  <w:sz w:val="22"/>
                  <w:szCs w:val="22"/>
                  <w:color w:val="0563C1"/>
                  <w:w w:val="97"/>
                </w:rPr>
                <w:t>National Association, as administrative agent (incorporated by reference to Exhibit 10.1 to the</w:t>
              </w:r>
            </w:hyperlink>
          </w:p>
        </w:tc>
        <w:tc>
          <w:tcPr>
            <w:tcW w:w="18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1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0" w:type="dxa"/>
            <w:vAlign w:val="bottom"/>
            <w:tcBorders>
              <w:top w:val="single" w:sz="8" w:color="0563C1"/>
            </w:tcBorders>
            <w:gridSpan w:val="8"/>
            <w:shd w:val="clear" w:color="auto" w:fill="CCEEFF"/>
          </w:tcPr>
          <w:p>
            <w:pPr>
              <w:spacing w:after="0" w:line="209" w:lineRule="exact"/>
              <w:rPr>
                <w:rFonts w:ascii="Arial" w:cs="Arial" w:eastAsia="Arial" w:hAnsi="Arial"/>
                <w:sz w:val="22"/>
                <w:szCs w:val="22"/>
                <w:color w:val="0563C1"/>
              </w:rPr>
            </w:pPr>
            <w:hyperlink r:id="rId81">
              <w:r>
                <w:rPr>
                  <w:rFonts w:ascii="Arial" w:cs="Arial" w:eastAsia="Arial" w:hAnsi="Arial"/>
                  <w:sz w:val="22"/>
                  <w:szCs w:val="22"/>
                  <w:color w:val="0563C1"/>
                </w:rPr>
                <w:t>Company’s Current Report on Form 8-K, filed with the SEC on April 3, 2020)</w:t>
              </w:r>
            </w:hyperlink>
          </w:p>
        </w:tc>
        <w:tc>
          <w:tcPr>
            <w:tcW w:w="900" w:type="dxa"/>
            <w:vAlign w:val="bottom"/>
            <w:tcBorders>
              <w:top w:val="single" w:sz="8" w:color="CCEEFF"/>
            </w:tcBorders>
            <w:gridSpan w:val="18"/>
            <w:shd w:val="clear" w:color="auto" w:fill="CCEEFF"/>
          </w:tcPr>
          <w:p>
            <w:pPr>
              <w:spacing w:after="0"/>
              <w:rPr>
                <w:sz w:val="18"/>
                <w:szCs w:val="18"/>
                <w:color w:val="auto"/>
              </w:rPr>
            </w:pPr>
          </w:p>
        </w:tc>
      </w:tr>
      <w:tr>
        <w:trPr>
          <w:trHeight w:val="482"/>
        </w:trPr>
        <w:tc>
          <w:tcPr>
            <w:tcW w:w="16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40" w:type="dxa"/>
            <w:vAlign w:val="bottom"/>
            <w:tcBorders>
              <w:top w:val="single" w:sz="8" w:color="0563C1"/>
            </w:tcBorders>
            <w:gridSpan w:val="4"/>
          </w:tcPr>
          <w:p>
            <w:pPr>
              <w:ind w:left="3380"/>
              <w:spacing w:after="0"/>
              <w:rPr>
                <w:sz w:val="20"/>
                <w:szCs w:val="20"/>
                <w:color w:val="auto"/>
              </w:rPr>
            </w:pPr>
            <w:r>
              <w:rPr>
                <w:rFonts w:ascii="Arial" w:cs="Arial" w:eastAsia="Arial" w:hAnsi="Arial"/>
                <w:sz w:val="22"/>
                <w:szCs w:val="22"/>
                <w:color w:val="auto"/>
              </w:rPr>
              <w:t>53</w:t>
            </w:r>
          </w:p>
        </w:tc>
        <w:tc>
          <w:tcPr>
            <w:tcW w:w="102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920" w:type="dxa"/>
            <w:vAlign w:val="bottom"/>
            <w:tcBorders>
              <w:top w:val="single" w:sz="8" w:color="0563C1"/>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08"/>
        </w:trPr>
        <w:tc>
          <w:tcPr>
            <w:tcW w:w="1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75"/>
        </w:trPr>
        <w:tc>
          <w:tcPr>
            <w:tcW w:w="2140" w:type="dxa"/>
            <w:vAlign w:val="bottom"/>
          </w:tcPr>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tc>
        <w:tc>
          <w:tcPr>
            <w:tcW w:w="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2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1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2"/>
                <w:szCs w:val="22"/>
                <w:color w:val="auto"/>
              </w:rPr>
              <w:t>10.6</w:t>
            </w:r>
          </w:p>
        </w:tc>
        <w:tc>
          <w:tcPr>
            <w:tcW w:w="8540" w:type="dxa"/>
            <w:vAlign w:val="bottom"/>
            <w:tcBorders>
              <w:bottom w:val="single" w:sz="8" w:color="0563C1"/>
            </w:tcBorders>
            <w:gridSpan w:val="8"/>
            <w:shd w:val="clear" w:color="auto" w:fill="CCEEFF"/>
          </w:tcPr>
          <w:p>
            <w:pPr>
              <w:spacing w:after="0" w:line="203" w:lineRule="exact"/>
              <w:rPr>
                <w:rFonts w:ascii="Arial" w:cs="Arial" w:eastAsia="Arial" w:hAnsi="Arial"/>
                <w:sz w:val="22"/>
                <w:szCs w:val="22"/>
                <w:color w:val="0563C1"/>
                <w:w w:val="89"/>
              </w:rPr>
            </w:pPr>
            <w:hyperlink r:id="rId84">
              <w:r>
                <w:rPr>
                  <w:rFonts w:ascii="Arial" w:cs="Arial" w:eastAsia="Arial" w:hAnsi="Arial"/>
                  <w:sz w:val="22"/>
                  <w:szCs w:val="22"/>
                  <w:color w:val="0563C1"/>
                  <w:w w:val="89"/>
                </w:rPr>
                <w:t>PNG Companies LLC, Note Purchase Agreement, dated as of February 26, 2010 (incorporated by</w:t>
              </w:r>
            </w:hyperlink>
          </w:p>
        </w:tc>
        <w:tc>
          <w:tcPr>
            <w:tcW w:w="560" w:type="dxa"/>
            <w:vAlign w:val="bottom"/>
            <w:tcBorders>
              <w:bottom w:val="single" w:sz="8" w:color="CCEEFF"/>
            </w:tcBorders>
            <w:gridSpan w:val="11"/>
            <w:shd w:val="clear" w:color="auto" w:fill="CCEEFF"/>
          </w:tcPr>
          <w:p>
            <w:pPr>
              <w:spacing w:after="0"/>
              <w:rPr>
                <w:sz w:val="17"/>
                <w:szCs w:val="17"/>
                <w:color w:val="auto"/>
              </w:rPr>
            </w:pPr>
          </w:p>
        </w:tc>
      </w:tr>
      <w:tr>
        <w:trPr>
          <w:trHeight w:val="210"/>
        </w:trPr>
        <w:tc>
          <w:tcPr>
            <w:tcW w:w="214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0563C1"/>
            </w:tcBorders>
            <w:gridSpan w:val="19"/>
            <w:shd w:val="clear" w:color="auto" w:fill="CCEEFF"/>
          </w:tcPr>
          <w:p>
            <w:pPr>
              <w:spacing w:after="0" w:line="209" w:lineRule="exact"/>
              <w:rPr>
                <w:rFonts w:ascii="Arial" w:cs="Arial" w:eastAsia="Arial" w:hAnsi="Arial"/>
                <w:sz w:val="22"/>
                <w:szCs w:val="22"/>
                <w:color w:val="0563C1"/>
                <w:w w:val="90"/>
              </w:rPr>
            </w:pPr>
            <w:hyperlink r:id="rId84">
              <w:r>
                <w:rPr>
                  <w:rFonts w:ascii="Arial" w:cs="Arial" w:eastAsia="Arial" w:hAnsi="Arial"/>
                  <w:sz w:val="22"/>
                  <w:szCs w:val="22"/>
                  <w:color w:val="0563C1"/>
                  <w:w w:val="90"/>
                </w:rPr>
                <w:t>reference to Exhibit 10.1 to the Company’s Current Report on Form 8-K, filed with the SEC on April 13,</w:t>
              </w:r>
            </w:hyperlink>
          </w:p>
        </w:tc>
      </w:tr>
      <w:tr>
        <w:trPr>
          <w:trHeight w:val="217"/>
        </w:trPr>
        <w:tc>
          <w:tcPr>
            <w:tcW w:w="2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line="209" w:lineRule="exact"/>
              <w:rPr>
                <w:rFonts w:ascii="Arial" w:cs="Arial" w:eastAsia="Arial" w:hAnsi="Arial"/>
                <w:sz w:val="22"/>
                <w:szCs w:val="22"/>
                <w:color w:val="0563C1"/>
              </w:rPr>
            </w:pPr>
            <w:hyperlink r:id="rId84">
              <w:r>
                <w:rPr>
                  <w:rFonts w:ascii="Arial" w:cs="Arial" w:eastAsia="Arial" w:hAnsi="Arial"/>
                  <w:sz w:val="22"/>
                  <w:szCs w:val="22"/>
                  <w:color w:val="0563C1"/>
                </w:rPr>
                <w:t>2020)</w:t>
              </w:r>
            </w:hyperlink>
          </w:p>
        </w:tc>
        <w:tc>
          <w:tcPr>
            <w:tcW w:w="3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140" w:type="dxa"/>
            <w:vAlign w:val="bottom"/>
            <w:tcBorders>
              <w:top w:val="single" w:sz="8" w:color="CCEEFF"/>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320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10.7</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3"/>
              </w:rPr>
            </w:pPr>
            <w:hyperlink r:id="rId85">
              <w:r>
                <w:rPr>
                  <w:rFonts w:ascii="Arial" w:cs="Arial" w:eastAsia="Arial" w:hAnsi="Arial"/>
                  <w:sz w:val="22"/>
                  <w:szCs w:val="22"/>
                  <w:color w:val="0563C1"/>
                  <w:w w:val="93"/>
                </w:rPr>
                <w:t>PNG Companies LLC, First Amendment, dated as of August 10, 2011, to Note Purchase Agreement</w:t>
              </w:r>
            </w:hyperlink>
          </w:p>
        </w:tc>
      </w:tr>
      <w:tr>
        <w:trPr>
          <w:trHeight w:val="209"/>
        </w:trPr>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8720" w:type="dxa"/>
            <w:vAlign w:val="bottom"/>
            <w:tcBorders>
              <w:top w:val="single" w:sz="8" w:color="0563C1"/>
              <w:bottom w:val="single" w:sz="8" w:color="0563C1"/>
            </w:tcBorders>
            <w:gridSpan w:val="11"/>
            <w:shd w:val="clear" w:color="auto" w:fill="CCEEFF"/>
          </w:tcPr>
          <w:p>
            <w:pPr>
              <w:spacing w:after="0" w:line="209" w:lineRule="exact"/>
              <w:rPr>
                <w:rFonts w:ascii="Arial" w:cs="Arial" w:eastAsia="Arial" w:hAnsi="Arial"/>
                <w:sz w:val="22"/>
                <w:szCs w:val="22"/>
                <w:color w:val="0563C1"/>
                <w:w w:val="88"/>
              </w:rPr>
            </w:pPr>
            <w:hyperlink r:id="rId85">
              <w:r>
                <w:rPr>
                  <w:rFonts w:ascii="Arial" w:cs="Arial" w:eastAsia="Arial" w:hAnsi="Arial"/>
                  <w:sz w:val="22"/>
                  <w:szCs w:val="22"/>
                  <w:color w:val="0563C1"/>
                  <w:w w:val="88"/>
                </w:rPr>
                <w:t>dated as of February 26, 2010 (incorporated by reference to Exhibit 10.1.1 to the Company’s Current</w:t>
              </w:r>
            </w:hyperlink>
          </w:p>
        </w:tc>
        <w:tc>
          <w:tcPr>
            <w:tcW w:w="60" w:type="dxa"/>
            <w:vAlign w:val="bottom"/>
            <w:tcBorders>
              <w:top w:val="single" w:sz="8" w:color="CCEEFF"/>
              <w:bottom w:val="single" w:sz="8" w:color="0563C1"/>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7"/>
        </w:trPr>
        <w:tc>
          <w:tcPr>
            <w:tcW w:w="2140" w:type="dxa"/>
            <w:vAlign w:val="bottom"/>
            <w:shd w:val="clear" w:color="auto" w:fill="CCEEFF"/>
          </w:tcPr>
          <w:p>
            <w:pPr>
              <w:spacing w:after="0"/>
              <w:rPr>
                <w:sz w:val="18"/>
                <w:szCs w:val="18"/>
                <w:color w:val="auto"/>
              </w:rPr>
            </w:pPr>
          </w:p>
        </w:tc>
        <w:tc>
          <w:tcPr>
            <w:tcW w:w="8780" w:type="dxa"/>
            <w:vAlign w:val="bottom"/>
            <w:gridSpan w:val="12"/>
            <w:shd w:val="clear" w:color="auto" w:fill="CCEEFF"/>
          </w:tcPr>
          <w:p>
            <w:pPr>
              <w:spacing w:after="0" w:line="209" w:lineRule="exact"/>
              <w:rPr>
                <w:rFonts w:ascii="Arial" w:cs="Arial" w:eastAsia="Arial" w:hAnsi="Arial"/>
                <w:sz w:val="22"/>
                <w:szCs w:val="22"/>
                <w:color w:val="0563C1"/>
              </w:rPr>
            </w:pPr>
            <w:hyperlink r:id="rId85">
              <w:r>
                <w:rPr>
                  <w:rFonts w:ascii="Arial" w:cs="Arial" w:eastAsia="Arial" w:hAnsi="Arial"/>
                  <w:sz w:val="22"/>
                  <w:szCs w:val="22"/>
                  <w:color w:val="0563C1"/>
                </w:rPr>
                <w:t>Report on Form 8-K, filed with the SEC on April 13, 2020)</w:t>
              </w:r>
            </w:hyperlink>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140" w:type="dxa"/>
            <w:vAlign w:val="bottom"/>
            <w:tcBorders>
              <w:top w:val="single" w:sz="8" w:color="CCEEFF"/>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440" w:type="dxa"/>
            <w:vAlign w:val="bottom"/>
            <w:tcBorders>
              <w:top w:val="single" w:sz="8" w:color="0563C1"/>
            </w:tcBorders>
          </w:tcPr>
          <w:p>
            <w:pPr>
              <w:spacing w:after="0"/>
              <w:rPr>
                <w:sz w:val="19"/>
                <w:szCs w:val="19"/>
                <w:color w:val="auto"/>
              </w:rPr>
            </w:pPr>
          </w:p>
        </w:tc>
        <w:tc>
          <w:tcPr>
            <w:tcW w:w="3200" w:type="dxa"/>
            <w:vAlign w:val="bottom"/>
            <w:tcBorders>
              <w:top w:val="single" w:sz="8" w:color="0563C1"/>
            </w:tcBorders>
          </w:tcPr>
          <w:p>
            <w:pPr>
              <w:spacing w:after="0"/>
              <w:rPr>
                <w:sz w:val="19"/>
                <w:szCs w:val="19"/>
                <w:color w:val="auto"/>
              </w:rPr>
            </w:pPr>
          </w:p>
        </w:tc>
        <w:tc>
          <w:tcPr>
            <w:tcW w:w="17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10.8</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0"/>
              </w:rPr>
            </w:pPr>
            <w:hyperlink r:id="rId86">
              <w:r>
                <w:rPr>
                  <w:rFonts w:ascii="Arial" w:cs="Arial" w:eastAsia="Arial" w:hAnsi="Arial"/>
                  <w:sz w:val="22"/>
                  <w:szCs w:val="22"/>
                  <w:color w:val="0563C1"/>
                  <w:w w:val="90"/>
                </w:rPr>
                <w:t>PNG Companies LLC, Second Amendment, dated as of August 22, 2013, to Note Purchase Agreement</w:t>
              </w:r>
            </w:hyperlink>
          </w:p>
        </w:tc>
      </w:tr>
      <w:tr>
        <w:trPr>
          <w:trHeight w:val="210"/>
        </w:trPr>
        <w:tc>
          <w:tcPr>
            <w:tcW w:w="2140" w:type="dxa"/>
            <w:vAlign w:val="bottom"/>
            <w:tcBorders>
              <w:top w:val="single" w:sz="8" w:color="CCEEFF"/>
            </w:tcBorders>
            <w:shd w:val="clear" w:color="auto" w:fill="CCEEFF"/>
          </w:tcPr>
          <w:p>
            <w:pPr>
              <w:spacing w:after="0"/>
              <w:rPr>
                <w:sz w:val="18"/>
                <w:szCs w:val="18"/>
                <w:color w:val="auto"/>
              </w:rPr>
            </w:pPr>
          </w:p>
        </w:tc>
        <w:tc>
          <w:tcPr>
            <w:tcW w:w="8980" w:type="dxa"/>
            <w:vAlign w:val="bottom"/>
            <w:tcBorders>
              <w:top w:val="single" w:sz="8" w:color="0563C1"/>
            </w:tcBorders>
            <w:gridSpan w:val="14"/>
            <w:shd w:val="clear" w:color="auto" w:fill="CCEEFF"/>
          </w:tcPr>
          <w:p>
            <w:pPr>
              <w:spacing w:after="0" w:line="209" w:lineRule="exact"/>
              <w:rPr>
                <w:rFonts w:ascii="Arial" w:cs="Arial" w:eastAsia="Arial" w:hAnsi="Arial"/>
                <w:sz w:val="22"/>
                <w:szCs w:val="22"/>
                <w:color w:val="0563C1"/>
                <w:w w:val="97"/>
              </w:rPr>
            </w:pPr>
            <w:hyperlink r:id="rId86">
              <w:r>
                <w:rPr>
                  <w:rFonts w:ascii="Arial" w:cs="Arial" w:eastAsia="Arial" w:hAnsi="Arial"/>
                  <w:sz w:val="22"/>
                  <w:szCs w:val="22"/>
                  <w:color w:val="0563C1"/>
                  <w:w w:val="97"/>
                </w:rPr>
                <w:t>dated as of February 26, 2010, as amended (incorporated by reference to Exhibit 10.1.2 to the</w:t>
              </w:r>
            </w:hyperlink>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7"/>
        </w:trPr>
        <w:tc>
          <w:tcPr>
            <w:tcW w:w="214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0563C1"/>
            </w:tcBorders>
            <w:gridSpan w:val="5"/>
            <w:shd w:val="clear" w:color="auto" w:fill="CCEEFF"/>
          </w:tcPr>
          <w:p>
            <w:pPr>
              <w:spacing w:after="0" w:line="209" w:lineRule="exact"/>
              <w:rPr>
                <w:rFonts w:ascii="Arial" w:cs="Arial" w:eastAsia="Arial" w:hAnsi="Arial"/>
                <w:sz w:val="22"/>
                <w:szCs w:val="22"/>
                <w:color w:val="0563C1"/>
              </w:rPr>
            </w:pPr>
            <w:hyperlink r:id="rId86">
              <w:r>
                <w:rPr>
                  <w:rFonts w:ascii="Arial" w:cs="Arial" w:eastAsia="Arial" w:hAnsi="Arial"/>
                  <w:sz w:val="22"/>
                  <w:szCs w:val="22"/>
                  <w:color w:val="0563C1"/>
                </w:rPr>
                <w:t>Company’s Current Report on Form 8-K, filed with the SEC on April 13, 2020)</w:t>
              </w:r>
            </w:hyperlink>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9"/>
        </w:trPr>
        <w:tc>
          <w:tcPr>
            <w:tcW w:w="2140" w:type="dxa"/>
            <w:vAlign w:val="bottom"/>
            <w:tcBorders>
              <w:top w:val="single" w:sz="8" w:color="CCEEFF"/>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440" w:type="dxa"/>
            <w:vAlign w:val="bottom"/>
            <w:tcBorders>
              <w:top w:val="single" w:sz="8" w:color="0563C1"/>
            </w:tcBorders>
          </w:tcPr>
          <w:p>
            <w:pPr>
              <w:spacing w:after="0"/>
              <w:rPr>
                <w:sz w:val="19"/>
                <w:szCs w:val="19"/>
                <w:color w:val="auto"/>
              </w:rPr>
            </w:pPr>
          </w:p>
        </w:tc>
        <w:tc>
          <w:tcPr>
            <w:tcW w:w="3200" w:type="dxa"/>
            <w:vAlign w:val="bottom"/>
            <w:tcBorders>
              <w:top w:val="single" w:sz="8" w:color="0563C1"/>
            </w:tcBorders>
          </w:tcPr>
          <w:p>
            <w:pPr>
              <w:spacing w:after="0"/>
              <w:rPr>
                <w:sz w:val="19"/>
                <w:szCs w:val="19"/>
                <w:color w:val="auto"/>
              </w:rPr>
            </w:pPr>
          </w:p>
        </w:tc>
        <w:tc>
          <w:tcPr>
            <w:tcW w:w="1760" w:type="dxa"/>
            <w:vAlign w:val="bottom"/>
            <w:tcBorders>
              <w:top w:val="single" w:sz="8" w:color="0563C1"/>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10.9</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0"/>
              </w:rPr>
            </w:pPr>
            <w:hyperlink r:id="rId87">
              <w:r>
                <w:rPr>
                  <w:rFonts w:ascii="Arial" w:cs="Arial" w:eastAsia="Arial" w:hAnsi="Arial"/>
                  <w:sz w:val="22"/>
                  <w:szCs w:val="22"/>
                  <w:color w:val="0563C1"/>
                  <w:w w:val="90"/>
                </w:rPr>
                <w:t>PNG Companies LLC, Third Amendment, dated as of November 9, 2017, to Note Purchase Agreement</w:t>
              </w:r>
            </w:hyperlink>
          </w:p>
        </w:tc>
      </w:tr>
      <w:tr>
        <w:trPr>
          <w:trHeight w:val="209"/>
        </w:trPr>
        <w:tc>
          <w:tcPr>
            <w:tcW w:w="2140" w:type="dxa"/>
            <w:vAlign w:val="bottom"/>
            <w:tcBorders>
              <w:top w:val="single" w:sz="8" w:color="CCEEFF"/>
            </w:tcBorders>
            <w:shd w:val="clear" w:color="auto" w:fill="CCEEFF"/>
          </w:tcPr>
          <w:p>
            <w:pPr>
              <w:spacing w:after="0"/>
              <w:rPr>
                <w:sz w:val="18"/>
                <w:szCs w:val="18"/>
                <w:color w:val="auto"/>
              </w:rPr>
            </w:pPr>
          </w:p>
        </w:tc>
        <w:tc>
          <w:tcPr>
            <w:tcW w:w="9020" w:type="dxa"/>
            <w:vAlign w:val="bottom"/>
            <w:tcBorders>
              <w:top w:val="single" w:sz="8" w:color="0563C1"/>
            </w:tcBorders>
            <w:gridSpan w:val="16"/>
            <w:shd w:val="clear" w:color="auto" w:fill="CCEEFF"/>
          </w:tcPr>
          <w:p>
            <w:pPr>
              <w:spacing w:after="0" w:line="209" w:lineRule="exact"/>
              <w:rPr>
                <w:rFonts w:ascii="Arial" w:cs="Arial" w:eastAsia="Arial" w:hAnsi="Arial"/>
                <w:sz w:val="22"/>
                <w:szCs w:val="22"/>
                <w:color w:val="0563C1"/>
                <w:w w:val="92"/>
              </w:rPr>
            </w:pPr>
            <w:hyperlink r:id="rId87">
              <w:r>
                <w:rPr>
                  <w:rFonts w:ascii="Arial" w:cs="Arial" w:eastAsia="Arial" w:hAnsi="Arial"/>
                  <w:sz w:val="22"/>
                  <w:szCs w:val="22"/>
                  <w:color w:val="0563C1"/>
                  <w:w w:val="92"/>
                </w:rPr>
                <w:t>dated as of February 26, 2010, as amended and supplemented (incorporated by reference to Exhibit</w:t>
              </w:r>
            </w:hyperlink>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37"/>
        </w:trPr>
        <w:tc>
          <w:tcPr>
            <w:tcW w:w="2140" w:type="dxa"/>
            <w:vAlign w:val="bottom"/>
            <w:tcBorders>
              <w:top w:val="single" w:sz="8" w:color="CCEEFF"/>
            </w:tcBorders>
            <w:shd w:val="clear" w:color="auto" w:fill="CCEEFF"/>
          </w:tcPr>
          <w:p>
            <w:pPr>
              <w:spacing w:after="0"/>
              <w:rPr>
                <w:sz w:val="20"/>
                <w:szCs w:val="20"/>
                <w:color w:val="auto"/>
              </w:rPr>
            </w:pPr>
          </w:p>
        </w:tc>
        <w:tc>
          <w:tcPr>
            <w:tcW w:w="8640" w:type="dxa"/>
            <w:vAlign w:val="bottom"/>
            <w:tcBorders>
              <w:top w:val="single" w:sz="8" w:color="0563C1"/>
            </w:tcBorders>
            <w:gridSpan w:val="9"/>
            <w:shd w:val="clear" w:color="auto" w:fill="CCEEFF"/>
          </w:tcPr>
          <w:p>
            <w:pPr>
              <w:spacing w:after="0" w:line="237" w:lineRule="exact"/>
              <w:rPr>
                <w:rFonts w:ascii="Arial" w:cs="Arial" w:eastAsia="Arial" w:hAnsi="Arial"/>
                <w:sz w:val="22"/>
                <w:szCs w:val="22"/>
                <w:u w:val="single" w:color="auto"/>
                <w:color w:val="0563C1"/>
                <w:w w:val="97"/>
              </w:rPr>
            </w:pPr>
            <w:hyperlink r:id="rId87">
              <w:r>
                <w:rPr>
                  <w:rFonts w:ascii="Arial" w:cs="Arial" w:eastAsia="Arial" w:hAnsi="Arial"/>
                  <w:sz w:val="22"/>
                  <w:szCs w:val="22"/>
                  <w:u w:val="single" w:color="auto"/>
                  <w:color w:val="0563C1"/>
                  <w:w w:val="97"/>
                </w:rPr>
                <w:t>10.1.3 to the Company’s Current Report on Form 8-K, filed with the SEC on April 13, 2020)</w:t>
              </w:r>
            </w:hyperlink>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29"/>
        </w:trPr>
        <w:tc>
          <w:tcPr>
            <w:tcW w:w="2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10.10</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0"/>
              </w:rPr>
            </w:pPr>
            <w:hyperlink r:id="rId88">
              <w:r>
                <w:rPr>
                  <w:rFonts w:ascii="Arial" w:cs="Arial" w:eastAsia="Arial" w:hAnsi="Arial"/>
                  <w:sz w:val="22"/>
                  <w:szCs w:val="22"/>
                  <w:color w:val="0563C1"/>
                  <w:w w:val="90"/>
                </w:rPr>
                <w:t>PNG Companies LLC, First Supplement, dated as of December 12, 2013, to Note Purchase Agreement</w:t>
              </w:r>
            </w:hyperlink>
          </w:p>
        </w:tc>
      </w:tr>
      <w:tr>
        <w:trPr>
          <w:trHeight w:val="210"/>
        </w:trPr>
        <w:tc>
          <w:tcPr>
            <w:tcW w:w="2140" w:type="dxa"/>
            <w:vAlign w:val="bottom"/>
            <w:tcBorders>
              <w:top w:val="single" w:sz="8" w:color="CCEEFF"/>
            </w:tcBorders>
            <w:shd w:val="clear" w:color="auto" w:fill="CCEEFF"/>
          </w:tcPr>
          <w:p>
            <w:pPr>
              <w:spacing w:after="0"/>
              <w:rPr>
                <w:sz w:val="18"/>
                <w:szCs w:val="18"/>
                <w:color w:val="auto"/>
              </w:rPr>
            </w:pPr>
          </w:p>
        </w:tc>
        <w:tc>
          <w:tcPr>
            <w:tcW w:w="8960" w:type="dxa"/>
            <w:vAlign w:val="bottom"/>
            <w:tcBorders>
              <w:top w:val="single" w:sz="8" w:color="0563C1"/>
            </w:tcBorders>
            <w:gridSpan w:val="13"/>
            <w:shd w:val="clear" w:color="auto" w:fill="CCEEFF"/>
          </w:tcPr>
          <w:p>
            <w:pPr>
              <w:spacing w:after="0" w:line="209" w:lineRule="exact"/>
              <w:rPr>
                <w:rFonts w:ascii="Arial" w:cs="Arial" w:eastAsia="Arial" w:hAnsi="Arial"/>
                <w:sz w:val="22"/>
                <w:szCs w:val="22"/>
                <w:color w:val="0563C1"/>
                <w:w w:val="97"/>
              </w:rPr>
            </w:pPr>
            <w:hyperlink r:id="rId88">
              <w:r>
                <w:rPr>
                  <w:rFonts w:ascii="Arial" w:cs="Arial" w:eastAsia="Arial" w:hAnsi="Arial"/>
                  <w:sz w:val="22"/>
                  <w:szCs w:val="22"/>
                  <w:color w:val="0563C1"/>
                  <w:w w:val="97"/>
                </w:rPr>
                <w:t>dated as of February 26, 2010, as amended (incorporated by reference to Exhibit 10.1.4 to the</w:t>
              </w:r>
            </w:hyperlink>
          </w:p>
        </w:tc>
        <w:tc>
          <w:tcPr>
            <w:tcW w:w="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7"/>
        </w:trPr>
        <w:tc>
          <w:tcPr>
            <w:tcW w:w="214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0563C1"/>
            </w:tcBorders>
            <w:gridSpan w:val="5"/>
            <w:shd w:val="clear" w:color="auto" w:fill="CCEEFF"/>
          </w:tcPr>
          <w:p>
            <w:pPr>
              <w:spacing w:after="0" w:line="209" w:lineRule="exact"/>
              <w:rPr>
                <w:rFonts w:ascii="Arial" w:cs="Arial" w:eastAsia="Arial" w:hAnsi="Arial"/>
                <w:sz w:val="22"/>
                <w:szCs w:val="22"/>
                <w:color w:val="0563C1"/>
              </w:rPr>
            </w:pPr>
            <w:hyperlink r:id="rId88">
              <w:r>
                <w:rPr>
                  <w:rFonts w:ascii="Arial" w:cs="Arial" w:eastAsia="Arial" w:hAnsi="Arial"/>
                  <w:sz w:val="22"/>
                  <w:szCs w:val="22"/>
                  <w:color w:val="0563C1"/>
                </w:rPr>
                <w:t>Company’s Current Report on Form 8-K, filed with the SEC on April 13, 2020)</w:t>
              </w:r>
            </w:hyperlink>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340" w:type="dxa"/>
            <w:vAlign w:val="bottom"/>
            <w:tcBorders>
              <w:top w:val="single" w:sz="8" w:color="CCEEFF"/>
            </w:tcBorders>
            <w:gridSpan w:val="5"/>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9"/>
        </w:trPr>
        <w:tc>
          <w:tcPr>
            <w:tcW w:w="2140" w:type="dxa"/>
            <w:vAlign w:val="bottom"/>
            <w:tcBorders>
              <w:top w:val="single" w:sz="8" w:color="CCEEFF"/>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440" w:type="dxa"/>
            <w:vAlign w:val="bottom"/>
            <w:tcBorders>
              <w:top w:val="single" w:sz="8" w:color="0563C1"/>
            </w:tcBorders>
          </w:tcPr>
          <w:p>
            <w:pPr>
              <w:spacing w:after="0"/>
              <w:rPr>
                <w:sz w:val="19"/>
                <w:szCs w:val="19"/>
                <w:color w:val="auto"/>
              </w:rPr>
            </w:pPr>
          </w:p>
        </w:tc>
        <w:tc>
          <w:tcPr>
            <w:tcW w:w="3200" w:type="dxa"/>
            <w:vAlign w:val="bottom"/>
            <w:tcBorders>
              <w:top w:val="single" w:sz="8" w:color="0563C1"/>
            </w:tcBorders>
          </w:tcPr>
          <w:p>
            <w:pPr>
              <w:spacing w:after="0"/>
              <w:rPr>
                <w:sz w:val="19"/>
                <w:szCs w:val="19"/>
                <w:color w:val="auto"/>
              </w:rPr>
            </w:pPr>
          </w:p>
        </w:tc>
        <w:tc>
          <w:tcPr>
            <w:tcW w:w="1760" w:type="dxa"/>
            <w:vAlign w:val="bottom"/>
            <w:tcBorders>
              <w:top w:val="single" w:sz="8" w:color="0563C1"/>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10.11</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3"/>
              </w:rPr>
            </w:pPr>
            <w:hyperlink r:id="rId89">
              <w:r>
                <w:rPr>
                  <w:rFonts w:ascii="Arial" w:cs="Arial" w:eastAsia="Arial" w:hAnsi="Arial"/>
                  <w:sz w:val="22"/>
                  <w:szCs w:val="22"/>
                  <w:color w:val="0563C1"/>
                  <w:w w:val="93"/>
                </w:rPr>
                <w:t>PNG Companies LLC, Second Supplement, dated as of July 14, 2017, to Note Purchase Agreement</w:t>
              </w:r>
            </w:hyperlink>
          </w:p>
        </w:tc>
      </w:tr>
      <w:tr>
        <w:trPr>
          <w:trHeight w:val="209"/>
        </w:trPr>
        <w:tc>
          <w:tcPr>
            <w:tcW w:w="2140" w:type="dxa"/>
            <w:vAlign w:val="bottom"/>
            <w:tcBorders>
              <w:top w:val="single" w:sz="8" w:color="CCEEFF"/>
            </w:tcBorders>
            <w:shd w:val="clear" w:color="auto" w:fill="CCEEFF"/>
          </w:tcPr>
          <w:p>
            <w:pPr>
              <w:spacing w:after="0"/>
              <w:rPr>
                <w:sz w:val="18"/>
                <w:szCs w:val="18"/>
                <w:color w:val="auto"/>
              </w:rPr>
            </w:pPr>
          </w:p>
        </w:tc>
        <w:tc>
          <w:tcPr>
            <w:tcW w:w="8660" w:type="dxa"/>
            <w:vAlign w:val="bottom"/>
            <w:tcBorders>
              <w:top w:val="single" w:sz="8" w:color="0563C1"/>
            </w:tcBorders>
            <w:gridSpan w:val="10"/>
            <w:shd w:val="clear" w:color="auto" w:fill="CCEEFF"/>
          </w:tcPr>
          <w:p>
            <w:pPr>
              <w:spacing w:after="0" w:line="209" w:lineRule="exact"/>
              <w:rPr>
                <w:rFonts w:ascii="Arial" w:cs="Arial" w:eastAsia="Arial" w:hAnsi="Arial"/>
                <w:sz w:val="22"/>
                <w:szCs w:val="22"/>
                <w:color w:val="0563C1"/>
                <w:w w:val="88"/>
              </w:rPr>
            </w:pPr>
            <w:hyperlink r:id="rId89">
              <w:r>
                <w:rPr>
                  <w:rFonts w:ascii="Arial" w:cs="Arial" w:eastAsia="Arial" w:hAnsi="Arial"/>
                  <w:sz w:val="22"/>
                  <w:szCs w:val="22"/>
                  <w:color w:val="0563C1"/>
                  <w:w w:val="88"/>
                </w:rPr>
                <w:t>dated as of February 26, 2010, as amended and supplemented (incorporated by reference to Exhibit</w:t>
              </w:r>
            </w:hyperlink>
          </w:p>
        </w:tc>
        <w:tc>
          <w:tcPr>
            <w:tcW w:w="340" w:type="dxa"/>
            <w:vAlign w:val="bottom"/>
            <w:tcBorders>
              <w:top w:val="single" w:sz="8" w:color="CCEEFF"/>
            </w:tcBorders>
            <w:gridSpan w:val="5"/>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37"/>
        </w:trPr>
        <w:tc>
          <w:tcPr>
            <w:tcW w:w="2140" w:type="dxa"/>
            <w:vAlign w:val="bottom"/>
            <w:tcBorders>
              <w:top w:val="single" w:sz="8" w:color="CCEEFF"/>
            </w:tcBorders>
            <w:shd w:val="clear" w:color="auto" w:fill="CCEEFF"/>
          </w:tcPr>
          <w:p>
            <w:pPr>
              <w:spacing w:after="0"/>
              <w:rPr>
                <w:sz w:val="20"/>
                <w:szCs w:val="20"/>
                <w:color w:val="auto"/>
              </w:rPr>
            </w:pPr>
          </w:p>
        </w:tc>
        <w:tc>
          <w:tcPr>
            <w:tcW w:w="8640" w:type="dxa"/>
            <w:vAlign w:val="bottom"/>
            <w:tcBorders>
              <w:top w:val="single" w:sz="8" w:color="0563C1"/>
            </w:tcBorders>
            <w:gridSpan w:val="9"/>
            <w:shd w:val="clear" w:color="auto" w:fill="CCEEFF"/>
          </w:tcPr>
          <w:p>
            <w:pPr>
              <w:spacing w:after="0" w:line="237" w:lineRule="exact"/>
              <w:rPr>
                <w:rFonts w:ascii="Arial" w:cs="Arial" w:eastAsia="Arial" w:hAnsi="Arial"/>
                <w:sz w:val="22"/>
                <w:szCs w:val="22"/>
                <w:u w:val="single" w:color="auto"/>
                <w:color w:val="0563C1"/>
                <w:w w:val="97"/>
              </w:rPr>
            </w:pPr>
            <w:hyperlink r:id="rId89">
              <w:r>
                <w:rPr>
                  <w:rFonts w:ascii="Arial" w:cs="Arial" w:eastAsia="Arial" w:hAnsi="Arial"/>
                  <w:sz w:val="22"/>
                  <w:szCs w:val="22"/>
                  <w:u w:val="single" w:color="auto"/>
                  <w:color w:val="0563C1"/>
                  <w:w w:val="97"/>
                </w:rPr>
                <w:t>10.1.5 to the Company’s Current Report on Form 8-K, filed with the SEC on April 13, 2020)</w:t>
              </w:r>
            </w:hyperlink>
          </w:p>
        </w:tc>
        <w:tc>
          <w:tcPr>
            <w:tcW w:w="360" w:type="dxa"/>
            <w:vAlign w:val="bottom"/>
            <w:tcBorders>
              <w:top w:val="single" w:sz="8" w:color="CCEEFF"/>
            </w:tcBorders>
            <w:gridSpan w:val="6"/>
            <w:shd w:val="clear" w:color="auto" w:fill="CCEEFF"/>
          </w:tcPr>
          <w:p>
            <w:pPr>
              <w:spacing w:after="0"/>
              <w:rPr>
                <w:sz w:val="20"/>
                <w:szCs w:val="20"/>
                <w:color w:val="auto"/>
              </w:rPr>
            </w:pPr>
          </w:p>
        </w:tc>
        <w:tc>
          <w:tcPr>
            <w:tcW w:w="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29"/>
        </w:trPr>
        <w:tc>
          <w:tcPr>
            <w:tcW w:w="2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10.12</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89"/>
              </w:rPr>
            </w:pPr>
            <w:hyperlink r:id="rId90">
              <w:r>
                <w:rPr>
                  <w:rFonts w:ascii="Arial" w:cs="Arial" w:eastAsia="Arial" w:hAnsi="Arial"/>
                  <w:sz w:val="22"/>
                  <w:szCs w:val="22"/>
                  <w:color w:val="0563C1"/>
                  <w:w w:val="89"/>
                </w:rPr>
                <w:t>PNG Companies LLC, Third Supplement, dated as of September 20, 2017, to Note Purchase Agreement</w:t>
              </w:r>
            </w:hyperlink>
          </w:p>
        </w:tc>
      </w:tr>
      <w:tr>
        <w:trPr>
          <w:trHeight w:val="210"/>
        </w:trPr>
        <w:tc>
          <w:tcPr>
            <w:tcW w:w="2140" w:type="dxa"/>
            <w:vAlign w:val="bottom"/>
            <w:tcBorders>
              <w:top w:val="single" w:sz="8" w:color="CCEEFF"/>
            </w:tcBorders>
            <w:shd w:val="clear" w:color="auto" w:fill="CCEEFF"/>
          </w:tcPr>
          <w:p>
            <w:pPr>
              <w:spacing w:after="0"/>
              <w:rPr>
                <w:sz w:val="18"/>
                <w:szCs w:val="18"/>
                <w:color w:val="auto"/>
              </w:rPr>
            </w:pPr>
          </w:p>
        </w:tc>
        <w:tc>
          <w:tcPr>
            <w:tcW w:w="9080" w:type="dxa"/>
            <w:vAlign w:val="bottom"/>
            <w:tcBorders>
              <w:top w:val="single" w:sz="8" w:color="0563C1"/>
            </w:tcBorders>
            <w:gridSpan w:val="18"/>
            <w:shd w:val="clear" w:color="auto" w:fill="CCEEFF"/>
          </w:tcPr>
          <w:p>
            <w:pPr>
              <w:spacing w:after="0" w:line="209" w:lineRule="exact"/>
              <w:rPr>
                <w:rFonts w:ascii="Arial" w:cs="Arial" w:eastAsia="Arial" w:hAnsi="Arial"/>
                <w:sz w:val="22"/>
                <w:szCs w:val="22"/>
                <w:color w:val="0563C1"/>
                <w:w w:val="92"/>
              </w:rPr>
            </w:pPr>
            <w:hyperlink r:id="rId90">
              <w:r>
                <w:rPr>
                  <w:rFonts w:ascii="Arial" w:cs="Arial" w:eastAsia="Arial" w:hAnsi="Arial"/>
                  <w:sz w:val="22"/>
                  <w:szCs w:val="22"/>
                  <w:color w:val="0563C1"/>
                  <w:w w:val="92"/>
                </w:rPr>
                <w:t>dated as of February 26, 2010, as amended and supplemented (incorporated by reference to Exhibit</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36"/>
        </w:trPr>
        <w:tc>
          <w:tcPr>
            <w:tcW w:w="2140" w:type="dxa"/>
            <w:vAlign w:val="bottom"/>
            <w:tcBorders>
              <w:top w:val="single" w:sz="8" w:color="CCEEFF"/>
            </w:tcBorders>
            <w:shd w:val="clear" w:color="auto" w:fill="CCEEFF"/>
          </w:tcPr>
          <w:p>
            <w:pPr>
              <w:spacing w:after="0"/>
              <w:rPr>
                <w:sz w:val="20"/>
                <w:szCs w:val="20"/>
                <w:color w:val="auto"/>
              </w:rPr>
            </w:pPr>
          </w:p>
        </w:tc>
        <w:tc>
          <w:tcPr>
            <w:tcW w:w="8640" w:type="dxa"/>
            <w:vAlign w:val="bottom"/>
            <w:tcBorders>
              <w:top w:val="single" w:sz="8" w:color="0563C1"/>
            </w:tcBorders>
            <w:gridSpan w:val="9"/>
            <w:shd w:val="clear" w:color="auto" w:fill="CCEEFF"/>
          </w:tcPr>
          <w:p>
            <w:pPr>
              <w:spacing w:after="0" w:line="237" w:lineRule="exact"/>
              <w:rPr>
                <w:rFonts w:ascii="Arial" w:cs="Arial" w:eastAsia="Arial" w:hAnsi="Arial"/>
                <w:sz w:val="22"/>
                <w:szCs w:val="22"/>
                <w:u w:val="single" w:color="auto"/>
                <w:color w:val="0563C1"/>
                <w:w w:val="97"/>
              </w:rPr>
            </w:pPr>
            <w:hyperlink r:id="rId90">
              <w:r>
                <w:rPr>
                  <w:rFonts w:ascii="Arial" w:cs="Arial" w:eastAsia="Arial" w:hAnsi="Arial"/>
                  <w:sz w:val="22"/>
                  <w:szCs w:val="22"/>
                  <w:u w:val="single" w:color="auto"/>
                  <w:color w:val="0563C1"/>
                  <w:w w:val="97"/>
                </w:rPr>
                <w:t>10.1.6 to the Company’s Current Report on Form 8-K, filed with the SEC on April 13, 2020)</w:t>
              </w:r>
            </w:hyperlink>
          </w:p>
        </w:tc>
        <w:tc>
          <w:tcPr>
            <w:tcW w:w="360" w:type="dxa"/>
            <w:vAlign w:val="bottom"/>
            <w:tcBorders>
              <w:top w:val="single" w:sz="8" w:color="CCEEFF"/>
            </w:tcBorders>
            <w:gridSpan w:val="6"/>
            <w:shd w:val="clear" w:color="auto" w:fill="CCEEFF"/>
          </w:tcPr>
          <w:p>
            <w:pPr>
              <w:spacing w:after="0"/>
              <w:rPr>
                <w:sz w:val="20"/>
                <w:szCs w:val="20"/>
                <w:color w:val="auto"/>
              </w:rPr>
            </w:pPr>
          </w:p>
        </w:tc>
        <w:tc>
          <w:tcPr>
            <w:tcW w:w="6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r>
      <w:tr>
        <w:trPr>
          <w:trHeight w:val="230"/>
        </w:trPr>
        <w:tc>
          <w:tcPr>
            <w:tcW w:w="2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10.13</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89"/>
              </w:rPr>
            </w:pPr>
            <w:hyperlink r:id="rId91">
              <w:r>
                <w:rPr>
                  <w:rFonts w:ascii="Arial" w:cs="Arial" w:eastAsia="Arial" w:hAnsi="Arial"/>
                  <w:sz w:val="22"/>
                  <w:szCs w:val="22"/>
                  <w:color w:val="0563C1"/>
                  <w:w w:val="89"/>
                </w:rPr>
                <w:t>PNG Companies LLC, Fourth Supplement, dated as of November 9, 2017, to Note Purchase Agreement</w:t>
              </w:r>
            </w:hyperlink>
          </w:p>
        </w:tc>
      </w:tr>
      <w:tr>
        <w:trPr>
          <w:trHeight w:val="210"/>
        </w:trPr>
        <w:tc>
          <w:tcPr>
            <w:tcW w:w="2140" w:type="dxa"/>
            <w:vAlign w:val="bottom"/>
            <w:tcBorders>
              <w:top w:val="single" w:sz="8" w:color="CCEEFF"/>
            </w:tcBorders>
            <w:shd w:val="clear" w:color="auto" w:fill="CCEEFF"/>
          </w:tcPr>
          <w:p>
            <w:pPr>
              <w:spacing w:after="0"/>
              <w:rPr>
                <w:sz w:val="18"/>
                <w:szCs w:val="18"/>
                <w:color w:val="auto"/>
              </w:rPr>
            </w:pPr>
          </w:p>
        </w:tc>
        <w:tc>
          <w:tcPr>
            <w:tcW w:w="9060" w:type="dxa"/>
            <w:vAlign w:val="bottom"/>
            <w:tcBorders>
              <w:top w:val="single" w:sz="8" w:color="0563C1"/>
            </w:tcBorders>
            <w:gridSpan w:val="17"/>
            <w:shd w:val="clear" w:color="auto" w:fill="CCEEFF"/>
          </w:tcPr>
          <w:p>
            <w:pPr>
              <w:spacing w:after="0" w:line="209" w:lineRule="exact"/>
              <w:rPr>
                <w:rFonts w:ascii="Arial" w:cs="Arial" w:eastAsia="Arial" w:hAnsi="Arial"/>
                <w:sz w:val="22"/>
                <w:szCs w:val="22"/>
                <w:color w:val="0563C1"/>
                <w:w w:val="92"/>
              </w:rPr>
            </w:pPr>
            <w:hyperlink r:id="rId91">
              <w:r>
                <w:rPr>
                  <w:rFonts w:ascii="Arial" w:cs="Arial" w:eastAsia="Arial" w:hAnsi="Arial"/>
                  <w:sz w:val="22"/>
                  <w:szCs w:val="22"/>
                  <w:color w:val="0563C1"/>
                  <w:w w:val="92"/>
                </w:rPr>
                <w:t>dated as of February 26, 2010, as amended and supplemented (incorporated by reference to Exhibit</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36"/>
        </w:trPr>
        <w:tc>
          <w:tcPr>
            <w:tcW w:w="2140" w:type="dxa"/>
            <w:vAlign w:val="bottom"/>
            <w:tcBorders>
              <w:top w:val="single" w:sz="8" w:color="CCEEFF"/>
            </w:tcBorders>
            <w:shd w:val="clear" w:color="auto" w:fill="CCEEFF"/>
          </w:tcPr>
          <w:p>
            <w:pPr>
              <w:spacing w:after="0"/>
              <w:rPr>
                <w:sz w:val="20"/>
                <w:szCs w:val="20"/>
                <w:color w:val="auto"/>
              </w:rPr>
            </w:pPr>
          </w:p>
        </w:tc>
        <w:tc>
          <w:tcPr>
            <w:tcW w:w="8640" w:type="dxa"/>
            <w:vAlign w:val="bottom"/>
            <w:tcBorders>
              <w:top w:val="single" w:sz="8" w:color="0563C1"/>
            </w:tcBorders>
            <w:gridSpan w:val="9"/>
            <w:shd w:val="clear" w:color="auto" w:fill="CCEEFF"/>
          </w:tcPr>
          <w:p>
            <w:pPr>
              <w:spacing w:after="0" w:line="237" w:lineRule="exact"/>
              <w:rPr>
                <w:rFonts w:ascii="Arial" w:cs="Arial" w:eastAsia="Arial" w:hAnsi="Arial"/>
                <w:sz w:val="22"/>
                <w:szCs w:val="22"/>
                <w:u w:val="single" w:color="auto"/>
                <w:color w:val="0563C1"/>
                <w:w w:val="97"/>
              </w:rPr>
            </w:pPr>
            <w:hyperlink r:id="rId91">
              <w:r>
                <w:rPr>
                  <w:rFonts w:ascii="Arial" w:cs="Arial" w:eastAsia="Arial" w:hAnsi="Arial"/>
                  <w:sz w:val="22"/>
                  <w:szCs w:val="22"/>
                  <w:u w:val="single" w:color="auto"/>
                  <w:color w:val="0563C1"/>
                  <w:w w:val="97"/>
                </w:rPr>
                <w:t>10.1.7 to the Company’s Current Report on Form 8-K, filed with the SEC on April 13, 2020)</w:t>
              </w:r>
            </w:hyperlink>
          </w:p>
        </w:tc>
        <w:tc>
          <w:tcPr>
            <w:tcW w:w="360" w:type="dxa"/>
            <w:vAlign w:val="bottom"/>
            <w:tcBorders>
              <w:top w:val="single" w:sz="8" w:color="CCEEFF"/>
            </w:tcBorders>
            <w:gridSpan w:val="6"/>
            <w:shd w:val="clear" w:color="auto" w:fill="CCEEFF"/>
          </w:tcPr>
          <w:p>
            <w:pPr>
              <w:spacing w:after="0"/>
              <w:rPr>
                <w:sz w:val="20"/>
                <w:szCs w:val="20"/>
                <w:color w:val="auto"/>
              </w:rPr>
            </w:pPr>
          </w:p>
        </w:tc>
        <w:tc>
          <w:tcPr>
            <w:tcW w:w="100" w:type="dxa"/>
            <w:vAlign w:val="bottom"/>
            <w:tcBorders>
              <w:top w:val="single" w:sz="8" w:color="CCEEFF"/>
            </w:tcBorders>
            <w:gridSpan w:val="4"/>
            <w:shd w:val="clear" w:color="auto" w:fill="CCEEFF"/>
          </w:tcPr>
          <w:p>
            <w:pPr>
              <w:spacing w:after="0"/>
              <w:rPr>
                <w:sz w:val="20"/>
                <w:szCs w:val="20"/>
                <w:color w:val="auto"/>
              </w:rPr>
            </w:pPr>
          </w:p>
        </w:tc>
      </w:tr>
      <w:tr>
        <w:trPr>
          <w:trHeight w:val="230"/>
        </w:trPr>
        <w:tc>
          <w:tcPr>
            <w:tcW w:w="2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10.14</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0"/>
              </w:rPr>
            </w:pPr>
            <w:hyperlink r:id="rId92">
              <w:r>
                <w:rPr>
                  <w:rFonts w:ascii="Arial" w:cs="Arial" w:eastAsia="Arial" w:hAnsi="Arial"/>
                  <w:sz w:val="22"/>
                  <w:szCs w:val="22"/>
                  <w:color w:val="0563C1"/>
                  <w:w w:val="90"/>
                </w:rPr>
                <w:t>PNG Companies LLC, Fifth Supplement, dated as of December 20, 2017, to Note Purchase Agreement</w:t>
              </w:r>
            </w:hyperlink>
          </w:p>
        </w:tc>
      </w:tr>
      <w:tr>
        <w:trPr>
          <w:trHeight w:val="210"/>
        </w:trPr>
        <w:tc>
          <w:tcPr>
            <w:tcW w:w="2140" w:type="dxa"/>
            <w:vAlign w:val="bottom"/>
            <w:tcBorders>
              <w:top w:val="single" w:sz="8" w:color="CCEEFF"/>
            </w:tcBorders>
            <w:shd w:val="clear" w:color="auto" w:fill="CCEEFF"/>
          </w:tcPr>
          <w:p>
            <w:pPr>
              <w:spacing w:after="0"/>
              <w:rPr>
                <w:sz w:val="18"/>
                <w:szCs w:val="18"/>
                <w:color w:val="auto"/>
              </w:rPr>
            </w:pPr>
          </w:p>
        </w:tc>
        <w:tc>
          <w:tcPr>
            <w:tcW w:w="9000" w:type="dxa"/>
            <w:vAlign w:val="bottom"/>
            <w:tcBorders>
              <w:top w:val="single" w:sz="8" w:color="0563C1"/>
            </w:tcBorders>
            <w:gridSpan w:val="15"/>
            <w:shd w:val="clear" w:color="auto" w:fill="CCEEFF"/>
          </w:tcPr>
          <w:p>
            <w:pPr>
              <w:spacing w:after="0" w:line="209" w:lineRule="exact"/>
              <w:rPr>
                <w:rFonts w:ascii="Arial" w:cs="Arial" w:eastAsia="Arial" w:hAnsi="Arial"/>
                <w:sz w:val="22"/>
                <w:szCs w:val="22"/>
                <w:color w:val="0563C1"/>
                <w:w w:val="92"/>
              </w:rPr>
            </w:pPr>
            <w:hyperlink r:id="rId92">
              <w:r>
                <w:rPr>
                  <w:rFonts w:ascii="Arial" w:cs="Arial" w:eastAsia="Arial" w:hAnsi="Arial"/>
                  <w:sz w:val="22"/>
                  <w:szCs w:val="22"/>
                  <w:color w:val="0563C1"/>
                  <w:w w:val="92"/>
                </w:rPr>
                <w:t>dated as of February 26, 2010, as amended and supplemented (incorporated by reference to Exhibit</w:t>
              </w:r>
            </w:hyperlink>
          </w:p>
        </w:tc>
        <w:tc>
          <w:tcPr>
            <w:tcW w:w="100" w:type="dxa"/>
            <w:vAlign w:val="bottom"/>
            <w:tcBorders>
              <w:top w:val="single" w:sz="8" w:color="CCEEFF"/>
            </w:tcBorders>
            <w:gridSpan w:val="4"/>
            <w:shd w:val="clear" w:color="auto" w:fill="CCEEFF"/>
          </w:tcPr>
          <w:p>
            <w:pPr>
              <w:spacing w:after="0"/>
              <w:rPr>
                <w:sz w:val="18"/>
                <w:szCs w:val="18"/>
                <w:color w:val="auto"/>
              </w:rPr>
            </w:pPr>
          </w:p>
        </w:tc>
      </w:tr>
      <w:tr>
        <w:trPr>
          <w:trHeight w:val="236"/>
        </w:trPr>
        <w:tc>
          <w:tcPr>
            <w:tcW w:w="2140" w:type="dxa"/>
            <w:vAlign w:val="bottom"/>
            <w:tcBorders>
              <w:top w:val="single" w:sz="8" w:color="CCEEFF"/>
            </w:tcBorders>
            <w:shd w:val="clear" w:color="auto" w:fill="CCEEFF"/>
          </w:tcPr>
          <w:p>
            <w:pPr>
              <w:spacing w:after="0"/>
              <w:rPr>
                <w:sz w:val="20"/>
                <w:szCs w:val="20"/>
                <w:color w:val="auto"/>
              </w:rPr>
            </w:pPr>
          </w:p>
        </w:tc>
        <w:tc>
          <w:tcPr>
            <w:tcW w:w="8640" w:type="dxa"/>
            <w:vAlign w:val="bottom"/>
            <w:tcBorders>
              <w:top w:val="single" w:sz="8" w:color="0563C1"/>
            </w:tcBorders>
            <w:gridSpan w:val="9"/>
            <w:shd w:val="clear" w:color="auto" w:fill="CCEEFF"/>
          </w:tcPr>
          <w:p>
            <w:pPr>
              <w:spacing w:after="0" w:line="237" w:lineRule="exact"/>
              <w:rPr>
                <w:rFonts w:ascii="Arial" w:cs="Arial" w:eastAsia="Arial" w:hAnsi="Arial"/>
                <w:sz w:val="22"/>
                <w:szCs w:val="22"/>
                <w:u w:val="single" w:color="auto"/>
                <w:color w:val="0563C1"/>
                <w:w w:val="97"/>
              </w:rPr>
            </w:pPr>
            <w:hyperlink r:id="rId92">
              <w:r>
                <w:rPr>
                  <w:rFonts w:ascii="Arial" w:cs="Arial" w:eastAsia="Arial" w:hAnsi="Arial"/>
                  <w:sz w:val="22"/>
                  <w:szCs w:val="22"/>
                  <w:u w:val="single" w:color="auto"/>
                  <w:color w:val="0563C1"/>
                  <w:w w:val="97"/>
                </w:rPr>
                <w:t>10.1.8 to the Company’s Current Report on Form 8-K, filed with the SEC on April 13, 2020)</w:t>
              </w:r>
            </w:hyperlink>
          </w:p>
        </w:tc>
        <w:tc>
          <w:tcPr>
            <w:tcW w:w="460" w:type="dxa"/>
            <w:vAlign w:val="bottom"/>
            <w:tcBorders>
              <w:top w:val="single" w:sz="8" w:color="CCEEFF"/>
            </w:tcBorders>
            <w:gridSpan w:val="10"/>
            <w:shd w:val="clear" w:color="auto" w:fill="CCEEFF"/>
          </w:tcPr>
          <w:p>
            <w:pPr>
              <w:spacing w:after="0"/>
              <w:rPr>
                <w:sz w:val="20"/>
                <w:szCs w:val="20"/>
                <w:color w:val="auto"/>
              </w:rPr>
            </w:pPr>
          </w:p>
        </w:tc>
      </w:tr>
      <w:tr>
        <w:trPr>
          <w:trHeight w:val="230"/>
        </w:trPr>
        <w:tc>
          <w:tcPr>
            <w:tcW w:w="2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31.1</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6"/>
              </w:rPr>
            </w:pPr>
            <w:hyperlink w:anchor="page131">
              <w:r>
                <w:rPr>
                  <w:rFonts w:ascii="Arial" w:cs="Arial" w:eastAsia="Arial" w:hAnsi="Arial"/>
                  <w:sz w:val="22"/>
                  <w:szCs w:val="22"/>
                  <w:color w:val="0563C1"/>
                  <w:w w:val="96"/>
                </w:rPr>
                <w:t>Certification of Chief Executive Officer, filed pursuant to Rule 13a-14(a) under the Securities and</w:t>
              </w:r>
            </w:hyperlink>
          </w:p>
        </w:tc>
      </w:tr>
      <w:tr>
        <w:trPr>
          <w:trHeight w:val="217"/>
        </w:trPr>
        <w:tc>
          <w:tcPr>
            <w:tcW w:w="214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0563C1"/>
            </w:tcBorders>
            <w:gridSpan w:val="7"/>
            <w:shd w:val="clear" w:color="auto" w:fill="CCEEFF"/>
          </w:tcPr>
          <w:p>
            <w:pPr>
              <w:spacing w:after="0" w:line="209" w:lineRule="exact"/>
              <w:rPr>
                <w:rFonts w:ascii="Arial" w:cs="Arial" w:eastAsia="Arial" w:hAnsi="Arial"/>
                <w:sz w:val="22"/>
                <w:szCs w:val="22"/>
                <w:color w:val="0563C1"/>
              </w:rPr>
            </w:pPr>
            <w:hyperlink w:anchor="page131">
              <w:r>
                <w:rPr>
                  <w:rFonts w:ascii="Arial" w:cs="Arial" w:eastAsia="Arial" w:hAnsi="Arial"/>
                  <w:sz w:val="22"/>
                  <w:szCs w:val="22"/>
                  <w:color w:val="0563C1"/>
                </w:rPr>
                <w:t>Exchange Act of 1934</w:t>
              </w:r>
            </w:hyperlink>
          </w:p>
        </w:tc>
        <w:tc>
          <w:tcPr>
            <w:tcW w:w="580" w:type="dxa"/>
            <w:vAlign w:val="bottom"/>
            <w:tcBorders>
              <w:top w:val="single" w:sz="8" w:color="CCEEFF"/>
            </w:tcBorders>
            <w:gridSpan w:val="12"/>
            <w:shd w:val="clear" w:color="auto" w:fill="CCEEFF"/>
          </w:tcPr>
          <w:p>
            <w:pPr>
              <w:spacing w:after="0"/>
              <w:rPr>
                <w:sz w:val="18"/>
                <w:szCs w:val="18"/>
                <w:color w:val="auto"/>
              </w:rPr>
            </w:pPr>
          </w:p>
        </w:tc>
      </w:tr>
      <w:tr>
        <w:trPr>
          <w:trHeight w:val="229"/>
        </w:trPr>
        <w:tc>
          <w:tcPr>
            <w:tcW w:w="2140" w:type="dxa"/>
            <w:vAlign w:val="bottom"/>
            <w:tcBorders>
              <w:top w:val="single" w:sz="8" w:color="CCEEFF"/>
            </w:tcBorders>
          </w:tcPr>
          <w:p>
            <w:pPr>
              <w:spacing w:after="0"/>
              <w:rPr>
                <w:sz w:val="19"/>
                <w:szCs w:val="19"/>
                <w:color w:val="auto"/>
              </w:rPr>
            </w:pPr>
          </w:p>
        </w:tc>
        <w:tc>
          <w:tcPr>
            <w:tcW w:w="500" w:type="dxa"/>
            <w:vAlign w:val="bottom"/>
            <w:tcBorders>
              <w:top w:val="single" w:sz="8" w:color="0563C1"/>
            </w:tcBorders>
          </w:tcPr>
          <w:p>
            <w:pPr>
              <w:spacing w:after="0"/>
              <w:rPr>
                <w:sz w:val="19"/>
                <w:szCs w:val="19"/>
                <w:color w:val="auto"/>
              </w:rPr>
            </w:pPr>
          </w:p>
        </w:tc>
        <w:tc>
          <w:tcPr>
            <w:tcW w:w="1440" w:type="dxa"/>
            <w:vAlign w:val="bottom"/>
            <w:tcBorders>
              <w:top w:val="single" w:sz="8" w:color="0563C1"/>
            </w:tcBorders>
          </w:tcPr>
          <w:p>
            <w:pPr>
              <w:spacing w:after="0"/>
              <w:rPr>
                <w:sz w:val="19"/>
                <w:szCs w:val="19"/>
                <w:color w:val="auto"/>
              </w:rPr>
            </w:pPr>
          </w:p>
        </w:tc>
        <w:tc>
          <w:tcPr>
            <w:tcW w:w="320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31.2</w:t>
            </w:r>
          </w:p>
        </w:tc>
        <w:tc>
          <w:tcPr>
            <w:tcW w:w="9100" w:type="dxa"/>
            <w:vAlign w:val="bottom"/>
            <w:gridSpan w:val="19"/>
            <w:shd w:val="clear" w:color="auto" w:fill="CCEEFF"/>
          </w:tcPr>
          <w:p>
            <w:pPr>
              <w:spacing w:after="0" w:line="203" w:lineRule="exact"/>
              <w:rPr>
                <w:rFonts w:ascii="Arial" w:cs="Arial" w:eastAsia="Arial" w:hAnsi="Arial"/>
                <w:sz w:val="22"/>
                <w:szCs w:val="22"/>
                <w:color w:val="0563C1"/>
                <w:w w:val="97"/>
              </w:rPr>
            </w:pPr>
            <w:hyperlink w:anchor="page132">
              <w:r>
                <w:rPr>
                  <w:rFonts w:ascii="Arial" w:cs="Arial" w:eastAsia="Arial" w:hAnsi="Arial"/>
                  <w:sz w:val="22"/>
                  <w:szCs w:val="22"/>
                  <w:color w:val="0563C1"/>
                  <w:w w:val="97"/>
                </w:rPr>
                <w:t>Certification of Chief Financial Officer, filed pursuant to Rule 13a-14(a) under the Securities and</w:t>
              </w:r>
            </w:hyperlink>
          </w:p>
        </w:tc>
      </w:tr>
      <w:tr>
        <w:trPr>
          <w:trHeight w:val="217"/>
        </w:trPr>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0563C1"/>
              <w:bottom w:val="single" w:sz="8" w:color="0563C1"/>
            </w:tcBorders>
            <w:gridSpan w:val="2"/>
            <w:shd w:val="clear" w:color="auto" w:fill="CCEEFF"/>
          </w:tcPr>
          <w:p>
            <w:pPr>
              <w:spacing w:after="0" w:line="209" w:lineRule="exact"/>
              <w:rPr>
                <w:rFonts w:ascii="Arial" w:cs="Arial" w:eastAsia="Arial" w:hAnsi="Arial"/>
                <w:sz w:val="22"/>
                <w:szCs w:val="22"/>
                <w:color w:val="0563C1"/>
                <w:w w:val="89"/>
              </w:rPr>
            </w:pPr>
            <w:hyperlink w:anchor="page132">
              <w:r>
                <w:rPr>
                  <w:rFonts w:ascii="Arial" w:cs="Arial" w:eastAsia="Arial" w:hAnsi="Arial"/>
                  <w:sz w:val="22"/>
                  <w:szCs w:val="22"/>
                  <w:color w:val="0563C1"/>
                  <w:w w:val="89"/>
                </w:rPr>
                <w:t>Exchange Act of 1934</w:t>
              </w:r>
            </w:hyperlink>
          </w:p>
        </w:tc>
        <w:tc>
          <w:tcPr>
            <w:tcW w:w="6520" w:type="dxa"/>
            <w:vAlign w:val="bottom"/>
            <w:tcBorders>
              <w:top w:val="single" w:sz="8" w:color="0563C1"/>
              <w:bottom w:val="single" w:sz="8" w:color="CCEEFF"/>
            </w:tcBorders>
            <w:gridSpan w:val="4"/>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13"/>
            <w:shd w:val="clear" w:color="auto" w:fill="CCEEFF"/>
          </w:tcPr>
          <w:p>
            <w:pPr>
              <w:spacing w:after="0"/>
              <w:rPr>
                <w:sz w:val="18"/>
                <w:szCs w:val="18"/>
                <w:color w:val="auto"/>
              </w:rPr>
            </w:pPr>
          </w:p>
        </w:tc>
      </w:tr>
      <w:tr>
        <w:trPr>
          <w:trHeight w:val="483"/>
        </w:trPr>
        <w:tc>
          <w:tcPr>
            <w:tcW w:w="2140" w:type="dxa"/>
            <w:vAlign w:val="bottom"/>
          </w:tcPr>
          <w:p>
            <w:pPr>
              <w:spacing w:after="0"/>
              <w:rPr>
                <w:sz w:val="24"/>
                <w:szCs w:val="24"/>
                <w:color w:val="auto"/>
              </w:rPr>
            </w:pPr>
          </w:p>
        </w:tc>
        <w:tc>
          <w:tcPr>
            <w:tcW w:w="5140" w:type="dxa"/>
            <w:vAlign w:val="bottom"/>
            <w:gridSpan w:val="3"/>
          </w:tcPr>
          <w:p>
            <w:pPr>
              <w:ind w:left="3380"/>
              <w:spacing w:after="0"/>
              <w:rPr>
                <w:sz w:val="20"/>
                <w:szCs w:val="20"/>
                <w:color w:val="auto"/>
              </w:rPr>
            </w:pPr>
            <w:r>
              <w:rPr>
                <w:rFonts w:ascii="Arial" w:cs="Arial" w:eastAsia="Arial" w:hAnsi="Arial"/>
                <w:sz w:val="22"/>
                <w:szCs w:val="22"/>
                <w:color w:val="auto"/>
              </w:rPr>
              <w:t>54</w:t>
            </w: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2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tc>
        <w:tc>
          <w:tcPr>
            <w:tcW w:w="9400" w:type="dxa"/>
            <w:vAlign w:val="bottom"/>
          </w:tcPr>
          <w:p>
            <w:pPr>
              <w:spacing w:after="0"/>
              <w:rPr>
                <w:sz w:val="23"/>
                <w:szCs w:val="23"/>
                <w:color w:val="auto"/>
              </w:rPr>
            </w:pPr>
          </w:p>
        </w:tc>
      </w:tr>
      <w:tr>
        <w:trPr>
          <w:trHeight w:val="206"/>
        </w:trPr>
        <w:tc>
          <w:tcPr>
            <w:tcW w:w="1840" w:type="dxa"/>
            <w:vAlign w:val="bottom"/>
          </w:tcPr>
          <w:p>
            <w:pPr>
              <w:spacing w:after="0"/>
              <w:rPr>
                <w:sz w:val="17"/>
                <w:szCs w:val="17"/>
                <w:color w:val="auto"/>
              </w:rPr>
            </w:pPr>
          </w:p>
        </w:tc>
        <w:tc>
          <w:tcPr>
            <w:tcW w:w="9400" w:type="dxa"/>
            <w:vAlign w:val="bottom"/>
          </w:tcPr>
          <w:p>
            <w:pPr>
              <w:spacing w:after="0"/>
              <w:rPr>
                <w:sz w:val="17"/>
                <w:szCs w:val="17"/>
                <w:color w:val="auto"/>
              </w:rPr>
            </w:pPr>
          </w:p>
        </w:tc>
      </w:tr>
      <w:tr>
        <w:trPr>
          <w:trHeight w:val="230"/>
        </w:trPr>
        <w:tc>
          <w:tcPr>
            <w:tcW w:w="184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32.1</w:t>
            </w:r>
          </w:p>
        </w:tc>
        <w:tc>
          <w:tcPr>
            <w:tcW w:w="9400" w:type="dxa"/>
            <w:vAlign w:val="bottom"/>
            <w:shd w:val="clear" w:color="auto" w:fill="CCEEFF"/>
          </w:tcPr>
          <w:p>
            <w:pPr>
              <w:ind w:left="300"/>
              <w:spacing w:after="0" w:line="229" w:lineRule="exact"/>
              <w:rPr>
                <w:rFonts w:ascii="Arial" w:cs="Arial" w:eastAsia="Arial" w:hAnsi="Arial"/>
                <w:sz w:val="22"/>
                <w:szCs w:val="22"/>
                <w:u w:val="single" w:color="auto"/>
                <w:color w:val="0563C1"/>
              </w:rPr>
            </w:pPr>
            <w:hyperlink w:anchor="page133">
              <w:r>
                <w:rPr>
                  <w:rFonts w:ascii="Arial" w:cs="Arial" w:eastAsia="Arial" w:hAnsi="Arial"/>
                  <w:sz w:val="22"/>
                  <w:szCs w:val="22"/>
                  <w:u w:val="single" w:color="auto"/>
                  <w:color w:val="0563C1"/>
                </w:rPr>
                <w:t>Certification of Chief Executive Officer, furnished pursuant to 18 U.S.C. Section 1350</w:t>
              </w:r>
            </w:hyperlink>
          </w:p>
        </w:tc>
      </w:tr>
      <w:tr>
        <w:trPr>
          <w:trHeight w:val="229"/>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30"/>
        </w:trPr>
        <w:tc>
          <w:tcPr>
            <w:tcW w:w="184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32.2</w:t>
            </w:r>
          </w:p>
        </w:tc>
        <w:tc>
          <w:tcPr>
            <w:tcW w:w="9400" w:type="dxa"/>
            <w:vAlign w:val="bottom"/>
            <w:shd w:val="clear" w:color="auto" w:fill="CCEEFF"/>
          </w:tcPr>
          <w:p>
            <w:pPr>
              <w:ind w:left="300"/>
              <w:spacing w:after="0" w:line="229" w:lineRule="exact"/>
              <w:rPr>
                <w:rFonts w:ascii="Arial" w:cs="Arial" w:eastAsia="Arial" w:hAnsi="Arial"/>
                <w:sz w:val="22"/>
                <w:szCs w:val="22"/>
                <w:u w:val="single" w:color="auto"/>
                <w:color w:val="0563C1"/>
              </w:rPr>
            </w:pPr>
            <w:hyperlink w:anchor="page134">
              <w:r>
                <w:rPr>
                  <w:rFonts w:ascii="Arial" w:cs="Arial" w:eastAsia="Arial" w:hAnsi="Arial"/>
                  <w:sz w:val="22"/>
                  <w:szCs w:val="22"/>
                  <w:u w:val="single" w:color="auto"/>
                  <w:color w:val="0563C1"/>
                </w:rPr>
                <w:t>Certification of Chief Financial Officer, furnished pursuant to 18 U.S.C. Section 1350</w:t>
              </w:r>
            </w:hyperlink>
          </w:p>
        </w:tc>
      </w:tr>
      <w:tr>
        <w:trPr>
          <w:trHeight w:val="229"/>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08"/>
        </w:trPr>
        <w:tc>
          <w:tcPr>
            <w:tcW w:w="1840" w:type="dxa"/>
            <w:vAlign w:val="bottom"/>
            <w:shd w:val="clear" w:color="auto" w:fill="CCEEFF"/>
          </w:tcPr>
          <w:p>
            <w:pPr>
              <w:ind w:left="20"/>
              <w:spacing w:after="0" w:line="208" w:lineRule="exact"/>
              <w:rPr>
                <w:sz w:val="20"/>
                <w:szCs w:val="20"/>
                <w:color w:val="auto"/>
              </w:rPr>
            </w:pPr>
            <w:r>
              <w:rPr>
                <w:rFonts w:ascii="Arial" w:cs="Arial" w:eastAsia="Arial" w:hAnsi="Arial"/>
                <w:sz w:val="22"/>
                <w:szCs w:val="22"/>
                <w:color w:val="auto"/>
              </w:rPr>
              <w:t>101.INS</w:t>
            </w:r>
          </w:p>
        </w:tc>
        <w:tc>
          <w:tcPr>
            <w:tcW w:w="9400" w:type="dxa"/>
            <w:vAlign w:val="bottom"/>
            <w:shd w:val="clear" w:color="auto" w:fill="CCEEFF"/>
          </w:tcPr>
          <w:p>
            <w:pPr>
              <w:ind w:left="300"/>
              <w:spacing w:after="0" w:line="208" w:lineRule="exact"/>
              <w:rPr>
                <w:sz w:val="20"/>
                <w:szCs w:val="20"/>
                <w:color w:val="auto"/>
              </w:rPr>
            </w:pPr>
            <w:r>
              <w:rPr>
                <w:rFonts w:ascii="Arial" w:cs="Arial" w:eastAsia="Arial" w:hAnsi="Arial"/>
                <w:sz w:val="22"/>
                <w:szCs w:val="22"/>
                <w:color w:val="auto"/>
                <w:w w:val="91"/>
              </w:rPr>
              <w:t>Inline XBRL Instance Document – The instance document does not appear in the Interactive Data File</w:t>
            </w:r>
          </w:p>
        </w:tc>
      </w:tr>
      <w:tr>
        <w:trPr>
          <w:trHeight w:val="251"/>
        </w:trPr>
        <w:tc>
          <w:tcPr>
            <w:tcW w:w="1840" w:type="dxa"/>
            <w:vAlign w:val="bottom"/>
            <w:shd w:val="clear" w:color="auto" w:fill="CCEEFF"/>
          </w:tcPr>
          <w:p>
            <w:pPr>
              <w:spacing w:after="0"/>
              <w:rPr>
                <w:sz w:val="21"/>
                <w:szCs w:val="21"/>
                <w:color w:val="auto"/>
              </w:rPr>
            </w:pPr>
          </w:p>
        </w:tc>
        <w:tc>
          <w:tcPr>
            <w:tcW w:w="9400" w:type="dxa"/>
            <w:vAlign w:val="bottom"/>
            <w:shd w:val="clear" w:color="auto" w:fill="CCEEFF"/>
          </w:tcPr>
          <w:p>
            <w:pPr>
              <w:ind w:left="300"/>
              <w:spacing w:after="0" w:line="251" w:lineRule="exact"/>
              <w:rPr>
                <w:sz w:val="20"/>
                <w:szCs w:val="20"/>
                <w:color w:val="auto"/>
              </w:rPr>
            </w:pPr>
            <w:r>
              <w:rPr>
                <w:rFonts w:ascii="Arial" w:cs="Arial" w:eastAsia="Arial" w:hAnsi="Arial"/>
                <w:sz w:val="22"/>
                <w:szCs w:val="22"/>
                <w:color w:val="auto"/>
              </w:rPr>
              <w:t>because its XBRL tags are embedded within the Inline XBRL document.</w:t>
            </w:r>
          </w:p>
        </w:tc>
      </w:tr>
      <w:tr>
        <w:trPr>
          <w:trHeight w:val="229"/>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29"/>
        </w:trPr>
        <w:tc>
          <w:tcPr>
            <w:tcW w:w="184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101.SCH</w:t>
            </w:r>
          </w:p>
        </w:tc>
        <w:tc>
          <w:tcPr>
            <w:tcW w:w="9400" w:type="dxa"/>
            <w:vAlign w:val="bottom"/>
            <w:shd w:val="clear" w:color="auto" w:fill="CCEEFF"/>
          </w:tcPr>
          <w:p>
            <w:pPr>
              <w:ind w:left="300"/>
              <w:spacing w:after="0" w:line="229" w:lineRule="exact"/>
              <w:rPr>
                <w:sz w:val="20"/>
                <w:szCs w:val="20"/>
                <w:color w:val="auto"/>
              </w:rPr>
            </w:pPr>
            <w:r>
              <w:rPr>
                <w:rFonts w:ascii="Arial" w:cs="Arial" w:eastAsia="Arial" w:hAnsi="Arial"/>
                <w:sz w:val="22"/>
                <w:szCs w:val="22"/>
                <w:color w:val="auto"/>
              </w:rPr>
              <w:t>Inline XBRL Taxonomy Extension Schema Document</w:t>
            </w:r>
          </w:p>
        </w:tc>
      </w:tr>
      <w:tr>
        <w:trPr>
          <w:trHeight w:val="230"/>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29"/>
        </w:trPr>
        <w:tc>
          <w:tcPr>
            <w:tcW w:w="184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101.CAL</w:t>
            </w:r>
          </w:p>
        </w:tc>
        <w:tc>
          <w:tcPr>
            <w:tcW w:w="9400" w:type="dxa"/>
            <w:vAlign w:val="bottom"/>
            <w:shd w:val="clear" w:color="auto" w:fill="CCEEFF"/>
          </w:tcPr>
          <w:p>
            <w:pPr>
              <w:ind w:left="300"/>
              <w:spacing w:after="0" w:line="229" w:lineRule="exact"/>
              <w:rPr>
                <w:sz w:val="20"/>
                <w:szCs w:val="20"/>
                <w:color w:val="auto"/>
              </w:rPr>
            </w:pPr>
            <w:r>
              <w:rPr>
                <w:rFonts w:ascii="Arial" w:cs="Arial" w:eastAsia="Arial" w:hAnsi="Arial"/>
                <w:sz w:val="22"/>
                <w:szCs w:val="22"/>
                <w:color w:val="auto"/>
              </w:rPr>
              <w:t>Inline XBRL Taxonomy Extension Calculation Linkbase Document</w:t>
            </w:r>
          </w:p>
        </w:tc>
      </w:tr>
      <w:tr>
        <w:trPr>
          <w:trHeight w:val="230"/>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29"/>
        </w:trPr>
        <w:tc>
          <w:tcPr>
            <w:tcW w:w="184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101.DEF</w:t>
            </w:r>
          </w:p>
        </w:tc>
        <w:tc>
          <w:tcPr>
            <w:tcW w:w="9400" w:type="dxa"/>
            <w:vAlign w:val="bottom"/>
            <w:shd w:val="clear" w:color="auto" w:fill="CCEEFF"/>
          </w:tcPr>
          <w:p>
            <w:pPr>
              <w:ind w:left="300"/>
              <w:spacing w:after="0" w:line="229" w:lineRule="exact"/>
              <w:rPr>
                <w:sz w:val="20"/>
                <w:szCs w:val="20"/>
                <w:color w:val="auto"/>
              </w:rPr>
            </w:pPr>
            <w:r>
              <w:rPr>
                <w:rFonts w:ascii="Arial" w:cs="Arial" w:eastAsia="Arial" w:hAnsi="Arial"/>
                <w:sz w:val="22"/>
                <w:szCs w:val="22"/>
                <w:color w:val="auto"/>
              </w:rPr>
              <w:t>Inline XBRL Taxonomy Extension Definition Linkbase Document</w:t>
            </w:r>
          </w:p>
        </w:tc>
      </w:tr>
      <w:tr>
        <w:trPr>
          <w:trHeight w:val="229"/>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30"/>
        </w:trPr>
        <w:tc>
          <w:tcPr>
            <w:tcW w:w="184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101.LAB</w:t>
            </w:r>
          </w:p>
        </w:tc>
        <w:tc>
          <w:tcPr>
            <w:tcW w:w="9400" w:type="dxa"/>
            <w:vAlign w:val="bottom"/>
            <w:shd w:val="clear" w:color="auto" w:fill="CCEEFF"/>
          </w:tcPr>
          <w:p>
            <w:pPr>
              <w:ind w:left="300"/>
              <w:spacing w:after="0" w:line="229" w:lineRule="exact"/>
              <w:rPr>
                <w:sz w:val="20"/>
                <w:szCs w:val="20"/>
                <w:color w:val="auto"/>
              </w:rPr>
            </w:pPr>
            <w:r>
              <w:rPr>
                <w:rFonts w:ascii="Arial" w:cs="Arial" w:eastAsia="Arial" w:hAnsi="Arial"/>
                <w:sz w:val="22"/>
                <w:szCs w:val="22"/>
                <w:color w:val="auto"/>
              </w:rPr>
              <w:t>Inline XBRL Taxonomy Extension Label Linkbase Document</w:t>
            </w:r>
          </w:p>
        </w:tc>
      </w:tr>
      <w:tr>
        <w:trPr>
          <w:trHeight w:val="229"/>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29"/>
        </w:trPr>
        <w:tc>
          <w:tcPr>
            <w:tcW w:w="1840" w:type="dxa"/>
            <w:vAlign w:val="bottom"/>
            <w:shd w:val="clear" w:color="auto" w:fill="CCEEFF"/>
          </w:tcPr>
          <w:p>
            <w:pPr>
              <w:ind w:left="20"/>
              <w:spacing w:after="0" w:line="229" w:lineRule="exact"/>
              <w:rPr>
                <w:sz w:val="20"/>
                <w:szCs w:val="20"/>
                <w:color w:val="auto"/>
              </w:rPr>
            </w:pPr>
            <w:r>
              <w:rPr>
                <w:rFonts w:ascii="Arial" w:cs="Arial" w:eastAsia="Arial" w:hAnsi="Arial"/>
                <w:sz w:val="22"/>
                <w:szCs w:val="22"/>
                <w:color w:val="auto"/>
              </w:rPr>
              <w:t>101.PRES</w:t>
            </w:r>
          </w:p>
        </w:tc>
        <w:tc>
          <w:tcPr>
            <w:tcW w:w="9400" w:type="dxa"/>
            <w:vAlign w:val="bottom"/>
            <w:shd w:val="clear" w:color="auto" w:fill="CCEEFF"/>
          </w:tcPr>
          <w:p>
            <w:pPr>
              <w:ind w:left="300"/>
              <w:spacing w:after="0" w:line="229" w:lineRule="exact"/>
              <w:rPr>
                <w:sz w:val="20"/>
                <w:szCs w:val="20"/>
                <w:color w:val="auto"/>
              </w:rPr>
            </w:pPr>
            <w:r>
              <w:rPr>
                <w:rFonts w:ascii="Arial" w:cs="Arial" w:eastAsia="Arial" w:hAnsi="Arial"/>
                <w:sz w:val="22"/>
                <w:szCs w:val="22"/>
                <w:color w:val="auto"/>
              </w:rPr>
              <w:t>Inline XBRL Taxonomy Extension Presentation Linkbase Document</w:t>
            </w:r>
          </w:p>
        </w:tc>
      </w:tr>
      <w:tr>
        <w:trPr>
          <w:trHeight w:val="230"/>
        </w:trPr>
        <w:tc>
          <w:tcPr>
            <w:tcW w:w="1840" w:type="dxa"/>
            <w:vAlign w:val="bottom"/>
          </w:tcPr>
          <w:p>
            <w:pPr>
              <w:spacing w:after="0"/>
              <w:rPr>
                <w:sz w:val="19"/>
                <w:szCs w:val="19"/>
                <w:color w:val="auto"/>
              </w:rPr>
            </w:pPr>
          </w:p>
        </w:tc>
        <w:tc>
          <w:tcPr>
            <w:tcW w:w="9400" w:type="dxa"/>
            <w:vAlign w:val="bottom"/>
          </w:tcPr>
          <w:p>
            <w:pPr>
              <w:spacing w:after="0"/>
              <w:rPr>
                <w:sz w:val="19"/>
                <w:szCs w:val="19"/>
                <w:color w:val="auto"/>
              </w:rPr>
            </w:pPr>
          </w:p>
        </w:tc>
      </w:tr>
      <w:tr>
        <w:trPr>
          <w:trHeight w:val="208"/>
        </w:trPr>
        <w:tc>
          <w:tcPr>
            <w:tcW w:w="1840" w:type="dxa"/>
            <w:vAlign w:val="bottom"/>
            <w:shd w:val="clear" w:color="auto" w:fill="CCEEFF"/>
          </w:tcPr>
          <w:p>
            <w:pPr>
              <w:ind w:left="20"/>
              <w:spacing w:after="0" w:line="208" w:lineRule="exact"/>
              <w:rPr>
                <w:sz w:val="20"/>
                <w:szCs w:val="20"/>
                <w:color w:val="auto"/>
              </w:rPr>
            </w:pPr>
            <w:r>
              <w:rPr>
                <w:rFonts w:ascii="Arial" w:cs="Arial" w:eastAsia="Arial" w:hAnsi="Arial"/>
                <w:sz w:val="22"/>
                <w:szCs w:val="22"/>
                <w:color w:val="auto"/>
              </w:rPr>
              <w:t>104</w:t>
            </w:r>
          </w:p>
        </w:tc>
        <w:tc>
          <w:tcPr>
            <w:tcW w:w="9400" w:type="dxa"/>
            <w:vAlign w:val="bottom"/>
            <w:shd w:val="clear" w:color="auto" w:fill="CCEEFF"/>
          </w:tcPr>
          <w:p>
            <w:pPr>
              <w:ind w:left="300"/>
              <w:spacing w:after="0" w:line="208" w:lineRule="exact"/>
              <w:rPr>
                <w:sz w:val="20"/>
                <w:szCs w:val="20"/>
                <w:color w:val="auto"/>
              </w:rPr>
            </w:pPr>
            <w:r>
              <w:rPr>
                <w:rFonts w:ascii="Arial" w:cs="Arial" w:eastAsia="Arial" w:hAnsi="Arial"/>
                <w:sz w:val="22"/>
                <w:szCs w:val="22"/>
                <w:color w:val="auto"/>
                <w:w w:val="92"/>
              </w:rPr>
              <w:t>The cover page from the Company’s Quarterly Report on Form 10-Q for the quarter ended March 31,</w:t>
            </w:r>
          </w:p>
        </w:tc>
      </w:tr>
      <w:tr>
        <w:trPr>
          <w:trHeight w:val="251"/>
        </w:trPr>
        <w:tc>
          <w:tcPr>
            <w:tcW w:w="1840" w:type="dxa"/>
            <w:vAlign w:val="bottom"/>
            <w:shd w:val="clear" w:color="auto" w:fill="CCEEFF"/>
          </w:tcPr>
          <w:p>
            <w:pPr>
              <w:spacing w:after="0"/>
              <w:rPr>
                <w:sz w:val="21"/>
                <w:szCs w:val="21"/>
                <w:color w:val="auto"/>
              </w:rPr>
            </w:pPr>
          </w:p>
        </w:tc>
        <w:tc>
          <w:tcPr>
            <w:tcW w:w="9400" w:type="dxa"/>
            <w:vAlign w:val="bottom"/>
            <w:shd w:val="clear" w:color="auto" w:fill="CCEEFF"/>
          </w:tcPr>
          <w:p>
            <w:pPr>
              <w:ind w:left="300"/>
              <w:spacing w:after="0" w:line="251" w:lineRule="exact"/>
              <w:rPr>
                <w:sz w:val="20"/>
                <w:szCs w:val="20"/>
                <w:color w:val="auto"/>
              </w:rPr>
            </w:pPr>
            <w:r>
              <w:rPr>
                <w:rFonts w:ascii="Arial" w:cs="Arial" w:eastAsia="Arial" w:hAnsi="Arial"/>
                <w:sz w:val="22"/>
                <w:szCs w:val="22"/>
                <w:color w:val="auto"/>
              </w:rPr>
              <w:t>2020, formatted in Inline XBRL (included in Exhibit 101)</w:t>
            </w:r>
          </w:p>
        </w:tc>
      </w:tr>
    </w:tbl>
    <w:p>
      <w:pPr>
        <w:spacing w:after="0" w:line="20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Filed herewith</w:t>
      </w:r>
    </w:p>
    <w:p>
      <w:pPr>
        <w:ind w:left="5520" w:right="4920" w:hanging="5512"/>
        <w:spacing w:after="0" w:line="798" w:lineRule="auto"/>
        <w:tabs>
          <w:tab w:leader="none" w:pos="336" w:val="left"/>
        </w:tabs>
        <w:numPr>
          <w:ilvl w:val="0"/>
          <w:numId w:val="7"/>
        </w:numPr>
        <w:rPr>
          <w:rFonts w:ascii="Arial" w:cs="Arial" w:eastAsia="Arial" w:hAnsi="Arial"/>
          <w:sz w:val="19"/>
          <w:szCs w:val="19"/>
          <w:color w:val="auto"/>
        </w:rPr>
      </w:pPr>
      <w:r>
        <w:rPr>
          <w:rFonts w:ascii="Arial" w:cs="Arial" w:eastAsia="Arial" w:hAnsi="Arial"/>
          <w:sz w:val="19"/>
          <w:szCs w:val="19"/>
          <w:color w:val="auto"/>
        </w:rPr>
        <w:t>Indicates management contract or compensatory plan or arrangement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SIGNATURES</w:t>
      </w:r>
    </w:p>
    <w:p>
      <w:pPr>
        <w:spacing w:after="0" w:line="98"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May 8, 2020</w:t>
      </w:r>
    </w:p>
    <w:p>
      <w:pPr>
        <w:spacing w:after="0" w:line="152"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wp:posOffset>
            </wp:positionV>
            <wp:extent cx="26231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66" w:lineRule="exact"/>
        <w:rPr>
          <w:sz w:val="20"/>
          <w:szCs w:val="20"/>
          <w:color w:val="auto"/>
        </w:rPr>
      </w:pPr>
    </w:p>
    <w:p>
      <w:pPr>
        <w:ind w:left="71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22"/>
          <w:szCs w:val="22"/>
          <w:color w:val="auto"/>
        </w:rPr>
        <w:t>Christopher H. Franklin</w:t>
      </w:r>
    </w:p>
    <w:p>
      <w:pPr>
        <w:ind w:left="7100"/>
        <w:spacing w:after="0" w:line="217" w:lineRule="auto"/>
        <w:rPr>
          <w:sz w:val="20"/>
          <w:szCs w:val="20"/>
          <w:color w:val="auto"/>
        </w:rPr>
      </w:pPr>
      <w:r>
        <w:rPr>
          <w:rFonts w:ascii="Arial" w:cs="Arial" w:eastAsia="Arial" w:hAnsi="Arial"/>
          <w:sz w:val="22"/>
          <w:szCs w:val="22"/>
          <w:color w:val="auto"/>
        </w:rPr>
        <w:t>Chairman, President and</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66" w:lineRule="exact"/>
        <w:rPr>
          <w:sz w:val="20"/>
          <w:szCs w:val="20"/>
          <w:color w:val="auto"/>
        </w:rPr>
      </w:pPr>
    </w:p>
    <w:p>
      <w:pPr>
        <w:ind w:left="71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22"/>
          <w:szCs w:val="22"/>
          <w:color w:val="auto"/>
        </w:rPr>
        <w:t>Daniel J. Schuller</w:t>
      </w:r>
    </w:p>
    <w:p>
      <w:pPr>
        <w:ind w:left="7100"/>
        <w:spacing w:after="0" w:line="217"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Chief Financial Officer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100"/>
          </w:cols>
          <w:pgMar w:left="320" w:top="118" w:right="479" w:bottom="1440" w:gutter="0" w:footer="0" w:header="0"/>
        </w:sectPr>
      </w:pPr>
    </w:p>
    <w:bookmarkStart w:id="57" w:name="page58"/>
    <w:bookmarkEnd w:id="57"/>
    <w:p>
      <w:pPr>
        <w:jc w:val="right"/>
        <w:ind w:right="199"/>
        <w:spacing w:after="0"/>
        <w:rPr>
          <w:sz w:val="20"/>
          <w:szCs w:val="20"/>
          <w:color w:val="auto"/>
        </w:rPr>
      </w:pPr>
      <w:r>
        <w:rPr>
          <w:rFonts w:ascii="Arial" w:cs="Arial" w:eastAsia="Arial" w:hAnsi="Arial"/>
          <w:sz w:val="22"/>
          <w:szCs w:val="22"/>
          <w:color w:val="auto"/>
        </w:rPr>
        <w:t>Exhibit 3.2</w:t>
      </w:r>
    </w:p>
    <w:p>
      <w:pPr>
        <w:jc w:val="center"/>
        <w:ind w:right="19"/>
        <w:spacing w:after="0" w:line="238" w:lineRule="auto"/>
        <w:rPr>
          <w:sz w:val="20"/>
          <w:szCs w:val="20"/>
          <w:color w:val="auto"/>
        </w:rPr>
      </w:pPr>
      <w:r>
        <w:rPr>
          <w:rFonts w:ascii="Arial" w:cs="Arial" w:eastAsia="Arial" w:hAnsi="Arial"/>
          <w:sz w:val="22"/>
          <w:szCs w:val="22"/>
          <w:b w:val="1"/>
          <w:bCs w:val="1"/>
          <w:color w:val="auto"/>
        </w:rPr>
        <w:t>AQUA AMERICA,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TO BYLAWS</w:t>
      </w:r>
    </w:p>
    <w:p>
      <w:pPr>
        <w:spacing w:after="0" w:line="209" w:lineRule="exact"/>
        <w:rPr>
          <w:sz w:val="20"/>
          <w:szCs w:val="20"/>
          <w:color w:val="auto"/>
        </w:rPr>
      </w:pPr>
    </w:p>
    <w:p>
      <w:pPr>
        <w:jc w:val="both"/>
        <w:ind w:left="180" w:right="199" w:firstLine="648"/>
        <w:spacing w:after="0" w:line="243" w:lineRule="auto"/>
        <w:rPr>
          <w:sz w:val="20"/>
          <w:szCs w:val="20"/>
          <w:color w:val="auto"/>
        </w:rPr>
      </w:pPr>
      <w:r>
        <w:rPr>
          <w:rFonts w:ascii="Arial" w:cs="Arial" w:eastAsia="Arial" w:hAnsi="Arial"/>
          <w:sz w:val="22"/>
          <w:szCs w:val="22"/>
          <w:color w:val="auto"/>
        </w:rPr>
        <w:t>THIS AMENDMENT (this “</w:t>
      </w:r>
      <w:r>
        <w:rPr>
          <w:rFonts w:ascii="Arial" w:cs="Arial" w:eastAsia="Arial" w:hAnsi="Arial"/>
          <w:sz w:val="22"/>
          <w:szCs w:val="22"/>
          <w:b w:val="1"/>
          <w:bCs w:val="1"/>
          <w:color w:val="auto"/>
        </w:rPr>
        <w:t>Amendment</w:t>
      </w:r>
      <w:r>
        <w:rPr>
          <w:rFonts w:ascii="Arial" w:cs="Arial" w:eastAsia="Arial" w:hAnsi="Arial"/>
          <w:sz w:val="22"/>
          <w:szCs w:val="22"/>
          <w:color w:val="auto"/>
        </w:rPr>
        <w:t>”), effective as of February 3, 2020, is made to the Amended and Restated Bylaws (the “</w:t>
      </w:r>
      <w:r>
        <w:rPr>
          <w:rFonts w:ascii="Arial" w:cs="Arial" w:eastAsia="Arial" w:hAnsi="Arial"/>
          <w:sz w:val="22"/>
          <w:szCs w:val="22"/>
          <w:b w:val="1"/>
          <w:bCs w:val="1"/>
          <w:color w:val="auto"/>
        </w:rPr>
        <w:t>Bylaws</w:t>
      </w:r>
      <w:r>
        <w:rPr>
          <w:rFonts w:ascii="Arial" w:cs="Arial" w:eastAsia="Arial" w:hAnsi="Arial"/>
          <w:sz w:val="22"/>
          <w:szCs w:val="22"/>
          <w:color w:val="auto"/>
        </w:rPr>
        <w:t>”) of Aqua America, Inc., a Pennsylvania corporation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left="180" w:right="199" w:firstLine="648"/>
        <w:spacing w:after="0" w:line="257" w:lineRule="auto"/>
        <w:rPr>
          <w:sz w:val="20"/>
          <w:szCs w:val="20"/>
          <w:color w:val="auto"/>
        </w:rPr>
      </w:pPr>
      <w:r>
        <w:rPr>
          <w:rFonts w:ascii="Arial" w:cs="Arial" w:eastAsia="Arial" w:hAnsi="Arial"/>
          <w:sz w:val="21"/>
          <w:szCs w:val="21"/>
          <w:color w:val="auto"/>
        </w:rPr>
        <w:t>WHEREAS, Section 8.08 and Section 4.11(b) of the Bylaws provide that the Bylaws may be amended by the Company's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with respect to those matters that are not by statute committed expressly to the shareholders; and</w:t>
      </w:r>
    </w:p>
    <w:p>
      <w:pPr>
        <w:spacing w:after="0" w:line="196" w:lineRule="exact"/>
        <w:rPr>
          <w:sz w:val="20"/>
          <w:szCs w:val="20"/>
          <w:color w:val="auto"/>
        </w:rPr>
      </w:pPr>
    </w:p>
    <w:p>
      <w:pPr>
        <w:jc w:val="both"/>
        <w:ind w:left="180" w:right="199" w:firstLine="648"/>
        <w:spacing w:after="0"/>
        <w:rPr>
          <w:sz w:val="20"/>
          <w:szCs w:val="20"/>
          <w:color w:val="auto"/>
        </w:rPr>
      </w:pPr>
      <w:r>
        <w:rPr>
          <w:rFonts w:ascii="Arial" w:cs="Arial" w:eastAsia="Arial" w:hAnsi="Arial"/>
          <w:sz w:val="22"/>
          <w:szCs w:val="22"/>
          <w:color w:val="auto"/>
        </w:rPr>
        <w:t>WHEREAS, the relevant provisions Pennsylvania Business Corporation Law of 1988, as amended, (the “</w:t>
      </w:r>
      <w:r>
        <w:rPr>
          <w:rFonts w:ascii="Arial" w:cs="Arial" w:eastAsia="Arial" w:hAnsi="Arial"/>
          <w:sz w:val="22"/>
          <w:szCs w:val="22"/>
          <w:b w:val="1"/>
          <w:bCs w:val="1"/>
          <w:color w:val="auto"/>
        </w:rPr>
        <w:t>BCL</w:t>
      </w:r>
      <w:r>
        <w:rPr>
          <w:rFonts w:ascii="Arial" w:cs="Arial" w:eastAsia="Arial" w:hAnsi="Arial"/>
          <w:sz w:val="22"/>
          <w:szCs w:val="22"/>
          <w:color w:val="auto"/>
        </w:rPr>
        <w:t>”), including Section 1504, do not commit amendments to reflect a corporate name change expressly to the shareholders of the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w:t>
      </w:r>
    </w:p>
    <w:p>
      <w:pPr>
        <w:spacing w:after="0" w:line="23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NOW THEREFORE, the Board hereby amends the Bylaws as follows:</w:t>
      </w:r>
    </w:p>
    <w:p>
      <w:pPr>
        <w:spacing w:after="0" w:line="227" w:lineRule="exact"/>
        <w:rPr>
          <w:sz w:val="20"/>
          <w:szCs w:val="20"/>
          <w:color w:val="auto"/>
        </w:rPr>
      </w:pPr>
    </w:p>
    <w:p>
      <w:pPr>
        <w:ind w:left="1000" w:hanging="816"/>
        <w:spacing w:after="0"/>
        <w:tabs>
          <w:tab w:leader="none" w:pos="10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to Bylaws</w:t>
      </w:r>
    </w:p>
    <w:p>
      <w:pPr>
        <w:spacing w:after="0" w:line="239" w:lineRule="exact"/>
        <w:rPr>
          <w:sz w:val="20"/>
          <w:szCs w:val="20"/>
          <w:color w:val="auto"/>
        </w:rPr>
      </w:pPr>
    </w:p>
    <w:p>
      <w:pPr>
        <w:ind w:left="840" w:right="199"/>
        <w:spacing w:after="0" w:line="274" w:lineRule="auto"/>
        <w:rPr>
          <w:sz w:val="20"/>
          <w:szCs w:val="20"/>
          <w:color w:val="auto"/>
        </w:rPr>
      </w:pPr>
      <w:r>
        <w:rPr>
          <w:rFonts w:ascii="Arial" w:cs="Arial" w:eastAsia="Arial" w:hAnsi="Arial"/>
          <w:sz w:val="21"/>
          <w:szCs w:val="21"/>
          <w:color w:val="auto"/>
        </w:rPr>
        <w:t>The Bylaws shall be amended to reflect the name change of the Company by replacing each reference therein to “Aqua America, Inc.” with “Essential Utilities, Inc.”</w:t>
      </w:r>
    </w:p>
    <w:p>
      <w:pPr>
        <w:spacing w:after="0" w:line="172" w:lineRule="exact"/>
        <w:rPr>
          <w:sz w:val="20"/>
          <w:szCs w:val="20"/>
          <w:color w:val="auto"/>
        </w:rPr>
      </w:pPr>
    </w:p>
    <w:p>
      <w:pPr>
        <w:ind w:left="180" w:right="199" w:firstLine="4"/>
        <w:spacing w:after="0" w:line="256" w:lineRule="auto"/>
        <w:tabs>
          <w:tab w:leader="none" w:pos="99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Ratification. </w:t>
      </w:r>
      <w:r>
        <w:rPr>
          <w:rFonts w:ascii="Arial" w:cs="Arial" w:eastAsia="Arial" w:hAnsi="Arial"/>
          <w:sz w:val="22"/>
          <w:szCs w:val="22"/>
          <w:color w:val="auto"/>
        </w:rPr>
        <w:t>Except as specifically set forth herein, the Bylaws shall continue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force and effect.</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 xml:space="preserve">FILED </w:t>
      </w:r>
      <w:r>
        <w:rPr>
          <w:rFonts w:ascii="Arial" w:cs="Arial" w:eastAsia="Arial" w:hAnsi="Arial"/>
          <w:sz w:val="19"/>
          <w:szCs w:val="19"/>
          <w:color w:val="auto"/>
        </w:rPr>
        <w:t>with the undersigned as Secretary of the Company this 3rd day of February, 2020.</w:t>
      </w:r>
    </w:p>
    <w:p>
      <w:pPr>
        <w:spacing w:after="0" w:line="200" w:lineRule="exact"/>
        <w:rPr>
          <w:sz w:val="20"/>
          <w:szCs w:val="20"/>
          <w:color w:val="auto"/>
        </w:rPr>
      </w:pPr>
    </w:p>
    <w:p>
      <w:pPr>
        <w:spacing w:after="0" w:line="317" w:lineRule="exact"/>
        <w:rPr>
          <w:sz w:val="20"/>
          <w:szCs w:val="20"/>
          <w:color w:val="auto"/>
        </w:rPr>
      </w:pPr>
    </w:p>
    <w:p>
      <w:pPr>
        <w:ind w:left="4760"/>
        <w:spacing w:after="0"/>
        <w:rPr>
          <w:sz w:val="20"/>
          <w:szCs w:val="20"/>
          <w:color w:val="auto"/>
        </w:rPr>
      </w:pPr>
      <w:r>
        <w:rPr>
          <w:rFonts w:ascii="Arial" w:cs="Arial" w:eastAsia="Arial" w:hAnsi="Arial"/>
          <w:sz w:val="22"/>
          <w:szCs w:val="22"/>
          <w:u w:val="single" w:color="auto"/>
          <w:color w:val="auto"/>
        </w:rPr>
        <w:t>/s/ Christopher P. Luning</w:t>
      </w:r>
    </w:p>
    <w:p>
      <w:pPr>
        <w:ind w:left="4760"/>
        <w:spacing w:after="0" w:line="238" w:lineRule="auto"/>
        <w:rPr>
          <w:sz w:val="20"/>
          <w:szCs w:val="20"/>
          <w:color w:val="auto"/>
        </w:rPr>
      </w:pPr>
      <w:r>
        <w:rPr>
          <w:rFonts w:ascii="Arial" w:cs="Arial" w:eastAsia="Arial" w:hAnsi="Arial"/>
          <w:sz w:val="22"/>
          <w:szCs w:val="22"/>
          <w:color w:val="auto"/>
        </w:rPr>
        <w:t>Christopher P. Luning</w:t>
      </w:r>
    </w:p>
    <w:p>
      <w:pPr>
        <w:ind w:left="4760"/>
        <w:spacing w:after="0"/>
        <w:rPr>
          <w:sz w:val="20"/>
          <w:szCs w:val="20"/>
          <w:color w:val="auto"/>
        </w:rPr>
      </w:pPr>
      <w:r>
        <w:rPr>
          <w:rFonts w:ascii="Arial" w:cs="Arial" w:eastAsia="Arial" w:hAnsi="Arial"/>
          <w:sz w:val="21"/>
          <w:szCs w:val="21"/>
          <w:color w:val="auto"/>
        </w:rPr>
        <w:t>Executive Vice President, General Counsel</w:t>
      </w:r>
    </w:p>
    <w:p>
      <w:pPr>
        <w:spacing w:after="0" w:line="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287020</wp:posOffset>
            </wp:positionV>
            <wp:extent cx="550354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right"/>
        <w:ind w:right="199"/>
        <w:spacing w:after="0"/>
        <w:rPr>
          <w:sz w:val="20"/>
          <w:szCs w:val="20"/>
          <w:color w:val="auto"/>
        </w:rPr>
      </w:pPr>
      <w:r>
        <w:rPr>
          <w:rFonts w:ascii="Arial" w:cs="Arial" w:eastAsia="Arial" w:hAnsi="Arial"/>
          <w:sz w:val="22"/>
          <w:szCs w:val="22"/>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161925</wp:posOffset>
            </wp:positionV>
            <wp:extent cx="54864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54864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AQUA PENNSYLVANIA, INC.</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$175,000,000</w:t>
      </w:r>
    </w:p>
    <w:p>
      <w:pPr>
        <w:spacing w:after="0" w:line="200" w:lineRule="exact"/>
        <w:rPr>
          <w:sz w:val="20"/>
          <w:szCs w:val="20"/>
          <w:color w:val="auto"/>
        </w:rPr>
      </w:pPr>
    </w:p>
    <w:p>
      <w:pPr>
        <w:spacing w:after="0" w:line="357" w:lineRule="exact"/>
        <w:rPr>
          <w:sz w:val="20"/>
          <w:szCs w:val="20"/>
          <w:color w:val="auto"/>
        </w:rPr>
      </w:pPr>
    </w:p>
    <w:p>
      <w:pPr>
        <w:jc w:val="both"/>
        <w:ind w:left="1600" w:right="1619"/>
        <w:spacing w:after="0" w:line="563" w:lineRule="auto"/>
        <w:rPr>
          <w:sz w:val="20"/>
          <w:szCs w:val="20"/>
          <w:color w:val="auto"/>
        </w:rPr>
      </w:pPr>
      <w:r>
        <w:rPr>
          <w:rFonts w:ascii="Arial" w:cs="Arial" w:eastAsia="Arial" w:hAnsi="Arial"/>
          <w:sz w:val="19"/>
          <w:szCs w:val="19"/>
          <w:color w:val="auto"/>
        </w:rPr>
        <w:t>$75,000,000 First Mortgage Bonds, 3.49% Series due June 1, 2051 $50,000,000 First Mortgage Bonds, 3.54% Series due June 1, 2055 $50,000,000 First Mortgage Bonds, 3.55% Series due June 1, 2056</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BOND PURCHASE AGREEMENT</w:t>
      </w:r>
    </w:p>
    <w:p>
      <w:pPr>
        <w:spacing w:after="0" w:line="31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_____________</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821690</wp:posOffset>
            </wp:positionV>
            <wp:extent cx="548640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5486400" cy="2540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1755775</wp:posOffset>
            </wp:positionV>
            <wp:extent cx="550354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250"/>
        </w:trPr>
        <w:tc>
          <w:tcPr>
            <w:tcW w:w="1460" w:type="dxa"/>
            <w:vAlign w:val="bottom"/>
          </w:tcPr>
          <w:p>
            <w:pPr>
              <w:spacing w:after="0"/>
              <w:rPr>
                <w:sz w:val="20"/>
                <w:szCs w:val="20"/>
                <w:color w:val="auto"/>
              </w:rPr>
            </w:pPr>
            <w:r>
              <w:rPr>
                <w:rFonts w:ascii="Arial" w:cs="Arial" w:eastAsia="Arial" w:hAnsi="Arial"/>
                <w:sz w:val="20"/>
                <w:szCs w:val="20"/>
                <w:color w:val="auto"/>
              </w:rPr>
              <w:t>SECTION</w:t>
            </w:r>
          </w:p>
        </w:tc>
        <w:tc>
          <w:tcPr>
            <w:tcW w:w="6000" w:type="dxa"/>
            <w:vAlign w:val="bottom"/>
          </w:tcPr>
          <w:p>
            <w:pPr>
              <w:ind w:left="2680"/>
              <w:spacing w:after="0"/>
              <w:rPr>
                <w:sz w:val="20"/>
                <w:szCs w:val="20"/>
                <w:color w:val="auto"/>
              </w:rPr>
            </w:pPr>
            <w:r>
              <w:rPr>
                <w:rFonts w:ascii="Arial" w:cs="Arial" w:eastAsia="Arial" w:hAnsi="Arial"/>
                <w:sz w:val="20"/>
                <w:szCs w:val="20"/>
                <w:color w:val="auto"/>
              </w:rPr>
              <w:t>HEADING</w:t>
            </w:r>
          </w:p>
        </w:tc>
        <w:tc>
          <w:tcPr>
            <w:tcW w:w="102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64">
              <w:r>
                <w:rPr>
                  <w:rFonts w:ascii="Arial" w:cs="Arial" w:eastAsia="Arial" w:hAnsi="Arial"/>
                  <w:sz w:val="20"/>
                  <w:szCs w:val="20"/>
                  <w:u w:val="single" w:color="auto"/>
                  <w:color w:val="0000EE"/>
                </w:rPr>
                <w:t>SECTION 1.</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4">
              <w:r>
                <w:rPr>
                  <w:rFonts w:ascii="Arial" w:cs="Arial" w:eastAsia="Arial" w:hAnsi="Arial"/>
                  <w:sz w:val="20"/>
                  <w:szCs w:val="20"/>
                  <w:u w:val="single" w:color="auto"/>
                  <w:color w:val="0000EE"/>
                </w:rPr>
                <w:t>AUTHORIZATION OF BONDS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SECTION 2.</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SALE AND PURCHASE OF BONDS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SECTION 3.</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CLOSING</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SECTION 4.</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CONDITIONS TO CLOSING</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52"/>
        </w:trPr>
        <w:tc>
          <w:tcPr>
            <w:tcW w:w="1460" w:type="dxa"/>
            <w:vAlign w:val="bottom"/>
          </w:tcPr>
          <w:p>
            <w:pPr>
              <w:jc w:val="right"/>
              <w:ind w:right="21"/>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Section 4.1.</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5">
              <w:r>
                <w:rPr>
                  <w:rFonts w:ascii="Arial" w:cs="Arial" w:eastAsia="Arial" w:hAnsi="Arial"/>
                  <w:sz w:val="20"/>
                  <w:szCs w:val="20"/>
                  <w:u w:val="single" w:color="auto"/>
                  <w:color w:val="0000EE"/>
                </w:rPr>
                <w:t>Representations and Warranties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Section 4.2.</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Performance; No Default</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Section 4.3.</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Compliance Certificates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Section 4.4.</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Opinions of Counsel</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Section 4.5.</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Purchase Permitted by Applicable Law, Etc</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Section 4.6.</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Sale of Bonds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Section 4.7.</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Payment of Special Counsel Fees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Section 4.8.</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Private Placement Number</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Section 4.9.</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Changes in Corporate Structure</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Section 4.10.</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Funding Instructions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Section 4.11.</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Proceedings and Documents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Section 4.12.</w:t>
              </w:r>
            </w:hyperlink>
          </w:p>
        </w:tc>
        <w:tc>
          <w:tcPr>
            <w:tcW w:w="6000" w:type="dxa"/>
            <w:vAlign w:val="bottom"/>
          </w:tcPr>
          <w:p>
            <w:pPr>
              <w:ind w:left="120"/>
              <w:spacing w:after="0"/>
              <w:rPr>
                <w:rFonts w:ascii="Arial" w:cs="Arial" w:eastAsia="Arial" w:hAnsi="Arial"/>
                <w:sz w:val="20"/>
                <w:szCs w:val="20"/>
                <w:u w:val="single" w:color="auto"/>
                <w:color w:val="0000EE"/>
                <w:w w:val="97"/>
              </w:rPr>
            </w:pPr>
            <w:hyperlink w:anchor="page67">
              <w:r>
                <w:rPr>
                  <w:rFonts w:ascii="Arial" w:cs="Arial" w:eastAsia="Arial" w:hAnsi="Arial"/>
                  <w:sz w:val="20"/>
                  <w:szCs w:val="20"/>
                  <w:u w:val="single" w:color="auto"/>
                  <w:color w:val="0000EE"/>
                  <w:w w:val="97"/>
                </w:rPr>
                <w:t>Execution and Delivery and Filing and Recording of the Supplement</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50"/>
        </w:trPr>
        <w:tc>
          <w:tcPr>
            <w:tcW w:w="1460" w:type="dxa"/>
            <w:vAlign w:val="bottom"/>
          </w:tcPr>
          <w:p>
            <w:pPr>
              <w:jc w:val="right"/>
              <w:ind w:right="21"/>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Section 4.13.</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Regulatory Approvals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SECTION 5.</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REPRESENTATIONS AND WARRANTIES OF THE COMPANY</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52"/>
        </w:trPr>
        <w:tc>
          <w:tcPr>
            <w:tcW w:w="1460" w:type="dxa"/>
            <w:vAlign w:val="bottom"/>
          </w:tcPr>
          <w:p>
            <w:pPr>
              <w:jc w:val="right"/>
              <w:ind w:right="21"/>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Section 5.1.</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Organization; Power and Authority</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Section 5.2.</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Authorization, Etc</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Section 5.3.</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Disclosure</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Section 5.4.</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Organization and Ownership of Shares of Subsidiaries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Section 5.5.</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Financial Statements; Material Liabilities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Section 5.6.</w:t>
              </w:r>
            </w:hyperlink>
          </w:p>
        </w:tc>
        <w:tc>
          <w:tcPr>
            <w:tcW w:w="6000" w:type="dxa"/>
            <w:vAlign w:val="bottom"/>
          </w:tcPr>
          <w:p>
            <w:pPr>
              <w:ind w:left="120"/>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Compliance with Laws, Other Instruments, Etc</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Section 5.7.</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Governmental Authorizations, Etc</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Section 5.8.</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Litigation; Observance of Statutes and Orders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Section 5.9.</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Taxes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Section 5.10.</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Title to Property; Leases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Section 5.11.</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Licenses, Permits, Etc</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Section 5.12.</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Compliance with Employee Benefit Plans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Section 5.13.</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Private Offering by the Company</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29"/>
        </w:trPr>
        <w:tc>
          <w:tcPr>
            <w:tcW w:w="1460" w:type="dxa"/>
            <w:vAlign w:val="bottom"/>
          </w:tcPr>
          <w:p>
            <w:pPr>
              <w:jc w:val="right"/>
              <w:ind w:right="21"/>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Section 5.14.</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Use of Proceeds; Margin Regulations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Section 5.15.</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Existing Debt</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3">
              <w:r>
                <w:rPr>
                  <w:rFonts w:ascii="Arial" w:cs="Arial" w:eastAsia="Arial" w:hAnsi="Arial"/>
                  <w:sz w:val="20"/>
                  <w:szCs w:val="20"/>
                  <w:u w:val="single" w:color="auto"/>
                  <w:color w:val="0000EE"/>
                </w:rPr>
                <w:t>Section 5.16.</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3">
              <w:r>
                <w:rPr>
                  <w:rFonts w:ascii="Arial" w:cs="Arial" w:eastAsia="Arial" w:hAnsi="Arial"/>
                  <w:sz w:val="20"/>
                  <w:szCs w:val="20"/>
                  <w:u w:val="single" w:color="auto"/>
                  <w:color w:val="0000EE"/>
                </w:rPr>
                <w:t>Foreign Assets Control Regulations, Etc</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1460" w:type="dxa"/>
            <w:vAlign w:val="bottom"/>
          </w:tcPr>
          <w:p>
            <w:pPr>
              <w:jc w:val="right"/>
              <w:ind w:right="21"/>
              <w:spacing w:after="0"/>
              <w:rPr>
                <w:rFonts w:ascii="Arial" w:cs="Arial" w:eastAsia="Arial" w:hAnsi="Arial"/>
                <w:sz w:val="20"/>
                <w:szCs w:val="20"/>
                <w:u w:val="single" w:color="auto"/>
                <w:color w:val="0000EE"/>
              </w:rPr>
            </w:pPr>
            <w:hyperlink w:anchor="page73">
              <w:r>
                <w:rPr>
                  <w:rFonts w:ascii="Arial" w:cs="Arial" w:eastAsia="Arial" w:hAnsi="Arial"/>
                  <w:sz w:val="20"/>
                  <w:szCs w:val="20"/>
                  <w:u w:val="single" w:color="auto"/>
                  <w:color w:val="0000EE"/>
                </w:rPr>
                <w:t>Section 5.17.</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3">
              <w:r>
                <w:rPr>
                  <w:rFonts w:ascii="Arial" w:cs="Arial" w:eastAsia="Arial" w:hAnsi="Arial"/>
                  <w:sz w:val="20"/>
                  <w:szCs w:val="20"/>
                  <w:u w:val="single" w:color="auto"/>
                  <w:color w:val="0000EE"/>
                </w:rPr>
                <w:t>Status under Certain Statutes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50"/>
        </w:trPr>
        <w:tc>
          <w:tcPr>
            <w:tcW w:w="1460" w:type="dxa"/>
            <w:vAlign w:val="bottom"/>
          </w:tcPr>
          <w:p>
            <w:pPr>
              <w:jc w:val="right"/>
              <w:ind w:right="21"/>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Section 5.18.</w:t>
              </w:r>
            </w:hyperlink>
          </w:p>
        </w:tc>
        <w:tc>
          <w:tcPr>
            <w:tcW w:w="6000" w:type="dxa"/>
            <w:vAlign w:val="bottom"/>
          </w:tcPr>
          <w:p>
            <w:pPr>
              <w:ind w:left="120"/>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Environmental Matters</w:t>
              </w:r>
            </w:hyperlink>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r>
    </w:tbl>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367030</wp:posOffset>
            </wp:positionV>
            <wp:extent cx="550354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0" w:name="page61"/>
    <w:bookmarkEnd w:id="60"/>
    <w:tbl>
      <w:tblPr>
        <w:tblLayout w:type="fixed"/>
        <w:tblInd w:w="300" w:type="dxa"/>
        <w:tblCellMar>
          <w:top w:w="0" w:type="dxa"/>
          <w:left w:w="0" w:type="dxa"/>
          <w:bottom w:w="0" w:type="dxa"/>
          <w:right w:w="0" w:type="dxa"/>
        </w:tblCellMar>
      </w:tblPr>
      <w:tr>
        <w:trPr>
          <w:trHeight w:val="230"/>
        </w:trPr>
        <w:tc>
          <w:tcPr>
            <w:tcW w:w="1580" w:type="dxa"/>
            <w:vAlign w:val="bottom"/>
          </w:tcPr>
          <w:p>
            <w:pPr>
              <w:jc w:val="right"/>
              <w:ind w:right="141"/>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Section 5.19.</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Lien of Indenture</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50"/>
        </w:trPr>
        <w:tc>
          <w:tcPr>
            <w:tcW w:w="1580" w:type="dxa"/>
            <w:vAlign w:val="bottom"/>
          </w:tcPr>
          <w:p>
            <w:pPr>
              <w:jc w:val="right"/>
              <w:ind w:right="141"/>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Section 5.20.</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Filings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73"/>
        </w:trPr>
        <w:tc>
          <w:tcPr>
            <w:tcW w:w="1580" w:type="dxa"/>
            <w:vAlign w:val="bottom"/>
          </w:tcPr>
          <w:p>
            <w:pPr>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SECTION 6.</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REPRESENTATIONS OF THE PURCHASERS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52"/>
        </w:trPr>
        <w:tc>
          <w:tcPr>
            <w:tcW w:w="1580" w:type="dxa"/>
            <w:vAlign w:val="bottom"/>
          </w:tcPr>
          <w:p>
            <w:pPr>
              <w:jc w:val="right"/>
              <w:ind w:right="141"/>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Section 6.1.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Purchase for Investment</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0"/>
        </w:trPr>
        <w:tc>
          <w:tcPr>
            <w:tcW w:w="1580" w:type="dxa"/>
            <w:vAlign w:val="bottom"/>
          </w:tcPr>
          <w:p>
            <w:pPr>
              <w:jc w:val="right"/>
              <w:ind w:right="141"/>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Section 6.2.</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Source of Funds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473"/>
        </w:trPr>
        <w:tc>
          <w:tcPr>
            <w:tcW w:w="1580" w:type="dxa"/>
            <w:vAlign w:val="bottom"/>
          </w:tcPr>
          <w:p>
            <w:pPr>
              <w:spacing w:after="0"/>
              <w:rPr>
                <w:rFonts w:ascii="Arial" w:cs="Arial" w:eastAsia="Arial" w:hAnsi="Arial"/>
                <w:sz w:val="20"/>
                <w:szCs w:val="20"/>
                <w:u w:val="single" w:color="auto"/>
                <w:color w:val="0000EE"/>
              </w:rPr>
            </w:pPr>
            <w:hyperlink w:anchor="page77">
              <w:r>
                <w:rPr>
                  <w:rFonts w:ascii="Arial" w:cs="Arial" w:eastAsia="Arial" w:hAnsi="Arial"/>
                  <w:sz w:val="20"/>
                  <w:szCs w:val="20"/>
                  <w:u w:val="single" w:color="auto"/>
                  <w:color w:val="0000EE"/>
                </w:rPr>
                <w:t>SECTION 7.</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7">
              <w:r>
                <w:rPr>
                  <w:rFonts w:ascii="Arial" w:cs="Arial" w:eastAsia="Arial" w:hAnsi="Arial"/>
                  <w:sz w:val="20"/>
                  <w:szCs w:val="20"/>
                  <w:u w:val="single" w:color="auto"/>
                  <w:color w:val="0000EE"/>
                </w:rPr>
                <w:t>INFORMATION AS TO COMPANY</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452"/>
        </w:trPr>
        <w:tc>
          <w:tcPr>
            <w:tcW w:w="1580" w:type="dxa"/>
            <w:vAlign w:val="bottom"/>
          </w:tcPr>
          <w:p>
            <w:pPr>
              <w:jc w:val="right"/>
              <w:ind w:right="141"/>
              <w:spacing w:after="0"/>
              <w:rPr>
                <w:rFonts w:ascii="Arial" w:cs="Arial" w:eastAsia="Arial" w:hAnsi="Arial"/>
                <w:sz w:val="20"/>
                <w:szCs w:val="20"/>
                <w:u w:val="single" w:color="auto"/>
                <w:color w:val="0000EE"/>
              </w:rPr>
            </w:pPr>
            <w:hyperlink w:anchor="page77">
              <w:r>
                <w:rPr>
                  <w:rFonts w:ascii="Arial" w:cs="Arial" w:eastAsia="Arial" w:hAnsi="Arial"/>
                  <w:sz w:val="20"/>
                  <w:szCs w:val="20"/>
                  <w:u w:val="single" w:color="auto"/>
                  <w:color w:val="0000EE"/>
                </w:rPr>
                <w:t>Section 7.1.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7">
              <w:r>
                <w:rPr>
                  <w:rFonts w:ascii="Arial" w:cs="Arial" w:eastAsia="Arial" w:hAnsi="Arial"/>
                  <w:sz w:val="20"/>
                  <w:szCs w:val="20"/>
                  <w:u w:val="single" w:color="auto"/>
                  <w:color w:val="0000EE"/>
                </w:rPr>
                <w:t>Financial and Business Information</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29"/>
        </w:trPr>
        <w:tc>
          <w:tcPr>
            <w:tcW w:w="1580" w:type="dxa"/>
            <w:vAlign w:val="bottom"/>
          </w:tcPr>
          <w:p>
            <w:pPr>
              <w:jc w:val="right"/>
              <w:ind w:right="141"/>
              <w:spacing w:after="0"/>
              <w:rPr>
                <w:rFonts w:ascii="Arial" w:cs="Arial" w:eastAsia="Arial" w:hAnsi="Arial"/>
                <w:sz w:val="20"/>
                <w:szCs w:val="20"/>
                <w:u w:val="single" w:color="auto"/>
                <w:color w:val="0000EE"/>
              </w:rPr>
            </w:pPr>
            <w:hyperlink w:anchor="page79">
              <w:r>
                <w:rPr>
                  <w:rFonts w:ascii="Arial" w:cs="Arial" w:eastAsia="Arial" w:hAnsi="Arial"/>
                  <w:sz w:val="20"/>
                  <w:szCs w:val="20"/>
                  <w:u w:val="single" w:color="auto"/>
                  <w:color w:val="0000EE"/>
                </w:rPr>
                <w:t>Section 7.2</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9">
              <w:r>
                <w:rPr>
                  <w:rFonts w:ascii="Arial" w:cs="Arial" w:eastAsia="Arial" w:hAnsi="Arial"/>
                  <w:sz w:val="20"/>
                  <w:szCs w:val="20"/>
                  <w:u w:val="single" w:color="auto"/>
                  <w:color w:val="0000EE"/>
                </w:rPr>
                <w:t>Officer’s Certificate</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1580" w:type="dxa"/>
            <w:vAlign w:val="bottom"/>
          </w:tcPr>
          <w:p>
            <w:pPr>
              <w:jc w:val="right"/>
              <w:ind w:right="141"/>
              <w:spacing w:after="0"/>
              <w:rPr>
                <w:rFonts w:ascii="Arial" w:cs="Arial" w:eastAsia="Arial" w:hAnsi="Arial"/>
                <w:sz w:val="20"/>
                <w:szCs w:val="20"/>
                <w:u w:val="single" w:color="auto"/>
                <w:color w:val="0000EE"/>
              </w:rPr>
            </w:pPr>
            <w:hyperlink w:anchor="page79">
              <w:r>
                <w:rPr>
                  <w:rFonts w:ascii="Arial" w:cs="Arial" w:eastAsia="Arial" w:hAnsi="Arial"/>
                  <w:sz w:val="20"/>
                  <w:szCs w:val="20"/>
                  <w:u w:val="single" w:color="auto"/>
                  <w:color w:val="0000EE"/>
                </w:rPr>
                <w:t>Section 7.3.</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79">
              <w:r>
                <w:rPr>
                  <w:rFonts w:ascii="Arial" w:cs="Arial" w:eastAsia="Arial" w:hAnsi="Arial"/>
                  <w:sz w:val="20"/>
                  <w:szCs w:val="20"/>
                  <w:u w:val="single" w:color="auto"/>
                  <w:color w:val="0000EE"/>
                </w:rPr>
                <w:t>Visitation</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473"/>
        </w:trPr>
        <w:tc>
          <w:tcPr>
            <w:tcW w:w="1580" w:type="dxa"/>
            <w:vAlign w:val="bottom"/>
          </w:tcPr>
          <w:p>
            <w:pPr>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SECTION 8.</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PURCHASE OF BONDS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473"/>
        </w:trPr>
        <w:tc>
          <w:tcPr>
            <w:tcW w:w="1580" w:type="dxa"/>
            <w:vAlign w:val="bottom"/>
          </w:tcPr>
          <w:p>
            <w:pPr>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SECTION 9.</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AFFIRMATIVE COVENANTS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452"/>
        </w:trPr>
        <w:tc>
          <w:tcPr>
            <w:tcW w:w="1580" w:type="dxa"/>
            <w:vAlign w:val="bottom"/>
          </w:tcPr>
          <w:p>
            <w:pPr>
              <w:jc w:val="right"/>
              <w:ind w:right="141"/>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Section 9.1.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Compliance with Law</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29"/>
        </w:trPr>
        <w:tc>
          <w:tcPr>
            <w:tcW w:w="1580" w:type="dxa"/>
            <w:vAlign w:val="bottom"/>
          </w:tcPr>
          <w:p>
            <w:pPr>
              <w:jc w:val="right"/>
              <w:ind w:right="141"/>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Section 9.2.</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Insurance</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29"/>
        </w:trPr>
        <w:tc>
          <w:tcPr>
            <w:tcW w:w="1580" w:type="dxa"/>
            <w:vAlign w:val="bottom"/>
          </w:tcPr>
          <w:p>
            <w:pPr>
              <w:jc w:val="right"/>
              <w:ind w:right="141"/>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Section 9.3.</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Maintenance of Properties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0"/>
        </w:trPr>
        <w:tc>
          <w:tcPr>
            <w:tcW w:w="1580" w:type="dxa"/>
            <w:vAlign w:val="bottom"/>
          </w:tcPr>
          <w:p>
            <w:pPr>
              <w:jc w:val="right"/>
              <w:ind w:right="141"/>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Section 9.4.</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Payment of Taxes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29"/>
        </w:trPr>
        <w:tc>
          <w:tcPr>
            <w:tcW w:w="1580" w:type="dxa"/>
            <w:vAlign w:val="bottom"/>
          </w:tcPr>
          <w:p>
            <w:pPr>
              <w:jc w:val="right"/>
              <w:ind w:right="141"/>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Section 9.5.</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Corporate Existence, Etc</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50"/>
        </w:trPr>
        <w:tc>
          <w:tcPr>
            <w:tcW w:w="1580" w:type="dxa"/>
            <w:vAlign w:val="bottom"/>
          </w:tcPr>
          <w:p>
            <w:pPr>
              <w:jc w:val="right"/>
              <w:ind w:right="141"/>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Section 9.6.</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Books and Records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473"/>
        </w:trPr>
        <w:tc>
          <w:tcPr>
            <w:tcW w:w="1580" w:type="dxa"/>
            <w:vAlign w:val="bottom"/>
          </w:tcPr>
          <w:p>
            <w:pPr>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SECTION 10.</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NEGATIVE COVENANTS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452"/>
        </w:trPr>
        <w:tc>
          <w:tcPr>
            <w:tcW w:w="1580" w:type="dxa"/>
            <w:vAlign w:val="bottom"/>
          </w:tcPr>
          <w:p>
            <w:pPr>
              <w:jc w:val="right"/>
              <w:ind w:right="141"/>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Section 10.1.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Transactions with Affiliates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30"/>
        </w:trPr>
        <w:tc>
          <w:tcPr>
            <w:tcW w:w="1580" w:type="dxa"/>
            <w:vAlign w:val="bottom"/>
          </w:tcPr>
          <w:p>
            <w:pPr>
              <w:jc w:val="right"/>
              <w:ind w:right="141"/>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Section 10.2.</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Merger, Consolidation, Etc</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29"/>
        </w:trPr>
        <w:tc>
          <w:tcPr>
            <w:tcW w:w="1580" w:type="dxa"/>
            <w:vAlign w:val="bottom"/>
          </w:tcPr>
          <w:p>
            <w:pPr>
              <w:jc w:val="right"/>
              <w:ind w:right="141"/>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Section 10.3.</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Line of Business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0"/>
        </w:trPr>
        <w:tc>
          <w:tcPr>
            <w:tcW w:w="1580" w:type="dxa"/>
            <w:vAlign w:val="bottom"/>
          </w:tcPr>
          <w:p>
            <w:pPr>
              <w:jc w:val="right"/>
              <w:ind w:right="141"/>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Section 10.4.</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2">
              <w:r>
                <w:rPr>
                  <w:rFonts w:ascii="Arial" w:cs="Arial" w:eastAsia="Arial" w:hAnsi="Arial"/>
                  <w:sz w:val="20"/>
                  <w:szCs w:val="20"/>
                  <w:u w:val="single" w:color="auto"/>
                  <w:color w:val="0000EE"/>
                </w:rPr>
                <w:t>Economic Sanctions, Etc.</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473"/>
        </w:trPr>
        <w:tc>
          <w:tcPr>
            <w:tcW w:w="1580" w:type="dxa"/>
            <w:vAlign w:val="bottom"/>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SECTION 11.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PAYMENTS ON BONDS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473"/>
        </w:trPr>
        <w:tc>
          <w:tcPr>
            <w:tcW w:w="1580" w:type="dxa"/>
            <w:vAlign w:val="bottom"/>
          </w:tcPr>
          <w:p>
            <w:pPr>
              <w:jc w:val="right"/>
              <w:ind w:right="141"/>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Section 11.1.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Payment by Wire Transfer</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473"/>
        </w:trPr>
        <w:tc>
          <w:tcPr>
            <w:tcW w:w="1580" w:type="dxa"/>
            <w:vAlign w:val="bottom"/>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SECTION 12.</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REGISTRATION; EXCHANGE; EXPENSES, ETC</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452"/>
        </w:trPr>
        <w:tc>
          <w:tcPr>
            <w:tcW w:w="1580" w:type="dxa"/>
            <w:vAlign w:val="bottom"/>
          </w:tcPr>
          <w:p>
            <w:pPr>
              <w:jc w:val="right"/>
              <w:ind w:right="141"/>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Section 12.1.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Registration of Bonds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30"/>
        </w:trPr>
        <w:tc>
          <w:tcPr>
            <w:tcW w:w="1580" w:type="dxa"/>
            <w:vAlign w:val="bottom"/>
          </w:tcPr>
          <w:p>
            <w:pPr>
              <w:jc w:val="right"/>
              <w:ind w:right="141"/>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Section 12.2.</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Transaction Expenses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29"/>
        </w:trPr>
        <w:tc>
          <w:tcPr>
            <w:tcW w:w="1580" w:type="dxa"/>
            <w:vAlign w:val="bottom"/>
          </w:tcPr>
          <w:p>
            <w:pPr>
              <w:jc w:val="right"/>
              <w:ind w:right="141"/>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Section 12.3.</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Survival</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0"/>
        </w:trPr>
        <w:tc>
          <w:tcPr>
            <w:tcW w:w="1580" w:type="dxa"/>
            <w:vAlign w:val="bottom"/>
          </w:tcPr>
          <w:p>
            <w:pPr>
              <w:jc w:val="right"/>
              <w:ind w:right="141"/>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Section 12.4.</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Tax Withholding</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28"/>
        </w:trPr>
        <w:tc>
          <w:tcPr>
            <w:tcW w:w="1580" w:type="dxa"/>
            <w:vAlign w:val="bottom"/>
            <w:vMerge w:val="restart"/>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SECTION 13.</w:t>
              </w:r>
            </w:hyperlink>
          </w:p>
        </w:tc>
        <w:tc>
          <w:tcPr>
            <w:tcW w:w="57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84">
              <w:r>
                <w:rPr>
                  <w:rFonts w:ascii="Arial" w:cs="Arial" w:eastAsia="Arial" w:hAnsi="Arial"/>
                  <w:sz w:val="20"/>
                  <w:szCs w:val="20"/>
                  <w:color w:val="0000EE"/>
                  <w:w w:val="94"/>
                </w:rPr>
                <w:t>SURVIVAL OF REPRESENTATIONS AND WARRANTIES; ENTIRE</w:t>
              </w:r>
            </w:hyperlink>
          </w:p>
        </w:tc>
        <w:tc>
          <w:tcPr>
            <w:tcW w:w="4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32"/>
        </w:trPr>
        <w:tc>
          <w:tcPr>
            <w:tcW w:w="1580" w:type="dxa"/>
            <w:vAlign w:val="bottom"/>
            <w:vMerge w:val="continue"/>
          </w:tcPr>
          <w:p>
            <w:pPr>
              <w:spacing w:after="0"/>
              <w:rPr>
                <w:sz w:val="11"/>
                <w:szCs w:val="11"/>
                <w:color w:val="auto"/>
              </w:rPr>
            </w:pPr>
          </w:p>
        </w:tc>
        <w:tc>
          <w:tcPr>
            <w:tcW w:w="6200" w:type="dxa"/>
            <w:vAlign w:val="bottom"/>
            <w:gridSpan w:val="3"/>
            <w:vMerge w:val="restart"/>
          </w:tcPr>
          <w:p>
            <w:pPr>
              <w:spacing w:after="0" w:line="209" w:lineRule="exact"/>
              <w:rPr>
                <w:rFonts w:ascii="Arial" w:cs="Arial" w:eastAsia="Arial" w:hAnsi="Arial"/>
                <w:sz w:val="20"/>
                <w:szCs w:val="20"/>
                <w:color w:val="0000EE"/>
              </w:rPr>
            </w:pPr>
            <w:hyperlink w:anchor="page84">
              <w:r>
                <w:rPr>
                  <w:rFonts w:ascii="Arial" w:cs="Arial" w:eastAsia="Arial" w:hAnsi="Arial"/>
                  <w:sz w:val="20"/>
                  <w:szCs w:val="20"/>
                  <w:color w:val="0000EE"/>
                </w:rPr>
                <w:t>AGREEMENT</w:t>
              </w:r>
            </w:hyperlink>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580" w:type="dxa"/>
            <w:vAlign w:val="bottom"/>
          </w:tcPr>
          <w:p>
            <w:pPr>
              <w:spacing w:after="0"/>
              <w:rPr>
                <w:sz w:val="6"/>
                <w:szCs w:val="6"/>
                <w:color w:val="auto"/>
              </w:rPr>
            </w:pPr>
          </w:p>
        </w:tc>
        <w:tc>
          <w:tcPr>
            <w:tcW w:w="6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1580" w:type="dxa"/>
            <w:vAlign w:val="bottom"/>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SECTION 14.</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AMENDMENT AND WAIVER</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452"/>
        </w:trPr>
        <w:tc>
          <w:tcPr>
            <w:tcW w:w="1580" w:type="dxa"/>
            <w:vAlign w:val="bottom"/>
          </w:tcPr>
          <w:p>
            <w:pPr>
              <w:jc w:val="right"/>
              <w:ind w:right="141"/>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Section 14.1.</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Requirements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43"/>
        </w:trPr>
        <w:tc>
          <w:tcPr>
            <w:tcW w:w="1580" w:type="dxa"/>
            <w:vAlign w:val="bottom"/>
          </w:tcPr>
          <w:p>
            <w:pPr>
              <w:jc w:val="right"/>
              <w:ind w:right="141"/>
              <w:spacing w:after="0"/>
              <w:rPr>
                <w:rFonts w:ascii="Arial" w:cs="Arial" w:eastAsia="Arial" w:hAnsi="Arial"/>
                <w:sz w:val="20"/>
                <w:szCs w:val="20"/>
                <w:u w:val="single" w:color="auto"/>
                <w:color w:val="0000EE"/>
              </w:rPr>
            </w:pPr>
            <w:hyperlink w:anchor="page85">
              <w:r>
                <w:rPr>
                  <w:rFonts w:ascii="Arial" w:cs="Arial" w:eastAsia="Arial" w:hAnsi="Arial"/>
                  <w:sz w:val="20"/>
                  <w:szCs w:val="20"/>
                  <w:u w:val="single" w:color="auto"/>
                  <w:color w:val="0000EE"/>
                </w:rPr>
                <w:t>Section 14.2.</w:t>
              </w:r>
            </w:hyperlink>
          </w:p>
        </w:tc>
        <w:tc>
          <w:tcPr>
            <w:tcW w:w="6200" w:type="dxa"/>
            <w:vAlign w:val="bottom"/>
            <w:gridSpan w:val="3"/>
          </w:tcPr>
          <w:p>
            <w:pPr>
              <w:spacing w:after="0"/>
              <w:rPr>
                <w:rFonts w:ascii="Arial" w:cs="Arial" w:eastAsia="Arial" w:hAnsi="Arial"/>
                <w:sz w:val="20"/>
                <w:szCs w:val="20"/>
                <w:u w:val="single" w:color="auto"/>
                <w:color w:val="0000EE"/>
              </w:rPr>
            </w:pPr>
            <w:hyperlink w:anchor="page85">
              <w:r>
                <w:rPr>
                  <w:rFonts w:ascii="Arial" w:cs="Arial" w:eastAsia="Arial" w:hAnsi="Arial"/>
                  <w:sz w:val="20"/>
                  <w:szCs w:val="20"/>
                  <w:u w:val="single" w:color="auto"/>
                  <w:color w:val="0000EE"/>
                </w:rPr>
                <w:t>Solicitation of Holders of Bonds</w:t>
              </w:r>
            </w:hyperlink>
          </w:p>
        </w:tc>
        <w:tc>
          <w:tcPr>
            <w:tcW w:w="7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355600</wp:posOffset>
            </wp:positionV>
            <wp:extent cx="550354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65" w:right="1440" w:bottom="1440" w:gutter="0" w:footer="0" w:header="0"/>
        </w:sectPr>
      </w:pPr>
    </w:p>
    <w:bookmarkStart w:id="61" w:name="page62"/>
    <w:bookmarkEnd w:id="61"/>
    <w:tbl>
      <w:tblPr>
        <w:tblLayout w:type="fixed"/>
        <w:tblInd w:w="300" w:type="dxa"/>
        <w:tblCellMar>
          <w:top w:w="0" w:type="dxa"/>
          <w:left w:w="0" w:type="dxa"/>
          <w:bottom w:w="0" w:type="dxa"/>
          <w:right w:w="0" w:type="dxa"/>
        </w:tblCellMar>
      </w:tblPr>
      <w:tr>
        <w:trPr>
          <w:trHeight w:val="230"/>
        </w:trPr>
        <w:tc>
          <w:tcPr>
            <w:tcW w:w="1460" w:type="dxa"/>
            <w:vAlign w:val="bottom"/>
          </w:tcPr>
          <w:p>
            <w:pPr>
              <w:ind w:left="300"/>
              <w:spacing w:after="0"/>
              <w:rPr>
                <w:rFonts w:ascii="Arial" w:cs="Arial" w:eastAsia="Arial" w:hAnsi="Arial"/>
                <w:sz w:val="20"/>
                <w:szCs w:val="20"/>
                <w:u w:val="single" w:color="auto"/>
                <w:color w:val="0000EE"/>
                <w:w w:val="97"/>
              </w:rPr>
            </w:pPr>
            <w:hyperlink w:anchor="page85">
              <w:r>
                <w:rPr>
                  <w:rFonts w:ascii="Arial" w:cs="Arial" w:eastAsia="Arial" w:hAnsi="Arial"/>
                  <w:sz w:val="20"/>
                  <w:szCs w:val="20"/>
                  <w:u w:val="single" w:color="auto"/>
                  <w:color w:val="0000EE"/>
                  <w:w w:val="97"/>
                </w:rPr>
                <w:t>Section 14.3.</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5">
              <w:r>
                <w:rPr>
                  <w:rFonts w:ascii="Arial" w:cs="Arial" w:eastAsia="Arial" w:hAnsi="Arial"/>
                  <w:sz w:val="20"/>
                  <w:szCs w:val="20"/>
                  <w:u w:val="single" w:color="auto"/>
                  <w:color w:val="0000EE"/>
                </w:rPr>
                <w:t>Binding Effect, Etc</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0"/>
        </w:trPr>
        <w:tc>
          <w:tcPr>
            <w:tcW w:w="1460" w:type="dxa"/>
            <w:vAlign w:val="bottom"/>
          </w:tcPr>
          <w:p>
            <w:pPr>
              <w:ind w:left="300"/>
              <w:spacing w:after="0"/>
              <w:rPr>
                <w:rFonts w:ascii="Arial" w:cs="Arial" w:eastAsia="Arial" w:hAnsi="Arial"/>
                <w:sz w:val="20"/>
                <w:szCs w:val="20"/>
                <w:u w:val="single" w:color="auto"/>
                <w:color w:val="0000EE"/>
                <w:w w:val="97"/>
              </w:rPr>
            </w:pPr>
            <w:hyperlink w:anchor="page86">
              <w:r>
                <w:rPr>
                  <w:rFonts w:ascii="Arial" w:cs="Arial" w:eastAsia="Arial" w:hAnsi="Arial"/>
                  <w:sz w:val="20"/>
                  <w:szCs w:val="20"/>
                  <w:u w:val="single" w:color="auto"/>
                  <w:color w:val="0000EE"/>
                  <w:w w:val="97"/>
                </w:rPr>
                <w:t>Section 14.4.</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Bonds Held by Company, Etc</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SECTION 15.</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NOTICES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SECTION 16.</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INDEMNIFICATION</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SECTION 17.</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REPRODUCTION OF DOCUMENTS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87">
              <w:r>
                <w:rPr>
                  <w:rFonts w:ascii="Arial" w:cs="Arial" w:eastAsia="Arial" w:hAnsi="Arial"/>
                  <w:sz w:val="20"/>
                  <w:szCs w:val="20"/>
                  <w:u w:val="single" w:color="auto"/>
                  <w:color w:val="0000EE"/>
                </w:rPr>
                <w:t>SECTION 18.</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7">
              <w:r>
                <w:rPr>
                  <w:rFonts w:ascii="Arial" w:cs="Arial" w:eastAsia="Arial" w:hAnsi="Arial"/>
                  <w:sz w:val="20"/>
                  <w:szCs w:val="20"/>
                  <w:u w:val="single" w:color="auto"/>
                  <w:color w:val="0000EE"/>
                </w:rPr>
                <w:t>CONFIDENTIAL INFORMATION</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73"/>
        </w:trPr>
        <w:tc>
          <w:tcPr>
            <w:tcW w:w="1460" w:type="dxa"/>
            <w:vAlign w:val="bottom"/>
          </w:tcPr>
          <w:p>
            <w:pPr>
              <w:spacing w:after="0"/>
              <w:rPr>
                <w:rFonts w:ascii="Arial" w:cs="Arial" w:eastAsia="Arial" w:hAnsi="Arial"/>
                <w:sz w:val="20"/>
                <w:szCs w:val="20"/>
                <w:u w:val="single" w:color="auto"/>
                <w:color w:val="0000EE"/>
              </w:rPr>
            </w:pPr>
            <w:hyperlink w:anchor="page88">
              <w:r>
                <w:rPr>
                  <w:rFonts w:ascii="Arial" w:cs="Arial" w:eastAsia="Arial" w:hAnsi="Arial"/>
                  <w:sz w:val="20"/>
                  <w:szCs w:val="20"/>
                  <w:u w:val="single" w:color="auto"/>
                  <w:color w:val="0000EE"/>
                </w:rPr>
                <w:t>SECTION 19.</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8">
              <w:r>
                <w:rPr>
                  <w:rFonts w:ascii="Arial" w:cs="Arial" w:eastAsia="Arial" w:hAnsi="Arial"/>
                  <w:sz w:val="20"/>
                  <w:szCs w:val="20"/>
                  <w:u w:val="single" w:color="auto"/>
                  <w:color w:val="0000EE"/>
                </w:rPr>
                <w:t>MISCELLANEOUS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52"/>
        </w:trPr>
        <w:tc>
          <w:tcPr>
            <w:tcW w:w="1460" w:type="dxa"/>
            <w:vAlign w:val="bottom"/>
          </w:tcPr>
          <w:p>
            <w:pPr>
              <w:ind w:left="300"/>
              <w:spacing w:after="0"/>
              <w:rPr>
                <w:rFonts w:ascii="Arial" w:cs="Arial" w:eastAsia="Arial" w:hAnsi="Arial"/>
                <w:sz w:val="20"/>
                <w:szCs w:val="20"/>
                <w:u w:val="single" w:color="auto"/>
                <w:color w:val="0000EE"/>
                <w:w w:val="97"/>
              </w:rPr>
            </w:pPr>
            <w:hyperlink w:anchor="page88">
              <w:r>
                <w:rPr>
                  <w:rFonts w:ascii="Arial" w:cs="Arial" w:eastAsia="Arial" w:hAnsi="Arial"/>
                  <w:sz w:val="20"/>
                  <w:szCs w:val="20"/>
                  <w:u w:val="single" w:color="auto"/>
                  <w:color w:val="0000EE"/>
                  <w:w w:val="97"/>
                </w:rPr>
                <w:t>Section 19.1.</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8">
              <w:r>
                <w:rPr>
                  <w:rFonts w:ascii="Arial" w:cs="Arial" w:eastAsia="Arial" w:hAnsi="Arial"/>
                  <w:sz w:val="20"/>
                  <w:szCs w:val="20"/>
                  <w:u w:val="single" w:color="auto"/>
                  <w:color w:val="0000EE"/>
                </w:rPr>
                <w:t>Successors and Assigns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460" w:type="dxa"/>
            <w:vAlign w:val="bottom"/>
          </w:tcPr>
          <w:p>
            <w:pPr>
              <w:ind w:left="300"/>
              <w:spacing w:after="0"/>
              <w:rPr>
                <w:rFonts w:ascii="Arial" w:cs="Arial" w:eastAsia="Arial" w:hAnsi="Arial"/>
                <w:sz w:val="20"/>
                <w:szCs w:val="20"/>
                <w:u w:val="single" w:color="auto"/>
                <w:color w:val="0000EE"/>
                <w:w w:val="97"/>
              </w:rPr>
            </w:pPr>
            <w:hyperlink w:anchor="page88">
              <w:r>
                <w:rPr>
                  <w:rFonts w:ascii="Arial" w:cs="Arial" w:eastAsia="Arial" w:hAnsi="Arial"/>
                  <w:sz w:val="20"/>
                  <w:szCs w:val="20"/>
                  <w:u w:val="single" w:color="auto"/>
                  <w:color w:val="0000EE"/>
                  <w:w w:val="97"/>
                </w:rPr>
                <w:t>Section 19.2.</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8">
              <w:r>
                <w:rPr>
                  <w:rFonts w:ascii="Arial" w:cs="Arial" w:eastAsia="Arial" w:hAnsi="Arial"/>
                  <w:sz w:val="20"/>
                  <w:szCs w:val="20"/>
                  <w:u w:val="single" w:color="auto"/>
                  <w:color w:val="0000EE"/>
                </w:rPr>
                <w:t>Accounting Terms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1460" w:type="dxa"/>
            <w:vAlign w:val="bottom"/>
          </w:tcPr>
          <w:p>
            <w:pPr>
              <w:ind w:left="300"/>
              <w:spacing w:after="0"/>
              <w:rPr>
                <w:rFonts w:ascii="Arial" w:cs="Arial" w:eastAsia="Arial" w:hAnsi="Arial"/>
                <w:sz w:val="20"/>
                <w:szCs w:val="20"/>
                <w:u w:val="single" w:color="auto"/>
                <w:color w:val="0000EE"/>
                <w:w w:val="97"/>
              </w:rPr>
            </w:pPr>
            <w:hyperlink w:anchor="page88">
              <w:r>
                <w:rPr>
                  <w:rFonts w:ascii="Arial" w:cs="Arial" w:eastAsia="Arial" w:hAnsi="Arial"/>
                  <w:sz w:val="20"/>
                  <w:szCs w:val="20"/>
                  <w:u w:val="single" w:color="auto"/>
                  <w:color w:val="0000EE"/>
                  <w:w w:val="97"/>
                </w:rPr>
                <w:t>Section 19.3.</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8">
              <w:r>
                <w:rPr>
                  <w:rFonts w:ascii="Arial" w:cs="Arial" w:eastAsia="Arial" w:hAnsi="Arial"/>
                  <w:sz w:val="20"/>
                  <w:szCs w:val="20"/>
                  <w:u w:val="single" w:color="auto"/>
                  <w:color w:val="0000EE"/>
                </w:rPr>
                <w:t>Severability</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1460" w:type="dxa"/>
            <w:vAlign w:val="bottom"/>
          </w:tcPr>
          <w:p>
            <w:pPr>
              <w:ind w:left="300"/>
              <w:spacing w:after="0"/>
              <w:rPr>
                <w:rFonts w:ascii="Arial" w:cs="Arial" w:eastAsia="Arial" w:hAnsi="Arial"/>
                <w:sz w:val="20"/>
                <w:szCs w:val="20"/>
                <w:u w:val="single" w:color="auto"/>
                <w:color w:val="0000EE"/>
                <w:w w:val="97"/>
              </w:rPr>
            </w:pPr>
            <w:hyperlink w:anchor="page89">
              <w:r>
                <w:rPr>
                  <w:rFonts w:ascii="Arial" w:cs="Arial" w:eastAsia="Arial" w:hAnsi="Arial"/>
                  <w:sz w:val="20"/>
                  <w:szCs w:val="20"/>
                  <w:u w:val="single" w:color="auto"/>
                  <w:color w:val="0000EE"/>
                  <w:w w:val="97"/>
                </w:rPr>
                <w:t>Section 19.4.</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9">
              <w:r>
                <w:rPr>
                  <w:rFonts w:ascii="Arial" w:cs="Arial" w:eastAsia="Arial" w:hAnsi="Arial"/>
                  <w:sz w:val="20"/>
                  <w:szCs w:val="20"/>
                  <w:u w:val="single" w:color="auto"/>
                  <w:color w:val="0000EE"/>
                </w:rPr>
                <w:t>Construction, Etc</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460" w:type="dxa"/>
            <w:vAlign w:val="bottom"/>
          </w:tcPr>
          <w:p>
            <w:pPr>
              <w:ind w:left="300"/>
              <w:spacing w:after="0"/>
              <w:rPr>
                <w:rFonts w:ascii="Arial" w:cs="Arial" w:eastAsia="Arial" w:hAnsi="Arial"/>
                <w:sz w:val="20"/>
                <w:szCs w:val="20"/>
                <w:u w:val="single" w:color="auto"/>
                <w:color w:val="0000EE"/>
                <w:w w:val="97"/>
              </w:rPr>
            </w:pPr>
            <w:hyperlink w:anchor="page89">
              <w:r>
                <w:rPr>
                  <w:rFonts w:ascii="Arial" w:cs="Arial" w:eastAsia="Arial" w:hAnsi="Arial"/>
                  <w:sz w:val="20"/>
                  <w:szCs w:val="20"/>
                  <w:u w:val="single" w:color="auto"/>
                  <w:color w:val="0000EE"/>
                  <w:w w:val="97"/>
                </w:rPr>
                <w:t>Section 19.5.</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9">
              <w:r>
                <w:rPr>
                  <w:rFonts w:ascii="Arial" w:cs="Arial" w:eastAsia="Arial" w:hAnsi="Arial"/>
                  <w:sz w:val="20"/>
                  <w:szCs w:val="20"/>
                  <w:u w:val="single" w:color="auto"/>
                  <w:color w:val="0000EE"/>
                </w:rPr>
                <w:t>Counterparts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1460" w:type="dxa"/>
            <w:vAlign w:val="bottom"/>
          </w:tcPr>
          <w:p>
            <w:pPr>
              <w:ind w:left="300"/>
              <w:spacing w:after="0"/>
              <w:rPr>
                <w:rFonts w:ascii="Arial" w:cs="Arial" w:eastAsia="Arial" w:hAnsi="Arial"/>
                <w:sz w:val="20"/>
                <w:szCs w:val="20"/>
                <w:u w:val="single" w:color="auto"/>
                <w:color w:val="0000EE"/>
                <w:w w:val="97"/>
              </w:rPr>
            </w:pPr>
            <w:hyperlink w:anchor="page89">
              <w:r>
                <w:rPr>
                  <w:rFonts w:ascii="Arial" w:cs="Arial" w:eastAsia="Arial" w:hAnsi="Arial"/>
                  <w:sz w:val="20"/>
                  <w:szCs w:val="20"/>
                  <w:u w:val="single" w:color="auto"/>
                  <w:color w:val="0000EE"/>
                  <w:w w:val="97"/>
                </w:rPr>
                <w:t>Section 19.6.</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9">
              <w:r>
                <w:rPr>
                  <w:rFonts w:ascii="Arial" w:cs="Arial" w:eastAsia="Arial" w:hAnsi="Arial"/>
                  <w:sz w:val="20"/>
                  <w:szCs w:val="20"/>
                  <w:u w:val="single" w:color="auto"/>
                  <w:color w:val="0000EE"/>
                </w:rPr>
                <w:t>Governing Law</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1460" w:type="dxa"/>
            <w:vAlign w:val="bottom"/>
          </w:tcPr>
          <w:p>
            <w:pPr>
              <w:ind w:left="300"/>
              <w:spacing w:after="0"/>
              <w:rPr>
                <w:rFonts w:ascii="Arial" w:cs="Arial" w:eastAsia="Arial" w:hAnsi="Arial"/>
                <w:sz w:val="20"/>
                <w:szCs w:val="20"/>
                <w:u w:val="single" w:color="auto"/>
                <w:color w:val="0000EE"/>
                <w:w w:val="97"/>
              </w:rPr>
            </w:pPr>
            <w:hyperlink w:anchor="page89">
              <w:r>
                <w:rPr>
                  <w:rFonts w:ascii="Arial" w:cs="Arial" w:eastAsia="Arial" w:hAnsi="Arial"/>
                  <w:sz w:val="20"/>
                  <w:szCs w:val="20"/>
                  <w:u w:val="single" w:color="auto"/>
                  <w:color w:val="0000EE"/>
                  <w:w w:val="97"/>
                </w:rPr>
                <w:t>Section 19.7.</w:t>
              </w:r>
            </w:hyperlink>
          </w:p>
        </w:tc>
        <w:tc>
          <w:tcPr>
            <w:tcW w:w="5280" w:type="dxa"/>
            <w:vAlign w:val="bottom"/>
          </w:tcPr>
          <w:p>
            <w:pPr>
              <w:ind w:left="120"/>
              <w:spacing w:after="0"/>
              <w:rPr>
                <w:rFonts w:ascii="Arial" w:cs="Arial" w:eastAsia="Arial" w:hAnsi="Arial"/>
                <w:sz w:val="20"/>
                <w:szCs w:val="20"/>
                <w:u w:val="single" w:color="auto"/>
                <w:color w:val="0000EE"/>
              </w:rPr>
            </w:pPr>
            <w:hyperlink w:anchor="page89">
              <w:r>
                <w:rPr>
                  <w:rFonts w:ascii="Arial" w:cs="Arial" w:eastAsia="Arial" w:hAnsi="Arial"/>
                  <w:sz w:val="20"/>
                  <w:szCs w:val="20"/>
                  <w:u w:val="single" w:color="auto"/>
                  <w:color w:val="0000EE"/>
                </w:rPr>
                <w:t>Jurisdiction and Process; Waiver of Jury Trial</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50"/>
        </w:trPr>
        <w:tc>
          <w:tcPr>
            <w:tcW w:w="1460" w:type="dxa"/>
            <w:vAlign w:val="bottom"/>
          </w:tcPr>
          <w:p>
            <w:pPr>
              <w:ind w:left="300"/>
              <w:spacing w:after="0"/>
              <w:rPr>
                <w:rFonts w:ascii="Arial" w:cs="Arial" w:eastAsia="Arial" w:hAnsi="Arial"/>
                <w:sz w:val="20"/>
                <w:szCs w:val="20"/>
                <w:u w:val="single" w:color="auto"/>
                <w:color w:val="0000EE"/>
                <w:w w:val="97"/>
              </w:rPr>
            </w:pPr>
            <w:hyperlink w:anchor="page90">
              <w:r>
                <w:rPr>
                  <w:rFonts w:ascii="Arial" w:cs="Arial" w:eastAsia="Arial" w:hAnsi="Arial"/>
                  <w:sz w:val="20"/>
                  <w:szCs w:val="20"/>
                  <w:u w:val="single" w:color="auto"/>
                  <w:color w:val="0000EE"/>
                  <w:w w:val="97"/>
                </w:rPr>
                <w:t>Section 19.8.</w:t>
              </w:r>
            </w:hyperlink>
          </w:p>
        </w:tc>
        <w:tc>
          <w:tcPr>
            <w:tcW w:w="5280" w:type="dxa"/>
            <w:vAlign w:val="bottom"/>
          </w:tcPr>
          <w:p>
            <w:pPr>
              <w:ind w:left="120"/>
              <w:spacing w:after="0"/>
              <w:rPr>
                <w:rFonts w:ascii="Arial" w:cs="Arial" w:eastAsia="Arial" w:hAnsi="Arial"/>
                <w:sz w:val="20"/>
                <w:szCs w:val="20"/>
                <w:u w:val="single" w:color="auto"/>
                <w:color w:val="0000EE"/>
              </w:rPr>
            </w:pPr>
            <w:hyperlink w:anchor="page90">
              <w:r>
                <w:rPr>
                  <w:rFonts w:ascii="Arial" w:cs="Arial" w:eastAsia="Arial" w:hAnsi="Arial"/>
                  <w:sz w:val="20"/>
                  <w:szCs w:val="20"/>
                  <w:u w:val="single" w:color="auto"/>
                  <w:color w:val="0000EE"/>
                </w:rPr>
                <w:t>Payments Due on Non-Business Days</w:t>
              </w:r>
            </w:hyperlink>
          </w:p>
        </w:tc>
        <w:tc>
          <w:tcPr>
            <w:tcW w:w="1740" w:type="dxa"/>
            <w:vAlign w:val="bottom"/>
          </w:tcPr>
          <w:p>
            <w:pPr>
              <w:jc w:val="right"/>
              <w:spacing w:after="0"/>
              <w:rPr>
                <w:sz w:val="20"/>
                <w:szCs w:val="20"/>
                <w:color w:val="auto"/>
              </w:rPr>
            </w:pPr>
            <w:r>
              <w:rPr>
                <w:rFonts w:ascii="Arial" w:cs="Arial" w:eastAsia="Arial" w:hAnsi="Arial"/>
                <w:sz w:val="20"/>
                <w:szCs w:val="20"/>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367030</wp:posOffset>
            </wp:positionV>
            <wp:extent cx="550354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62" w:name="page63"/>
    <w:bookmarkEnd w:id="62"/>
    <w:tbl>
      <w:tblPr>
        <w:tblLayout w:type="fixed"/>
        <w:tblInd w:w="18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Arial" w:cs="Arial" w:eastAsia="Arial" w:hAnsi="Arial"/>
                <w:sz w:val="22"/>
                <w:szCs w:val="22"/>
                <w:color w:val="auto"/>
              </w:rPr>
              <w:t>Schedule A</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Information Relating to Purchasers</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Schedule B</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Defined Terms</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Schedule 5.4</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w w:val="88"/>
              </w:rPr>
              <w:t>Subsidiaries of the Company and Ownership of Subsidiary Stock</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Schedule 5.5</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Financial Statements</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Schedule 5.15(a)</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Existing Debt</w:t>
            </w:r>
          </w:p>
        </w:tc>
      </w:tr>
      <w:tr>
        <w:trPr>
          <w:trHeight w:val="284"/>
        </w:trPr>
        <w:tc>
          <w:tcPr>
            <w:tcW w:w="1780" w:type="dxa"/>
            <w:vAlign w:val="bottom"/>
          </w:tcPr>
          <w:p>
            <w:pPr>
              <w:spacing w:after="0"/>
              <w:rPr>
                <w:sz w:val="20"/>
                <w:szCs w:val="20"/>
                <w:color w:val="auto"/>
              </w:rPr>
            </w:pPr>
            <w:r>
              <w:rPr>
                <w:rFonts w:ascii="Arial" w:cs="Arial" w:eastAsia="Arial" w:hAnsi="Arial"/>
                <w:sz w:val="22"/>
                <w:szCs w:val="22"/>
                <w:color w:val="auto"/>
              </w:rPr>
              <w:t>Schedule 5.15(b)</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Debt Instruments</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Exhibit A</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Form of Fifty-eighth Supplemental Indenture</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Exhibit 4.4(a)</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Form of Opinion of Counsel for the Company</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Exhibit 4.4(b)</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Form of Opinion of Special Counsel for the Company</w:t>
            </w:r>
          </w:p>
        </w:tc>
      </w:tr>
      <w:tr>
        <w:trPr>
          <w:trHeight w:val="283"/>
        </w:trPr>
        <w:tc>
          <w:tcPr>
            <w:tcW w:w="1780" w:type="dxa"/>
            <w:vAlign w:val="bottom"/>
          </w:tcPr>
          <w:p>
            <w:pPr>
              <w:spacing w:after="0"/>
              <w:rPr>
                <w:sz w:val="20"/>
                <w:szCs w:val="20"/>
                <w:color w:val="auto"/>
              </w:rPr>
            </w:pPr>
            <w:r>
              <w:rPr>
                <w:rFonts w:ascii="Arial" w:cs="Arial" w:eastAsia="Arial" w:hAnsi="Arial"/>
                <w:sz w:val="22"/>
                <w:szCs w:val="22"/>
                <w:color w:val="auto"/>
              </w:rPr>
              <w:t>Exhibit 4.4(c)</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Form of Opinion of Special Counsel for the Purchasers</w:t>
            </w:r>
          </w:p>
        </w:tc>
      </w:tr>
      <w:tr>
        <w:trPr>
          <w:trHeight w:val="311"/>
        </w:trPr>
        <w:tc>
          <w:tcPr>
            <w:tcW w:w="1780" w:type="dxa"/>
            <w:vAlign w:val="bottom"/>
          </w:tcPr>
          <w:p>
            <w:pPr>
              <w:spacing w:after="0"/>
              <w:rPr>
                <w:sz w:val="20"/>
                <w:szCs w:val="20"/>
                <w:color w:val="auto"/>
              </w:rPr>
            </w:pPr>
            <w:r>
              <w:rPr>
                <w:rFonts w:ascii="Arial" w:cs="Arial" w:eastAsia="Arial" w:hAnsi="Arial"/>
                <w:sz w:val="22"/>
                <w:szCs w:val="22"/>
                <w:color w:val="auto"/>
              </w:rPr>
              <w:t>Exhibit 12.4</w:t>
            </w:r>
          </w:p>
        </w:tc>
        <w:tc>
          <w:tcPr>
            <w:tcW w:w="680" w:type="dxa"/>
            <w:vAlign w:val="bottom"/>
          </w:tcPr>
          <w:p>
            <w:pPr>
              <w:ind w:left="280"/>
              <w:spacing w:after="0"/>
              <w:rPr>
                <w:sz w:val="20"/>
                <w:szCs w:val="20"/>
                <w:color w:val="auto"/>
              </w:rPr>
            </w:pPr>
            <w:r>
              <w:rPr>
                <w:rFonts w:ascii="Arial" w:cs="Arial" w:eastAsia="Arial" w:hAnsi="Arial"/>
                <w:sz w:val="22"/>
                <w:szCs w:val="22"/>
                <w:color w:val="auto"/>
              </w:rPr>
              <w:t>—</w:t>
            </w:r>
          </w:p>
        </w:tc>
        <w:tc>
          <w:tcPr>
            <w:tcW w:w="5800" w:type="dxa"/>
            <w:vAlign w:val="bottom"/>
          </w:tcPr>
          <w:p>
            <w:pPr>
              <w:ind w:left="180"/>
              <w:spacing w:after="0"/>
              <w:rPr>
                <w:sz w:val="20"/>
                <w:szCs w:val="20"/>
                <w:color w:val="auto"/>
              </w:rPr>
            </w:pPr>
            <w:r>
              <w:rPr>
                <w:rFonts w:ascii="Arial" w:cs="Arial" w:eastAsia="Arial" w:hAnsi="Arial"/>
                <w:sz w:val="22"/>
                <w:szCs w:val="22"/>
                <w:color w:val="auto"/>
              </w:rPr>
              <w:t>Form of 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367030</wp:posOffset>
            </wp:positionV>
            <wp:extent cx="550354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b w:val="1"/>
          <w:bCs w:val="1"/>
          <w:color w:val="auto"/>
        </w:rPr>
        <w:t>AQUA PENNSYLVANIA,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762 West Lancaster Avenue</w:t>
      </w:r>
    </w:p>
    <w:p>
      <w:pPr>
        <w:jc w:val="center"/>
        <w:ind w:right="19"/>
        <w:spacing w:after="0"/>
        <w:rPr>
          <w:sz w:val="20"/>
          <w:szCs w:val="20"/>
          <w:color w:val="auto"/>
        </w:rPr>
      </w:pPr>
      <w:r>
        <w:rPr>
          <w:rFonts w:ascii="Arial" w:cs="Arial" w:eastAsia="Arial" w:hAnsi="Arial"/>
          <w:sz w:val="22"/>
          <w:szCs w:val="22"/>
          <w:color w:val="auto"/>
        </w:rPr>
        <w:t>Bryn Mawr, Pennsylvania 19010-3489</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$175,000,000</w:t>
      </w:r>
    </w:p>
    <w:p>
      <w:pPr>
        <w:spacing w:after="0" w:line="314" w:lineRule="exact"/>
        <w:rPr>
          <w:sz w:val="20"/>
          <w:szCs w:val="20"/>
          <w:color w:val="auto"/>
        </w:rPr>
      </w:pPr>
    </w:p>
    <w:p>
      <w:pPr>
        <w:jc w:val="both"/>
        <w:ind w:left="1600" w:right="1619"/>
        <w:spacing w:after="0" w:line="297" w:lineRule="auto"/>
        <w:rPr>
          <w:sz w:val="20"/>
          <w:szCs w:val="20"/>
          <w:color w:val="auto"/>
        </w:rPr>
      </w:pPr>
      <w:r>
        <w:rPr>
          <w:rFonts w:ascii="Arial" w:cs="Arial" w:eastAsia="Arial" w:hAnsi="Arial"/>
          <w:sz w:val="19"/>
          <w:szCs w:val="19"/>
          <w:color w:val="auto"/>
        </w:rPr>
        <w:t>$75,000,000 First Mortgage Bonds, 3.49% Series due June 1, 2051 $50,000,000 First Mortgage Bonds, 3.54% Series due June 1, 2055 $50,000,000 First Mortgage Bonds, 3.55% Series due June 1, 2056</w:t>
      </w:r>
    </w:p>
    <w:p>
      <w:pPr>
        <w:spacing w:after="0" w:line="174" w:lineRule="exact"/>
        <w:rPr>
          <w:sz w:val="20"/>
          <w:szCs w:val="20"/>
          <w:color w:val="auto"/>
        </w:rPr>
      </w:pPr>
    </w:p>
    <w:p>
      <w:pPr>
        <w:jc w:val="right"/>
        <w:ind w:right="199"/>
        <w:spacing w:after="0"/>
        <w:rPr>
          <w:sz w:val="20"/>
          <w:szCs w:val="20"/>
          <w:color w:val="auto"/>
        </w:rPr>
      </w:pPr>
      <w:r>
        <w:rPr>
          <w:rFonts w:ascii="Arial" w:cs="Arial" w:eastAsia="Arial" w:hAnsi="Arial"/>
          <w:sz w:val="22"/>
          <w:szCs w:val="22"/>
          <w:color w:val="auto"/>
        </w:rPr>
        <w:t>As of May 1, 2020</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To Each of the Purchasers Listed in</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Schedule A Hereto:</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jc w:val="both"/>
        <w:ind w:left="180" w:right="199" w:firstLine="648"/>
        <w:spacing w:after="0" w:line="297" w:lineRule="auto"/>
        <w:rPr>
          <w:sz w:val="20"/>
          <w:szCs w:val="20"/>
          <w:color w:val="auto"/>
        </w:rPr>
      </w:pPr>
      <w:r>
        <w:rPr>
          <w:rFonts w:ascii="Arial" w:cs="Arial" w:eastAsia="Arial" w:hAnsi="Arial"/>
          <w:sz w:val="19"/>
          <w:szCs w:val="19"/>
          <w:color w:val="auto"/>
        </w:rPr>
        <w:t xml:space="preserve">Aqua Pennsylvania, Inc., a corporation organized under the laws of the Commonwealth of Pennsylvania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agrees with each of the purchasers whose names appear at the end hereof (each, a </w:t>
      </w:r>
      <w:r>
        <w:rPr>
          <w:rFonts w:ascii="Arial" w:cs="Arial" w:eastAsia="Arial" w:hAnsi="Arial"/>
          <w:sz w:val="19"/>
          <w:szCs w:val="19"/>
          <w:i w:val="1"/>
          <w:iCs w:val="1"/>
          <w:color w:val="auto"/>
        </w:rPr>
        <w:t>“Purchaser”</w:t>
      </w:r>
      <w:r>
        <w:rPr>
          <w:rFonts w:ascii="Arial" w:cs="Arial" w:eastAsia="Arial" w:hAnsi="Arial"/>
          <w:sz w:val="19"/>
          <w:szCs w:val="19"/>
          <w:color w:val="auto"/>
        </w:rPr>
        <w:t xml:space="preserve"> and, collectively, the </w:t>
      </w:r>
      <w:r>
        <w:rPr>
          <w:rFonts w:ascii="Arial" w:cs="Arial" w:eastAsia="Arial" w:hAnsi="Arial"/>
          <w:sz w:val="19"/>
          <w:szCs w:val="19"/>
          <w:i w:val="1"/>
          <w:iCs w:val="1"/>
          <w:color w:val="auto"/>
        </w:rPr>
        <w:t>“Purchasers”</w:t>
      </w:r>
      <w:r>
        <w:rPr>
          <w:rFonts w:ascii="Arial" w:cs="Arial" w:eastAsia="Arial" w:hAnsi="Arial"/>
          <w:sz w:val="19"/>
          <w:szCs w:val="19"/>
          <w:color w:val="auto"/>
        </w:rPr>
        <w:t>) as follows:</w:t>
      </w:r>
    </w:p>
    <w:p>
      <w:pPr>
        <w:spacing w:after="0" w:line="201"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AUTHORIZATION OF BONDS.</w:t>
      </w:r>
    </w:p>
    <w:p>
      <w:pPr>
        <w:spacing w:after="0" w:line="247" w:lineRule="exact"/>
        <w:rPr>
          <w:sz w:val="20"/>
          <w:szCs w:val="20"/>
          <w:color w:val="auto"/>
        </w:rPr>
      </w:pPr>
    </w:p>
    <w:p>
      <w:pPr>
        <w:jc w:val="both"/>
        <w:ind w:left="180" w:right="199" w:firstLine="648"/>
        <w:spacing w:after="0" w:line="269" w:lineRule="auto"/>
        <w:rPr>
          <w:sz w:val="20"/>
          <w:szCs w:val="20"/>
          <w:color w:val="auto"/>
        </w:rPr>
      </w:pPr>
      <w:r>
        <w:rPr>
          <w:rFonts w:ascii="Arial" w:cs="Arial" w:eastAsia="Arial" w:hAnsi="Arial"/>
          <w:sz w:val="19"/>
          <w:szCs w:val="19"/>
          <w:color w:val="auto"/>
        </w:rPr>
        <w:t xml:space="preserve">The Company will authorize the issue and sale of (i) First Mortgage Bonds, 3.49% Series due June 1, 2051 (herein referred to as the </w:t>
      </w:r>
      <w:r>
        <w:rPr>
          <w:rFonts w:ascii="Arial" w:cs="Arial" w:eastAsia="Arial" w:hAnsi="Arial"/>
          <w:sz w:val="19"/>
          <w:szCs w:val="19"/>
          <w:i w:val="1"/>
          <w:iCs w:val="1"/>
          <w:color w:val="auto"/>
        </w:rPr>
        <w:t>“3.49% Series due June 1, 2051 Bonds”</w:t>
      </w:r>
      <w:r>
        <w:rPr>
          <w:rFonts w:ascii="Arial" w:cs="Arial" w:eastAsia="Arial" w:hAnsi="Arial"/>
          <w:sz w:val="19"/>
          <w:szCs w:val="19"/>
          <w:color w:val="auto"/>
        </w:rPr>
        <w:t xml:space="preserve">) in an aggregate principal amount of $75,000,000, to bear interest at the rate of 3.49% per annum, and to mature on June 1, 2051, (ii) First Mortgage Bonds, 3.54% Series due June 1, 2055 (herein referred to as the </w:t>
      </w:r>
      <w:r>
        <w:rPr>
          <w:rFonts w:ascii="Arial" w:cs="Arial" w:eastAsia="Arial" w:hAnsi="Arial"/>
          <w:sz w:val="19"/>
          <w:szCs w:val="19"/>
          <w:i w:val="1"/>
          <w:iCs w:val="1"/>
          <w:color w:val="auto"/>
        </w:rPr>
        <w:t>“3.54% Series due June 1, 2055 Bonds”</w:t>
      </w:r>
      <w:r>
        <w:rPr>
          <w:rFonts w:ascii="Arial" w:cs="Arial" w:eastAsia="Arial" w:hAnsi="Arial"/>
          <w:sz w:val="19"/>
          <w:szCs w:val="19"/>
          <w:color w:val="auto"/>
        </w:rPr>
        <w:t xml:space="preserve">) in an aggregate principal amount of $50,000,000, to bear interest at the rate of 3.54% per annum, and to mature on June 1, 2055, and (iii) First Mortgage Bonds, 3.55% Series due June 1, 2056 (herein referred to as the </w:t>
      </w:r>
      <w:r>
        <w:rPr>
          <w:rFonts w:ascii="Arial" w:cs="Arial" w:eastAsia="Arial" w:hAnsi="Arial"/>
          <w:sz w:val="19"/>
          <w:szCs w:val="19"/>
          <w:i w:val="1"/>
          <w:iCs w:val="1"/>
          <w:color w:val="auto"/>
        </w:rPr>
        <w:t>“3.55%</w:t>
      </w:r>
      <w:r>
        <w:rPr>
          <w:rFonts w:ascii="Arial" w:cs="Arial" w:eastAsia="Arial" w:hAnsi="Arial"/>
          <w:sz w:val="19"/>
          <w:szCs w:val="19"/>
          <w:color w:val="auto"/>
        </w:rPr>
        <w:t xml:space="preserve"> </w:t>
      </w:r>
      <w:r>
        <w:rPr>
          <w:rFonts w:ascii="Arial" w:cs="Arial" w:eastAsia="Arial" w:hAnsi="Arial"/>
          <w:sz w:val="19"/>
          <w:szCs w:val="19"/>
          <w:i w:val="1"/>
          <w:iCs w:val="1"/>
          <w:color w:val="auto"/>
        </w:rPr>
        <w:t>Series due June 1, 2056 Bonds”</w:t>
      </w:r>
      <w:r>
        <w:rPr>
          <w:rFonts w:ascii="Arial" w:cs="Arial" w:eastAsia="Arial" w:hAnsi="Arial"/>
          <w:sz w:val="19"/>
          <w:szCs w:val="19"/>
          <w:color w:val="auto"/>
        </w:rPr>
        <w:t>) in an aggregate principal amount of $50,000,000, to bear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at the rate of 3.55% per annum, and to mature on June 1, 2056 (the 3.49% Series due June 1, 2051 Bonds, the 3.54% Series due June 1, 2055 Bonds, and the 3.55% Series due June 1, 2056 Bonds are collectively referred to as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“Original Indenture”</w:t>
      </w:r>
      <w:r>
        <w:rPr>
          <w:rFonts w:ascii="Arial" w:cs="Arial" w:eastAsia="Arial" w:hAnsi="Arial"/>
          <w:sz w:val="19"/>
          <w:szCs w:val="19"/>
          <w:color w:val="auto"/>
        </w:rPr>
        <w:t xml:space="preserve">), as previously amended and supplemented by fifty-seven supplemental indentures and as further supplemented by the Fifty-eighth Supplemental Indenture dated as of March 15, 2020 (such Fifty-eighth Supplemental Indenture being referred to herein as the </w:t>
      </w:r>
      <w:r>
        <w:rPr>
          <w:rFonts w:ascii="Arial" w:cs="Arial" w:eastAsia="Arial" w:hAnsi="Arial"/>
          <w:sz w:val="19"/>
          <w:szCs w:val="19"/>
          <w:i w:val="1"/>
          <w:iCs w:val="1"/>
          <w:color w:val="auto"/>
        </w:rPr>
        <w:t>“Supplement”</w:t>
      </w:r>
      <w:r>
        <w:rPr>
          <w:rFonts w:ascii="Arial" w:cs="Arial" w:eastAsia="Arial" w:hAnsi="Arial"/>
          <w:sz w:val="19"/>
          <w:szCs w:val="19"/>
          <w:color w:val="auto"/>
        </w:rPr>
        <w:t xml:space="preserve">) which will be substantially in the form attached hereto as </w:t>
      </w:r>
      <w:r>
        <w:rPr>
          <w:rFonts w:ascii="Arial" w:cs="Arial" w:eastAsia="Arial" w:hAnsi="Arial"/>
          <w:sz w:val="19"/>
          <w:szCs w:val="19"/>
          <w:i w:val="1"/>
          <w:iCs w:val="1"/>
          <w:color w:val="auto"/>
        </w:rPr>
        <w:t>Exhibit A</w:t>
      </w:r>
      <w:r>
        <w:rPr>
          <w:rFonts w:ascii="Arial" w:cs="Arial" w:eastAsia="Arial" w:hAnsi="Arial"/>
          <w:sz w:val="19"/>
          <w:szCs w:val="19"/>
          <w:color w:val="auto"/>
        </w:rPr>
        <w:t xml:space="preserve">, with such changes therein, if any, as shall be approved by the Purchasers and the Company. The Original Indenture, as supplemented and amended by the aforementioned fifty-six supplemental indentures and the Supplement, and as further supplemented or amended according to its terms, is hereinafter referred to as the </w:t>
      </w:r>
      <w:r>
        <w:rPr>
          <w:rFonts w:ascii="Arial" w:cs="Arial" w:eastAsia="Arial" w:hAnsi="Arial"/>
          <w:sz w:val="19"/>
          <w:szCs w:val="19"/>
          <w:i w:val="1"/>
          <w:iCs w:val="1"/>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657225</wp:posOffset>
            </wp:positionV>
            <wp:extent cx="550354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4" w:name="page65"/>
    <w:bookmarkEnd w:id="64"/>
    <w:p>
      <w:pPr>
        <w:jc w:val="both"/>
        <w:ind w:left="180" w:right="199"/>
        <w:spacing w:after="0" w:line="238" w:lineRule="auto"/>
        <w:rPr>
          <w:sz w:val="20"/>
          <w:szCs w:val="20"/>
          <w:color w:val="auto"/>
        </w:rPr>
      </w:pPr>
      <w:r>
        <w:rPr>
          <w:rFonts w:ascii="Arial" w:cs="Arial" w:eastAsia="Arial" w:hAnsi="Arial"/>
          <w:sz w:val="22"/>
          <w:szCs w:val="22"/>
          <w:color w:val="auto"/>
        </w:rPr>
        <w:t xml:space="preserve">Certain capitalized and other terms used in this Agreement are defined in </w:t>
      </w:r>
      <w:r>
        <w:rPr>
          <w:rFonts w:ascii="Arial" w:cs="Arial" w:eastAsia="Arial" w:hAnsi="Arial"/>
          <w:sz w:val="22"/>
          <w:szCs w:val="22"/>
          <w:i w:val="1"/>
          <w:iCs w:val="1"/>
          <w:color w:val="auto"/>
        </w:rPr>
        <w:t>Schedule B</w:t>
      </w:r>
      <w:r>
        <w:rPr>
          <w:rFonts w:ascii="Arial" w:cs="Arial" w:eastAsia="Arial" w:hAnsi="Arial"/>
          <w:sz w:val="22"/>
          <w:szCs w:val="22"/>
          <w:color w:val="auto"/>
        </w:rPr>
        <w:t xml:space="preserve">; and references to a </w:t>
      </w:r>
      <w:r>
        <w:rPr>
          <w:rFonts w:ascii="Arial" w:cs="Arial" w:eastAsia="Arial" w:hAnsi="Arial"/>
          <w:sz w:val="22"/>
          <w:szCs w:val="22"/>
          <w:i w:val="1"/>
          <w:iCs w:val="1"/>
          <w:color w:val="auto"/>
        </w:rPr>
        <w:t>“Schedule”</w:t>
      </w:r>
      <w:r>
        <w:rPr>
          <w:rFonts w:ascii="Arial" w:cs="Arial" w:eastAsia="Arial" w:hAnsi="Arial"/>
          <w:sz w:val="22"/>
          <w:szCs w:val="22"/>
          <w:color w:val="auto"/>
        </w:rPr>
        <w:t xml:space="preserve"> or an </w:t>
      </w:r>
      <w:r>
        <w:rPr>
          <w:rFonts w:ascii="Arial" w:cs="Arial" w:eastAsia="Arial" w:hAnsi="Arial"/>
          <w:sz w:val="22"/>
          <w:szCs w:val="22"/>
          <w:i w:val="1"/>
          <w:iCs w:val="1"/>
          <w:color w:val="auto"/>
        </w:rPr>
        <w:t>“Exhibit”</w:t>
      </w:r>
      <w:r>
        <w:rPr>
          <w:rFonts w:ascii="Arial" w:cs="Arial" w:eastAsia="Arial" w:hAnsi="Arial"/>
          <w:sz w:val="22"/>
          <w:szCs w:val="22"/>
          <w:color w:val="auto"/>
        </w:rPr>
        <w:t xml:space="preserve"> are, unless otherwise specified, to a Schedule or an Exhibit attached to this Agreement. Terms used herein but not defined herein shall have the meanings set forth in the Indenture.</w:t>
      </w:r>
    </w:p>
    <w:p>
      <w:pPr>
        <w:spacing w:after="0" w:line="252"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SALE AND PURCHASE OF BONDS.</w:t>
      </w:r>
    </w:p>
    <w:p>
      <w:pPr>
        <w:spacing w:after="0" w:line="247" w:lineRule="exact"/>
        <w:rPr>
          <w:sz w:val="20"/>
          <w:szCs w:val="20"/>
          <w:color w:val="auto"/>
        </w:rPr>
      </w:pPr>
    </w:p>
    <w:p>
      <w:pPr>
        <w:jc w:val="both"/>
        <w:ind w:left="180" w:right="199" w:firstLine="648"/>
        <w:spacing w:after="0" w:line="247" w:lineRule="exact"/>
        <w:rPr>
          <w:sz w:val="20"/>
          <w:szCs w:val="20"/>
          <w:color w:val="auto"/>
        </w:rPr>
      </w:pPr>
      <w:r>
        <w:rPr>
          <w:rFonts w:ascii="Arial" w:cs="Arial" w:eastAsia="Arial" w:hAnsi="Arial"/>
          <w:sz w:val="22"/>
          <w:szCs w:val="22"/>
          <w:color w:val="auto"/>
        </w:rPr>
        <w:t xml:space="preserve">Subject to the terms and conditions of this Agreement, the Company will issue and sell to each Purchaser and each Purchaser will purchase from the Company, at the Closing provided for in </w:t>
      </w:r>
      <w:r>
        <w:rPr>
          <w:rFonts w:ascii="Arial" w:cs="Arial" w:eastAsia="Arial" w:hAnsi="Arial"/>
          <w:sz w:val="22"/>
          <w:szCs w:val="22"/>
          <w:b w:val="1"/>
          <w:bCs w:val="1"/>
          <w:color w:val="auto"/>
        </w:rPr>
        <w:t>Section 3</w:t>
      </w:r>
      <w:r>
        <w:rPr>
          <w:rFonts w:ascii="Arial" w:cs="Arial" w:eastAsia="Arial" w:hAnsi="Arial"/>
          <w:sz w:val="22"/>
          <w:szCs w:val="22"/>
          <w:color w:val="auto"/>
        </w:rPr>
        <w:t>, Bonds in the principal amount and in the series specified opposite such Purchaser’s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name in </w:t>
      </w:r>
      <w:r>
        <w:rPr>
          <w:rFonts w:ascii="Arial" w:cs="Arial" w:eastAsia="Arial" w:hAnsi="Arial"/>
          <w:sz w:val="22"/>
          <w:szCs w:val="22"/>
          <w:i w:val="1"/>
          <w:iCs w:val="1"/>
          <w:color w:val="auto"/>
        </w:rPr>
        <w:t>Schedule A</w:t>
      </w:r>
      <w:r>
        <w:rPr>
          <w:rFonts w:ascii="Arial" w:cs="Arial" w:eastAsia="Arial" w:hAnsi="Arial"/>
          <w:sz w:val="22"/>
          <w:szCs w:val="22"/>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58"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CLOSING.</w:t>
      </w:r>
    </w:p>
    <w:p>
      <w:pPr>
        <w:spacing w:after="0" w:line="233" w:lineRule="exact"/>
        <w:rPr>
          <w:sz w:val="20"/>
          <w:szCs w:val="20"/>
          <w:color w:val="auto"/>
        </w:rPr>
      </w:pPr>
    </w:p>
    <w:p>
      <w:pPr>
        <w:jc w:val="both"/>
        <w:ind w:left="180" w:right="199" w:firstLine="324"/>
        <w:spacing w:after="0" w:line="244" w:lineRule="exact"/>
        <w:rPr>
          <w:sz w:val="20"/>
          <w:szCs w:val="20"/>
          <w:color w:val="auto"/>
        </w:rPr>
      </w:pPr>
      <w:r>
        <w:rPr>
          <w:rFonts w:ascii="Arial" w:cs="Arial" w:eastAsia="Arial" w:hAnsi="Arial"/>
          <w:sz w:val="19"/>
          <w:szCs w:val="19"/>
          <w:color w:val="auto"/>
        </w:rPr>
        <w:t xml:space="preserve">The execution and delivery of this Agreement and the sale and purchase of the Bonds to be purchased by each Purchaser shall occur at the offices of Chapman and Cutler LLP, 111 West Monroe Street, Chicago, Illinois 60603, at 10:00 a.m., Chicago time, at a closing on May 1, 2020 or on such other Business Day thereafter on or prior to May 30, 2020 as may be agreed upon by the Company and the Purchasers (the </w:t>
      </w:r>
      <w:r>
        <w:rPr>
          <w:rFonts w:ascii="Arial" w:cs="Arial" w:eastAsia="Arial" w:hAnsi="Arial"/>
          <w:sz w:val="19"/>
          <w:szCs w:val="19"/>
          <w:i w:val="1"/>
          <w:iCs w:val="1"/>
          <w:color w:val="auto"/>
        </w:rPr>
        <w:t>“Closing”</w:t>
      </w:r>
      <w:r>
        <w:rPr>
          <w:rFonts w:ascii="Arial" w:cs="Arial" w:eastAsia="Arial" w:hAnsi="Arial"/>
          <w:sz w:val="19"/>
          <w:szCs w:val="19"/>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 xml:space="preserve">000053. If at the Closing the Company shall fail to tender such Bonds to any Purchaser as provided above in this </w:t>
      </w:r>
      <w:r>
        <w:rPr>
          <w:rFonts w:ascii="Arial" w:cs="Arial" w:eastAsia="Arial" w:hAnsi="Arial"/>
          <w:sz w:val="19"/>
          <w:szCs w:val="19"/>
          <w:b w:val="1"/>
          <w:bCs w:val="1"/>
          <w:color w:val="auto"/>
        </w:rPr>
        <w:t>Section 3</w:t>
      </w:r>
      <w:r>
        <w:rPr>
          <w:rFonts w:ascii="Arial" w:cs="Arial" w:eastAsia="Arial" w:hAnsi="Arial"/>
          <w:sz w:val="19"/>
          <w:szCs w:val="19"/>
          <w:color w:val="auto"/>
        </w:rPr>
        <w:t xml:space="preserve">, or any of the conditions specified in </w:t>
      </w:r>
      <w:r>
        <w:rPr>
          <w:rFonts w:ascii="Arial" w:cs="Arial" w:eastAsia="Arial" w:hAnsi="Arial"/>
          <w:sz w:val="19"/>
          <w:szCs w:val="19"/>
          <w:b w:val="1"/>
          <w:bCs w:val="1"/>
          <w:color w:val="auto"/>
        </w:rPr>
        <w:t>Section 4</w:t>
      </w:r>
      <w:r>
        <w:rPr>
          <w:rFonts w:ascii="Arial" w:cs="Arial" w:eastAsia="Arial" w:hAnsi="Arial"/>
          <w:sz w:val="19"/>
          <w:szCs w:val="19"/>
          <w:color w:val="auto"/>
        </w:rPr>
        <w:t xml:space="preserve">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w:t>
      </w:r>
      <w:r>
        <w:rPr>
          <w:rFonts w:ascii="Arial" w:cs="Arial" w:eastAsia="Arial" w:hAnsi="Arial"/>
          <w:sz w:val="19"/>
          <w:szCs w:val="19"/>
          <w:b w:val="1"/>
          <w:bCs w:val="1"/>
          <w:color w:val="auto"/>
        </w:rPr>
        <w:t>Section 4</w:t>
      </w:r>
      <w:r>
        <w:rPr>
          <w:rFonts w:ascii="Arial" w:cs="Arial" w:eastAsia="Arial" w:hAnsi="Arial"/>
          <w:sz w:val="19"/>
          <w:szCs w:val="19"/>
          <w:color w:val="auto"/>
        </w:rPr>
        <w:t xml:space="preserve"> not having been fulfilled to such Purchaser’s satisfaction.</w:t>
      </w:r>
    </w:p>
    <w:p>
      <w:pPr>
        <w:spacing w:after="0" w:line="266"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CONDITIONS TO CLOSING.</w:t>
      </w:r>
    </w:p>
    <w:p>
      <w:pPr>
        <w:spacing w:after="0" w:line="247" w:lineRule="exact"/>
        <w:rPr>
          <w:sz w:val="20"/>
          <w:szCs w:val="20"/>
          <w:color w:val="auto"/>
        </w:rPr>
      </w:pPr>
    </w:p>
    <w:p>
      <w:pPr>
        <w:jc w:val="both"/>
        <w:ind w:left="180" w:right="199" w:firstLine="648"/>
        <w:spacing w:after="0" w:line="257" w:lineRule="auto"/>
        <w:rPr>
          <w:sz w:val="20"/>
          <w:szCs w:val="20"/>
          <w:color w:val="auto"/>
        </w:rPr>
      </w:pPr>
      <w:r>
        <w:rPr>
          <w:rFonts w:ascii="Arial" w:cs="Arial" w:eastAsia="Arial" w:hAnsi="Arial"/>
          <w:sz w:val="21"/>
          <w:szCs w:val="21"/>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65" w:name="page66"/>
    <w:bookmarkEnd w:id="65"/>
    <w:p>
      <w:pPr>
        <w:jc w:val="both"/>
        <w:ind w:left="180" w:right="199" w:firstLine="370"/>
        <w:spacing w:after="0" w:line="274" w:lineRule="auto"/>
        <w:rPr>
          <w:sz w:val="20"/>
          <w:szCs w:val="20"/>
          <w:color w:val="auto"/>
        </w:rPr>
      </w:pPr>
      <w:r>
        <w:rPr>
          <w:rFonts w:ascii="Arial" w:cs="Arial" w:eastAsia="Arial" w:hAnsi="Arial"/>
          <w:sz w:val="21"/>
          <w:szCs w:val="21"/>
          <w:i w:val="1"/>
          <w:iCs w:val="1"/>
          <w:color w:val="auto"/>
        </w:rPr>
        <w:t xml:space="preserve">Section 4.1. Representations and Warranties. </w:t>
      </w:r>
      <w:r>
        <w:rPr>
          <w:rFonts w:ascii="Arial" w:cs="Arial" w:eastAsia="Arial" w:hAnsi="Arial"/>
          <w:sz w:val="21"/>
          <w:szCs w:val="21"/>
          <w:color w:val="auto"/>
        </w:rPr>
        <w:t>The representations and warranties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in this Agreement shall be correct when made and at the time of the Closing.</w:t>
      </w:r>
    </w:p>
    <w:p>
      <w:pPr>
        <w:spacing w:after="0" w:line="191" w:lineRule="exact"/>
        <w:rPr>
          <w:sz w:val="20"/>
          <w:szCs w:val="20"/>
          <w:color w:val="auto"/>
        </w:rPr>
      </w:pPr>
    </w:p>
    <w:p>
      <w:pPr>
        <w:jc w:val="both"/>
        <w:ind w:left="180" w:right="199" w:firstLine="216"/>
        <w:spacing w:after="0" w:line="282" w:lineRule="auto"/>
        <w:rPr>
          <w:sz w:val="20"/>
          <w:szCs w:val="20"/>
          <w:color w:val="auto"/>
        </w:rPr>
      </w:pPr>
      <w:r>
        <w:rPr>
          <w:rFonts w:ascii="Arial" w:cs="Arial" w:eastAsia="Arial" w:hAnsi="Arial"/>
          <w:sz w:val="19"/>
          <w:szCs w:val="19"/>
          <w:i w:val="1"/>
          <w:iCs w:val="1"/>
          <w:color w:val="auto"/>
        </w:rPr>
        <w:t>Section 4.2. Performance; No Default</w:t>
      </w:r>
      <w:r>
        <w:rPr>
          <w:rFonts w:ascii="Arial" w:cs="Arial" w:eastAsia="Arial" w:hAnsi="Arial"/>
          <w:sz w:val="19"/>
          <w:szCs w:val="19"/>
          <w:color w:val="auto"/>
        </w:rPr>
        <w:t>. The Company shall have performed and complied with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all agreements and conditions contained in each Financing Agreement required to be performed or complied with by the Company prior to or at the Closing, and after giving effect to the issue and sale of the Bonds (and the application of the proceeds thereof as contemplated by </w:t>
      </w:r>
      <w:r>
        <w:rPr>
          <w:rFonts w:ascii="Arial" w:cs="Arial" w:eastAsia="Arial" w:hAnsi="Arial"/>
          <w:sz w:val="19"/>
          <w:szCs w:val="19"/>
          <w:b w:val="1"/>
          <w:bCs w:val="1"/>
          <w:color w:val="auto"/>
        </w:rPr>
        <w:t>Section 5.14</w:t>
      </w:r>
      <w:r>
        <w:rPr>
          <w:rFonts w:ascii="Arial" w:cs="Arial" w:eastAsia="Arial" w:hAnsi="Arial"/>
          <w:sz w:val="19"/>
          <w:szCs w:val="19"/>
          <w:color w:val="auto"/>
        </w:rPr>
        <w:t>), no Default or Event of Default shall have occurred and be continuing.</w:t>
      </w:r>
    </w:p>
    <w:p>
      <w:pPr>
        <w:spacing w:after="0" w:line="174" w:lineRule="exact"/>
        <w:rPr>
          <w:sz w:val="20"/>
          <w:szCs w:val="20"/>
          <w:color w:val="auto"/>
        </w:rPr>
      </w:pPr>
    </w:p>
    <w:p>
      <w:pPr>
        <w:jc w:val="both"/>
        <w:ind w:left="180" w:right="199" w:firstLine="243"/>
        <w:spacing w:after="0" w:line="252" w:lineRule="auto"/>
        <w:rPr>
          <w:sz w:val="20"/>
          <w:szCs w:val="20"/>
          <w:color w:val="auto"/>
        </w:rPr>
      </w:pPr>
      <w:r>
        <w:rPr>
          <w:rFonts w:ascii="Arial" w:cs="Arial" w:eastAsia="Arial" w:hAnsi="Arial"/>
          <w:sz w:val="21"/>
          <w:szCs w:val="21"/>
          <w:i w:val="1"/>
          <w:iCs w:val="1"/>
          <w:color w:val="auto"/>
        </w:rPr>
        <w:t>Section 4.3. Compliance Certificates</w:t>
      </w:r>
      <w:r>
        <w:rPr>
          <w:rFonts w:ascii="Arial" w:cs="Arial" w:eastAsia="Arial" w:hAnsi="Arial"/>
          <w:sz w:val="21"/>
          <w:szCs w:val="21"/>
          <w:color w:val="auto"/>
        </w:rPr>
        <w:t>. The Company shall have performed and complied with</w:t>
      </w:r>
      <w:r>
        <w:rPr>
          <w:rFonts w:ascii="Arial" w:cs="Arial" w:eastAsia="Arial" w:hAnsi="Arial"/>
          <w:sz w:val="21"/>
          <w:szCs w:val="21"/>
          <w:i w:val="1"/>
          <w:iCs w:val="1"/>
          <w:color w:val="auto"/>
        </w:rPr>
        <w:t xml:space="preserve"> </w:t>
      </w:r>
      <w:r>
        <w:rPr>
          <w:rFonts w:ascii="Arial" w:cs="Arial" w:eastAsia="Arial" w:hAnsi="Arial"/>
          <w:sz w:val="21"/>
          <w:szCs w:val="21"/>
          <w:color w:val="auto"/>
        </w:rPr>
        <w:t>all agreements and conditions contained in the Indenture which are required to be performed or complied with by the Company for the issuance of the Bonds at the Closing. In addition, the Company shall have delivered the following certificates:</w:t>
      </w:r>
    </w:p>
    <w:p>
      <w:pPr>
        <w:spacing w:after="0" w:line="214" w:lineRule="exact"/>
        <w:rPr>
          <w:sz w:val="20"/>
          <w:szCs w:val="20"/>
          <w:color w:val="auto"/>
        </w:rPr>
      </w:pPr>
    </w:p>
    <w:p>
      <w:pPr>
        <w:jc w:val="both"/>
        <w:ind w:left="840" w:right="199" w:firstLine="262"/>
        <w:spacing w:after="0" w:line="282" w:lineRule="auto"/>
        <w:tabs>
          <w:tab w:leader="none" w:pos="1633" w:val="left"/>
        </w:tabs>
        <w:numPr>
          <w:ilvl w:val="1"/>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Officer’s Certificate. </w:t>
      </w:r>
      <w:r>
        <w:rPr>
          <w:rFonts w:ascii="Arial" w:cs="Arial" w:eastAsia="Arial" w:hAnsi="Arial"/>
          <w:sz w:val="19"/>
          <w:szCs w:val="19"/>
          <w:color w:val="auto"/>
        </w:rPr>
        <w:t>The Company shall have delivered to such Purchaser (i) 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Officer’s Certificate, dated the date of the Closing, certifying that the conditions specified in </w:t>
      </w:r>
      <w:r>
        <w:rPr>
          <w:rFonts w:ascii="Arial" w:cs="Arial" w:eastAsia="Arial" w:hAnsi="Arial"/>
          <w:sz w:val="19"/>
          <w:szCs w:val="19"/>
          <w:b w:val="1"/>
          <w:bCs w:val="1"/>
          <w:color w:val="auto"/>
        </w:rPr>
        <w:t xml:space="preserve">Section 4 </w:t>
      </w:r>
      <w:r>
        <w:rPr>
          <w:rFonts w:ascii="Arial" w:cs="Arial" w:eastAsia="Arial" w:hAnsi="Arial"/>
          <w:sz w:val="19"/>
          <w:szCs w:val="19"/>
          <w:color w:val="auto"/>
        </w:rPr>
        <w:t>of this Agreement have been fulfilled, and (ii) copies of all certificates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opinions required to be delivered to the Trustee under the Indenture in connection with the issuance of the Bonds, in each case, dated the date of the Closing.</w:t>
      </w:r>
    </w:p>
    <w:p>
      <w:pPr>
        <w:spacing w:after="0" w:line="187" w:lineRule="exact"/>
        <w:rPr>
          <w:rFonts w:ascii="Arial" w:cs="Arial" w:eastAsia="Arial" w:hAnsi="Arial"/>
          <w:sz w:val="19"/>
          <w:szCs w:val="19"/>
          <w:color w:val="auto"/>
        </w:rPr>
      </w:pPr>
    </w:p>
    <w:p>
      <w:pPr>
        <w:jc w:val="both"/>
        <w:ind w:left="840" w:right="199" w:firstLine="302"/>
        <w:spacing w:after="0" w:line="236" w:lineRule="auto"/>
        <w:tabs>
          <w:tab w:leader="none" w:pos="1713" w:val="left"/>
        </w:tabs>
        <w:numPr>
          <w:ilvl w:val="2"/>
          <w:numId w:val="10"/>
        </w:numPr>
        <w:rPr>
          <w:rFonts w:ascii="Arial" w:cs="Arial" w:eastAsia="Arial" w:hAnsi="Arial"/>
          <w:sz w:val="22"/>
          <w:szCs w:val="22"/>
          <w:color w:val="auto"/>
        </w:rPr>
      </w:pPr>
      <w:r>
        <w:rPr>
          <w:rFonts w:ascii="Arial" w:cs="Arial" w:eastAsia="Arial" w:hAnsi="Arial"/>
          <w:sz w:val="22"/>
          <w:szCs w:val="22"/>
          <w:i w:val="1"/>
          <w:iCs w:val="1"/>
          <w:color w:val="auto"/>
        </w:rPr>
        <w:t xml:space="preserve">Secretary’s Certificate. </w:t>
      </w:r>
      <w:r>
        <w:rPr>
          <w:rFonts w:ascii="Arial" w:cs="Arial" w:eastAsia="Arial" w:hAnsi="Arial"/>
          <w:sz w:val="22"/>
          <w:szCs w:val="22"/>
          <w:color w:val="auto"/>
        </w:rPr>
        <w:t>The Company shall have delivered to such Purchaser a</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of its Secretary or Assistant Secretary, dated the date of the Closing, certifying as to the resolutions attached thereto and other corporate proceedings relating to the authorization, execution and delivery of this Agreement, the Bonds, under the Indenture, and the Supplement.</w:t>
      </w:r>
    </w:p>
    <w:p>
      <w:pPr>
        <w:spacing w:after="0" w:line="214" w:lineRule="exact"/>
        <w:rPr>
          <w:rFonts w:ascii="Arial" w:cs="Arial" w:eastAsia="Arial" w:hAnsi="Arial"/>
          <w:sz w:val="22"/>
          <w:szCs w:val="22"/>
          <w:color w:val="auto"/>
        </w:rPr>
      </w:pPr>
    </w:p>
    <w:p>
      <w:pPr>
        <w:jc w:val="both"/>
        <w:ind w:left="840" w:right="199" w:firstLine="221"/>
        <w:spacing w:after="0" w:line="238" w:lineRule="auto"/>
        <w:tabs>
          <w:tab w:leader="none" w:pos="1539"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Indenture. </w:t>
      </w:r>
      <w:r>
        <w:rPr>
          <w:rFonts w:ascii="Arial" w:cs="Arial" w:eastAsia="Arial" w:hAnsi="Arial"/>
          <w:sz w:val="22"/>
          <w:szCs w:val="22"/>
          <w:color w:val="auto"/>
        </w:rPr>
        <w:t>Such Purchaser shall have received a composite copy of</w:t>
      </w:r>
      <w:r>
        <w:rPr>
          <w:rFonts w:ascii="Arial" w:cs="Arial" w:eastAsia="Arial" w:hAnsi="Arial"/>
          <w:sz w:val="22"/>
          <w:szCs w:val="22"/>
          <w:i w:val="1"/>
          <w:iCs w:val="1"/>
          <w:color w:val="auto"/>
        </w:rPr>
        <w:t xml:space="preserve"> </w:t>
      </w:r>
      <w:r>
        <w:rPr>
          <w:rFonts w:ascii="Arial" w:cs="Arial" w:eastAsia="Arial" w:hAnsi="Arial"/>
          <w:sz w:val="22"/>
          <w:szCs w:val="22"/>
          <w:color w:val="auto"/>
        </w:rPr>
        <w:t>the Indenture (together with all amendments and supplements thereto), certified by the Company as of the date of the Closing, exclusive of property exhibits, recording information and the like.</w:t>
      </w:r>
    </w:p>
    <w:p>
      <w:pPr>
        <w:spacing w:after="0" w:line="225" w:lineRule="exact"/>
        <w:rPr>
          <w:sz w:val="20"/>
          <w:szCs w:val="20"/>
          <w:color w:val="auto"/>
        </w:rPr>
      </w:pPr>
    </w:p>
    <w:p>
      <w:pPr>
        <w:jc w:val="both"/>
        <w:ind w:left="180" w:right="199" w:firstLine="270"/>
        <w:spacing w:after="0" w:line="271" w:lineRule="auto"/>
        <w:rPr>
          <w:sz w:val="20"/>
          <w:szCs w:val="20"/>
          <w:color w:val="auto"/>
        </w:rPr>
      </w:pPr>
      <w:r>
        <w:rPr>
          <w:rFonts w:ascii="Arial" w:cs="Arial" w:eastAsia="Arial" w:hAnsi="Arial"/>
          <w:sz w:val="19"/>
          <w:szCs w:val="19"/>
          <w:i w:val="1"/>
          <w:iCs w:val="1"/>
          <w:color w:val="auto"/>
        </w:rPr>
        <w:t>Section 4.4. Opinions of Counsel</w:t>
      </w:r>
      <w:r>
        <w:rPr>
          <w:rFonts w:ascii="Arial" w:cs="Arial" w:eastAsia="Arial" w:hAnsi="Arial"/>
          <w:sz w:val="19"/>
          <w:szCs w:val="19"/>
          <w:color w:val="auto"/>
        </w:rPr>
        <w:t>. Such Purchaser shall have received opinions in form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substance satisfactory to such Purchaser, dated the date of the Closing (a) from Christopher P. Luning, counsel for the Company, covering the matters set forth in </w:t>
      </w:r>
      <w:r>
        <w:rPr>
          <w:rFonts w:ascii="Arial" w:cs="Arial" w:eastAsia="Arial" w:hAnsi="Arial"/>
          <w:sz w:val="19"/>
          <w:szCs w:val="19"/>
          <w:i w:val="1"/>
          <w:iCs w:val="1"/>
          <w:color w:val="auto"/>
        </w:rPr>
        <w:t>Exhibit 4.4(a)</w:t>
      </w:r>
      <w:r>
        <w:rPr>
          <w:rFonts w:ascii="Arial" w:cs="Arial" w:eastAsia="Arial" w:hAnsi="Arial"/>
          <w:sz w:val="19"/>
          <w:szCs w:val="19"/>
          <w:color w:val="auto"/>
        </w:rPr>
        <w:t xml:space="preserve">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w:t>
      </w:r>
      <w:r>
        <w:rPr>
          <w:rFonts w:ascii="Arial" w:cs="Arial" w:eastAsia="Arial" w:hAnsi="Arial"/>
          <w:sz w:val="19"/>
          <w:szCs w:val="19"/>
          <w:i w:val="1"/>
          <w:iCs w:val="1"/>
          <w:color w:val="auto"/>
        </w:rPr>
        <w:t>Exhibit 4.4(b)</w:t>
      </w:r>
      <w:r>
        <w:rPr>
          <w:rFonts w:ascii="Arial" w:cs="Arial" w:eastAsia="Arial" w:hAnsi="Arial"/>
          <w:sz w:val="19"/>
          <w:szCs w:val="19"/>
          <w:color w:val="auto"/>
        </w:rPr>
        <w:t xml:space="preserve">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Arial" w:cs="Arial" w:eastAsia="Arial" w:hAnsi="Arial"/>
          <w:sz w:val="19"/>
          <w:szCs w:val="19"/>
          <w:i w:val="1"/>
          <w:iCs w:val="1"/>
          <w:color w:val="auto"/>
        </w:rPr>
        <w:t>Exhibit 4.4(c)</w:t>
      </w:r>
      <w:r>
        <w:rPr>
          <w:rFonts w:ascii="Arial" w:cs="Arial" w:eastAsia="Arial" w:hAnsi="Arial"/>
          <w:sz w:val="19"/>
          <w:szCs w:val="19"/>
          <w:color w:val="auto"/>
        </w:rPr>
        <w:t xml:space="preserve"> and covering such other matters incident to such transactions as such Purchaser may reasonably request. The Company hereby directs its counsel to deliver the opinions required by this </w:t>
      </w:r>
      <w:r>
        <w:rPr>
          <w:rFonts w:ascii="Arial" w:cs="Arial" w:eastAsia="Arial" w:hAnsi="Arial"/>
          <w:sz w:val="19"/>
          <w:szCs w:val="19"/>
          <w:b w:val="1"/>
          <w:bCs w:val="1"/>
          <w:color w:val="auto"/>
        </w:rPr>
        <w:t>Section 4.4</w:t>
      </w:r>
      <w:r>
        <w:rPr>
          <w:rFonts w:ascii="Arial" w:cs="Arial" w:eastAsia="Arial" w:hAnsi="Arial"/>
          <w:sz w:val="19"/>
          <w:szCs w:val="19"/>
          <w:color w:val="auto"/>
        </w:rPr>
        <w:t xml:space="preserve"> and understands and agrees that each Purchaser will and hereby is authorized to rely on such opinions.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66" w:name="page67"/>
    <w:bookmarkEnd w:id="66"/>
    <w:p>
      <w:pPr>
        <w:jc w:val="both"/>
        <w:ind w:left="180" w:right="199" w:firstLine="310"/>
        <w:spacing w:after="0" w:line="273" w:lineRule="auto"/>
        <w:rPr>
          <w:sz w:val="20"/>
          <w:szCs w:val="20"/>
          <w:color w:val="auto"/>
        </w:rPr>
      </w:pPr>
      <w:r>
        <w:rPr>
          <w:rFonts w:ascii="Arial" w:cs="Arial" w:eastAsia="Arial" w:hAnsi="Arial"/>
          <w:sz w:val="19"/>
          <w:szCs w:val="19"/>
          <w:i w:val="1"/>
          <w:iCs w:val="1"/>
          <w:color w:val="auto"/>
        </w:rPr>
        <w:t>Section 4.5. Purchase Permitted by Applicable Law, Etc</w:t>
      </w:r>
      <w:r>
        <w:rPr>
          <w:rFonts w:ascii="Arial" w:cs="Arial" w:eastAsia="Arial" w:hAnsi="Arial"/>
          <w:sz w:val="19"/>
          <w:szCs w:val="19"/>
          <w:color w:val="auto"/>
        </w:rPr>
        <w:t>. On the date of the Closing such</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82" w:lineRule="exact"/>
        <w:rPr>
          <w:sz w:val="20"/>
          <w:szCs w:val="20"/>
          <w:color w:val="auto"/>
        </w:rPr>
      </w:pPr>
    </w:p>
    <w:p>
      <w:pPr>
        <w:jc w:val="both"/>
        <w:ind w:left="180" w:right="399" w:firstLine="216"/>
        <w:spacing w:after="0"/>
        <w:rPr>
          <w:sz w:val="20"/>
          <w:szCs w:val="20"/>
          <w:color w:val="auto"/>
        </w:rPr>
      </w:pPr>
      <w:r>
        <w:rPr>
          <w:rFonts w:ascii="Arial" w:cs="Arial" w:eastAsia="Arial" w:hAnsi="Arial"/>
          <w:sz w:val="22"/>
          <w:szCs w:val="22"/>
          <w:i w:val="1"/>
          <w:iCs w:val="1"/>
          <w:color w:val="auto"/>
        </w:rPr>
        <w:t xml:space="preserve">Section 4.6. Sale of Bonds. </w:t>
      </w:r>
      <w:r>
        <w:rPr>
          <w:rFonts w:ascii="Arial" w:cs="Arial" w:eastAsia="Arial" w:hAnsi="Arial"/>
          <w:sz w:val="22"/>
          <w:szCs w:val="22"/>
          <w:color w:val="auto"/>
        </w:rPr>
        <w:t>Contemporaneously with the Closing, the Company shall sell to</w:t>
      </w:r>
      <w:r>
        <w:rPr>
          <w:rFonts w:ascii="Arial" w:cs="Arial" w:eastAsia="Arial" w:hAnsi="Arial"/>
          <w:sz w:val="22"/>
          <w:szCs w:val="22"/>
          <w:i w:val="1"/>
          <w:iCs w:val="1"/>
          <w:color w:val="auto"/>
        </w:rPr>
        <w:t xml:space="preserve"> </w:t>
      </w:r>
      <w:r>
        <w:rPr>
          <w:rFonts w:ascii="Arial" w:cs="Arial" w:eastAsia="Arial" w:hAnsi="Arial"/>
          <w:sz w:val="22"/>
          <w:szCs w:val="22"/>
          <w:color w:val="auto"/>
        </w:rPr>
        <w:t>each Purchaser and each Purchaser shall purchase the Bonds to be purchased by it as specified in Schedule A.</w:t>
      </w:r>
    </w:p>
    <w:p>
      <w:pPr>
        <w:spacing w:after="0" w:line="213" w:lineRule="exact"/>
        <w:rPr>
          <w:sz w:val="20"/>
          <w:szCs w:val="20"/>
          <w:color w:val="auto"/>
        </w:rPr>
      </w:pPr>
    </w:p>
    <w:p>
      <w:pPr>
        <w:jc w:val="both"/>
        <w:ind w:left="180" w:right="199" w:firstLine="465"/>
        <w:spacing w:after="0" w:line="236" w:lineRule="auto"/>
        <w:rPr>
          <w:sz w:val="20"/>
          <w:szCs w:val="20"/>
          <w:color w:val="auto"/>
        </w:rPr>
      </w:pPr>
      <w:r>
        <w:rPr>
          <w:rFonts w:ascii="Arial" w:cs="Arial" w:eastAsia="Arial" w:hAnsi="Arial"/>
          <w:sz w:val="22"/>
          <w:szCs w:val="22"/>
          <w:i w:val="1"/>
          <w:iCs w:val="1"/>
          <w:color w:val="auto"/>
        </w:rPr>
        <w:t>Section 4.7. Payment of Special Counsel Fees</w:t>
      </w:r>
      <w:r>
        <w:rPr>
          <w:rFonts w:ascii="Arial" w:cs="Arial" w:eastAsia="Arial" w:hAnsi="Arial"/>
          <w:sz w:val="22"/>
          <w:szCs w:val="22"/>
          <w:color w:val="auto"/>
        </w:rPr>
        <w:t>. Without limiting the provisions of</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12.2</w:t>
      </w:r>
      <w:r>
        <w:rPr>
          <w:rFonts w:ascii="Arial" w:cs="Arial" w:eastAsia="Arial" w:hAnsi="Arial"/>
          <w:sz w:val="22"/>
          <w:szCs w:val="22"/>
          <w:color w:val="auto"/>
        </w:rPr>
        <w:t>, the Company shall have paid on or before the Closing the reasonable fees,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charges and reasonable disbursements of the Purchasers’ special counsel referred to in </w:t>
      </w:r>
      <w:r>
        <w:rPr>
          <w:rFonts w:ascii="Arial" w:cs="Arial" w:eastAsia="Arial" w:hAnsi="Arial"/>
          <w:sz w:val="22"/>
          <w:szCs w:val="22"/>
          <w:b w:val="1"/>
          <w:bCs w:val="1"/>
          <w:color w:val="auto"/>
        </w:rPr>
        <w:t xml:space="preserve">Section 4.4(c) </w:t>
      </w:r>
      <w:r>
        <w:rPr>
          <w:rFonts w:ascii="Arial" w:cs="Arial" w:eastAsia="Arial" w:hAnsi="Arial"/>
          <w:sz w:val="22"/>
          <w:szCs w:val="22"/>
          <w:color w:val="auto"/>
        </w:rPr>
        <w:t>to the extent reflected in a statement of such counsel rendered to the Company at</w:t>
      </w:r>
      <w:r>
        <w:rPr>
          <w:rFonts w:ascii="Arial" w:cs="Arial" w:eastAsia="Arial" w:hAnsi="Arial"/>
          <w:sz w:val="22"/>
          <w:szCs w:val="22"/>
          <w:b w:val="1"/>
          <w:bCs w:val="1"/>
          <w:color w:val="auto"/>
        </w:rPr>
        <w:t xml:space="preserve"> </w:t>
      </w:r>
      <w:r>
        <w:rPr>
          <w:rFonts w:ascii="Arial" w:cs="Arial" w:eastAsia="Arial" w:hAnsi="Arial"/>
          <w:sz w:val="22"/>
          <w:szCs w:val="22"/>
          <w:color w:val="auto"/>
        </w:rPr>
        <w:t>least one Business Day prior to the Closing.</w:t>
      </w:r>
    </w:p>
    <w:p>
      <w:pPr>
        <w:spacing w:after="0" w:line="214" w:lineRule="exact"/>
        <w:rPr>
          <w:sz w:val="20"/>
          <w:szCs w:val="20"/>
          <w:color w:val="auto"/>
        </w:rPr>
      </w:pPr>
    </w:p>
    <w:p>
      <w:pPr>
        <w:jc w:val="both"/>
        <w:ind w:left="180" w:right="199" w:firstLine="256"/>
        <w:spacing w:after="0"/>
        <w:rPr>
          <w:sz w:val="20"/>
          <w:szCs w:val="20"/>
          <w:color w:val="auto"/>
        </w:rPr>
      </w:pPr>
      <w:r>
        <w:rPr>
          <w:rFonts w:ascii="Arial" w:cs="Arial" w:eastAsia="Arial" w:hAnsi="Arial"/>
          <w:sz w:val="22"/>
          <w:szCs w:val="22"/>
          <w:i w:val="1"/>
          <w:iCs w:val="1"/>
          <w:color w:val="auto"/>
        </w:rPr>
        <w:t>Section 4.8. Private Placement Number</w:t>
      </w:r>
      <w:r>
        <w:rPr>
          <w:rFonts w:ascii="Arial" w:cs="Arial" w:eastAsia="Arial" w:hAnsi="Arial"/>
          <w:sz w:val="22"/>
          <w:szCs w:val="22"/>
          <w:color w:val="auto"/>
        </w:rPr>
        <w:t>. A Private Placement Number issued by Standard &amp;</w:t>
      </w:r>
      <w:r>
        <w:rPr>
          <w:rFonts w:ascii="Arial" w:cs="Arial" w:eastAsia="Arial" w:hAnsi="Arial"/>
          <w:sz w:val="22"/>
          <w:szCs w:val="22"/>
          <w:i w:val="1"/>
          <w:iCs w:val="1"/>
          <w:color w:val="auto"/>
        </w:rPr>
        <w:t xml:space="preserve"> </w:t>
      </w:r>
      <w:r>
        <w:rPr>
          <w:rFonts w:ascii="Arial" w:cs="Arial" w:eastAsia="Arial" w:hAnsi="Arial"/>
          <w:sz w:val="22"/>
          <w:szCs w:val="22"/>
          <w:color w:val="auto"/>
        </w:rPr>
        <w:t>Poor’s CUSIP Service Bureau (in cooperation with the SVO) shall have been obtained for each series of Bonds issued at the Closing.</w:t>
      </w:r>
    </w:p>
    <w:p>
      <w:pPr>
        <w:spacing w:after="0" w:line="227" w:lineRule="exact"/>
        <w:rPr>
          <w:sz w:val="20"/>
          <w:szCs w:val="20"/>
          <w:color w:val="auto"/>
        </w:rPr>
      </w:pPr>
    </w:p>
    <w:p>
      <w:pPr>
        <w:jc w:val="both"/>
        <w:ind w:left="180" w:right="199" w:firstLine="351"/>
        <w:spacing w:after="0" w:line="287" w:lineRule="auto"/>
        <w:rPr>
          <w:sz w:val="20"/>
          <w:szCs w:val="20"/>
          <w:color w:val="auto"/>
        </w:rPr>
      </w:pPr>
      <w:r>
        <w:rPr>
          <w:rFonts w:ascii="Arial" w:cs="Arial" w:eastAsia="Arial" w:hAnsi="Arial"/>
          <w:sz w:val="19"/>
          <w:szCs w:val="19"/>
          <w:i w:val="1"/>
          <w:iCs w:val="1"/>
          <w:color w:val="auto"/>
        </w:rPr>
        <w:t>Section 4.9. Changes in Corporate Structure</w:t>
      </w:r>
      <w:r>
        <w:rPr>
          <w:rFonts w:ascii="Arial" w:cs="Arial" w:eastAsia="Arial" w:hAnsi="Arial"/>
          <w:sz w:val="19"/>
          <w:szCs w:val="19"/>
          <w:color w:val="auto"/>
        </w:rPr>
        <w:t>. The Company shall not have changed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Arial" w:cs="Arial" w:eastAsia="Arial" w:hAnsi="Arial"/>
          <w:sz w:val="19"/>
          <w:szCs w:val="19"/>
          <w:i w:val="1"/>
          <w:iCs w:val="1"/>
          <w:color w:val="auto"/>
        </w:rPr>
        <w:t>Schedule 5.5</w:t>
      </w:r>
      <w:r>
        <w:rPr>
          <w:rFonts w:ascii="Arial" w:cs="Arial" w:eastAsia="Arial" w:hAnsi="Arial"/>
          <w:sz w:val="19"/>
          <w:szCs w:val="19"/>
          <w:color w:val="auto"/>
        </w:rPr>
        <w:t>.</w:t>
      </w:r>
    </w:p>
    <w:p>
      <w:pPr>
        <w:spacing w:after="0" w:line="183" w:lineRule="exact"/>
        <w:rPr>
          <w:sz w:val="20"/>
          <w:szCs w:val="20"/>
          <w:color w:val="auto"/>
        </w:rPr>
      </w:pPr>
    </w:p>
    <w:p>
      <w:pPr>
        <w:jc w:val="both"/>
        <w:ind w:left="180" w:right="199" w:firstLine="324"/>
        <w:spacing w:after="0" w:line="234" w:lineRule="auto"/>
        <w:rPr>
          <w:sz w:val="20"/>
          <w:szCs w:val="20"/>
          <w:color w:val="auto"/>
        </w:rPr>
      </w:pPr>
      <w:r>
        <w:rPr>
          <w:rFonts w:ascii="Arial" w:cs="Arial" w:eastAsia="Arial" w:hAnsi="Arial"/>
          <w:sz w:val="22"/>
          <w:szCs w:val="22"/>
          <w:i w:val="1"/>
          <w:iCs w:val="1"/>
          <w:color w:val="auto"/>
        </w:rPr>
        <w:t>Section 4.10. Funding Instructions</w:t>
      </w:r>
      <w:r>
        <w:rPr>
          <w:rFonts w:ascii="Arial" w:cs="Arial" w:eastAsia="Arial" w:hAnsi="Arial"/>
          <w:sz w:val="22"/>
          <w:szCs w:val="22"/>
          <w:color w:val="auto"/>
        </w:rPr>
        <w:t>. At least three Business Days prior to the date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Closing, such Purchaser shall have received written instructions signed by a Responsible Officer on letterhead of the Company confirming the information specified in </w:t>
      </w:r>
      <w:r>
        <w:rPr>
          <w:rFonts w:ascii="Arial" w:cs="Arial" w:eastAsia="Arial" w:hAnsi="Arial"/>
          <w:sz w:val="22"/>
          <w:szCs w:val="22"/>
          <w:b w:val="1"/>
          <w:bCs w:val="1"/>
          <w:color w:val="auto"/>
        </w:rPr>
        <w:t>Section 3</w:t>
      </w:r>
      <w:r>
        <w:rPr>
          <w:rFonts w:ascii="Arial" w:cs="Arial" w:eastAsia="Arial" w:hAnsi="Arial"/>
          <w:sz w:val="22"/>
          <w:szCs w:val="22"/>
          <w:color w:val="auto"/>
        </w:rPr>
        <w:t xml:space="preserve"> including (a) the name and address of the transferee bank, (b) such transferee bank’s ABA number (c) the account name and number into which the purchase price for the Bonds is to be deposited, and (d) the name and telephone number and/or email address for an appropriate contact person at such transferee bank.</w:t>
      </w:r>
    </w:p>
    <w:p>
      <w:pPr>
        <w:spacing w:after="0" w:line="218" w:lineRule="exact"/>
        <w:rPr>
          <w:sz w:val="20"/>
          <w:szCs w:val="20"/>
          <w:color w:val="auto"/>
        </w:rPr>
      </w:pPr>
    </w:p>
    <w:p>
      <w:pPr>
        <w:jc w:val="both"/>
        <w:ind w:left="180" w:right="199" w:firstLine="243"/>
        <w:spacing w:after="0" w:line="235" w:lineRule="auto"/>
        <w:rPr>
          <w:sz w:val="20"/>
          <w:szCs w:val="20"/>
          <w:color w:val="auto"/>
        </w:rPr>
      </w:pPr>
      <w:r>
        <w:rPr>
          <w:rFonts w:ascii="Arial" w:cs="Arial" w:eastAsia="Arial" w:hAnsi="Arial"/>
          <w:sz w:val="22"/>
          <w:szCs w:val="22"/>
          <w:i w:val="1"/>
          <w:iCs w:val="1"/>
          <w:color w:val="auto"/>
        </w:rPr>
        <w:t>Section 4.11. Proceedings and Documents</w:t>
      </w:r>
      <w:r>
        <w:rPr>
          <w:rFonts w:ascii="Arial" w:cs="Arial" w:eastAsia="Arial" w:hAnsi="Arial"/>
          <w:sz w:val="22"/>
          <w:szCs w:val="22"/>
          <w:color w:val="auto"/>
        </w:rPr>
        <w:t>. All corporate and other proceedings in connection</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67" w:name="page68"/>
    <w:bookmarkEnd w:id="67"/>
    <w:p>
      <w:pPr>
        <w:jc w:val="both"/>
        <w:ind w:left="180" w:right="199" w:firstLine="229"/>
        <w:spacing w:after="0" w:line="274" w:lineRule="auto"/>
        <w:rPr>
          <w:sz w:val="20"/>
          <w:szCs w:val="20"/>
          <w:color w:val="auto"/>
        </w:rPr>
      </w:pPr>
      <w:r>
        <w:rPr>
          <w:rFonts w:ascii="Arial" w:cs="Arial" w:eastAsia="Arial" w:hAnsi="Arial"/>
          <w:sz w:val="19"/>
          <w:szCs w:val="19"/>
          <w:i w:val="1"/>
          <w:iCs w:val="1"/>
          <w:color w:val="auto"/>
        </w:rPr>
        <w:t>Section 4.12. Execution and Delivery and Filing and Recording of the Supplement</w:t>
      </w:r>
      <w:r>
        <w:rPr>
          <w:rFonts w:ascii="Arial" w:cs="Arial" w:eastAsia="Arial" w:hAnsi="Arial"/>
          <w:sz w:val="19"/>
          <w:szCs w:val="19"/>
          <w:color w:val="auto"/>
        </w:rPr>
        <w:t>. Prior to or</w:t>
      </w:r>
      <w:r>
        <w:rPr>
          <w:rFonts w:ascii="Arial" w:cs="Arial" w:eastAsia="Arial" w:hAnsi="Arial"/>
          <w:sz w:val="19"/>
          <w:szCs w:val="19"/>
          <w:i w:val="1"/>
          <w:iCs w:val="1"/>
          <w:color w:val="auto"/>
        </w:rPr>
        <w:t xml:space="preserve"> </w:t>
      </w:r>
      <w:r>
        <w:rPr>
          <w:rFonts w:ascii="Arial" w:cs="Arial" w:eastAsia="Arial" w:hAnsi="Arial"/>
          <w:sz w:val="19"/>
          <w:szCs w:val="19"/>
          <w:color w:val="auto"/>
        </w:rPr>
        <w:t>at the 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85" w:lineRule="exact"/>
        <w:rPr>
          <w:sz w:val="20"/>
          <w:szCs w:val="20"/>
          <w:color w:val="auto"/>
        </w:rPr>
      </w:pPr>
    </w:p>
    <w:p>
      <w:pPr>
        <w:jc w:val="both"/>
        <w:ind w:left="180" w:right="199" w:firstLine="301"/>
        <w:spacing w:after="0" w:line="275" w:lineRule="auto"/>
        <w:rPr>
          <w:sz w:val="20"/>
          <w:szCs w:val="20"/>
          <w:color w:val="auto"/>
        </w:rPr>
      </w:pPr>
      <w:r>
        <w:rPr>
          <w:rFonts w:ascii="Arial" w:cs="Arial" w:eastAsia="Arial" w:hAnsi="Arial"/>
          <w:sz w:val="19"/>
          <w:szCs w:val="19"/>
          <w:i w:val="1"/>
          <w:iCs w:val="1"/>
          <w:color w:val="auto"/>
        </w:rPr>
        <w:t xml:space="preserve">Section 4.13. Regulatory Approvals. </w:t>
      </w:r>
      <w:r>
        <w:rPr>
          <w:rFonts w:ascii="Arial" w:cs="Arial" w:eastAsia="Arial" w:hAnsi="Arial"/>
          <w:sz w:val="19"/>
          <w:szCs w:val="19"/>
          <w:color w:val="auto"/>
        </w:rPr>
        <w:t>The issue and sale of the Bonds shall have been duly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by an 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225"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REPRESENTATIONS AND WARRANTIES OF THE COMPANY.</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Company represents and warrants to each Purchaser at the Closing that:</w:t>
      </w:r>
    </w:p>
    <w:p>
      <w:pPr>
        <w:spacing w:after="0" w:line="233" w:lineRule="exact"/>
        <w:rPr>
          <w:sz w:val="20"/>
          <w:szCs w:val="20"/>
          <w:color w:val="auto"/>
        </w:rPr>
      </w:pPr>
    </w:p>
    <w:p>
      <w:pPr>
        <w:jc w:val="both"/>
        <w:ind w:left="180" w:right="199" w:firstLine="391"/>
        <w:spacing w:after="0" w:line="244" w:lineRule="auto"/>
        <w:rPr>
          <w:sz w:val="20"/>
          <w:szCs w:val="20"/>
          <w:color w:val="auto"/>
        </w:rPr>
      </w:pPr>
      <w:r>
        <w:rPr>
          <w:rFonts w:ascii="Arial" w:cs="Arial" w:eastAsia="Arial" w:hAnsi="Arial"/>
          <w:sz w:val="21"/>
          <w:szCs w:val="21"/>
          <w:i w:val="1"/>
          <w:iCs w:val="1"/>
          <w:color w:val="auto"/>
        </w:rPr>
        <w:t>Section 5.1. Organization; Power and Authority</w:t>
      </w:r>
      <w:r>
        <w:rPr>
          <w:rFonts w:ascii="Arial" w:cs="Arial" w:eastAsia="Arial" w:hAnsi="Arial"/>
          <w:sz w:val="21"/>
          <w:szCs w:val="21"/>
          <w:color w:val="auto"/>
        </w:rPr>
        <w:t>. The Company is a corporation duly</w:t>
      </w:r>
      <w:r>
        <w:rPr>
          <w:rFonts w:ascii="Arial" w:cs="Arial" w:eastAsia="Arial" w:hAnsi="Arial"/>
          <w:sz w:val="21"/>
          <w:szCs w:val="21"/>
          <w:i w:val="1"/>
          <w:iCs w:val="1"/>
          <w:color w:val="auto"/>
        </w:rPr>
        <w:t xml:space="preserve"> </w:t>
      </w:r>
      <w:r>
        <w:rPr>
          <w:rFonts w:ascii="Arial" w:cs="Arial" w:eastAsia="Arial" w:hAnsi="Arial"/>
          <w:sz w:val="21"/>
          <w:szCs w:val="21"/>
          <w:color w:val="auto"/>
        </w:rPr>
        <w:t>organized, validly 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229" w:lineRule="exact"/>
        <w:rPr>
          <w:sz w:val="20"/>
          <w:szCs w:val="20"/>
          <w:color w:val="auto"/>
        </w:rPr>
      </w:pPr>
    </w:p>
    <w:p>
      <w:pPr>
        <w:jc w:val="both"/>
        <w:ind w:left="180" w:right="199" w:firstLine="310"/>
        <w:spacing w:after="0" w:line="244" w:lineRule="auto"/>
        <w:rPr>
          <w:sz w:val="20"/>
          <w:szCs w:val="20"/>
          <w:color w:val="auto"/>
        </w:rPr>
      </w:pPr>
      <w:r>
        <w:rPr>
          <w:rFonts w:ascii="Arial" w:cs="Arial" w:eastAsia="Arial" w:hAnsi="Arial"/>
          <w:sz w:val="21"/>
          <w:szCs w:val="21"/>
          <w:i w:val="1"/>
          <w:iCs w:val="1"/>
          <w:color w:val="auto"/>
        </w:rPr>
        <w:t>Section 5.2. Authorization, Etc</w:t>
      </w:r>
      <w:r>
        <w:rPr>
          <w:rFonts w:ascii="Arial" w:cs="Arial" w:eastAsia="Arial" w:hAnsi="Arial"/>
          <w:sz w:val="21"/>
          <w:szCs w:val="21"/>
          <w:color w:val="auto"/>
        </w:rPr>
        <w:t>. At the Closing, each Financing Agreement has been duly</w:t>
      </w:r>
      <w:r>
        <w:rPr>
          <w:rFonts w:ascii="Arial" w:cs="Arial" w:eastAsia="Arial" w:hAnsi="Arial"/>
          <w:sz w:val="21"/>
          <w:szCs w:val="21"/>
          <w:i w:val="1"/>
          <w:iCs w:val="1"/>
          <w:color w:val="auto"/>
        </w:rPr>
        <w:t xml:space="preserve"> </w:t>
      </w:r>
      <w:r>
        <w:rPr>
          <w:rFonts w:ascii="Arial" w:cs="Arial" w:eastAsia="Arial" w:hAnsi="Arial"/>
          <w:sz w:val="21"/>
          <w:szCs w:val="21"/>
          <w:color w:val="auto"/>
        </w:rPr>
        <w:t>authorized by all 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68" w:name="page69"/>
    <w:bookmarkEnd w:id="68"/>
    <w:p>
      <w:pPr>
        <w:jc w:val="both"/>
        <w:ind w:left="180" w:right="199" w:firstLine="310"/>
        <w:spacing w:after="0" w:line="271" w:lineRule="auto"/>
        <w:rPr>
          <w:sz w:val="20"/>
          <w:szCs w:val="20"/>
          <w:color w:val="auto"/>
        </w:rPr>
      </w:pPr>
      <w:r>
        <w:rPr>
          <w:rFonts w:ascii="Arial" w:cs="Arial" w:eastAsia="Arial" w:hAnsi="Arial"/>
          <w:sz w:val="19"/>
          <w:szCs w:val="19"/>
          <w:i w:val="1"/>
          <w:iCs w:val="1"/>
          <w:color w:val="auto"/>
        </w:rPr>
        <w:t>Section 5.3. Disclosure</w:t>
      </w:r>
      <w:r>
        <w:rPr>
          <w:rFonts w:ascii="Arial" w:cs="Arial" w:eastAsia="Arial" w:hAnsi="Arial"/>
          <w:sz w:val="19"/>
          <w:szCs w:val="19"/>
          <w:color w:val="auto"/>
        </w:rPr>
        <w:t>. This Agreement and the documents, certificates or other writings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to the Purchasers by or on behalf of the Company in connection with the transactions contemplated hereby, including the Private placement memorandum (including the documents incorporated therein by reference) dated March 2020, and the financial statements listed in </w:t>
      </w:r>
      <w:r>
        <w:rPr>
          <w:rFonts w:ascii="Arial" w:cs="Arial" w:eastAsia="Arial" w:hAnsi="Arial"/>
          <w:sz w:val="19"/>
          <w:szCs w:val="19"/>
          <w:i w:val="1"/>
          <w:iCs w:val="1"/>
          <w:color w:val="auto"/>
        </w:rPr>
        <w:t xml:space="preserve">Schedule 5.5 </w:t>
      </w:r>
      <w:r>
        <w:rPr>
          <w:rFonts w:ascii="Arial" w:cs="Arial" w:eastAsia="Arial" w:hAnsi="Arial"/>
          <w:sz w:val="19"/>
          <w:szCs w:val="19"/>
          <w:color w:val="auto"/>
        </w:rPr>
        <w:t>(collectively, the</w:t>
      </w:r>
      <w:r>
        <w:rPr>
          <w:rFonts w:ascii="Arial" w:cs="Arial" w:eastAsia="Arial" w:hAnsi="Arial"/>
          <w:sz w:val="19"/>
          <w:szCs w:val="19"/>
          <w:i w:val="1"/>
          <w:iCs w:val="1"/>
          <w:color w:val="auto"/>
        </w:rPr>
        <w:t xml:space="preserve"> “Disclosure Documents”</w:t>
      </w:r>
      <w:r>
        <w:rPr>
          <w:rFonts w:ascii="Arial" w:cs="Arial" w:eastAsia="Arial" w:hAnsi="Arial"/>
          <w:sz w:val="19"/>
          <w:szCs w:val="19"/>
          <w:color w:val="auto"/>
        </w:rPr>
        <w:t>), taken as a whole, do not contain any</w:t>
      </w:r>
      <w:r>
        <w:rPr>
          <w:rFonts w:ascii="Arial" w:cs="Arial" w:eastAsia="Arial" w:hAnsi="Arial"/>
          <w:sz w:val="19"/>
          <w:szCs w:val="19"/>
          <w:i w:val="1"/>
          <w:iCs w:val="1"/>
          <w:color w:val="auto"/>
        </w:rPr>
        <w:t xml:space="preserve"> </w:t>
      </w:r>
      <w:r>
        <w:rPr>
          <w:rFonts w:ascii="Arial" w:cs="Arial" w:eastAsia="Arial" w:hAnsi="Arial"/>
          <w:sz w:val="19"/>
          <w:szCs w:val="19"/>
          <w:color w:val="auto"/>
        </w:rPr>
        <w:t>untrue statement of a material fact or omit to state any material fact necessary to make the statements therein not misleading in light of the circumstances under which they were made. Since December 31, 2019,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191" w:lineRule="exact"/>
        <w:rPr>
          <w:sz w:val="20"/>
          <w:szCs w:val="20"/>
          <w:color w:val="auto"/>
        </w:rPr>
      </w:pPr>
    </w:p>
    <w:p>
      <w:pPr>
        <w:jc w:val="both"/>
        <w:ind w:left="180" w:right="199" w:firstLine="241"/>
        <w:spacing w:after="0" w:line="236" w:lineRule="auto"/>
        <w:rPr>
          <w:sz w:val="20"/>
          <w:szCs w:val="20"/>
          <w:color w:val="auto"/>
        </w:rPr>
      </w:pPr>
      <w:r>
        <w:rPr>
          <w:rFonts w:ascii="Arial" w:cs="Arial" w:eastAsia="Arial" w:hAnsi="Arial"/>
          <w:sz w:val="22"/>
          <w:szCs w:val="22"/>
          <w:i w:val="1"/>
          <w:iCs w:val="1"/>
          <w:color w:val="auto"/>
        </w:rPr>
        <w:t xml:space="preserve">Section 5.4. Organization and Ownership of Shares of Subsidiaries. </w:t>
      </w:r>
      <w:r>
        <w:rPr>
          <w:rFonts w:ascii="Arial" w:cs="Arial" w:eastAsia="Arial" w:hAnsi="Arial"/>
          <w:sz w:val="22"/>
          <w:szCs w:val="22"/>
          <w:color w:val="auto"/>
        </w:rPr>
        <w:t>(a)</w:t>
      </w:r>
      <w:r>
        <w:rPr>
          <w:rFonts w:ascii="Arial" w:cs="Arial" w:eastAsia="Arial" w:hAnsi="Arial"/>
          <w:sz w:val="22"/>
          <w:szCs w:val="22"/>
          <w:i w:val="1"/>
          <w:iCs w:val="1"/>
          <w:color w:val="auto"/>
        </w:rPr>
        <w:t xml:space="preserve"> Schedule 5.4 </w:t>
      </w:r>
      <w:r>
        <w:rPr>
          <w:rFonts w:ascii="Arial" w:cs="Arial" w:eastAsia="Arial" w:hAnsi="Arial"/>
          <w:sz w:val="22"/>
          <w:szCs w:val="22"/>
          <w:color w:val="auto"/>
        </w:rPr>
        <w:t>contains</w:t>
      </w:r>
      <w:r>
        <w:rPr>
          <w:rFonts w:ascii="Arial" w:cs="Arial" w:eastAsia="Arial" w:hAnsi="Arial"/>
          <w:sz w:val="22"/>
          <w:szCs w:val="22"/>
          <w:i w:val="1"/>
          <w:iCs w:val="1"/>
          <w:color w:val="auto"/>
        </w:rPr>
        <w:t xml:space="preserve"> </w:t>
      </w:r>
      <w:r>
        <w:rPr>
          <w:rFonts w:ascii="Arial" w:cs="Arial" w:eastAsia="Arial" w:hAnsi="Arial"/>
          <w:sz w:val="22"/>
          <w:szCs w:val="22"/>
          <w:color w:val="auto"/>
        </w:rPr>
        <w:t>a complete 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214" w:lineRule="exact"/>
        <w:rPr>
          <w:sz w:val="20"/>
          <w:szCs w:val="20"/>
          <w:color w:val="auto"/>
        </w:rPr>
      </w:pPr>
    </w:p>
    <w:p>
      <w:pPr>
        <w:jc w:val="both"/>
        <w:ind w:left="180" w:right="199" w:firstLine="247"/>
        <w:spacing w:after="0" w:line="238" w:lineRule="auto"/>
        <w:tabs>
          <w:tab w:leader="none" w:pos="918"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All of the outstanding shares of capital stock or similar equity interests of each Subsidiary shown in </w:t>
      </w:r>
      <w:r>
        <w:rPr>
          <w:rFonts w:ascii="Arial" w:cs="Arial" w:eastAsia="Arial" w:hAnsi="Arial"/>
          <w:sz w:val="22"/>
          <w:szCs w:val="22"/>
          <w:i w:val="1"/>
          <w:iCs w:val="1"/>
          <w:color w:val="auto"/>
        </w:rPr>
        <w:t>Schedule 5.4</w:t>
      </w:r>
      <w:r>
        <w:rPr>
          <w:rFonts w:ascii="Arial" w:cs="Arial" w:eastAsia="Arial" w:hAnsi="Arial"/>
          <w:sz w:val="22"/>
          <w:szCs w:val="22"/>
          <w:color w:val="auto"/>
        </w:rPr>
        <w:t xml:space="preserve"> as being owned by the Company and its Subsidiaries have been validly issued, are fully paid and nonassessable and are owned by the Company or another Subsidiary free and clear of any Lien.</w:t>
      </w:r>
    </w:p>
    <w:p>
      <w:pPr>
        <w:spacing w:after="0" w:line="225" w:lineRule="exact"/>
        <w:rPr>
          <w:rFonts w:ascii="Arial" w:cs="Arial" w:eastAsia="Arial" w:hAnsi="Arial"/>
          <w:sz w:val="22"/>
          <w:szCs w:val="22"/>
          <w:color w:val="auto"/>
        </w:rPr>
      </w:pPr>
    </w:p>
    <w:p>
      <w:pPr>
        <w:jc w:val="both"/>
        <w:ind w:left="180" w:right="199" w:firstLine="247"/>
        <w:spacing w:after="0" w:line="275" w:lineRule="auto"/>
        <w:tabs>
          <w:tab w:leader="none" w:pos="906"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Each Subsidiary identified in </w:t>
      </w:r>
      <w:r>
        <w:rPr>
          <w:rFonts w:ascii="Arial" w:cs="Arial" w:eastAsia="Arial" w:hAnsi="Arial"/>
          <w:sz w:val="19"/>
          <w:szCs w:val="19"/>
          <w:i w:val="1"/>
          <w:iCs w:val="1"/>
          <w:color w:val="auto"/>
        </w:rPr>
        <w:t>Schedule 5.4</w:t>
      </w:r>
      <w:r>
        <w:rPr>
          <w:rFonts w:ascii="Arial" w:cs="Arial" w:eastAsia="Arial" w:hAnsi="Arial"/>
          <w:sz w:val="19"/>
          <w:szCs w:val="19"/>
          <w:color w:val="auto"/>
        </w:rPr>
        <w:t xml:space="preserve">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98" w:lineRule="exact"/>
        <w:rPr>
          <w:sz w:val="20"/>
          <w:szCs w:val="20"/>
          <w:color w:val="auto"/>
        </w:rPr>
      </w:pPr>
    </w:p>
    <w:p>
      <w:pPr>
        <w:jc w:val="both"/>
        <w:ind w:left="180" w:right="199" w:firstLine="270"/>
        <w:spacing w:after="0" w:line="246" w:lineRule="exact"/>
        <w:rPr>
          <w:sz w:val="20"/>
          <w:szCs w:val="20"/>
          <w:color w:val="auto"/>
        </w:rPr>
      </w:pPr>
      <w:r>
        <w:rPr>
          <w:rFonts w:ascii="Arial" w:cs="Arial" w:eastAsia="Arial" w:hAnsi="Arial"/>
          <w:sz w:val="19"/>
          <w:szCs w:val="19"/>
          <w:i w:val="1"/>
          <w:iCs w:val="1"/>
          <w:color w:val="auto"/>
        </w:rPr>
        <w:t>Section 5.5. Financial Statements; Material Liabilities</w:t>
      </w:r>
      <w:r>
        <w:rPr>
          <w:rFonts w:ascii="Arial" w:cs="Arial" w:eastAsia="Arial" w:hAnsi="Arial"/>
          <w:sz w:val="19"/>
          <w:szCs w:val="19"/>
          <w:color w:val="auto"/>
        </w:rPr>
        <w:t>. The Company has delivered to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Purchaser copies of the financial statements of the Company and its Subsidiaries listed on </w:t>
      </w:r>
      <w:r>
        <w:rPr>
          <w:rFonts w:ascii="Arial" w:cs="Arial" w:eastAsia="Arial" w:hAnsi="Arial"/>
          <w:sz w:val="19"/>
          <w:szCs w:val="19"/>
          <w:i w:val="1"/>
          <w:iCs w:val="1"/>
          <w:color w:val="auto"/>
        </w:rPr>
        <w:t>Schedule 5.5</w:t>
      </w:r>
      <w:r>
        <w:rPr>
          <w:rFonts w:ascii="Arial" w:cs="Arial" w:eastAsia="Arial" w:hAnsi="Arial"/>
          <w:sz w:val="19"/>
          <w:szCs w:val="19"/>
          <w:color w:val="auto"/>
        </w:rPr>
        <w:t>. All of said financial statements (including in each case the related schedules and</w:t>
      </w:r>
      <w:r>
        <w:rPr>
          <w:rFonts w:ascii="Arial" w:cs="Arial" w:eastAsia="Arial" w:hAnsi="Arial"/>
          <w:sz w:val="19"/>
          <w:szCs w:val="19"/>
          <w:i w:val="1"/>
          <w:iCs w:val="1"/>
          <w:color w:val="auto"/>
        </w:rPr>
        <w:t xml:space="preserve"> </w:t>
      </w:r>
      <w:r>
        <w:rPr>
          <w:rFonts w:ascii="Arial" w:cs="Arial" w:eastAsia="Arial" w:hAnsi="Arial"/>
          <w:sz w:val="19"/>
          <w:szCs w:val="19"/>
          <w:color w:val="auto"/>
        </w:rPr>
        <w:t>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19"/>
          <w:szCs w:val="19"/>
          <w:color w:val="auto"/>
        </w:rPr>
        <w:t>‑</w:t>
      </w:r>
      <w:r>
        <w:rPr>
          <w:rFonts w:ascii="Arial" w:cs="Arial" w:eastAsia="Arial" w:hAnsi="Arial"/>
          <w:sz w:val="19"/>
          <w:szCs w:val="19"/>
          <w:color w:val="auto"/>
        </w:rPr>
        <w:t>end adjustments). The Company does not have any Material liabilities that are not disclosed on such financial statements or otherwise disclosed in the Disclosure Documents.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69" w:name="page70"/>
    <w:bookmarkEnd w:id="69"/>
    <w:p>
      <w:pPr>
        <w:jc w:val="both"/>
        <w:ind w:left="180" w:right="199" w:firstLine="351"/>
        <w:spacing w:after="0" w:line="271" w:lineRule="auto"/>
        <w:rPr>
          <w:sz w:val="20"/>
          <w:szCs w:val="20"/>
          <w:color w:val="auto"/>
        </w:rPr>
      </w:pPr>
      <w:r>
        <w:rPr>
          <w:rFonts w:ascii="Arial" w:cs="Arial" w:eastAsia="Arial" w:hAnsi="Arial"/>
          <w:sz w:val="19"/>
          <w:szCs w:val="19"/>
          <w:i w:val="1"/>
          <w:iCs w:val="1"/>
          <w:color w:val="auto"/>
        </w:rPr>
        <w:t>Section 5.6. Compliance with Laws, Other Instruments, Etc</w:t>
      </w:r>
      <w:r>
        <w:rPr>
          <w:rFonts w:ascii="Arial" w:cs="Arial" w:eastAsia="Arial" w:hAnsi="Arial"/>
          <w:sz w:val="19"/>
          <w:szCs w:val="19"/>
          <w:color w:val="auto"/>
        </w:rPr>
        <w:t>. The execution, delivery and</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by the Company of each Financing Agreement (including the prior execution and 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 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200" w:lineRule="exact"/>
        <w:rPr>
          <w:sz w:val="20"/>
          <w:szCs w:val="20"/>
          <w:color w:val="auto"/>
        </w:rPr>
      </w:pPr>
    </w:p>
    <w:p>
      <w:pPr>
        <w:spacing w:after="0" w:line="238" w:lineRule="exact"/>
        <w:rPr>
          <w:sz w:val="20"/>
          <w:szCs w:val="20"/>
          <w:color w:val="auto"/>
        </w:rPr>
      </w:pPr>
    </w:p>
    <w:p>
      <w:pPr>
        <w:jc w:val="both"/>
        <w:ind w:left="180" w:right="199" w:firstLine="270"/>
        <w:spacing w:after="0" w:line="282" w:lineRule="auto"/>
        <w:rPr>
          <w:sz w:val="20"/>
          <w:szCs w:val="20"/>
          <w:color w:val="auto"/>
        </w:rPr>
      </w:pPr>
      <w:r>
        <w:rPr>
          <w:rFonts w:ascii="Arial" w:cs="Arial" w:eastAsia="Arial" w:hAnsi="Arial"/>
          <w:sz w:val="19"/>
          <w:szCs w:val="19"/>
          <w:i w:val="1"/>
          <w:iCs w:val="1"/>
          <w:color w:val="auto"/>
        </w:rPr>
        <w:t>Section 5.7. Governmental Authorizations, Etc</w:t>
      </w:r>
      <w:r>
        <w:rPr>
          <w:rFonts w:ascii="Arial" w:cs="Arial" w:eastAsia="Arial" w:hAnsi="Arial"/>
          <w:sz w:val="19"/>
          <w:szCs w:val="19"/>
          <w:color w:val="auto"/>
        </w:rPr>
        <w:t>. No consent, approval or authorization of, or</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188" w:lineRule="exact"/>
        <w:rPr>
          <w:sz w:val="20"/>
          <w:szCs w:val="20"/>
          <w:color w:val="auto"/>
        </w:rPr>
      </w:pPr>
    </w:p>
    <w:p>
      <w:pPr>
        <w:jc w:val="both"/>
        <w:ind w:left="180" w:right="199" w:firstLine="283"/>
        <w:spacing w:after="0" w:line="282" w:lineRule="auto"/>
        <w:rPr>
          <w:sz w:val="20"/>
          <w:szCs w:val="20"/>
          <w:color w:val="auto"/>
        </w:rPr>
      </w:pPr>
      <w:r>
        <w:rPr>
          <w:rFonts w:ascii="Arial" w:cs="Arial" w:eastAsia="Arial" w:hAnsi="Arial"/>
          <w:sz w:val="19"/>
          <w:szCs w:val="19"/>
          <w:i w:val="1"/>
          <w:iCs w:val="1"/>
          <w:color w:val="auto"/>
        </w:rPr>
        <w:t>Section 5.8. Litigation; Observance of Statutes and Orders</w:t>
      </w:r>
      <w:r>
        <w:rPr>
          <w:rFonts w:ascii="Arial" w:cs="Arial" w:eastAsia="Arial" w:hAnsi="Arial"/>
          <w:sz w:val="19"/>
          <w:szCs w:val="19"/>
          <w:color w:val="auto"/>
        </w:rPr>
        <w:t>. (a) There are no actions, suits,</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88" w:lineRule="exact"/>
        <w:rPr>
          <w:sz w:val="20"/>
          <w:szCs w:val="20"/>
          <w:color w:val="auto"/>
        </w:rPr>
      </w:pPr>
    </w:p>
    <w:p>
      <w:pPr>
        <w:jc w:val="both"/>
        <w:ind w:left="180" w:right="199" w:firstLine="247"/>
        <w:spacing w:after="0" w:line="275" w:lineRule="auto"/>
        <w:tabs>
          <w:tab w:leader="none" w:pos="918"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Arial" w:cs="Arial" w:eastAsia="Arial" w:hAnsi="Arial"/>
          <w:sz w:val="19"/>
          <w:szCs w:val="19"/>
          <w:b w:val="1"/>
          <w:bCs w:val="1"/>
          <w:color w:val="auto"/>
        </w:rPr>
        <w:t>Section 5.16</w:t>
      </w:r>
      <w:r>
        <w:rPr>
          <w:rFonts w:ascii="Arial" w:cs="Arial" w:eastAsia="Arial" w:hAnsi="Arial"/>
          <w:sz w:val="19"/>
          <w:szCs w:val="19"/>
          <w:color w:val="auto"/>
        </w:rPr>
        <w:t>), which default or violation, individually or in the aggregate, could reasonably be expected to have a Material Adverse Effect.</w:t>
      </w:r>
    </w:p>
    <w:p>
      <w:pPr>
        <w:spacing w:after="0" w:line="184" w:lineRule="exact"/>
        <w:rPr>
          <w:sz w:val="20"/>
          <w:szCs w:val="20"/>
          <w:color w:val="auto"/>
        </w:rPr>
      </w:pPr>
    </w:p>
    <w:p>
      <w:pPr>
        <w:jc w:val="both"/>
        <w:ind w:left="180" w:right="199" w:firstLine="648"/>
        <w:spacing w:after="0" w:line="273" w:lineRule="auto"/>
        <w:rPr>
          <w:sz w:val="20"/>
          <w:szCs w:val="20"/>
          <w:color w:val="auto"/>
        </w:rPr>
      </w:pPr>
      <w:r>
        <w:rPr>
          <w:rFonts w:ascii="Arial" w:cs="Arial" w:eastAsia="Arial" w:hAnsi="Arial"/>
          <w:sz w:val="19"/>
          <w:szCs w:val="19"/>
          <w:i w:val="1"/>
          <w:iCs w:val="1"/>
          <w:color w:val="auto"/>
        </w:rPr>
        <w:t>Section 5.9. Taxes</w:t>
      </w:r>
      <w:r>
        <w:rPr>
          <w:rFonts w:ascii="Arial" w:cs="Arial" w:eastAsia="Arial" w:hAnsi="Arial"/>
          <w:sz w:val="19"/>
          <w:szCs w:val="19"/>
          <w:color w:val="auto"/>
        </w:rPr>
        <w:t>. The Company and its Subsidiaries have filed all income tax returns</w:t>
      </w:r>
      <w:r>
        <w:rPr>
          <w:rFonts w:ascii="Arial" w:cs="Arial" w:eastAsia="Arial" w:hAnsi="Arial"/>
          <w:sz w:val="19"/>
          <w:szCs w:val="19"/>
          <w:i w:val="1"/>
          <w:iCs w:val="1"/>
          <w:color w:val="auto"/>
        </w:rPr>
        <w:t xml:space="preserve"> </w:t>
      </w:r>
      <w:r>
        <w:rPr>
          <w:rFonts w:ascii="Arial" w:cs="Arial" w:eastAsia="Arial" w:hAnsi="Arial"/>
          <w:sz w:val="19"/>
          <w:szCs w:val="19"/>
          <w:color w:val="auto"/>
        </w:rPr>
        <w:t>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0" w:name="page71"/>
    <w:bookmarkEnd w:id="70"/>
    <w:p>
      <w:pPr>
        <w:jc w:val="both"/>
        <w:ind w:left="180" w:right="199"/>
        <w:spacing w:after="0" w:line="257" w:lineRule="auto"/>
        <w:rPr>
          <w:sz w:val="20"/>
          <w:szCs w:val="20"/>
          <w:color w:val="auto"/>
        </w:rPr>
      </w:pPr>
      <w:r>
        <w:rPr>
          <w:rFonts w:ascii="Arial" w:cs="Arial" w:eastAsia="Arial" w:hAnsi="Arial"/>
          <w:sz w:val="21"/>
          <w:szCs w:val="21"/>
          <w:color w:val="auto"/>
        </w:rPr>
        <w:t>Subsidiaries have been finally determined (whether by reason of completed audits or the statute of limitations having run) for all fiscal years up to and including the fiscal year ended December 31, 2011 and all amounts owing in respect of such audit have been paid.</w:t>
      </w:r>
    </w:p>
    <w:p>
      <w:pPr>
        <w:spacing w:after="0" w:line="196" w:lineRule="exact"/>
        <w:rPr>
          <w:sz w:val="20"/>
          <w:szCs w:val="20"/>
          <w:color w:val="auto"/>
        </w:rPr>
      </w:pPr>
    </w:p>
    <w:p>
      <w:pPr>
        <w:jc w:val="both"/>
        <w:ind w:left="180" w:right="199" w:firstLine="310"/>
        <w:spacing w:after="0" w:line="246" w:lineRule="auto"/>
        <w:rPr>
          <w:sz w:val="20"/>
          <w:szCs w:val="20"/>
          <w:color w:val="auto"/>
        </w:rPr>
      </w:pPr>
      <w:r>
        <w:rPr>
          <w:rFonts w:ascii="Arial" w:cs="Arial" w:eastAsia="Arial" w:hAnsi="Arial"/>
          <w:sz w:val="21"/>
          <w:szCs w:val="21"/>
          <w:i w:val="1"/>
          <w:iCs w:val="1"/>
          <w:color w:val="auto"/>
        </w:rPr>
        <w:t>Section 5.10. Title to Property; Leases</w:t>
      </w:r>
      <w:r>
        <w:rPr>
          <w:rFonts w:ascii="Arial" w:cs="Arial" w:eastAsia="Arial" w:hAnsi="Arial"/>
          <w:sz w:val="21"/>
          <w:szCs w:val="21"/>
          <w:color w:val="auto"/>
        </w:rPr>
        <w:t>. The Company and its Subsidiaries have good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sufficient title to their respective Material properties, including all such properties reflected in the most recent audited balance sheet referred to in </w:t>
      </w:r>
      <w:r>
        <w:rPr>
          <w:rFonts w:ascii="Arial" w:cs="Arial" w:eastAsia="Arial" w:hAnsi="Arial"/>
          <w:sz w:val="21"/>
          <w:szCs w:val="21"/>
          <w:b w:val="1"/>
          <w:bCs w:val="1"/>
          <w:color w:val="auto"/>
        </w:rPr>
        <w:t>Section 5.5</w:t>
      </w:r>
      <w:r>
        <w:rPr>
          <w:rFonts w:ascii="Arial" w:cs="Arial" w:eastAsia="Arial" w:hAnsi="Arial"/>
          <w:sz w:val="21"/>
          <w:szCs w:val="21"/>
          <w:color w:val="auto"/>
        </w:rPr>
        <w:t xml:space="preserve">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220" w:lineRule="exact"/>
        <w:rPr>
          <w:sz w:val="20"/>
          <w:szCs w:val="20"/>
          <w:color w:val="auto"/>
        </w:rPr>
      </w:pPr>
    </w:p>
    <w:p>
      <w:pPr>
        <w:jc w:val="both"/>
        <w:ind w:left="180" w:right="199" w:firstLine="297"/>
        <w:spacing w:after="0" w:line="282" w:lineRule="auto"/>
        <w:rPr>
          <w:sz w:val="20"/>
          <w:szCs w:val="20"/>
          <w:color w:val="auto"/>
        </w:rPr>
      </w:pPr>
      <w:r>
        <w:rPr>
          <w:rFonts w:ascii="Arial" w:cs="Arial" w:eastAsia="Arial" w:hAnsi="Arial"/>
          <w:sz w:val="19"/>
          <w:szCs w:val="19"/>
          <w:i w:val="1"/>
          <w:iCs w:val="1"/>
          <w:color w:val="auto"/>
        </w:rPr>
        <w:t>Section 5.11. Licenses, Permits, Etc</w:t>
      </w:r>
      <w:r>
        <w:rPr>
          <w:rFonts w:ascii="Arial" w:cs="Arial" w:eastAsia="Arial" w:hAnsi="Arial"/>
          <w:sz w:val="19"/>
          <w:szCs w:val="19"/>
          <w:color w:val="auto"/>
        </w:rPr>
        <w:t>. The Company and its Subsidiaries own or possess all</w:t>
      </w:r>
      <w:r>
        <w:rPr>
          <w:rFonts w:ascii="Arial" w:cs="Arial" w:eastAsia="Arial" w:hAnsi="Arial"/>
          <w:sz w:val="19"/>
          <w:szCs w:val="19"/>
          <w:i w:val="1"/>
          <w:iCs w:val="1"/>
          <w:color w:val="auto"/>
        </w:rPr>
        <w:t xml:space="preserve"> </w:t>
      </w:r>
      <w:r>
        <w:rPr>
          <w:rFonts w:ascii="Arial" w:cs="Arial" w:eastAsia="Arial" w:hAnsi="Arial"/>
          <w:sz w:val="19"/>
          <w:szCs w:val="19"/>
          <w:color w:val="auto"/>
        </w:rPr>
        <w:t>licenses, 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188" w:lineRule="exact"/>
        <w:rPr>
          <w:sz w:val="20"/>
          <w:szCs w:val="20"/>
          <w:color w:val="auto"/>
        </w:rPr>
      </w:pPr>
    </w:p>
    <w:p>
      <w:pPr>
        <w:jc w:val="both"/>
        <w:ind w:left="180" w:right="199" w:firstLine="270"/>
        <w:spacing w:after="0" w:line="272" w:lineRule="auto"/>
        <w:rPr>
          <w:sz w:val="20"/>
          <w:szCs w:val="20"/>
          <w:color w:val="auto"/>
        </w:rPr>
      </w:pPr>
      <w:r>
        <w:rPr>
          <w:rFonts w:ascii="Arial" w:cs="Arial" w:eastAsia="Arial" w:hAnsi="Arial"/>
          <w:sz w:val="19"/>
          <w:szCs w:val="19"/>
          <w:i w:val="1"/>
          <w:iCs w:val="1"/>
          <w:color w:val="auto"/>
        </w:rPr>
        <w:t>Section 5.12. Compliance with Employee Benefit Plans</w:t>
      </w:r>
      <w:r>
        <w:rPr>
          <w:rFonts w:ascii="Arial" w:cs="Arial" w:eastAsia="Arial" w:hAnsi="Arial"/>
          <w:sz w:val="19"/>
          <w:szCs w:val="19"/>
          <w:color w:val="auto"/>
        </w:rPr>
        <w:t>. (a) The Company and each ERISA</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200" w:lineRule="exact"/>
        <w:rPr>
          <w:sz w:val="20"/>
          <w:szCs w:val="20"/>
          <w:color w:val="auto"/>
        </w:rPr>
      </w:pPr>
    </w:p>
    <w:p>
      <w:pPr>
        <w:spacing w:after="0" w:line="235" w:lineRule="exact"/>
        <w:rPr>
          <w:sz w:val="20"/>
          <w:szCs w:val="20"/>
          <w:color w:val="auto"/>
        </w:rPr>
      </w:pPr>
    </w:p>
    <w:p>
      <w:pPr>
        <w:jc w:val="both"/>
        <w:ind w:left="180" w:right="199" w:firstLine="301"/>
        <w:spacing w:after="0" w:line="275" w:lineRule="auto"/>
        <w:tabs>
          <w:tab w:leader="none" w:pos="1039"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present value of the aggregate benefit liabilities under each of the Plans subject to section 412 of the Code (other than Multiemployer Plans), determined as of January 1, 2019 based on such Plan’s actuarial assumptions as of that date for funding purposes as documented in such Plan’s actuarial valuation reports dated September 2019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19"/>
          <w:szCs w:val="19"/>
          <w:i w:val="1"/>
          <w:iCs w:val="1"/>
          <w:color w:val="auto"/>
        </w:rPr>
        <w:t>benefit</w:t>
      </w:r>
      <w:r>
        <w:rPr>
          <w:rFonts w:ascii="Arial" w:cs="Arial" w:eastAsia="Arial" w:hAnsi="Arial"/>
          <w:sz w:val="19"/>
          <w:szCs w:val="19"/>
          <w:color w:val="auto"/>
        </w:rPr>
        <w:t xml:space="preserve"> </w:t>
      </w:r>
      <w:r>
        <w:rPr>
          <w:rFonts w:ascii="Arial" w:cs="Arial" w:eastAsia="Arial" w:hAnsi="Arial"/>
          <w:sz w:val="19"/>
          <w:szCs w:val="19"/>
          <w:i w:val="1"/>
          <w:iCs w:val="1"/>
          <w:color w:val="auto"/>
        </w:rPr>
        <w:t>liabilities</w:t>
      </w:r>
      <w:r>
        <w:rPr>
          <w:rFonts w:ascii="Arial" w:cs="Arial" w:eastAsia="Arial" w:hAnsi="Arial"/>
          <w:sz w:val="19"/>
          <w:szCs w:val="19"/>
          <w:color w:val="auto"/>
        </w:rPr>
        <w:t>” has the meaning specified in section 4001 of ERISA and the terms “</w:t>
      </w:r>
      <w:r>
        <w:rPr>
          <w:rFonts w:ascii="Arial" w:cs="Arial" w:eastAsia="Arial" w:hAnsi="Arial"/>
          <w:sz w:val="19"/>
          <w:szCs w:val="19"/>
          <w:i w:val="1"/>
          <w:iCs w:val="1"/>
          <w:color w:val="auto"/>
        </w:rPr>
        <w:t>current value</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present value</w:t>
      </w:r>
      <w:r>
        <w:rPr>
          <w:rFonts w:ascii="Arial" w:cs="Arial" w:eastAsia="Arial" w:hAnsi="Arial"/>
          <w:sz w:val="19"/>
          <w:szCs w:val="19"/>
          <w:color w:val="auto"/>
        </w:rPr>
        <w:t>” have the meaning specified in section 3 of ERISA.</w:t>
      </w:r>
    </w:p>
    <w:p>
      <w:pPr>
        <w:spacing w:after="0" w:line="197" w:lineRule="exact"/>
        <w:rPr>
          <w:rFonts w:ascii="Arial" w:cs="Arial" w:eastAsia="Arial" w:hAnsi="Arial"/>
          <w:sz w:val="19"/>
          <w:szCs w:val="19"/>
          <w:color w:val="auto"/>
        </w:rPr>
      </w:pPr>
    </w:p>
    <w:p>
      <w:pPr>
        <w:jc w:val="both"/>
        <w:ind w:left="180" w:right="199" w:firstLine="220"/>
        <w:spacing w:after="0"/>
        <w:tabs>
          <w:tab w:leader="none" w:pos="85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1" w:name="page72"/>
    <w:bookmarkEnd w:id="71"/>
    <w:p>
      <w:pPr>
        <w:jc w:val="both"/>
        <w:ind w:left="180" w:right="199" w:firstLine="368"/>
        <w:spacing w:after="0" w:line="249" w:lineRule="exact"/>
        <w:tabs>
          <w:tab w:leader="none" w:pos="1161" w:val="left"/>
        </w:tabs>
        <w:numPr>
          <w:ilvl w:val="2"/>
          <w:numId w:val="16"/>
        </w:numPr>
        <w:rPr>
          <w:rFonts w:ascii="Arial" w:cs="Arial" w:eastAsia="Arial" w:hAnsi="Arial"/>
          <w:sz w:val="22"/>
          <w:szCs w:val="22"/>
          <w:color w:val="auto"/>
        </w:rPr>
      </w:pPr>
      <w:r>
        <w:rPr>
          <w:rFonts w:ascii="Arial" w:cs="Arial" w:eastAsia="Arial" w:hAnsi="Arial"/>
          <w:sz w:val="22"/>
          <w:szCs w:val="22"/>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Arial" w:cs="Arial" w:eastAsia="Arial" w:hAnsi="Arial"/>
          <w:sz w:val="22"/>
          <w:szCs w:val="22"/>
          <w:color w:val="auto"/>
        </w:rPr>
        <w:t>60, without regard to liabilities attributable to continuation coverage mandated by section 4980B of the Code) of the Company and its Subsidiaries is not Material.</w:t>
      </w:r>
    </w:p>
    <w:p>
      <w:pPr>
        <w:spacing w:after="0" w:line="214" w:lineRule="exact"/>
        <w:rPr>
          <w:rFonts w:ascii="Arial" w:cs="Arial" w:eastAsia="Arial" w:hAnsi="Arial"/>
          <w:sz w:val="22"/>
          <w:szCs w:val="22"/>
          <w:color w:val="auto"/>
        </w:rPr>
      </w:pPr>
    </w:p>
    <w:p>
      <w:pPr>
        <w:jc w:val="both"/>
        <w:ind w:left="180" w:right="199" w:firstLine="328"/>
        <w:spacing w:after="0" w:line="247" w:lineRule="exact"/>
        <w:tabs>
          <w:tab w:leader="none" w:pos="1068" w:val="left"/>
        </w:tabs>
        <w:numPr>
          <w:ilvl w:val="1"/>
          <w:numId w:val="17"/>
        </w:numPr>
        <w:rPr>
          <w:rFonts w:ascii="Arial" w:cs="Arial" w:eastAsia="Arial" w:hAnsi="Arial"/>
          <w:sz w:val="21"/>
          <w:szCs w:val="21"/>
          <w:color w:val="auto"/>
        </w:rPr>
      </w:pPr>
      <w:r>
        <w:rPr>
          <w:rFonts w:ascii="Arial" w:cs="Arial" w:eastAsia="Arial" w:hAnsi="Arial"/>
          <w:sz w:val="21"/>
          <w:szCs w:val="21"/>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1"/>
          <w:szCs w:val="21"/>
          <w:color w:val="auto"/>
        </w:rPr>
        <w:t>‑</w:t>
      </w:r>
      <w:r>
        <w:rPr>
          <w:rFonts w:ascii="Arial" w:cs="Arial" w:eastAsia="Arial" w:hAnsi="Arial"/>
          <w:sz w:val="21"/>
          <w:szCs w:val="21"/>
          <w:color w:val="auto"/>
        </w:rPr>
        <w:t xml:space="preserve">(D) of the Code. The representation by the Company to each Purchaser in the first sentence of this </w:t>
      </w:r>
      <w:r>
        <w:rPr>
          <w:rFonts w:ascii="Arial" w:cs="Arial" w:eastAsia="Arial" w:hAnsi="Arial"/>
          <w:sz w:val="21"/>
          <w:szCs w:val="21"/>
          <w:b w:val="1"/>
          <w:bCs w:val="1"/>
          <w:color w:val="auto"/>
        </w:rPr>
        <w:t xml:space="preserve">Section 5.12(e) </w:t>
      </w:r>
      <w:r>
        <w:rPr>
          <w:rFonts w:ascii="Arial" w:cs="Arial" w:eastAsia="Arial" w:hAnsi="Arial"/>
          <w:sz w:val="21"/>
          <w:szCs w:val="21"/>
          <w:color w:val="auto"/>
        </w:rPr>
        <w:t>is made in reliance upon and subject to the accuracy of such Purchaser’s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representation in </w:t>
      </w:r>
      <w:r>
        <w:rPr>
          <w:rFonts w:ascii="Arial" w:cs="Arial" w:eastAsia="Arial" w:hAnsi="Arial"/>
          <w:sz w:val="21"/>
          <w:szCs w:val="21"/>
          <w:b w:val="1"/>
          <w:bCs w:val="1"/>
          <w:color w:val="auto"/>
        </w:rPr>
        <w:t>Section 6.2</w:t>
      </w:r>
      <w:r>
        <w:rPr>
          <w:rFonts w:ascii="Arial" w:cs="Arial" w:eastAsia="Arial" w:hAnsi="Arial"/>
          <w:sz w:val="21"/>
          <w:szCs w:val="21"/>
          <w:color w:val="auto"/>
        </w:rPr>
        <w:t xml:space="preserve"> as to the sources of the funds used to pay the purchase price of the Bonds to be purchased by such Purchaser.</w:t>
      </w:r>
    </w:p>
    <w:p>
      <w:pPr>
        <w:spacing w:after="0" w:line="231" w:lineRule="exact"/>
        <w:rPr>
          <w:rFonts w:ascii="Arial" w:cs="Arial" w:eastAsia="Arial" w:hAnsi="Arial"/>
          <w:sz w:val="21"/>
          <w:szCs w:val="21"/>
          <w:color w:val="auto"/>
        </w:rPr>
      </w:pPr>
    </w:p>
    <w:p>
      <w:pPr>
        <w:ind w:left="840" w:hanging="440"/>
        <w:spacing w:after="0" w:line="253" w:lineRule="exact"/>
        <w:tabs>
          <w:tab w:leader="none" w:pos="8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247" w:lineRule="exact"/>
        <w:rPr>
          <w:sz w:val="20"/>
          <w:szCs w:val="20"/>
          <w:color w:val="auto"/>
        </w:rPr>
      </w:pPr>
    </w:p>
    <w:p>
      <w:pPr>
        <w:jc w:val="both"/>
        <w:ind w:left="180" w:right="199" w:firstLine="243"/>
        <w:spacing w:after="0" w:line="234" w:lineRule="auto"/>
        <w:rPr>
          <w:sz w:val="20"/>
          <w:szCs w:val="20"/>
          <w:color w:val="auto"/>
        </w:rPr>
      </w:pPr>
      <w:r>
        <w:rPr>
          <w:rFonts w:ascii="Arial" w:cs="Arial" w:eastAsia="Arial" w:hAnsi="Arial"/>
          <w:sz w:val="22"/>
          <w:szCs w:val="22"/>
          <w:i w:val="1"/>
          <w:iCs w:val="1"/>
          <w:color w:val="auto"/>
        </w:rPr>
        <w:t>Section 5.13. Private Offering by the Company</w:t>
      </w:r>
      <w:r>
        <w:rPr>
          <w:rFonts w:ascii="Arial" w:cs="Arial" w:eastAsia="Arial" w:hAnsi="Arial"/>
          <w:sz w:val="22"/>
          <w:szCs w:val="22"/>
          <w:color w:val="auto"/>
        </w:rPr>
        <w:t>. Neither the Company nor anyone acting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Company’s behalf has offered the Bonds or any similar securities for sale to, or solicited any offer to buy any of the same from, or otherwise approached or negotiated in respect thereof with, any Person other than the Purchasers and not more than twenty seven (27)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w:t>
      </w:r>
      <w:r>
        <w:rPr>
          <w:rFonts w:ascii="Arial" w:cs="Arial" w:eastAsia="Arial" w:hAnsi="Arial"/>
          <w:sz w:val="22"/>
          <w:szCs w:val="22"/>
          <w:b w:val="1"/>
          <w:bCs w:val="1"/>
          <w:color w:val="auto"/>
        </w:rPr>
        <w:t xml:space="preserve">Section 5 </w:t>
      </w:r>
      <w:r>
        <w:rPr>
          <w:rFonts w:ascii="Arial" w:cs="Arial" w:eastAsia="Arial" w:hAnsi="Arial"/>
          <w:sz w:val="22"/>
          <w:szCs w:val="22"/>
          <w:color w:val="auto"/>
        </w:rPr>
        <w:t>of the Securities Act.</w:t>
      </w:r>
    </w:p>
    <w:p>
      <w:pPr>
        <w:spacing w:after="0" w:line="214" w:lineRule="exact"/>
        <w:rPr>
          <w:sz w:val="20"/>
          <w:szCs w:val="20"/>
          <w:color w:val="auto"/>
        </w:rPr>
      </w:pPr>
    </w:p>
    <w:p>
      <w:pPr>
        <w:jc w:val="both"/>
        <w:ind w:left="180" w:right="199" w:firstLine="243"/>
        <w:spacing w:after="0" w:line="244" w:lineRule="auto"/>
        <w:rPr>
          <w:sz w:val="20"/>
          <w:szCs w:val="20"/>
          <w:color w:val="auto"/>
        </w:rPr>
      </w:pPr>
      <w:r>
        <w:rPr>
          <w:rFonts w:ascii="Arial" w:cs="Arial" w:eastAsia="Arial" w:hAnsi="Arial"/>
          <w:sz w:val="21"/>
          <w:szCs w:val="21"/>
          <w:i w:val="1"/>
          <w:iCs w:val="1"/>
          <w:color w:val="auto"/>
        </w:rPr>
        <w:t>Section 5.14. Use of Proceeds; Margin Regulations</w:t>
      </w:r>
      <w:r>
        <w:rPr>
          <w:rFonts w:ascii="Arial" w:cs="Arial" w:eastAsia="Arial" w:hAnsi="Arial"/>
          <w:sz w:val="21"/>
          <w:szCs w:val="21"/>
          <w:color w:val="auto"/>
        </w:rPr>
        <w:t>. The Company will apply the proceeds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sale of the Bonds to repay existing indebtedness and for general corporate purposes and in compliance with all laws referenced in </w:t>
      </w:r>
      <w:r>
        <w:rPr>
          <w:rFonts w:ascii="Arial" w:cs="Arial" w:eastAsia="Arial" w:hAnsi="Arial"/>
          <w:sz w:val="21"/>
          <w:szCs w:val="21"/>
          <w:b w:val="1"/>
          <w:bCs w:val="1"/>
          <w:color w:val="auto"/>
        </w:rPr>
        <w:t>Section 5.16</w:t>
      </w:r>
      <w:r>
        <w:rPr>
          <w:rFonts w:ascii="Arial" w:cs="Arial" w:eastAsia="Arial" w:hAnsi="Arial"/>
          <w:sz w:val="21"/>
          <w:szCs w:val="21"/>
          <w:color w:val="auto"/>
        </w:rPr>
        <w:t xml:space="preserve">.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Arial" w:cs="Arial" w:eastAsia="Arial" w:hAnsi="Arial"/>
          <w:sz w:val="21"/>
          <w:szCs w:val="21"/>
          <w:b w:val="1"/>
          <w:bCs w:val="1"/>
          <w:color w:val="auto"/>
        </w:rPr>
        <w:t>Section</w:t>
      </w:r>
      <w:r>
        <w:rPr>
          <w:rFonts w:ascii="Arial" w:cs="Arial" w:eastAsia="Arial" w:hAnsi="Arial"/>
          <w:sz w:val="21"/>
          <w:szCs w:val="21"/>
          <w:color w:val="auto"/>
        </w:rPr>
        <w:t>, the terms “</w:t>
      </w:r>
      <w:r>
        <w:rPr>
          <w:rFonts w:ascii="Arial" w:cs="Arial" w:eastAsia="Arial" w:hAnsi="Arial"/>
          <w:sz w:val="21"/>
          <w:szCs w:val="21"/>
          <w:i w:val="1"/>
          <w:iCs w:val="1"/>
          <w:color w:val="auto"/>
        </w:rPr>
        <w:t>margin stock</w:t>
      </w:r>
      <w:r>
        <w:rPr>
          <w:rFonts w:ascii="Arial" w:cs="Arial" w:eastAsia="Arial" w:hAnsi="Arial"/>
          <w:sz w:val="21"/>
          <w:szCs w:val="21"/>
          <w:color w:val="auto"/>
        </w:rPr>
        <w:t>” and “</w:t>
      </w:r>
      <w:r>
        <w:rPr>
          <w:rFonts w:ascii="Arial" w:cs="Arial" w:eastAsia="Arial" w:hAnsi="Arial"/>
          <w:sz w:val="21"/>
          <w:szCs w:val="21"/>
          <w:i w:val="1"/>
          <w:iCs w:val="1"/>
          <w:color w:val="auto"/>
        </w:rPr>
        <w:t>purpose of buying or carrying</w:t>
      </w:r>
      <w:r>
        <w:rPr>
          <w:rFonts w:ascii="Arial" w:cs="Arial" w:eastAsia="Arial" w:hAnsi="Arial"/>
          <w:sz w:val="21"/>
          <w:szCs w:val="21"/>
          <w:color w:val="auto"/>
        </w:rPr>
        <w:t>” shall have the meanings assigned to them in said Regulation U.</w:t>
      </w:r>
    </w:p>
    <w:p>
      <w:pPr>
        <w:spacing w:after="0" w:line="224" w:lineRule="exact"/>
        <w:rPr>
          <w:sz w:val="20"/>
          <w:szCs w:val="20"/>
          <w:color w:val="auto"/>
        </w:rPr>
      </w:pPr>
    </w:p>
    <w:p>
      <w:pPr>
        <w:jc w:val="both"/>
        <w:ind w:left="180" w:right="199" w:firstLine="364"/>
        <w:spacing w:after="0" w:line="277" w:lineRule="auto"/>
        <w:rPr>
          <w:sz w:val="20"/>
          <w:szCs w:val="20"/>
          <w:color w:val="auto"/>
        </w:rPr>
      </w:pPr>
      <w:r>
        <w:rPr>
          <w:rFonts w:ascii="Arial" w:cs="Arial" w:eastAsia="Arial" w:hAnsi="Arial"/>
          <w:sz w:val="19"/>
          <w:szCs w:val="19"/>
          <w:i w:val="1"/>
          <w:iCs w:val="1"/>
          <w:color w:val="auto"/>
        </w:rPr>
        <w:t>Section 5.15. Existing Debt</w:t>
      </w:r>
      <w:r>
        <w:rPr>
          <w:rFonts w:ascii="Arial" w:cs="Arial" w:eastAsia="Arial" w:hAnsi="Arial"/>
          <w:sz w:val="19"/>
          <w:szCs w:val="19"/>
          <w:color w:val="auto"/>
        </w:rPr>
        <w:t>. Except as described therein,</w:t>
      </w:r>
      <w:r>
        <w:rPr>
          <w:rFonts w:ascii="Arial" w:cs="Arial" w:eastAsia="Arial" w:hAnsi="Arial"/>
          <w:sz w:val="19"/>
          <w:szCs w:val="19"/>
          <w:i w:val="1"/>
          <w:iCs w:val="1"/>
          <w:color w:val="auto"/>
        </w:rPr>
        <w:t xml:space="preserve"> Schedule 5.15(a) </w:t>
      </w:r>
      <w:r>
        <w:rPr>
          <w:rFonts w:ascii="Arial" w:cs="Arial" w:eastAsia="Arial" w:hAnsi="Arial"/>
          <w:sz w:val="19"/>
          <w:szCs w:val="19"/>
          <w:color w:val="auto"/>
        </w:rPr>
        <w:t>sets forth a</w:t>
      </w:r>
      <w:r>
        <w:rPr>
          <w:rFonts w:ascii="Arial" w:cs="Arial" w:eastAsia="Arial" w:hAnsi="Arial"/>
          <w:sz w:val="19"/>
          <w:szCs w:val="19"/>
          <w:i w:val="1"/>
          <w:iCs w:val="1"/>
          <w:color w:val="auto"/>
        </w:rPr>
        <w:t xml:space="preserve"> </w:t>
      </w:r>
      <w:r>
        <w:rPr>
          <w:rFonts w:ascii="Arial" w:cs="Arial" w:eastAsia="Arial" w:hAnsi="Arial"/>
          <w:sz w:val="19"/>
          <w:szCs w:val="19"/>
          <w:color w:val="auto"/>
        </w:rPr>
        <w:t>complete and correct list of all outstanding Debt of the Company and its Subsidiaries as of December 31, 2019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2" w:name="page73"/>
    <w:bookmarkEnd w:id="72"/>
    <w:p>
      <w:pPr>
        <w:jc w:val="both"/>
        <w:ind w:left="180" w:right="199"/>
        <w:spacing w:after="0" w:line="238" w:lineRule="auto"/>
        <w:rPr>
          <w:sz w:val="20"/>
          <w:szCs w:val="20"/>
          <w:color w:val="auto"/>
        </w:rPr>
      </w:pPr>
      <w:r>
        <w:rPr>
          <w:rFonts w:ascii="Arial" w:cs="Arial" w:eastAsia="Arial" w:hAnsi="Arial"/>
          <w:sz w:val="22"/>
          <w:szCs w:val="22"/>
          <w:color w:val="auto"/>
        </w:rPr>
        <w:t>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206" w:lineRule="exact"/>
        <w:rPr>
          <w:sz w:val="20"/>
          <w:szCs w:val="20"/>
          <w:color w:val="auto"/>
        </w:rPr>
      </w:pPr>
    </w:p>
    <w:p>
      <w:pPr>
        <w:jc w:val="both"/>
        <w:ind w:left="180" w:right="199" w:firstLine="341"/>
        <w:spacing w:after="0" w:line="236" w:lineRule="auto"/>
        <w:tabs>
          <w:tab w:leader="none" w:pos="1107"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Without limiting the representation in </w:t>
      </w:r>
      <w:r>
        <w:rPr>
          <w:rFonts w:ascii="Arial" w:cs="Arial" w:eastAsia="Arial" w:hAnsi="Arial"/>
          <w:sz w:val="22"/>
          <w:szCs w:val="22"/>
          <w:b w:val="1"/>
          <w:bCs w:val="1"/>
          <w:color w:val="auto"/>
        </w:rPr>
        <w:t>Section 5.6</w:t>
      </w:r>
      <w:r>
        <w:rPr>
          <w:rFonts w:ascii="Arial" w:cs="Arial" w:eastAsia="Arial" w:hAnsi="Arial"/>
          <w:sz w:val="22"/>
          <w:szCs w:val="22"/>
          <w:color w:val="auto"/>
        </w:rPr>
        <w:t xml:space="preserve">,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w:t>
      </w:r>
      <w:r>
        <w:rPr>
          <w:rFonts w:ascii="Arial" w:cs="Arial" w:eastAsia="Arial" w:hAnsi="Arial"/>
          <w:sz w:val="22"/>
          <w:szCs w:val="22"/>
          <w:i w:val="1"/>
          <w:iCs w:val="1"/>
          <w:color w:val="auto"/>
        </w:rPr>
        <w:t>Schedule 5.15(b)</w:t>
      </w:r>
      <w:r>
        <w:rPr>
          <w:rFonts w:ascii="Arial" w:cs="Arial" w:eastAsia="Arial" w:hAnsi="Arial"/>
          <w:sz w:val="22"/>
          <w:szCs w:val="22"/>
          <w:color w:val="auto"/>
        </w:rPr>
        <w:t>.</w:t>
      </w:r>
    </w:p>
    <w:p>
      <w:pPr>
        <w:spacing w:after="0" w:line="228" w:lineRule="exact"/>
        <w:rPr>
          <w:sz w:val="20"/>
          <w:szCs w:val="20"/>
          <w:color w:val="auto"/>
        </w:rPr>
      </w:pPr>
    </w:p>
    <w:p>
      <w:pPr>
        <w:jc w:val="both"/>
        <w:ind w:left="180" w:right="199" w:firstLine="297"/>
        <w:spacing w:after="0" w:line="238" w:lineRule="auto"/>
        <w:rPr>
          <w:sz w:val="20"/>
          <w:szCs w:val="20"/>
          <w:color w:val="auto"/>
        </w:rPr>
      </w:pPr>
      <w:r>
        <w:rPr>
          <w:rFonts w:ascii="Arial" w:cs="Arial" w:eastAsia="Arial" w:hAnsi="Arial"/>
          <w:sz w:val="22"/>
          <w:szCs w:val="22"/>
          <w:i w:val="1"/>
          <w:iCs w:val="1"/>
          <w:color w:val="auto"/>
        </w:rPr>
        <w:t>Section 5.16. Foreign Assets Control Regulations, Etc</w:t>
      </w:r>
      <w:r>
        <w:rPr>
          <w:rFonts w:ascii="Arial" w:cs="Arial" w:eastAsia="Arial" w:hAnsi="Arial"/>
          <w:sz w:val="22"/>
          <w:szCs w:val="22"/>
          <w:color w:val="auto"/>
        </w:rPr>
        <w:t>. (a) Neither the Company nor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(i) is a Blocked Person, (ii) has been notified that its name appears or may in the future appear on a State Sanctions List or (iii) is a target of sanctions that have been imposed by the United Nations or the European Union.</w:t>
      </w:r>
    </w:p>
    <w:p>
      <w:pPr>
        <w:spacing w:after="0" w:line="225" w:lineRule="exact"/>
        <w:rPr>
          <w:sz w:val="20"/>
          <w:szCs w:val="20"/>
          <w:color w:val="auto"/>
        </w:rPr>
      </w:pPr>
    </w:p>
    <w:p>
      <w:pPr>
        <w:jc w:val="both"/>
        <w:ind w:left="180" w:right="199" w:firstLine="220"/>
        <w:spacing w:after="0" w:line="249" w:lineRule="exact"/>
        <w:tabs>
          <w:tab w:leader="none" w:pos="877" w:val="left"/>
        </w:tabs>
        <w:numPr>
          <w:ilvl w:val="0"/>
          <w:numId w:val="20"/>
        </w:numPr>
        <w:rPr>
          <w:rFonts w:ascii="Arial" w:cs="Arial" w:eastAsia="Arial" w:hAnsi="Arial"/>
          <w:sz w:val="21"/>
          <w:szCs w:val="21"/>
          <w:color w:val="auto"/>
        </w:rPr>
      </w:pPr>
      <w:r>
        <w:rPr>
          <w:rFonts w:ascii="Arial" w:cs="Arial" w:eastAsia="Arial" w:hAnsi="Arial"/>
          <w:sz w:val="21"/>
          <w:szCs w:val="21"/>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1"/>
          <w:szCs w:val="21"/>
          <w:color w:val="auto"/>
        </w:rPr>
        <w:t>‑</w:t>
      </w:r>
      <w:r>
        <w:rPr>
          <w:rFonts w:ascii="Arial" w:cs="Arial" w:eastAsia="Arial" w:hAnsi="Arial"/>
          <w:sz w:val="21"/>
          <w:szCs w:val="21"/>
          <w:color w:val="auto"/>
        </w:rPr>
        <w:t>Money Laundering Laws or Anti</w:t>
      </w:r>
      <w:r>
        <w:rPr>
          <w:rFonts w:ascii="MS PGothic" w:cs="MS PGothic" w:eastAsia="MS PGothic" w:hAnsi="MS PGothic"/>
          <w:sz w:val="21"/>
          <w:szCs w:val="21"/>
          <w:color w:val="auto"/>
        </w:rPr>
        <w:t>‑</w:t>
      </w:r>
      <w:r>
        <w:rPr>
          <w:rFonts w:ascii="Arial" w:cs="Arial" w:eastAsia="Arial" w:hAnsi="Arial"/>
          <w:sz w:val="21"/>
          <w:szCs w:val="21"/>
          <w:color w:val="auto"/>
        </w:rPr>
        <w:t>Corruption Laws.</w:t>
      </w:r>
    </w:p>
    <w:p>
      <w:pPr>
        <w:spacing w:after="0" w:line="215" w:lineRule="exact"/>
        <w:rPr>
          <w:rFonts w:ascii="Arial" w:cs="Arial" w:eastAsia="Arial" w:hAnsi="Arial"/>
          <w:sz w:val="21"/>
          <w:szCs w:val="21"/>
          <w:color w:val="auto"/>
        </w:rPr>
      </w:pPr>
    </w:p>
    <w:p>
      <w:pPr>
        <w:ind w:left="860" w:hanging="460"/>
        <w:spacing w:after="0"/>
        <w:tabs>
          <w:tab w:leader="none" w:pos="8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246" w:lineRule="exact"/>
        <w:rPr>
          <w:rFonts w:ascii="Arial" w:cs="Arial" w:eastAsia="Arial" w:hAnsi="Arial"/>
          <w:sz w:val="22"/>
          <w:szCs w:val="22"/>
          <w:color w:val="auto"/>
        </w:rPr>
      </w:pPr>
    </w:p>
    <w:p>
      <w:pPr>
        <w:jc w:val="both"/>
        <w:ind w:left="840" w:right="199" w:firstLine="478"/>
        <w:spacing w:after="0" w:line="276" w:lineRule="auto"/>
        <w:tabs>
          <w:tab w:leader="none" w:pos="1786" w:val="left"/>
        </w:tabs>
        <w:numPr>
          <w:ilvl w:val="2"/>
          <w:numId w:val="20"/>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w:t>
      </w:r>
    </w:p>
    <w:p>
      <w:pPr>
        <w:spacing w:after="0" w:line="1" w:lineRule="exact"/>
        <w:rPr>
          <w:rFonts w:ascii="Arial" w:cs="Arial" w:eastAsia="Arial" w:hAnsi="Arial"/>
          <w:sz w:val="19"/>
          <w:szCs w:val="19"/>
          <w:color w:val="auto"/>
        </w:rPr>
      </w:pPr>
    </w:p>
    <w:p>
      <w:pPr>
        <w:jc w:val="both"/>
        <w:ind w:left="840" w:right="199" w:hanging="8"/>
        <w:spacing w:after="0" w:line="233" w:lineRule="auto"/>
        <w:tabs>
          <w:tab w:leader="none" w:pos="1198" w:val="left"/>
        </w:tabs>
        <w:numPr>
          <w:ilvl w:val="1"/>
          <w:numId w:val="20"/>
        </w:numPr>
        <w:rPr>
          <w:rFonts w:ascii="Arial" w:cs="Arial" w:eastAsia="Arial" w:hAnsi="Arial"/>
          <w:sz w:val="22"/>
          <w:szCs w:val="22"/>
          <w:color w:val="auto"/>
        </w:rPr>
      </w:pPr>
      <w:r>
        <w:rPr>
          <w:rFonts w:ascii="Arial" w:cs="Arial" w:eastAsia="Arial" w:hAnsi="Arial"/>
          <w:sz w:val="22"/>
          <w:szCs w:val="22"/>
          <w:color w:val="auto"/>
        </w:rPr>
        <w:t>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228" w:lineRule="exact"/>
        <w:rPr>
          <w:rFonts w:ascii="Arial" w:cs="Arial" w:eastAsia="Arial" w:hAnsi="Arial"/>
          <w:sz w:val="22"/>
          <w:szCs w:val="22"/>
          <w:color w:val="auto"/>
        </w:rPr>
      </w:pPr>
    </w:p>
    <w:p>
      <w:pPr>
        <w:ind w:left="840" w:right="199" w:firstLine="478"/>
        <w:spacing w:after="0" w:line="259" w:lineRule="exact"/>
        <w:tabs>
          <w:tab w:leader="none" w:pos="1846" w:val="left"/>
        </w:tabs>
        <w:numPr>
          <w:ilvl w:val="2"/>
          <w:numId w:val="21"/>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212" w:lineRule="exact"/>
        <w:rPr>
          <w:rFonts w:ascii="Arial" w:cs="Arial" w:eastAsia="Arial" w:hAnsi="Arial"/>
          <w:sz w:val="22"/>
          <w:szCs w:val="22"/>
          <w:color w:val="auto"/>
        </w:rPr>
      </w:pPr>
    </w:p>
    <w:p>
      <w:pPr>
        <w:jc w:val="both"/>
        <w:ind w:left="840" w:right="199" w:firstLine="478"/>
        <w:spacing w:after="0" w:line="249" w:lineRule="exact"/>
        <w:tabs>
          <w:tab w:leader="none" w:pos="1987" w:val="left"/>
        </w:tabs>
        <w:numPr>
          <w:ilvl w:val="2"/>
          <w:numId w:val="21"/>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28" w:lineRule="exact"/>
        <w:rPr>
          <w:sz w:val="20"/>
          <w:szCs w:val="20"/>
          <w:color w:val="auto"/>
        </w:rPr>
      </w:pPr>
    </w:p>
    <w:p>
      <w:pPr>
        <w:jc w:val="both"/>
        <w:ind w:left="180" w:right="199" w:firstLine="301"/>
        <w:spacing w:after="0" w:line="251" w:lineRule="exact"/>
        <w:tabs>
          <w:tab w:leader="none" w:pos="1026"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19"/>
          <w:szCs w:val="19"/>
          <w:color w:val="auto"/>
        </w:rPr>
        <w:t>‑</w:t>
      </w:r>
      <w:r>
        <w:rPr>
          <w:rFonts w:ascii="Arial" w:cs="Arial" w:eastAsia="Arial" w:hAnsi="Arial"/>
          <w:sz w:val="19"/>
          <w:szCs w:val="19"/>
          <w:color w:val="auto"/>
        </w:rPr>
        <w:t>Money Laundering Laws and Anti</w:t>
      </w:r>
      <w:r>
        <w:rPr>
          <w:rFonts w:ascii="MS PGothic" w:cs="MS PGothic" w:eastAsia="MS PGothic" w:hAnsi="MS PGothic"/>
          <w:sz w:val="19"/>
          <w:szCs w:val="19"/>
          <w:color w:val="auto"/>
        </w:rPr>
        <w:t>‑</w:t>
      </w:r>
      <w:r>
        <w:rPr>
          <w:rFonts w:ascii="Arial" w:cs="Arial" w:eastAsia="Arial" w:hAnsi="Arial"/>
          <w:sz w:val="19"/>
          <w:szCs w:val="19"/>
          <w:color w:val="auto"/>
        </w:rPr>
        <w:t>Corruption Laws.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3" w:name="page74"/>
    <w:bookmarkEnd w:id="73"/>
    <w:p>
      <w:pPr>
        <w:jc w:val="both"/>
        <w:ind w:left="180" w:right="199" w:firstLine="337"/>
        <w:spacing w:after="0" w:line="252" w:lineRule="auto"/>
        <w:rPr>
          <w:sz w:val="20"/>
          <w:szCs w:val="20"/>
          <w:color w:val="auto"/>
        </w:rPr>
      </w:pPr>
      <w:r>
        <w:rPr>
          <w:rFonts w:ascii="Arial" w:cs="Arial" w:eastAsia="Arial" w:hAnsi="Arial"/>
          <w:sz w:val="21"/>
          <w:szCs w:val="21"/>
          <w:i w:val="1"/>
          <w:iCs w:val="1"/>
          <w:color w:val="auto"/>
        </w:rPr>
        <w:t>Section 5.17. Status under Certain Statutes</w:t>
      </w:r>
      <w:r>
        <w:rPr>
          <w:rFonts w:ascii="Arial" w:cs="Arial" w:eastAsia="Arial" w:hAnsi="Arial"/>
          <w:sz w:val="21"/>
          <w:szCs w:val="21"/>
          <w:color w:val="auto"/>
        </w:rPr>
        <w:t>. Neither the Company nor any Subsidiary is</w:t>
      </w:r>
      <w:r>
        <w:rPr>
          <w:rFonts w:ascii="Arial" w:cs="Arial" w:eastAsia="Arial" w:hAnsi="Arial"/>
          <w:sz w:val="21"/>
          <w:szCs w:val="21"/>
          <w:i w:val="1"/>
          <w:iCs w:val="1"/>
          <w:color w:val="auto"/>
        </w:rPr>
        <w:t xml:space="preserve"> </w:t>
      </w:r>
      <w:r>
        <w:rPr>
          <w:rFonts w:ascii="Arial" w:cs="Arial" w:eastAsia="Arial" w:hAnsi="Arial"/>
          <w:sz w:val="21"/>
          <w:szCs w:val="21"/>
          <w:color w:val="auto"/>
        </w:rPr>
        <w:t>subject to regulation under the Investment Company Act of 1940, as amended, the Public Utility Holding Company Act of 2005, as amended, the ICC Termination Act of 1995, as amended, or subject to rate regulation under the Federal Power Act, as amended.</w:t>
      </w:r>
    </w:p>
    <w:p>
      <w:pPr>
        <w:spacing w:after="0" w:line="201" w:lineRule="exact"/>
        <w:rPr>
          <w:sz w:val="20"/>
          <w:szCs w:val="20"/>
          <w:color w:val="auto"/>
        </w:rPr>
      </w:pPr>
    </w:p>
    <w:p>
      <w:pPr>
        <w:jc w:val="both"/>
        <w:ind w:left="180" w:right="199" w:firstLine="216"/>
        <w:spacing w:after="0" w:line="277" w:lineRule="auto"/>
        <w:rPr>
          <w:sz w:val="20"/>
          <w:szCs w:val="20"/>
          <w:color w:val="auto"/>
        </w:rPr>
      </w:pPr>
      <w:r>
        <w:rPr>
          <w:rFonts w:ascii="Arial" w:cs="Arial" w:eastAsia="Arial" w:hAnsi="Arial"/>
          <w:sz w:val="19"/>
          <w:szCs w:val="19"/>
          <w:i w:val="1"/>
          <w:iCs w:val="1"/>
          <w:color w:val="auto"/>
        </w:rPr>
        <w:t>Section 5.18. Environmental Matters</w:t>
      </w:r>
      <w:r>
        <w:rPr>
          <w:rFonts w:ascii="Arial" w:cs="Arial" w:eastAsia="Arial" w:hAnsi="Arial"/>
          <w:sz w:val="19"/>
          <w:szCs w:val="19"/>
          <w:color w:val="auto"/>
        </w:rPr>
        <w:t>. Neither the Company nor any Subsidiary has knowledge</w:t>
      </w:r>
      <w:r>
        <w:rPr>
          <w:rFonts w:ascii="Arial" w:cs="Arial" w:eastAsia="Arial" w:hAnsi="Arial"/>
          <w:sz w:val="19"/>
          <w:szCs w:val="19"/>
          <w:i w:val="1"/>
          <w:iCs w:val="1"/>
          <w:color w:val="auto"/>
        </w:rPr>
        <w:t xml:space="preserve"> </w:t>
      </w:r>
      <w:r>
        <w:rPr>
          <w:rFonts w:ascii="Arial" w:cs="Arial" w:eastAsia="Arial" w:hAnsi="Arial"/>
          <w:sz w:val="19"/>
          <w:szCs w:val="19"/>
          <w:color w:val="auto"/>
        </w:rPr>
        <w:t>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92" w:lineRule="exact"/>
        <w:rPr>
          <w:sz w:val="20"/>
          <w:szCs w:val="20"/>
          <w:color w:val="auto"/>
        </w:rPr>
      </w:pPr>
    </w:p>
    <w:p>
      <w:pPr>
        <w:jc w:val="both"/>
        <w:ind w:left="840" w:right="199" w:firstLine="248"/>
        <w:spacing w:after="0" w:line="235" w:lineRule="auto"/>
        <w:tabs>
          <w:tab w:leader="none" w:pos="1593" w:val="left"/>
        </w:tabs>
        <w:numPr>
          <w:ilvl w:val="2"/>
          <w:numId w:val="23"/>
        </w:numPr>
        <w:rPr>
          <w:rFonts w:ascii="Arial" w:cs="Arial" w:eastAsia="Arial" w:hAnsi="Arial"/>
          <w:sz w:val="22"/>
          <w:szCs w:val="22"/>
          <w:color w:val="auto"/>
        </w:rPr>
      </w:pPr>
      <w:r>
        <w:rPr>
          <w:rFonts w:ascii="Arial" w:cs="Arial" w:eastAsia="Arial" w:hAnsi="Arial"/>
          <w:sz w:val="22"/>
          <w:szCs w:val="22"/>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228" w:lineRule="exact"/>
        <w:rPr>
          <w:rFonts w:ascii="Arial" w:cs="Arial" w:eastAsia="Arial" w:hAnsi="Arial"/>
          <w:sz w:val="22"/>
          <w:szCs w:val="22"/>
          <w:color w:val="auto"/>
        </w:rPr>
      </w:pPr>
    </w:p>
    <w:p>
      <w:pPr>
        <w:jc w:val="both"/>
        <w:ind w:left="840" w:right="199" w:firstLine="208"/>
        <w:spacing w:after="0" w:line="236" w:lineRule="auto"/>
        <w:tabs>
          <w:tab w:leader="none" w:pos="1524" w:val="left"/>
        </w:tabs>
        <w:numPr>
          <w:ilvl w:val="0"/>
          <w:numId w:val="24"/>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214" w:lineRule="exact"/>
        <w:rPr>
          <w:rFonts w:ascii="Arial" w:cs="Arial" w:eastAsia="Arial" w:hAnsi="Arial"/>
          <w:sz w:val="22"/>
          <w:szCs w:val="22"/>
          <w:color w:val="auto"/>
        </w:rPr>
      </w:pPr>
    </w:p>
    <w:p>
      <w:pPr>
        <w:jc w:val="both"/>
        <w:ind w:left="840" w:right="199" w:firstLine="235"/>
        <w:spacing w:after="0" w:line="238" w:lineRule="auto"/>
        <w:tabs>
          <w:tab w:leader="none" w:pos="1566" w:val="left"/>
        </w:tabs>
        <w:numPr>
          <w:ilvl w:val="1"/>
          <w:numId w:val="24"/>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225" w:lineRule="exact"/>
        <w:rPr>
          <w:sz w:val="20"/>
          <w:szCs w:val="20"/>
          <w:color w:val="auto"/>
        </w:rPr>
      </w:pPr>
    </w:p>
    <w:p>
      <w:pPr>
        <w:jc w:val="both"/>
        <w:ind w:left="180" w:right="199" w:firstLine="324"/>
        <w:spacing w:after="0" w:line="271" w:lineRule="auto"/>
        <w:rPr>
          <w:sz w:val="20"/>
          <w:szCs w:val="20"/>
          <w:color w:val="auto"/>
        </w:rPr>
      </w:pPr>
      <w:r>
        <w:rPr>
          <w:rFonts w:ascii="Arial" w:cs="Arial" w:eastAsia="Arial" w:hAnsi="Arial"/>
          <w:sz w:val="19"/>
          <w:szCs w:val="19"/>
          <w:i w:val="1"/>
          <w:iCs w:val="1"/>
          <w:color w:val="auto"/>
        </w:rPr>
        <w:t>Section 5.19. Lien of Indenture</w:t>
      </w:r>
      <w:r>
        <w:rPr>
          <w:rFonts w:ascii="Arial" w:cs="Arial" w:eastAsia="Arial" w:hAnsi="Arial"/>
          <w:sz w:val="19"/>
          <w:szCs w:val="19"/>
          <w:color w:val="auto"/>
        </w:rPr>
        <w:t>. The Indenture (and for avoidance of doubt including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 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4" w:name="page75"/>
    <w:bookmarkEnd w:id="74"/>
    <w:p>
      <w:pPr>
        <w:jc w:val="both"/>
        <w:ind w:left="180" w:right="199" w:firstLine="270"/>
        <w:spacing w:after="0" w:line="233" w:lineRule="auto"/>
        <w:rPr>
          <w:sz w:val="20"/>
          <w:szCs w:val="20"/>
          <w:color w:val="auto"/>
        </w:rPr>
      </w:pPr>
      <w:r>
        <w:rPr>
          <w:rFonts w:ascii="Arial" w:cs="Arial" w:eastAsia="Arial" w:hAnsi="Arial"/>
          <w:sz w:val="22"/>
          <w:szCs w:val="22"/>
          <w:i w:val="1"/>
          <w:iCs w:val="1"/>
          <w:color w:val="auto"/>
        </w:rPr>
        <w:t>Section 5.20. Filings</w:t>
      </w:r>
      <w:r>
        <w:rPr>
          <w:rFonts w:ascii="Arial" w:cs="Arial" w:eastAsia="Arial" w:hAnsi="Arial"/>
          <w:sz w:val="22"/>
          <w:szCs w:val="22"/>
          <w:color w:val="auto"/>
        </w:rPr>
        <w:t>. No action, including any filings, registration or notice, is necessary or</w:t>
      </w:r>
      <w:r>
        <w:rPr>
          <w:rFonts w:ascii="Arial" w:cs="Arial" w:eastAsia="Arial" w:hAnsi="Arial"/>
          <w:sz w:val="22"/>
          <w:szCs w:val="22"/>
          <w:i w:val="1"/>
          <w:iCs w:val="1"/>
          <w:color w:val="auto"/>
        </w:rPr>
        <w:t xml:space="preserve"> </w:t>
      </w:r>
      <w:r>
        <w:rPr>
          <w:rFonts w:ascii="Arial" w:cs="Arial" w:eastAsia="Arial" w:hAnsi="Arial"/>
          <w:sz w:val="22"/>
          <w:szCs w:val="22"/>
          <w:color w:val="auto"/>
        </w:rPr>
        <w:t>advisable in 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6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REPRESENTATIONS OF THE PURCHASERS.</w:t>
      </w:r>
    </w:p>
    <w:p>
      <w:pPr>
        <w:spacing w:after="0" w:line="247" w:lineRule="exact"/>
        <w:rPr>
          <w:sz w:val="20"/>
          <w:szCs w:val="20"/>
          <w:color w:val="auto"/>
        </w:rPr>
      </w:pPr>
    </w:p>
    <w:p>
      <w:pPr>
        <w:jc w:val="both"/>
        <w:ind w:left="180" w:right="199" w:firstLine="229"/>
        <w:spacing w:after="0" w:line="274" w:lineRule="auto"/>
        <w:rPr>
          <w:sz w:val="20"/>
          <w:szCs w:val="20"/>
          <w:color w:val="auto"/>
        </w:rPr>
      </w:pPr>
      <w:r>
        <w:rPr>
          <w:rFonts w:ascii="Arial" w:cs="Arial" w:eastAsia="Arial" w:hAnsi="Arial"/>
          <w:sz w:val="19"/>
          <w:szCs w:val="19"/>
          <w:i w:val="1"/>
          <w:iCs w:val="1"/>
          <w:color w:val="auto"/>
        </w:rPr>
        <w:t>Section 6.1. Purchase for Investment</w:t>
      </w:r>
      <w:r>
        <w:rPr>
          <w:rFonts w:ascii="Arial" w:cs="Arial" w:eastAsia="Arial" w:hAnsi="Arial"/>
          <w:sz w:val="19"/>
          <w:szCs w:val="19"/>
          <w:color w:val="auto"/>
        </w:rPr>
        <w:t>. Each Purchaser severally represents that it is purchasing</w:t>
      </w:r>
      <w:r>
        <w:rPr>
          <w:rFonts w:ascii="Arial" w:cs="Arial" w:eastAsia="Arial" w:hAnsi="Arial"/>
          <w:sz w:val="19"/>
          <w:szCs w:val="19"/>
          <w:i w:val="1"/>
          <w:iCs w:val="1"/>
          <w:color w:val="auto"/>
        </w:rPr>
        <w:t xml:space="preserve"> </w:t>
      </w:r>
      <w:r>
        <w:rPr>
          <w:rFonts w:ascii="Arial" w:cs="Arial" w:eastAsia="Arial" w:hAnsi="Arial"/>
          <w:sz w:val="19"/>
          <w:szCs w:val="19"/>
          <w:color w:val="auto"/>
        </w:rPr>
        <w:t>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185" w:lineRule="exact"/>
        <w:rPr>
          <w:sz w:val="20"/>
          <w:szCs w:val="20"/>
          <w:color w:val="auto"/>
        </w:rPr>
      </w:pPr>
    </w:p>
    <w:p>
      <w:pPr>
        <w:jc w:val="both"/>
        <w:ind w:left="180" w:right="199" w:firstLine="319"/>
        <w:spacing w:after="0" w:line="238" w:lineRule="auto"/>
        <w:rPr>
          <w:sz w:val="20"/>
          <w:szCs w:val="20"/>
          <w:color w:val="auto"/>
        </w:rPr>
      </w:pPr>
      <w:r>
        <w:rPr>
          <w:rFonts w:ascii="Arial" w:cs="Arial" w:eastAsia="Arial" w:hAnsi="Arial"/>
          <w:sz w:val="22"/>
          <w:szCs w:val="22"/>
          <w:i w:val="1"/>
          <w:iCs w:val="1"/>
          <w:color w:val="auto"/>
        </w:rPr>
        <w:t xml:space="preserve">Section 6.2. Source of Funds. </w:t>
      </w:r>
      <w:r>
        <w:rPr>
          <w:rFonts w:ascii="Arial" w:cs="Arial" w:eastAsia="Arial" w:hAnsi="Arial"/>
          <w:sz w:val="22"/>
          <w:szCs w:val="22"/>
          <w:color w:val="auto"/>
        </w:rPr>
        <w:t>Each Purchaser severally represents that at least one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following statements is an accurate representation as to each source of funds (a </w:t>
      </w:r>
      <w:r>
        <w:rPr>
          <w:rFonts w:ascii="Arial" w:cs="Arial" w:eastAsia="Arial" w:hAnsi="Arial"/>
          <w:sz w:val="22"/>
          <w:szCs w:val="22"/>
          <w:i w:val="1"/>
          <w:iCs w:val="1"/>
          <w:color w:val="auto"/>
        </w:rPr>
        <w:t>“Source”</w:t>
      </w:r>
      <w:r>
        <w:rPr>
          <w:rFonts w:ascii="Arial" w:cs="Arial" w:eastAsia="Arial" w:hAnsi="Arial"/>
          <w:sz w:val="22"/>
          <w:szCs w:val="22"/>
          <w:color w:val="auto"/>
        </w:rPr>
        <w:t>) to be used by such Purchaser to pay the purchase price of the Bonds to be purchased by such Purchaser hereunder:</w:t>
      </w:r>
    </w:p>
    <w:p>
      <w:pPr>
        <w:spacing w:after="0" w:line="212" w:lineRule="exact"/>
        <w:rPr>
          <w:sz w:val="20"/>
          <w:szCs w:val="20"/>
          <w:color w:val="auto"/>
        </w:rPr>
      </w:pPr>
    </w:p>
    <w:p>
      <w:pPr>
        <w:jc w:val="both"/>
        <w:ind w:left="840" w:right="199" w:firstLine="221"/>
        <w:spacing w:after="0" w:line="246" w:lineRule="exact"/>
        <w:tabs>
          <w:tab w:leader="none" w:pos="1539"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Source is an “insurance company general account” (as the term is defined in the United States Department of Labor’s Prohibited Transaction Exemption (</w:t>
      </w:r>
      <w:r>
        <w:rPr>
          <w:rFonts w:ascii="Arial" w:cs="Arial" w:eastAsia="Arial" w:hAnsi="Arial"/>
          <w:sz w:val="19"/>
          <w:szCs w:val="19"/>
          <w:i w:val="1"/>
          <w:iCs w:val="1"/>
          <w:color w:val="auto"/>
        </w:rPr>
        <w:t>“PTE”</w:t>
      </w:r>
      <w:r>
        <w:rPr>
          <w:rFonts w:ascii="Arial" w:cs="Arial" w:eastAsia="Arial" w:hAnsi="Arial"/>
          <w:sz w:val="19"/>
          <w:szCs w:val="19"/>
          <w:color w:val="auto"/>
        </w:rPr>
        <w:t>) 95</w:t>
      </w:r>
      <w:r>
        <w:rPr>
          <w:rFonts w:ascii="MS PGothic" w:cs="MS PGothic" w:eastAsia="MS PGothic" w:hAnsi="MS PGothic"/>
          <w:sz w:val="19"/>
          <w:szCs w:val="19"/>
          <w:color w:val="auto"/>
        </w:rPr>
        <w:t>‑</w:t>
      </w:r>
      <w:r>
        <w:rPr>
          <w:rFonts w:ascii="Arial" w:cs="Arial" w:eastAsia="Arial" w:hAnsi="Arial"/>
          <w:sz w:val="19"/>
          <w:szCs w:val="19"/>
          <w:color w:val="auto"/>
        </w:rPr>
        <w:t xml:space="preserve">60) in respect of which the reserves and liabilities (as defined by the annual statement for life insurance companies approved by the NAIC (the </w:t>
      </w:r>
      <w:r>
        <w:rPr>
          <w:rFonts w:ascii="Arial" w:cs="Arial" w:eastAsia="Arial" w:hAnsi="Arial"/>
          <w:sz w:val="19"/>
          <w:szCs w:val="19"/>
          <w:i w:val="1"/>
          <w:iCs w:val="1"/>
          <w:color w:val="auto"/>
        </w:rPr>
        <w:t>“NAIC Annual Statement”</w:t>
      </w:r>
      <w:r>
        <w:rPr>
          <w:rFonts w:ascii="Arial" w:cs="Arial" w:eastAsia="Arial" w:hAnsi="Arial"/>
          <w:sz w:val="19"/>
          <w:szCs w:val="19"/>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9"/>
          <w:szCs w:val="19"/>
          <w:color w:val="auto"/>
        </w:rPr>
        <w:t>‑</w:t>
      </w:r>
      <w:r>
        <w:rPr>
          <w:rFonts w:ascii="Arial" w:cs="Arial" w:eastAsia="Arial" w:hAnsi="Arial"/>
          <w:sz w:val="19"/>
          <w:szCs w:val="19"/>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25" w:lineRule="exact"/>
        <w:rPr>
          <w:rFonts w:ascii="Arial" w:cs="Arial" w:eastAsia="Arial" w:hAnsi="Arial"/>
          <w:sz w:val="19"/>
          <w:szCs w:val="19"/>
          <w:color w:val="auto"/>
        </w:rPr>
      </w:pPr>
    </w:p>
    <w:p>
      <w:pPr>
        <w:jc w:val="both"/>
        <w:ind w:left="840" w:right="199" w:firstLine="262"/>
        <w:spacing w:after="0" w:line="282" w:lineRule="auto"/>
        <w:tabs>
          <w:tab w:leader="none" w:pos="1632"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5" w:name="page76"/>
    <w:bookmarkEnd w:id="75"/>
    <w:p>
      <w:pPr>
        <w:jc w:val="both"/>
        <w:ind w:left="840" w:right="199" w:firstLine="262"/>
        <w:spacing w:after="0" w:line="248" w:lineRule="exact"/>
        <w:tabs>
          <w:tab w:leader="none" w:pos="1620" w:val="left"/>
        </w:tabs>
        <w:numPr>
          <w:ilvl w:val="2"/>
          <w:numId w:val="26"/>
        </w:numPr>
        <w:rPr>
          <w:rFonts w:ascii="Arial" w:cs="Arial" w:eastAsia="Arial" w:hAnsi="Arial"/>
          <w:sz w:val="19"/>
          <w:szCs w:val="19"/>
          <w:color w:val="auto"/>
        </w:rPr>
      </w:pPr>
      <w:r>
        <w:rPr>
          <w:rFonts w:ascii="Arial" w:cs="Arial" w:eastAsia="Arial" w:hAnsi="Arial"/>
          <w:sz w:val="19"/>
          <w:szCs w:val="19"/>
          <w:color w:val="auto"/>
        </w:rPr>
        <w:t>the Source is either (i) an insurance company pooled separate account, within the meaning of PTE 90</w:t>
      </w:r>
      <w:r>
        <w:rPr>
          <w:rFonts w:ascii="MS PGothic" w:cs="MS PGothic" w:eastAsia="MS PGothic" w:hAnsi="MS PGothic"/>
          <w:sz w:val="19"/>
          <w:szCs w:val="19"/>
          <w:color w:val="auto"/>
        </w:rPr>
        <w:t>‑</w:t>
      </w:r>
      <w:r>
        <w:rPr>
          <w:rFonts w:ascii="Arial" w:cs="Arial" w:eastAsia="Arial" w:hAnsi="Arial"/>
          <w:sz w:val="19"/>
          <w:szCs w:val="19"/>
          <w:color w:val="auto"/>
        </w:rPr>
        <w:t>1 or (ii) a bank collective investment fund, within the meaning of the PTE 91</w:t>
      </w:r>
      <w:r>
        <w:rPr>
          <w:rFonts w:ascii="MS PGothic" w:cs="MS PGothic" w:eastAsia="MS PGothic" w:hAnsi="MS PGothic"/>
          <w:sz w:val="19"/>
          <w:szCs w:val="19"/>
          <w:color w:val="auto"/>
        </w:rPr>
        <w:t>‑</w:t>
      </w:r>
      <w:r>
        <w:rPr>
          <w:rFonts w:ascii="Arial" w:cs="Arial" w:eastAsia="Arial" w:hAnsi="Arial"/>
          <w:sz w:val="19"/>
          <w:szCs w:val="19"/>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15" w:lineRule="exact"/>
        <w:rPr>
          <w:rFonts w:ascii="Arial" w:cs="Arial" w:eastAsia="Arial" w:hAnsi="Arial"/>
          <w:sz w:val="19"/>
          <w:szCs w:val="19"/>
          <w:color w:val="auto"/>
        </w:rPr>
      </w:pPr>
    </w:p>
    <w:p>
      <w:pPr>
        <w:jc w:val="both"/>
        <w:ind w:left="840" w:right="199" w:firstLine="208"/>
        <w:spacing w:after="0" w:line="246" w:lineRule="exact"/>
        <w:tabs>
          <w:tab w:leader="none" w:pos="1524"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Source constitutes assets of an “investment fund”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i w:val="1"/>
          <w:iCs w:val="1"/>
          <w:color w:val="auto"/>
        </w:rPr>
        <w:t>“QPAM Exemption”</w:t>
      </w:r>
      <w:r>
        <w:rPr>
          <w:rFonts w:ascii="Arial" w:cs="Arial" w:eastAsia="Arial" w:hAnsi="Arial"/>
          <w:sz w:val="19"/>
          <w:szCs w:val="19"/>
          <w:color w:val="auto"/>
        </w:rPr>
        <w:t>)) managed by a “</w:t>
      </w:r>
      <w:r>
        <w:rPr>
          <w:rFonts w:ascii="Arial" w:cs="Arial" w:eastAsia="Arial" w:hAnsi="Arial"/>
          <w:sz w:val="19"/>
          <w:szCs w:val="19"/>
          <w:i w:val="1"/>
          <w:iCs w:val="1"/>
          <w:color w:val="auto"/>
        </w:rPr>
        <w:t>qualified professional asset</w:t>
      </w:r>
      <w:r>
        <w:rPr>
          <w:rFonts w:ascii="Arial" w:cs="Arial" w:eastAsia="Arial" w:hAnsi="Arial"/>
          <w:sz w:val="19"/>
          <w:szCs w:val="19"/>
          <w:color w:val="auto"/>
        </w:rPr>
        <w:t xml:space="preserve"> </w:t>
      </w:r>
      <w:r>
        <w:rPr>
          <w:rFonts w:ascii="Arial" w:cs="Arial" w:eastAsia="Arial" w:hAnsi="Arial"/>
          <w:sz w:val="19"/>
          <w:szCs w:val="19"/>
          <w:i w:val="1"/>
          <w:iCs w:val="1"/>
          <w:color w:val="auto"/>
        </w:rPr>
        <w:t>manager</w:t>
      </w:r>
      <w:r>
        <w:rPr>
          <w:rFonts w:ascii="Arial" w:cs="Arial" w:eastAsia="Arial" w:hAnsi="Arial"/>
          <w:sz w:val="19"/>
          <w:szCs w:val="19"/>
          <w:color w:val="auto"/>
        </w:rPr>
        <w:t>” or “</w:t>
      </w:r>
      <w:r>
        <w:rPr>
          <w:rFonts w:ascii="Arial" w:cs="Arial" w:eastAsia="Arial" w:hAnsi="Arial"/>
          <w:sz w:val="19"/>
          <w:szCs w:val="19"/>
          <w:i w:val="1"/>
          <w:iCs w:val="1"/>
          <w:color w:val="auto"/>
        </w:rPr>
        <w:t>QPAM</w:t>
      </w:r>
      <w:r>
        <w:rPr>
          <w:rFonts w:ascii="Arial" w:cs="Arial" w:eastAsia="Arial" w:hAnsi="Arial"/>
          <w:sz w:val="19"/>
          <w:szCs w:val="19"/>
          <w:color w:val="auto"/>
        </w:rPr>
        <w:t>” (within the meaning of Part VI of the QPAM Exemption), no</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Arial" w:cs="Arial" w:eastAsia="Arial" w:hAnsi="Arial"/>
          <w:sz w:val="19"/>
          <w:szCs w:val="19"/>
          <w:i w:val="1"/>
          <w:iCs w:val="1"/>
          <w:color w:val="auto"/>
        </w:rPr>
        <w:t>related</w:t>
      </w:r>
      <w:r>
        <w:rPr>
          <w:rFonts w:ascii="Arial" w:cs="Arial" w:eastAsia="Arial" w:hAnsi="Arial"/>
          <w:sz w:val="19"/>
          <w:szCs w:val="19"/>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00" w:lineRule="exact"/>
        <w:rPr>
          <w:rFonts w:ascii="Arial" w:cs="Arial" w:eastAsia="Arial" w:hAnsi="Arial"/>
          <w:sz w:val="19"/>
          <w:szCs w:val="19"/>
          <w:color w:val="auto"/>
        </w:rPr>
      </w:pPr>
    </w:p>
    <w:p>
      <w:pPr>
        <w:spacing w:after="0" w:line="251" w:lineRule="exact"/>
        <w:rPr>
          <w:rFonts w:ascii="Arial" w:cs="Arial" w:eastAsia="Arial" w:hAnsi="Arial"/>
          <w:sz w:val="19"/>
          <w:szCs w:val="19"/>
          <w:color w:val="auto"/>
        </w:rPr>
      </w:pPr>
    </w:p>
    <w:p>
      <w:pPr>
        <w:jc w:val="both"/>
        <w:ind w:left="840" w:right="199" w:firstLine="289"/>
        <w:spacing w:after="0" w:line="246" w:lineRule="exact"/>
        <w:tabs>
          <w:tab w:leader="none" w:pos="1674" w:val="left"/>
        </w:tabs>
        <w:numPr>
          <w:ilvl w:val="3"/>
          <w:numId w:val="27"/>
        </w:numPr>
        <w:rPr>
          <w:rFonts w:ascii="Arial" w:cs="Arial" w:eastAsia="Arial" w:hAnsi="Arial"/>
          <w:sz w:val="19"/>
          <w:szCs w:val="19"/>
          <w:color w:val="auto"/>
        </w:rPr>
      </w:pPr>
      <w:r>
        <w:rPr>
          <w:rFonts w:ascii="Arial" w:cs="Arial" w:eastAsia="Arial" w:hAnsi="Arial"/>
          <w:sz w:val="19"/>
          <w:szCs w:val="19"/>
          <w:color w:val="auto"/>
        </w:rPr>
        <w:t>the Source constitutes assets of a “</w:t>
      </w:r>
      <w:r>
        <w:rPr>
          <w:rFonts w:ascii="Arial" w:cs="Arial" w:eastAsia="Arial" w:hAnsi="Arial"/>
          <w:sz w:val="19"/>
          <w:szCs w:val="19"/>
          <w:i w:val="1"/>
          <w:iCs w:val="1"/>
          <w:color w:val="auto"/>
        </w:rPr>
        <w:t>plan(s)</w:t>
      </w:r>
      <w:r>
        <w:rPr>
          <w:rFonts w:ascii="Arial" w:cs="Arial" w:eastAsia="Arial" w:hAnsi="Arial"/>
          <w:sz w:val="19"/>
          <w:szCs w:val="19"/>
          <w:color w:val="auto"/>
        </w:rPr>
        <w:t>” (within the meaning of Part IV(h) of PTE 96</w:t>
      </w:r>
      <w:r>
        <w:rPr>
          <w:rFonts w:ascii="MS PGothic" w:cs="MS PGothic" w:eastAsia="MS PGothic" w:hAnsi="MS PGothic"/>
          <w:sz w:val="19"/>
          <w:szCs w:val="19"/>
          <w:color w:val="auto"/>
        </w:rPr>
        <w:t>‑</w:t>
      </w:r>
      <w:r>
        <w:rPr>
          <w:rFonts w:ascii="Arial" w:cs="Arial" w:eastAsia="Arial" w:hAnsi="Arial"/>
          <w:sz w:val="19"/>
          <w:szCs w:val="19"/>
          <w:color w:val="auto"/>
        </w:rPr>
        <w:t xml:space="preserve">23 (the </w:t>
      </w:r>
      <w:r>
        <w:rPr>
          <w:rFonts w:ascii="Arial" w:cs="Arial" w:eastAsia="Arial" w:hAnsi="Arial"/>
          <w:sz w:val="19"/>
          <w:szCs w:val="19"/>
          <w:i w:val="1"/>
          <w:iCs w:val="1"/>
          <w:color w:val="auto"/>
        </w:rPr>
        <w:t>“INHAM Exemption”</w:t>
      </w:r>
      <w:r>
        <w:rPr>
          <w:rFonts w:ascii="Arial" w:cs="Arial" w:eastAsia="Arial" w:hAnsi="Arial"/>
          <w:sz w:val="19"/>
          <w:szCs w:val="19"/>
          <w:color w:val="auto"/>
        </w:rPr>
        <w:t>)) managed by an “in</w:t>
      </w:r>
      <w:r>
        <w:rPr>
          <w:rFonts w:ascii="MS PGothic" w:cs="MS PGothic" w:eastAsia="MS PGothic" w:hAnsi="MS PGothic"/>
          <w:sz w:val="19"/>
          <w:szCs w:val="19"/>
          <w:color w:val="auto"/>
        </w:rPr>
        <w:t>‑</w:t>
      </w:r>
      <w:r>
        <w:rPr>
          <w:rFonts w:ascii="Arial" w:cs="Arial" w:eastAsia="Arial" w:hAnsi="Arial"/>
          <w:sz w:val="19"/>
          <w:szCs w:val="19"/>
          <w:color w:val="auto"/>
        </w:rPr>
        <w:t>house asset manager” or “</w:t>
      </w:r>
      <w:r>
        <w:rPr>
          <w:rFonts w:ascii="Arial" w:cs="Arial" w:eastAsia="Arial" w:hAnsi="Arial"/>
          <w:sz w:val="19"/>
          <w:szCs w:val="19"/>
          <w:i w:val="1"/>
          <w:iCs w:val="1"/>
          <w:color w:val="auto"/>
        </w:rPr>
        <w:t>INHAM</w:t>
      </w:r>
      <w:r>
        <w:rPr>
          <w:rFonts w:ascii="Arial" w:cs="Arial" w:eastAsia="Arial" w:hAnsi="Arial"/>
          <w:sz w:val="19"/>
          <w:szCs w:val="19"/>
          <w:color w:val="auto"/>
        </w:rPr>
        <w:t>” (within the meaning of Part IV(a) of the INHAM Exemption), the conditions of Part I(a), (g) and (h) of the INHAM Exemption are satisfied, neither the INHAM nor a person controlling or controlled by the INHAM (applying the definition of “</w:t>
      </w:r>
      <w:r>
        <w:rPr>
          <w:rFonts w:ascii="Arial" w:cs="Arial" w:eastAsia="Arial" w:hAnsi="Arial"/>
          <w:sz w:val="19"/>
          <w:szCs w:val="19"/>
          <w:i w:val="1"/>
          <w:iCs w:val="1"/>
          <w:color w:val="auto"/>
        </w:rPr>
        <w:t>control</w:t>
      </w:r>
      <w:r>
        <w:rPr>
          <w:rFonts w:ascii="Arial" w:cs="Arial" w:eastAsia="Arial" w:hAnsi="Arial"/>
          <w:sz w:val="19"/>
          <w:szCs w:val="19"/>
          <w:color w:val="auto"/>
        </w:rPr>
        <w:t>” in Part IV(d)(3) of the INHAM Exemption) owns a 10% or more interest in the Company and</w:t>
      </w:r>
    </w:p>
    <w:p>
      <w:pPr>
        <w:spacing w:after="0" w:line="1" w:lineRule="exact"/>
        <w:rPr>
          <w:rFonts w:ascii="Arial" w:cs="Arial" w:eastAsia="Arial" w:hAnsi="Arial"/>
          <w:sz w:val="19"/>
          <w:szCs w:val="19"/>
          <w:color w:val="auto"/>
        </w:rPr>
      </w:pPr>
    </w:p>
    <w:p>
      <w:pPr>
        <w:jc w:val="both"/>
        <w:ind w:left="840" w:right="199" w:hanging="8"/>
        <w:spacing w:after="0" w:line="234" w:lineRule="auto"/>
        <w:tabs>
          <w:tab w:leader="none" w:pos="109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identity of such INHAM and (ii) the name(s) of the employee benefit plan(s) whose assets constitute the Source have been disclosed to the Company in writing pursuant to this clause (e); or</w:t>
      </w:r>
    </w:p>
    <w:p>
      <w:pPr>
        <w:spacing w:after="0" w:line="227" w:lineRule="exact"/>
        <w:rPr>
          <w:rFonts w:ascii="Arial" w:cs="Arial" w:eastAsia="Arial" w:hAnsi="Arial"/>
          <w:sz w:val="22"/>
          <w:szCs w:val="22"/>
          <w:color w:val="auto"/>
        </w:rPr>
      </w:pPr>
    </w:p>
    <w:p>
      <w:pPr>
        <w:ind w:left="1480" w:hanging="432"/>
        <w:spacing w:after="0"/>
        <w:tabs>
          <w:tab w:leader="none" w:pos="14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33" w:lineRule="exact"/>
        <w:rPr>
          <w:rFonts w:ascii="Arial" w:cs="Arial" w:eastAsia="Arial" w:hAnsi="Arial"/>
          <w:sz w:val="22"/>
          <w:szCs w:val="22"/>
          <w:color w:val="auto"/>
        </w:rPr>
      </w:pPr>
    </w:p>
    <w:p>
      <w:pPr>
        <w:jc w:val="both"/>
        <w:ind w:left="840" w:right="199" w:firstLine="275"/>
        <w:spacing w:after="0"/>
        <w:tabs>
          <w:tab w:leader="none" w:pos="1672"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26" w:lineRule="exact"/>
        <w:rPr>
          <w:rFonts w:ascii="Arial" w:cs="Arial" w:eastAsia="Arial" w:hAnsi="Arial"/>
          <w:sz w:val="22"/>
          <w:szCs w:val="22"/>
          <w:color w:val="auto"/>
        </w:rPr>
      </w:pPr>
    </w:p>
    <w:p>
      <w:pPr>
        <w:ind w:left="840" w:right="199" w:firstLine="248"/>
        <w:spacing w:after="0" w:line="250" w:lineRule="auto"/>
        <w:tabs>
          <w:tab w:leader="none" w:pos="1605"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6" w:name="page77"/>
    <w:bookmarkEnd w:id="76"/>
    <w:p>
      <w:pPr>
        <w:jc w:val="both"/>
        <w:ind w:left="180" w:right="199"/>
        <w:spacing w:after="0"/>
        <w:rPr>
          <w:sz w:val="20"/>
          <w:szCs w:val="20"/>
          <w:color w:val="auto"/>
        </w:rPr>
      </w:pPr>
      <w:r>
        <w:rPr>
          <w:rFonts w:ascii="Arial" w:cs="Arial" w:eastAsia="Arial" w:hAnsi="Arial"/>
          <w:sz w:val="22"/>
          <w:szCs w:val="22"/>
          <w:color w:val="auto"/>
        </w:rPr>
        <w:t xml:space="preserve">As used in this Section 6.2, the terms </w:t>
      </w:r>
      <w:r>
        <w:rPr>
          <w:rFonts w:ascii="Arial" w:cs="Arial" w:eastAsia="Arial" w:hAnsi="Arial"/>
          <w:sz w:val="22"/>
          <w:szCs w:val="22"/>
          <w:i w:val="1"/>
          <w:iCs w:val="1"/>
          <w:color w:val="auto"/>
        </w:rPr>
        <w:t>“employee benefit plan,” “governmental plan,”</w:t>
      </w:r>
      <w:r>
        <w:rPr>
          <w:rFonts w:ascii="Arial" w:cs="Arial" w:eastAsia="Arial" w:hAnsi="Arial"/>
          <w:sz w:val="22"/>
          <w:szCs w:val="22"/>
          <w:color w:val="auto"/>
        </w:rPr>
        <w:t xml:space="preserve"> and </w:t>
      </w:r>
      <w:r>
        <w:rPr>
          <w:rFonts w:ascii="Arial" w:cs="Arial" w:eastAsia="Arial" w:hAnsi="Arial"/>
          <w:sz w:val="22"/>
          <w:szCs w:val="22"/>
          <w:i w:val="1"/>
          <w:iCs w:val="1"/>
          <w:color w:val="auto"/>
        </w:rPr>
        <w:t xml:space="preserve">“separate account” </w:t>
      </w:r>
      <w:r>
        <w:rPr>
          <w:rFonts w:ascii="Arial" w:cs="Arial" w:eastAsia="Arial" w:hAnsi="Arial"/>
          <w:sz w:val="22"/>
          <w:szCs w:val="22"/>
          <w:color w:val="auto"/>
        </w:rPr>
        <w:t>shall have the respective meanings assigned to such terms in section 3 of</w:t>
      </w:r>
      <w:r>
        <w:rPr>
          <w:rFonts w:ascii="Arial" w:cs="Arial" w:eastAsia="Arial" w:hAnsi="Arial"/>
          <w:sz w:val="22"/>
          <w:szCs w:val="22"/>
          <w:i w:val="1"/>
          <w:iCs w:val="1"/>
          <w:color w:val="auto"/>
        </w:rPr>
        <w:t xml:space="preserve"> </w:t>
      </w:r>
      <w:r>
        <w:rPr>
          <w:rFonts w:ascii="Arial" w:cs="Arial" w:eastAsia="Arial" w:hAnsi="Arial"/>
          <w:sz w:val="22"/>
          <w:szCs w:val="22"/>
          <w:color w:val="auto"/>
        </w:rPr>
        <w:t>ERISA.</w:t>
      </w:r>
    </w:p>
    <w:p>
      <w:pPr>
        <w:spacing w:after="0" w:line="254" w:lineRule="exact"/>
        <w:rPr>
          <w:sz w:val="20"/>
          <w:szCs w:val="20"/>
          <w:color w:val="auto"/>
        </w:rPr>
      </w:pPr>
    </w:p>
    <w:p>
      <w:pPr>
        <w:ind w:left="180"/>
        <w:spacing w:after="0"/>
        <w:tabs>
          <w:tab w:leader="none" w:pos="15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INFORMATION AS TO COMPANY.</w:t>
      </w:r>
    </w:p>
    <w:p>
      <w:pPr>
        <w:spacing w:after="0" w:line="247" w:lineRule="exact"/>
        <w:rPr>
          <w:sz w:val="20"/>
          <w:szCs w:val="20"/>
          <w:color w:val="auto"/>
        </w:rPr>
      </w:pPr>
    </w:p>
    <w:p>
      <w:pPr>
        <w:ind w:left="580"/>
        <w:spacing w:after="0"/>
        <w:tabs>
          <w:tab w:leader="none" w:pos="2020" w:val="left"/>
          <w:tab w:leader="none" w:pos="5540" w:val="left"/>
        </w:tabs>
        <w:rPr>
          <w:sz w:val="20"/>
          <w:szCs w:val="20"/>
          <w:color w:val="auto"/>
        </w:rPr>
      </w:pPr>
      <w:r>
        <w:rPr>
          <w:rFonts w:ascii="Arial" w:cs="Arial" w:eastAsia="Arial" w:hAnsi="Arial"/>
          <w:sz w:val="22"/>
          <w:szCs w:val="22"/>
          <w:i w:val="1"/>
          <w:iCs w:val="1"/>
          <w:color w:val="auto"/>
        </w:rPr>
        <w:t>Section 7.1.</w:t>
      </w:r>
      <w:r>
        <w:rPr>
          <w:sz w:val="20"/>
          <w:szCs w:val="20"/>
          <w:color w:val="auto"/>
        </w:rPr>
        <w:tab/>
      </w:r>
      <w:r>
        <w:rPr>
          <w:rFonts w:ascii="Arial" w:cs="Arial" w:eastAsia="Arial" w:hAnsi="Arial"/>
          <w:sz w:val="22"/>
          <w:szCs w:val="22"/>
          <w:i w:val="1"/>
          <w:iCs w:val="1"/>
          <w:color w:val="auto"/>
        </w:rPr>
        <w:t>Financial and Business Information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Company shall deliver to each</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Purchaser and each holder of Bonds that is an Institutional Investor:</w:t>
      </w:r>
    </w:p>
    <w:p>
      <w:pPr>
        <w:spacing w:after="0" w:line="215" w:lineRule="exact"/>
        <w:rPr>
          <w:sz w:val="20"/>
          <w:szCs w:val="20"/>
          <w:color w:val="auto"/>
        </w:rPr>
      </w:pPr>
    </w:p>
    <w:p>
      <w:pPr>
        <w:jc w:val="both"/>
        <w:ind w:left="840" w:right="199" w:firstLine="221"/>
        <w:spacing w:after="0"/>
        <w:tabs>
          <w:tab w:leader="none" w:pos="1539"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 period</w:t>
      </w:r>
      <w:r>
        <w:rPr>
          <w:rFonts w:ascii="Arial" w:cs="Arial" w:eastAsia="Arial" w:hAnsi="Arial"/>
          <w:sz w:val="22"/>
          <w:szCs w:val="22"/>
          <w:i w:val="1"/>
          <w:iCs w:val="1"/>
          <w:color w:val="auto"/>
        </w:rPr>
        <w:t xml:space="preserve"> </w:t>
      </w:r>
      <w:r>
        <w:rPr>
          <w:rFonts w:ascii="Arial" w:cs="Arial" w:eastAsia="Arial" w:hAnsi="Arial"/>
          <w:sz w:val="22"/>
          <w:szCs w:val="22"/>
          <w:color w:val="auto"/>
        </w:rPr>
        <w:t>in each fiscal year of the Company (other than the last quarterly fiscal period of each such fiscal year), duplicate copies of:</w:t>
      </w:r>
    </w:p>
    <w:p>
      <w:pPr>
        <w:spacing w:after="0" w:line="226" w:lineRule="exact"/>
        <w:rPr>
          <w:rFonts w:ascii="Arial" w:cs="Arial" w:eastAsia="Arial" w:hAnsi="Arial"/>
          <w:sz w:val="22"/>
          <w:szCs w:val="22"/>
          <w:color w:val="auto"/>
        </w:rPr>
      </w:pPr>
    </w:p>
    <w:p>
      <w:pPr>
        <w:ind w:left="1480" w:right="199" w:firstLine="270"/>
        <w:spacing w:after="0" w:line="250" w:lineRule="auto"/>
        <w:tabs>
          <w:tab w:leader="none" w:pos="2224"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quarter, and</w:t>
      </w:r>
    </w:p>
    <w:p>
      <w:pPr>
        <w:spacing w:after="0" w:line="215" w:lineRule="exact"/>
        <w:rPr>
          <w:rFonts w:ascii="Arial" w:cs="Arial" w:eastAsia="Arial" w:hAnsi="Arial"/>
          <w:sz w:val="22"/>
          <w:szCs w:val="22"/>
          <w:color w:val="auto"/>
        </w:rPr>
      </w:pPr>
    </w:p>
    <w:p>
      <w:pPr>
        <w:jc w:val="both"/>
        <w:ind w:left="1480" w:right="199" w:firstLine="216"/>
        <w:spacing w:after="0" w:line="297" w:lineRule="auto"/>
        <w:tabs>
          <w:tab w:leader="none" w:pos="2176" w:val="left"/>
        </w:tabs>
        <w:numPr>
          <w:ilvl w:val="1"/>
          <w:numId w:val="29"/>
        </w:numPr>
        <w:rPr>
          <w:rFonts w:ascii="Arial" w:cs="Arial" w:eastAsia="Arial" w:hAnsi="Arial"/>
          <w:sz w:val="19"/>
          <w:szCs w:val="19"/>
          <w:color w:val="auto"/>
        </w:rPr>
      </w:pPr>
      <w:r>
        <w:rPr>
          <w:rFonts w:ascii="Arial" w:cs="Arial" w:eastAsia="Arial" w:hAnsi="Arial"/>
          <w:sz w:val="19"/>
          <w:szCs w:val="19"/>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61" w:lineRule="exact"/>
        <w:rPr>
          <w:sz w:val="20"/>
          <w:szCs w:val="20"/>
          <w:color w:val="auto"/>
        </w:rPr>
      </w:pPr>
    </w:p>
    <w:p>
      <w:pPr>
        <w:jc w:val="both"/>
        <w:ind w:left="1480" w:right="199"/>
        <w:spacing w:after="0" w:line="249" w:lineRule="exact"/>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9"/>
          <w:szCs w:val="19"/>
          <w:color w:val="auto"/>
        </w:rPr>
        <w:t>‑</w:t>
      </w:r>
      <w:r>
        <w:rPr>
          <w:rFonts w:ascii="Arial" w:cs="Arial" w:eastAsia="Arial" w:hAnsi="Arial"/>
          <w:sz w:val="19"/>
          <w:szCs w:val="19"/>
          <w:color w:val="auto"/>
        </w:rPr>
        <w:t xml:space="preserve">end adjustments,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filed with the Municipal Securities Rulemaking Board on the Electronic Municipal Market Access (“</w:t>
      </w:r>
      <w:r>
        <w:rPr>
          <w:rFonts w:ascii="Arial" w:cs="Arial" w:eastAsia="Arial" w:hAnsi="Arial"/>
          <w:sz w:val="19"/>
          <w:szCs w:val="19"/>
          <w:i w:val="1"/>
          <w:iCs w:val="1"/>
          <w:color w:val="auto"/>
        </w:rPr>
        <w:t>EMMA</w:t>
      </w:r>
      <w:r>
        <w:rPr>
          <w:rFonts w:ascii="Arial" w:cs="Arial" w:eastAsia="Arial" w:hAnsi="Arial"/>
          <w:sz w:val="19"/>
          <w:szCs w:val="19"/>
          <w:color w:val="auto"/>
        </w:rPr>
        <w:t xml:space="preserve">”) database shall be deemed to satisfy the requirements of this </w:t>
      </w:r>
      <w:r>
        <w:rPr>
          <w:rFonts w:ascii="Arial" w:cs="Arial" w:eastAsia="Arial" w:hAnsi="Arial"/>
          <w:sz w:val="19"/>
          <w:szCs w:val="19"/>
          <w:b w:val="1"/>
          <w:bCs w:val="1"/>
          <w:color w:val="auto"/>
        </w:rPr>
        <w:t>Section 7.1(a)</w:t>
      </w:r>
      <w:r>
        <w:rPr>
          <w:rFonts w:ascii="Arial" w:cs="Arial" w:eastAsia="Arial" w:hAnsi="Arial"/>
          <w:sz w:val="19"/>
          <w:szCs w:val="19"/>
          <w:color w:val="auto"/>
        </w:rPr>
        <w:t>;</w:t>
      </w:r>
    </w:p>
    <w:p>
      <w:pPr>
        <w:spacing w:after="0" w:line="200" w:lineRule="exact"/>
        <w:rPr>
          <w:sz w:val="20"/>
          <w:szCs w:val="20"/>
          <w:color w:val="auto"/>
        </w:rPr>
      </w:pPr>
    </w:p>
    <w:p>
      <w:pPr>
        <w:spacing w:after="0" w:line="244" w:lineRule="exact"/>
        <w:rPr>
          <w:sz w:val="20"/>
          <w:szCs w:val="20"/>
          <w:color w:val="auto"/>
        </w:rPr>
      </w:pPr>
    </w:p>
    <w:p>
      <w:pPr>
        <w:ind w:left="840" w:right="199" w:firstLine="329"/>
        <w:spacing w:after="0" w:line="250" w:lineRule="auto"/>
        <w:tabs>
          <w:tab w:leader="none" w:pos="1767"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duplicate copies of:</w:t>
      </w:r>
    </w:p>
    <w:p>
      <w:pPr>
        <w:spacing w:after="0" w:line="215" w:lineRule="exact"/>
        <w:rPr>
          <w:sz w:val="20"/>
          <w:szCs w:val="20"/>
          <w:color w:val="auto"/>
        </w:rPr>
      </w:pPr>
    </w:p>
    <w:p>
      <w:pPr>
        <w:ind w:left="1480" w:right="199" w:firstLine="256"/>
        <w:spacing w:after="0" w:line="250" w:lineRule="auto"/>
        <w:tabs>
          <w:tab w:leader="none" w:pos="221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consolidated balance sheet of the Company and its Subsidiaries, as at the end of such year, and</w:t>
      </w:r>
    </w:p>
    <w:p>
      <w:pPr>
        <w:spacing w:after="0" w:line="202" w:lineRule="exact"/>
        <w:rPr>
          <w:sz w:val="20"/>
          <w:szCs w:val="20"/>
          <w:color w:val="auto"/>
        </w:rPr>
      </w:pPr>
    </w:p>
    <w:p>
      <w:pPr>
        <w:ind w:left="1480" w:right="199" w:firstLine="216"/>
        <w:spacing w:after="0" w:line="250" w:lineRule="auto"/>
        <w:tabs>
          <w:tab w:leader="none" w:pos="21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215" w:lineRule="exact"/>
        <w:rPr>
          <w:sz w:val="20"/>
          <w:szCs w:val="20"/>
          <w:color w:val="auto"/>
        </w:rPr>
      </w:pPr>
    </w:p>
    <w:p>
      <w:pPr>
        <w:jc w:val="both"/>
        <w:ind w:left="1480" w:right="199"/>
        <w:spacing w:after="0" w:line="287" w:lineRule="auto"/>
        <w:rPr>
          <w:sz w:val="20"/>
          <w:szCs w:val="20"/>
          <w:color w:val="auto"/>
        </w:rPr>
      </w:pPr>
      <w:r>
        <w:rPr>
          <w:rFonts w:ascii="Arial" w:cs="Arial" w:eastAsia="Arial" w:hAnsi="Arial"/>
          <w:sz w:val="19"/>
          <w:szCs w:val="19"/>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7" w:name="page78"/>
    <w:bookmarkEnd w:id="77"/>
    <w:p>
      <w:pPr>
        <w:jc w:val="both"/>
        <w:ind w:left="1480" w:right="199"/>
        <w:spacing w:after="0" w:line="272" w:lineRule="auto"/>
        <w:rPr>
          <w:sz w:val="20"/>
          <w:szCs w:val="20"/>
          <w:color w:val="auto"/>
        </w:rPr>
      </w:pPr>
      <w:r>
        <w:rPr>
          <w:rFonts w:ascii="Arial" w:cs="Arial" w:eastAsia="Arial" w:hAnsi="Arial"/>
          <w:sz w:val="19"/>
          <w:szCs w:val="19"/>
          <w:color w:val="auto"/>
        </w:rPr>
        <w:t xml:space="preserve">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w:t>
      </w:r>
      <w:r>
        <w:rPr>
          <w:rFonts w:ascii="Arial" w:cs="Arial" w:eastAsia="Arial" w:hAnsi="Arial"/>
          <w:sz w:val="19"/>
          <w:szCs w:val="19"/>
          <w:b w:val="1"/>
          <w:bCs w:val="1"/>
          <w:color w:val="auto"/>
        </w:rPr>
        <w:t>Section 7.1(b)</w:t>
      </w:r>
      <w:r>
        <w:rPr>
          <w:rFonts w:ascii="Arial" w:cs="Arial" w:eastAsia="Arial" w:hAnsi="Arial"/>
          <w:sz w:val="19"/>
          <w:szCs w:val="19"/>
          <w:color w:val="auto"/>
        </w:rPr>
        <w:t>;</w:t>
      </w:r>
    </w:p>
    <w:p>
      <w:pPr>
        <w:spacing w:after="0" w:line="188" w:lineRule="exact"/>
        <w:rPr>
          <w:sz w:val="20"/>
          <w:szCs w:val="20"/>
          <w:color w:val="auto"/>
        </w:rPr>
      </w:pPr>
    </w:p>
    <w:p>
      <w:pPr>
        <w:ind w:left="1640" w:hanging="525"/>
        <w:spacing w:after="0"/>
        <w:tabs>
          <w:tab w:leader="none" w:pos="1640" w:val="left"/>
        </w:tabs>
        <w:numPr>
          <w:ilvl w:val="3"/>
          <w:numId w:val="33"/>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 of</w:t>
      </w:r>
    </w:p>
    <w:p>
      <w:pPr>
        <w:spacing w:after="0" w:line="42" w:lineRule="exact"/>
        <w:rPr>
          <w:rFonts w:ascii="Arial" w:cs="Arial" w:eastAsia="Arial" w:hAnsi="Arial"/>
          <w:sz w:val="19"/>
          <w:szCs w:val="19"/>
          <w:color w:val="auto"/>
        </w:rPr>
      </w:pPr>
    </w:p>
    <w:p>
      <w:pPr>
        <w:jc w:val="both"/>
        <w:ind w:left="840" w:right="199" w:hanging="8"/>
        <w:spacing w:after="0" w:line="243" w:lineRule="auto"/>
        <w:tabs>
          <w:tab w:leader="none" w:pos="1109"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each 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w:t>
      </w:r>
      <w:r>
        <w:rPr>
          <w:rFonts w:ascii="Arial" w:cs="Arial" w:eastAsia="Arial" w:hAnsi="Arial"/>
          <w:sz w:val="21"/>
          <w:szCs w:val="21"/>
          <w:b w:val="1"/>
          <w:bCs w:val="1"/>
          <w:color w:val="auto"/>
        </w:rPr>
        <w:t>Section 7.1(c)</w:t>
      </w:r>
      <w:r>
        <w:rPr>
          <w:rFonts w:ascii="Arial" w:cs="Arial" w:eastAsia="Arial" w:hAnsi="Arial"/>
          <w:sz w:val="21"/>
          <w:szCs w:val="21"/>
          <w:color w:val="auto"/>
        </w:rPr>
        <w:t>;</w:t>
      </w:r>
    </w:p>
    <w:p>
      <w:pPr>
        <w:spacing w:after="0" w:line="224" w:lineRule="exact"/>
        <w:rPr>
          <w:rFonts w:ascii="Arial" w:cs="Arial" w:eastAsia="Arial" w:hAnsi="Arial"/>
          <w:sz w:val="21"/>
          <w:szCs w:val="21"/>
          <w:color w:val="auto"/>
        </w:rPr>
      </w:pPr>
    </w:p>
    <w:p>
      <w:pPr>
        <w:jc w:val="both"/>
        <w:ind w:left="840" w:right="199" w:firstLine="208"/>
        <w:spacing w:after="0" w:line="252" w:lineRule="auto"/>
        <w:tabs>
          <w:tab w:leader="none" w:pos="1524" w:val="left"/>
        </w:tabs>
        <w:numPr>
          <w:ilvl w:val="1"/>
          <w:numId w:val="34"/>
        </w:numPr>
        <w:rPr>
          <w:rFonts w:ascii="Arial" w:cs="Arial" w:eastAsia="Arial" w:hAnsi="Arial"/>
          <w:sz w:val="21"/>
          <w:szCs w:val="21"/>
          <w:color w:val="auto"/>
        </w:rPr>
      </w:pPr>
      <w:r>
        <w:rPr>
          <w:rFonts w:ascii="Arial" w:cs="Arial" w:eastAsia="Arial" w:hAnsi="Arial"/>
          <w:sz w:val="21"/>
          <w:szCs w:val="21"/>
          <w:i w:val="1"/>
          <w:iCs w:val="1"/>
          <w:color w:val="auto"/>
        </w:rPr>
        <w:t xml:space="preserve">Notice of Default or Event of Default </w:t>
      </w:r>
      <w:r>
        <w:rPr>
          <w:rFonts w:ascii="Arial" w:cs="Arial" w:eastAsia="Arial" w:hAnsi="Arial"/>
          <w:sz w:val="21"/>
          <w:szCs w:val="21"/>
          <w:color w:val="auto"/>
        </w:rPr>
        <w:t>— promptly, and in any event within five days</w:t>
      </w:r>
      <w:r>
        <w:rPr>
          <w:rFonts w:ascii="Arial" w:cs="Arial" w:eastAsia="Arial" w:hAnsi="Arial"/>
          <w:sz w:val="21"/>
          <w:szCs w:val="21"/>
          <w:i w:val="1"/>
          <w:iCs w:val="1"/>
          <w:color w:val="auto"/>
        </w:rPr>
        <w:t xml:space="preserve"> </w:t>
      </w:r>
      <w:r>
        <w:rPr>
          <w:rFonts w:ascii="Arial" w:cs="Arial" w:eastAsia="Arial" w:hAnsi="Arial"/>
          <w:sz w:val="21"/>
          <w:szCs w:val="21"/>
          <w:color w:val="auto"/>
        </w:rPr>
        <w:t>after a Responsible Officer becomes aware of the existence of any Default or Event of Default, a written notice specifying the nature and period of existence thereof and what action the Company is taking or proposes to take with respect thereto;</w:t>
      </w:r>
    </w:p>
    <w:p>
      <w:pPr>
        <w:spacing w:after="0" w:line="214" w:lineRule="exact"/>
        <w:rPr>
          <w:rFonts w:ascii="Arial" w:cs="Arial" w:eastAsia="Arial" w:hAnsi="Arial"/>
          <w:sz w:val="21"/>
          <w:szCs w:val="21"/>
          <w:color w:val="auto"/>
        </w:rPr>
      </w:pPr>
    </w:p>
    <w:p>
      <w:pPr>
        <w:jc w:val="both"/>
        <w:ind w:left="840" w:right="199" w:firstLine="262"/>
        <w:spacing w:after="0" w:line="238" w:lineRule="auto"/>
        <w:tabs>
          <w:tab w:leader="none" w:pos="1620" w:val="left"/>
        </w:tabs>
        <w:numPr>
          <w:ilvl w:val="2"/>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Benefits Matters </w:t>
      </w:r>
      <w:r>
        <w:rPr>
          <w:rFonts w:ascii="Arial" w:cs="Arial" w:eastAsia="Arial" w:hAnsi="Arial"/>
          <w:sz w:val="22"/>
          <w:szCs w:val="22"/>
          <w:color w:val="auto"/>
        </w:rPr>
        <w:t>— promptly, and in any event within five days after a</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Responsible Officer becomes aware of any of the following, a written notice setting forth the nature thereof and the action, if any, that the Company or an ERISA Affiliate proposes to take with respect thereto:</w:t>
      </w:r>
    </w:p>
    <w:p>
      <w:pPr>
        <w:spacing w:after="0" w:line="211" w:lineRule="exact"/>
        <w:rPr>
          <w:rFonts w:ascii="Arial" w:cs="Arial" w:eastAsia="Arial" w:hAnsi="Arial"/>
          <w:sz w:val="22"/>
          <w:szCs w:val="22"/>
          <w:color w:val="auto"/>
        </w:rPr>
      </w:pPr>
    </w:p>
    <w:p>
      <w:pPr>
        <w:jc w:val="both"/>
        <w:ind w:left="1480" w:right="199" w:firstLine="243"/>
        <w:spacing w:after="0" w:line="287" w:lineRule="auto"/>
        <w:tabs>
          <w:tab w:leader="none" w:pos="2170" w:val="left"/>
        </w:tabs>
        <w:numPr>
          <w:ilvl w:val="4"/>
          <w:numId w:val="34"/>
        </w:numPr>
        <w:rPr>
          <w:rFonts w:ascii="Arial" w:cs="Arial" w:eastAsia="Arial" w:hAnsi="Arial"/>
          <w:sz w:val="19"/>
          <w:szCs w:val="19"/>
          <w:color w:val="auto"/>
        </w:rPr>
      </w:pPr>
      <w:r>
        <w:rPr>
          <w:rFonts w:ascii="Arial" w:cs="Arial" w:eastAsia="Arial" w:hAnsi="Arial"/>
          <w:sz w:val="19"/>
          <w:szCs w:val="19"/>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183" w:lineRule="exact"/>
        <w:rPr>
          <w:sz w:val="20"/>
          <w:szCs w:val="20"/>
          <w:color w:val="auto"/>
        </w:rPr>
      </w:pPr>
    </w:p>
    <w:p>
      <w:pPr>
        <w:jc w:val="both"/>
        <w:ind w:left="1480" w:right="199" w:firstLine="216"/>
        <w:spacing w:after="0" w:line="282" w:lineRule="auto"/>
        <w:tabs>
          <w:tab w:leader="none" w:pos="2176"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8" w:name="page79"/>
    <w:bookmarkEnd w:id="78"/>
    <w:p>
      <w:pPr>
        <w:jc w:val="both"/>
        <w:ind w:left="1480" w:right="199" w:firstLine="216"/>
        <w:spacing w:after="0" w:line="246" w:lineRule="auto"/>
        <w:tabs>
          <w:tab w:leader="none" w:pos="2236" w:val="left"/>
        </w:tabs>
        <w:numPr>
          <w:ilvl w:val="2"/>
          <w:numId w:val="36"/>
        </w:numPr>
        <w:rPr>
          <w:rFonts w:ascii="Arial" w:cs="Arial" w:eastAsia="Arial" w:hAnsi="Arial"/>
          <w:sz w:val="21"/>
          <w:szCs w:val="21"/>
          <w:color w:val="auto"/>
        </w:rPr>
      </w:pPr>
      <w:r>
        <w:rPr>
          <w:rFonts w:ascii="Arial" w:cs="Arial" w:eastAsia="Arial" w:hAnsi="Arial"/>
          <w:sz w:val="21"/>
          <w:szCs w:val="21"/>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06" w:lineRule="exact"/>
        <w:rPr>
          <w:rFonts w:ascii="Arial" w:cs="Arial" w:eastAsia="Arial" w:hAnsi="Arial"/>
          <w:sz w:val="21"/>
          <w:szCs w:val="21"/>
          <w:color w:val="auto"/>
        </w:rPr>
      </w:pPr>
    </w:p>
    <w:p>
      <w:pPr>
        <w:jc w:val="both"/>
        <w:ind w:left="840" w:right="199" w:firstLine="221"/>
        <w:spacing w:after="0" w:line="287" w:lineRule="auto"/>
        <w:tabs>
          <w:tab w:leader="none" w:pos="1528"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Notices from Governmental Authority </w:t>
      </w:r>
      <w:r>
        <w:rPr>
          <w:rFonts w:ascii="Arial" w:cs="Arial" w:eastAsia="Arial" w:hAnsi="Arial"/>
          <w:sz w:val="19"/>
          <w:szCs w:val="19"/>
          <w:color w:val="auto"/>
        </w:rPr>
        <w:t>— promptly, and in any event within 30 days</w:t>
      </w:r>
      <w:r>
        <w:rPr>
          <w:rFonts w:ascii="Arial" w:cs="Arial" w:eastAsia="Arial" w:hAnsi="Arial"/>
          <w:sz w:val="19"/>
          <w:szCs w:val="19"/>
          <w:i w:val="1"/>
          <w:iCs w:val="1"/>
          <w:color w:val="auto"/>
        </w:rPr>
        <w:t xml:space="preserve"> </w:t>
      </w:r>
      <w:r>
        <w:rPr>
          <w:rFonts w:ascii="Arial" w:cs="Arial" w:eastAsia="Arial" w:hAnsi="Arial"/>
          <w:sz w:val="19"/>
          <w:szCs w:val="19"/>
          <w:color w:val="auto"/>
        </w:rPr>
        <w:t>of 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183" w:lineRule="exact"/>
        <w:rPr>
          <w:rFonts w:ascii="Arial" w:cs="Arial" w:eastAsia="Arial" w:hAnsi="Arial"/>
          <w:sz w:val="19"/>
          <w:szCs w:val="19"/>
          <w:color w:val="auto"/>
        </w:rPr>
      </w:pPr>
    </w:p>
    <w:p>
      <w:pPr>
        <w:jc w:val="both"/>
        <w:ind w:left="840" w:right="199" w:firstLine="221"/>
        <w:spacing w:after="0" w:line="244" w:lineRule="auto"/>
        <w:tabs>
          <w:tab w:leader="none" w:pos="1551"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 xml:space="preserve">Requested Information </w:t>
      </w:r>
      <w:r>
        <w:rPr>
          <w:rFonts w:ascii="Arial" w:cs="Arial" w:eastAsia="Arial" w:hAnsi="Arial"/>
          <w:sz w:val="21"/>
          <w:szCs w:val="21"/>
          <w:color w:val="auto"/>
        </w:rPr>
        <w:t>— with reasonable promptness, following the receipt by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228" w:lineRule="exact"/>
        <w:rPr>
          <w:rFonts w:ascii="Arial" w:cs="Arial" w:eastAsia="Arial" w:hAnsi="Arial"/>
          <w:sz w:val="21"/>
          <w:szCs w:val="21"/>
          <w:color w:val="auto"/>
        </w:rPr>
      </w:pPr>
    </w:p>
    <w:p>
      <w:pPr>
        <w:jc w:val="both"/>
        <w:ind w:left="840" w:right="199" w:firstLine="248"/>
        <w:spacing w:after="0" w:line="238" w:lineRule="auto"/>
        <w:tabs>
          <w:tab w:leader="none" w:pos="1605" w:val="left"/>
        </w:tabs>
        <w:numPr>
          <w:ilvl w:val="1"/>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Deliveries to Trustee </w:t>
      </w:r>
      <w:r>
        <w:rPr>
          <w:rFonts w:ascii="Arial" w:cs="Arial" w:eastAsia="Arial" w:hAnsi="Arial"/>
          <w:sz w:val="22"/>
          <w:szCs w:val="22"/>
          <w:color w:val="auto"/>
        </w:rPr>
        <w:t>— promptly, and in any event within five days after delivery</w:t>
      </w:r>
      <w:r>
        <w:rPr>
          <w:rFonts w:ascii="Arial" w:cs="Arial" w:eastAsia="Arial" w:hAnsi="Arial"/>
          <w:sz w:val="22"/>
          <w:szCs w:val="22"/>
          <w:i w:val="1"/>
          <w:iCs w:val="1"/>
          <w:color w:val="auto"/>
        </w:rPr>
        <w:t xml:space="preserve"> </w:t>
      </w:r>
      <w:r>
        <w:rPr>
          <w:rFonts w:ascii="Arial" w:cs="Arial" w:eastAsia="Arial" w:hAnsi="Arial"/>
          <w:sz w:val="22"/>
          <w:szCs w:val="22"/>
          <w:color w:val="auto"/>
        </w:rPr>
        <w:t>to the Trustee, a copy of any deliveries made by the Company to the Trustee, including without limitation the annual report delivered to the Trustee pursuant to Article VIII, Section 12 of the Indenture.</w:t>
      </w:r>
    </w:p>
    <w:p>
      <w:pPr>
        <w:spacing w:after="0" w:line="212" w:lineRule="exact"/>
        <w:rPr>
          <w:sz w:val="20"/>
          <w:szCs w:val="20"/>
          <w:color w:val="auto"/>
        </w:rPr>
      </w:pPr>
    </w:p>
    <w:p>
      <w:pPr>
        <w:jc w:val="both"/>
        <w:ind w:left="180" w:right="199" w:firstLine="310"/>
        <w:spacing w:after="0" w:line="271" w:lineRule="auto"/>
        <w:rPr>
          <w:sz w:val="20"/>
          <w:szCs w:val="20"/>
          <w:color w:val="auto"/>
        </w:rPr>
      </w:pPr>
      <w:r>
        <w:rPr>
          <w:rFonts w:ascii="Arial" w:cs="Arial" w:eastAsia="Arial" w:hAnsi="Arial"/>
          <w:sz w:val="19"/>
          <w:szCs w:val="19"/>
          <w:i w:val="1"/>
          <w:iCs w:val="1"/>
          <w:color w:val="auto"/>
        </w:rPr>
        <w:t>Section 7.2 Officer’s Certificate</w:t>
      </w:r>
      <w:r>
        <w:rPr>
          <w:rFonts w:ascii="Arial" w:cs="Arial" w:eastAsia="Arial" w:hAnsi="Arial"/>
          <w:sz w:val="19"/>
          <w:szCs w:val="19"/>
          <w:color w:val="auto"/>
        </w:rPr>
        <w:t>. Each set of financial statements delivered to a holder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Bonds pursuant to </w:t>
      </w:r>
      <w:r>
        <w:rPr>
          <w:rFonts w:ascii="Arial" w:cs="Arial" w:eastAsia="Arial" w:hAnsi="Arial"/>
          <w:sz w:val="19"/>
          <w:szCs w:val="19"/>
          <w:b w:val="1"/>
          <w:bCs w:val="1"/>
          <w:color w:val="auto"/>
        </w:rPr>
        <w:t>Section 7.1(a)</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7.1(b)</w:t>
      </w:r>
      <w:r>
        <w:rPr>
          <w:rFonts w:ascii="Arial" w:cs="Arial" w:eastAsia="Arial" w:hAnsi="Arial"/>
          <w:sz w:val="19"/>
          <w:szCs w:val="19"/>
          <w:color w:val="auto"/>
        </w:rPr>
        <w:t xml:space="preserve">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9" w:name="page80"/>
    <w:bookmarkEnd w:id="79"/>
    <w:p>
      <w:pPr>
        <w:ind w:left="180" w:right="199" w:firstLine="270"/>
        <w:spacing w:after="0" w:line="250" w:lineRule="auto"/>
        <w:rPr>
          <w:sz w:val="20"/>
          <w:szCs w:val="20"/>
          <w:color w:val="auto"/>
        </w:rPr>
      </w:pPr>
      <w:r>
        <w:rPr>
          <w:rFonts w:ascii="Arial" w:cs="Arial" w:eastAsia="Arial" w:hAnsi="Arial"/>
          <w:sz w:val="22"/>
          <w:szCs w:val="22"/>
          <w:i w:val="1"/>
          <w:iCs w:val="1"/>
          <w:color w:val="auto"/>
        </w:rPr>
        <w:t>Section 7.3. Visitation</w:t>
      </w:r>
      <w:r>
        <w:rPr>
          <w:rFonts w:ascii="Arial" w:cs="Arial" w:eastAsia="Arial" w:hAnsi="Arial"/>
          <w:sz w:val="22"/>
          <w:szCs w:val="22"/>
          <w:color w:val="auto"/>
        </w:rPr>
        <w:t>. The Company shall permit the representatives of each Purchaser and</w:t>
      </w:r>
      <w:r>
        <w:rPr>
          <w:rFonts w:ascii="Arial" w:cs="Arial" w:eastAsia="Arial" w:hAnsi="Arial"/>
          <w:sz w:val="22"/>
          <w:szCs w:val="22"/>
          <w:i w:val="1"/>
          <w:iCs w:val="1"/>
          <w:color w:val="auto"/>
        </w:rPr>
        <w:t xml:space="preserve"> </w:t>
      </w:r>
      <w:r>
        <w:rPr>
          <w:rFonts w:ascii="Arial" w:cs="Arial" w:eastAsia="Arial" w:hAnsi="Arial"/>
          <w:sz w:val="22"/>
          <w:szCs w:val="22"/>
          <w:color w:val="auto"/>
        </w:rPr>
        <w:t>each holder of Bonds that is an Institutional Investor:</w:t>
      </w:r>
    </w:p>
    <w:p>
      <w:pPr>
        <w:spacing w:after="0" w:line="202" w:lineRule="exact"/>
        <w:rPr>
          <w:sz w:val="20"/>
          <w:szCs w:val="20"/>
          <w:color w:val="auto"/>
        </w:rPr>
      </w:pPr>
    </w:p>
    <w:p>
      <w:pPr>
        <w:jc w:val="both"/>
        <w:ind w:left="840" w:right="199" w:firstLine="235"/>
        <w:spacing w:after="0" w:line="277" w:lineRule="auto"/>
        <w:tabs>
          <w:tab w:leader="none" w:pos="1566"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192" w:lineRule="exact"/>
        <w:rPr>
          <w:rFonts w:ascii="Arial" w:cs="Arial" w:eastAsia="Arial" w:hAnsi="Arial"/>
          <w:sz w:val="19"/>
          <w:szCs w:val="19"/>
          <w:color w:val="auto"/>
        </w:rPr>
      </w:pPr>
    </w:p>
    <w:p>
      <w:pPr>
        <w:jc w:val="both"/>
        <w:ind w:left="840" w:right="199" w:firstLine="329"/>
        <w:spacing w:after="0" w:line="246" w:lineRule="auto"/>
        <w:tabs>
          <w:tab w:leader="none" w:pos="1780" w:val="left"/>
        </w:tabs>
        <w:numPr>
          <w:ilvl w:val="1"/>
          <w:numId w:val="38"/>
        </w:numPr>
        <w:rPr>
          <w:rFonts w:ascii="Arial" w:cs="Arial" w:eastAsia="Arial" w:hAnsi="Arial"/>
          <w:sz w:val="21"/>
          <w:szCs w:val="21"/>
          <w:color w:val="auto"/>
        </w:rPr>
      </w:pPr>
      <w:r>
        <w:rPr>
          <w:rFonts w:ascii="Arial" w:cs="Arial" w:eastAsia="Arial" w:hAnsi="Arial"/>
          <w:sz w:val="21"/>
          <w:szCs w:val="21"/>
          <w:i w:val="1"/>
          <w:iCs w:val="1"/>
          <w:color w:val="auto"/>
        </w:rPr>
        <w:t xml:space="preserve">Default </w:t>
      </w:r>
      <w:r>
        <w:rPr>
          <w:rFonts w:ascii="Arial" w:cs="Arial" w:eastAsia="Arial" w:hAnsi="Arial"/>
          <w:sz w:val="21"/>
          <w:szCs w:val="21"/>
          <w:color w:val="auto"/>
        </w:rPr>
        <w:t>— if a Default or Event of Default then exists, at the expense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47"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PURCHASE OF BONDS</w:t>
      </w:r>
    </w:p>
    <w:p>
      <w:pPr>
        <w:spacing w:after="0" w:line="247" w:lineRule="exact"/>
        <w:rPr>
          <w:sz w:val="20"/>
          <w:szCs w:val="20"/>
          <w:color w:val="auto"/>
        </w:rPr>
      </w:pPr>
    </w:p>
    <w:p>
      <w:pPr>
        <w:jc w:val="both"/>
        <w:ind w:left="180" w:right="199" w:firstLine="648"/>
        <w:spacing w:after="0" w:line="273"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w:t>
      </w:r>
    </w:p>
    <w:p>
      <w:pPr>
        <w:spacing w:after="0" w:line="1" w:lineRule="exact"/>
        <w:rPr>
          <w:sz w:val="20"/>
          <w:szCs w:val="20"/>
          <w:color w:val="auto"/>
        </w:rPr>
      </w:pPr>
    </w:p>
    <w:p>
      <w:pPr>
        <w:jc w:val="both"/>
        <w:ind w:left="180" w:right="199" w:firstLine="4"/>
        <w:spacing w:after="0" w:line="271" w:lineRule="auto"/>
        <w:tabs>
          <w:tab w:leader="none" w:pos="513" w:val="left"/>
        </w:tabs>
        <w:numPr>
          <w:ilvl w:val="0"/>
          <w:numId w:val="39"/>
        </w:numPr>
        <w:rPr>
          <w:rFonts w:ascii="Arial" w:cs="Arial" w:eastAsia="Arial" w:hAnsi="Arial"/>
          <w:sz w:val="19"/>
          <w:szCs w:val="19"/>
          <w:color w:val="auto"/>
        </w:rPr>
      </w:pPr>
      <w:r>
        <w:rPr>
          <w:rFonts w:ascii="Arial" w:cs="Arial" w:eastAsia="Arial" w:hAnsi="Arial"/>
          <w:sz w:val="19"/>
          <w:szCs w:val="19"/>
          <w:color w:val="auto"/>
        </w:rPr>
        <w:t>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225"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color w:val="auto"/>
        </w:rPr>
        <w:t>AFFIRMATIVE COVENANTS.</w:t>
      </w:r>
    </w:p>
    <w:p>
      <w:pPr>
        <w:spacing w:after="0" w:line="247"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09" w:lineRule="exact"/>
        <w:rPr>
          <w:sz w:val="20"/>
          <w:szCs w:val="20"/>
          <w:color w:val="auto"/>
        </w:rPr>
      </w:pPr>
    </w:p>
    <w:p>
      <w:pPr>
        <w:jc w:val="both"/>
        <w:ind w:left="180" w:right="199" w:firstLine="229"/>
        <w:spacing w:after="0" w:line="289" w:lineRule="auto"/>
        <w:rPr>
          <w:sz w:val="20"/>
          <w:szCs w:val="20"/>
          <w:color w:val="auto"/>
        </w:rPr>
      </w:pPr>
      <w:r>
        <w:rPr>
          <w:rFonts w:ascii="Arial" w:cs="Arial" w:eastAsia="Arial" w:hAnsi="Arial"/>
          <w:sz w:val="19"/>
          <w:szCs w:val="19"/>
          <w:i w:val="1"/>
          <w:iCs w:val="1"/>
          <w:color w:val="auto"/>
        </w:rPr>
        <w:t>Section 9.1. Compliance with Law</w:t>
      </w:r>
      <w:r>
        <w:rPr>
          <w:rFonts w:ascii="Arial" w:cs="Arial" w:eastAsia="Arial" w:hAnsi="Arial"/>
          <w:sz w:val="19"/>
          <w:szCs w:val="19"/>
          <w:color w:val="auto"/>
        </w:rPr>
        <w:t>. Without limiting</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10.4</w:t>
      </w:r>
      <w:r>
        <w:rPr>
          <w:rFonts w:ascii="Arial" w:cs="Arial" w:eastAsia="Arial" w:hAnsi="Arial"/>
          <w:sz w:val="19"/>
          <w:szCs w:val="19"/>
          <w:color w:val="auto"/>
        </w:rPr>
        <w:t>, the Company will, and will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cause each 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Arial" w:cs="Arial" w:eastAsia="Arial" w:hAnsi="Arial"/>
          <w:sz w:val="19"/>
          <w:szCs w:val="19"/>
          <w:b w:val="1"/>
          <w:bCs w:val="1"/>
          <w:color w:val="auto"/>
        </w:rPr>
        <w:t>Section 5.16</w:t>
      </w:r>
      <w:r>
        <w:rPr>
          <w:rFonts w:ascii="Arial" w:cs="Arial" w:eastAsia="Arial" w:hAnsi="Arial"/>
          <w:sz w:val="19"/>
          <w:szCs w:val="19"/>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0" w:name="page81"/>
    <w:bookmarkEnd w:id="80"/>
    <w:p>
      <w:pPr>
        <w:jc w:val="both"/>
        <w:ind w:left="180" w:right="199"/>
        <w:spacing w:after="0" w:line="247" w:lineRule="exact"/>
        <w:rPr>
          <w:sz w:val="20"/>
          <w:szCs w:val="20"/>
          <w:color w:val="auto"/>
        </w:rPr>
      </w:pPr>
      <w:r>
        <w:rPr>
          <w:rFonts w:ascii="Arial" w:cs="Arial" w:eastAsia="Arial" w:hAnsi="Arial"/>
          <w:sz w:val="22"/>
          <w:szCs w:val="22"/>
          <w:color w:val="auto"/>
        </w:rPr>
        <w:t>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22"/>
          <w:szCs w:val="22"/>
          <w:color w:val="auto"/>
        </w:rPr>
        <w:t>‑</w:t>
      </w:r>
      <w:r>
        <w:rPr>
          <w:rFonts w:ascii="Arial" w:cs="Arial" w:eastAsia="Arial" w:hAnsi="Arial"/>
          <w:sz w:val="22"/>
          <w:szCs w:val="22"/>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18" w:lineRule="exact"/>
        <w:rPr>
          <w:sz w:val="20"/>
          <w:szCs w:val="20"/>
          <w:color w:val="auto"/>
        </w:rPr>
      </w:pPr>
    </w:p>
    <w:p>
      <w:pPr>
        <w:jc w:val="both"/>
        <w:ind w:left="180" w:right="199" w:firstLine="297"/>
        <w:spacing w:after="0" w:line="248" w:lineRule="auto"/>
        <w:rPr>
          <w:sz w:val="20"/>
          <w:szCs w:val="20"/>
          <w:color w:val="auto"/>
        </w:rPr>
      </w:pPr>
      <w:r>
        <w:rPr>
          <w:rFonts w:ascii="Arial" w:cs="Arial" w:eastAsia="Arial" w:hAnsi="Arial"/>
          <w:sz w:val="21"/>
          <w:szCs w:val="21"/>
          <w:i w:val="1"/>
          <w:iCs w:val="1"/>
          <w:color w:val="auto"/>
        </w:rPr>
        <w:t>Section 9.2. Insurance</w:t>
      </w:r>
      <w:r>
        <w:rPr>
          <w:rFonts w:ascii="Arial" w:cs="Arial" w:eastAsia="Arial" w:hAnsi="Arial"/>
          <w:sz w:val="21"/>
          <w:szCs w:val="21"/>
          <w:color w:val="auto"/>
        </w:rPr>
        <w:t>. The Company will cause each of its Subsidiaries to maintain, with</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17" w:lineRule="exact"/>
        <w:rPr>
          <w:sz w:val="20"/>
          <w:szCs w:val="20"/>
          <w:color w:val="auto"/>
        </w:rPr>
      </w:pPr>
    </w:p>
    <w:p>
      <w:pPr>
        <w:jc w:val="both"/>
        <w:ind w:left="180" w:right="199" w:firstLine="270"/>
        <w:spacing w:after="0" w:line="275" w:lineRule="auto"/>
        <w:rPr>
          <w:sz w:val="20"/>
          <w:szCs w:val="20"/>
          <w:color w:val="auto"/>
        </w:rPr>
      </w:pPr>
      <w:r>
        <w:rPr>
          <w:rFonts w:ascii="Arial" w:cs="Arial" w:eastAsia="Arial" w:hAnsi="Arial"/>
          <w:sz w:val="19"/>
          <w:szCs w:val="19"/>
          <w:i w:val="1"/>
          <w:iCs w:val="1"/>
          <w:color w:val="auto"/>
        </w:rPr>
        <w:t>Section 9.3. Maintenance of Properties</w:t>
      </w:r>
      <w:r>
        <w:rPr>
          <w:rFonts w:ascii="Arial" w:cs="Arial" w:eastAsia="Arial" w:hAnsi="Arial"/>
          <w:sz w:val="19"/>
          <w:szCs w:val="19"/>
          <w:color w:val="auto"/>
        </w:rPr>
        <w:t>. The Company will cause each of its Subsidiaries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t>
      </w:r>
      <w:r>
        <w:rPr>
          <w:rFonts w:ascii="Arial" w:cs="Arial" w:eastAsia="Arial" w:hAnsi="Arial"/>
          <w:sz w:val="19"/>
          <w:szCs w:val="19"/>
          <w:b w:val="1"/>
          <w:bCs w:val="1"/>
          <w:color w:val="auto"/>
        </w:rPr>
        <w:t>Section 9.3</w:t>
      </w:r>
      <w:r>
        <w:rPr>
          <w:rFonts w:ascii="Arial" w:cs="Arial" w:eastAsia="Arial" w:hAnsi="Arial"/>
          <w:sz w:val="19"/>
          <w:szCs w:val="19"/>
          <w:color w:val="auto"/>
        </w:rPr>
        <w:t xml:space="preserve">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98" w:lineRule="exact"/>
        <w:rPr>
          <w:sz w:val="20"/>
          <w:szCs w:val="20"/>
          <w:color w:val="auto"/>
        </w:rPr>
      </w:pPr>
    </w:p>
    <w:p>
      <w:pPr>
        <w:jc w:val="both"/>
        <w:ind w:left="180" w:right="199" w:firstLine="297"/>
        <w:spacing w:after="0" w:line="273" w:lineRule="auto"/>
        <w:rPr>
          <w:sz w:val="20"/>
          <w:szCs w:val="20"/>
          <w:color w:val="auto"/>
        </w:rPr>
      </w:pPr>
      <w:r>
        <w:rPr>
          <w:rFonts w:ascii="Arial" w:cs="Arial" w:eastAsia="Arial" w:hAnsi="Arial"/>
          <w:sz w:val="19"/>
          <w:szCs w:val="19"/>
          <w:i w:val="1"/>
          <w:iCs w:val="1"/>
          <w:color w:val="auto"/>
        </w:rPr>
        <w:t>Section 9.4. Payment of Taxes</w:t>
      </w:r>
      <w:r>
        <w:rPr>
          <w:rFonts w:ascii="Arial" w:cs="Arial" w:eastAsia="Arial" w:hAnsi="Arial"/>
          <w:sz w:val="19"/>
          <w:szCs w:val="19"/>
          <w:color w:val="auto"/>
        </w:rPr>
        <w:t>. The Company will cause each of its Subsidiaries to file all</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 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188" w:lineRule="exact"/>
        <w:rPr>
          <w:sz w:val="20"/>
          <w:szCs w:val="20"/>
          <w:color w:val="auto"/>
        </w:rPr>
      </w:pPr>
    </w:p>
    <w:p>
      <w:pPr>
        <w:jc w:val="both"/>
        <w:ind w:left="180" w:right="199" w:firstLine="216"/>
        <w:spacing w:after="0" w:line="248" w:lineRule="exact"/>
        <w:rPr>
          <w:sz w:val="20"/>
          <w:szCs w:val="20"/>
          <w:color w:val="auto"/>
        </w:rPr>
      </w:pPr>
      <w:r>
        <w:rPr>
          <w:rFonts w:ascii="Arial" w:cs="Arial" w:eastAsia="Arial" w:hAnsi="Arial"/>
          <w:sz w:val="21"/>
          <w:szCs w:val="21"/>
          <w:i w:val="1"/>
          <w:iCs w:val="1"/>
          <w:color w:val="auto"/>
        </w:rPr>
        <w:t>Section 9.5. Corporate Existence, Etc</w:t>
      </w:r>
      <w:r>
        <w:rPr>
          <w:rFonts w:ascii="Arial" w:cs="Arial" w:eastAsia="Arial" w:hAnsi="Arial"/>
          <w:sz w:val="21"/>
          <w:szCs w:val="21"/>
          <w:color w:val="auto"/>
        </w:rPr>
        <w:t>. The Company will at all times preserve and keep in full</w:t>
      </w:r>
      <w:r>
        <w:rPr>
          <w:rFonts w:ascii="Arial" w:cs="Arial" w:eastAsia="Arial" w:hAnsi="Arial"/>
          <w:sz w:val="21"/>
          <w:szCs w:val="21"/>
          <w:i w:val="1"/>
          <w:iCs w:val="1"/>
          <w:color w:val="auto"/>
        </w:rPr>
        <w:t xml:space="preserve"> </w:t>
      </w:r>
      <w:r>
        <w:rPr>
          <w:rFonts w:ascii="Arial" w:cs="Arial" w:eastAsia="Arial" w:hAnsi="Arial"/>
          <w:sz w:val="21"/>
          <w:szCs w:val="21"/>
          <w:color w:val="auto"/>
        </w:rPr>
        <w:t>force and effect the corporate existence of each of its Subsidiaries (unless merged into the Company or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229" w:lineRule="exact"/>
        <w:rPr>
          <w:sz w:val="20"/>
          <w:szCs w:val="20"/>
          <w:color w:val="auto"/>
        </w:rPr>
      </w:pPr>
    </w:p>
    <w:p>
      <w:pPr>
        <w:jc w:val="both"/>
        <w:ind w:left="180" w:right="199" w:firstLine="229"/>
        <w:spacing w:after="0" w:line="328" w:lineRule="auto"/>
        <w:rPr>
          <w:sz w:val="20"/>
          <w:szCs w:val="20"/>
          <w:color w:val="auto"/>
        </w:rPr>
      </w:pPr>
      <w:r>
        <w:rPr>
          <w:rFonts w:ascii="Arial" w:cs="Arial" w:eastAsia="Arial" w:hAnsi="Arial"/>
          <w:sz w:val="19"/>
          <w:szCs w:val="19"/>
          <w:i w:val="1"/>
          <w:iCs w:val="1"/>
          <w:color w:val="auto"/>
        </w:rPr>
        <w:t>Section 9.6. Books and Records</w:t>
      </w:r>
      <w:r>
        <w:rPr>
          <w:rFonts w:ascii="Arial" w:cs="Arial" w:eastAsia="Arial" w:hAnsi="Arial"/>
          <w:sz w:val="19"/>
          <w:szCs w:val="19"/>
          <w:color w:val="auto"/>
        </w:rPr>
        <w:t>. The Company will, and will cause each of its Subsidiaries to,</w:t>
      </w:r>
      <w:r>
        <w:rPr>
          <w:rFonts w:ascii="Arial" w:cs="Arial" w:eastAsia="Arial" w:hAnsi="Arial"/>
          <w:sz w:val="19"/>
          <w:szCs w:val="19"/>
          <w:i w:val="1"/>
          <w:iCs w:val="1"/>
          <w:color w:val="auto"/>
        </w:rPr>
        <w:t xml:space="preserve"> </w:t>
      </w:r>
      <w:r>
        <w:rPr>
          <w:rFonts w:ascii="Arial" w:cs="Arial" w:eastAsia="Arial" w:hAnsi="Arial"/>
          <w:sz w:val="19"/>
          <w:szCs w:val="19"/>
          <w:color w:val="auto"/>
        </w:rPr>
        <w:t>maintain proper books of record and account in conformity with GAAP and all applicable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1" w:name="page82"/>
    <w:bookmarkEnd w:id="81"/>
    <w:p>
      <w:pPr>
        <w:jc w:val="both"/>
        <w:ind w:left="180" w:right="199"/>
        <w:spacing w:after="0" w:line="250" w:lineRule="auto"/>
        <w:rPr>
          <w:sz w:val="20"/>
          <w:szCs w:val="20"/>
          <w:color w:val="auto"/>
        </w:rPr>
      </w:pPr>
      <w:r>
        <w:rPr>
          <w:rFonts w:ascii="Arial" w:cs="Arial" w:eastAsia="Arial" w:hAnsi="Arial"/>
          <w:sz w:val="22"/>
          <w:szCs w:val="22"/>
          <w:color w:val="auto"/>
        </w:rPr>
        <w:t>requirements of any Governmental Authority having legal or regulatory jurisdiction over the Company or such Subsidiary.</w:t>
      </w:r>
    </w:p>
    <w:p>
      <w:pPr>
        <w:spacing w:after="0" w:line="242" w:lineRule="exact"/>
        <w:rPr>
          <w:sz w:val="20"/>
          <w:szCs w:val="20"/>
          <w:color w:val="auto"/>
        </w:rPr>
      </w:pPr>
    </w:p>
    <w:p>
      <w:pPr>
        <w:ind w:left="180"/>
        <w:spacing w:after="0"/>
        <w:tabs>
          <w:tab w:leader="none" w:pos="17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NEGATIVE COVENANTS.</w:t>
      </w:r>
    </w:p>
    <w:p>
      <w:pPr>
        <w:spacing w:after="0" w:line="247"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The Company covenants that from the date of this Agreement and thereafter, so long as any of the Bonds are outstanding:</w:t>
      </w:r>
    </w:p>
    <w:p>
      <w:pPr>
        <w:spacing w:after="0" w:line="202" w:lineRule="exact"/>
        <w:rPr>
          <w:sz w:val="20"/>
          <w:szCs w:val="20"/>
          <w:color w:val="auto"/>
        </w:rPr>
      </w:pPr>
    </w:p>
    <w:p>
      <w:pPr>
        <w:jc w:val="both"/>
        <w:ind w:left="180" w:right="199" w:firstLine="310"/>
        <w:spacing w:after="0" w:line="235" w:lineRule="auto"/>
        <w:rPr>
          <w:sz w:val="20"/>
          <w:szCs w:val="20"/>
          <w:color w:val="auto"/>
        </w:rPr>
      </w:pPr>
      <w:r>
        <w:rPr>
          <w:rFonts w:ascii="Arial" w:cs="Arial" w:eastAsia="Arial" w:hAnsi="Arial"/>
          <w:sz w:val="22"/>
          <w:szCs w:val="22"/>
          <w:i w:val="1"/>
          <w:iCs w:val="1"/>
          <w:color w:val="auto"/>
        </w:rPr>
        <w:t>Section 10.1. Transactions with Affiliates</w:t>
      </w:r>
      <w:r>
        <w:rPr>
          <w:rFonts w:ascii="Arial" w:cs="Arial" w:eastAsia="Arial" w:hAnsi="Arial"/>
          <w:sz w:val="22"/>
          <w:szCs w:val="22"/>
          <w:color w:val="auto"/>
        </w:rPr>
        <w:t>. The Company will not and will not permit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228" w:lineRule="exact"/>
        <w:rPr>
          <w:sz w:val="20"/>
          <w:szCs w:val="20"/>
          <w:color w:val="auto"/>
        </w:rPr>
      </w:pPr>
    </w:p>
    <w:p>
      <w:pPr>
        <w:jc w:val="both"/>
        <w:ind w:left="180" w:right="199" w:firstLine="270"/>
        <w:spacing w:after="0"/>
        <w:rPr>
          <w:sz w:val="20"/>
          <w:szCs w:val="20"/>
          <w:color w:val="auto"/>
        </w:rPr>
      </w:pPr>
      <w:r>
        <w:rPr>
          <w:rFonts w:ascii="Arial" w:cs="Arial" w:eastAsia="Arial" w:hAnsi="Arial"/>
          <w:sz w:val="22"/>
          <w:szCs w:val="22"/>
          <w:i w:val="1"/>
          <w:iCs w:val="1"/>
          <w:color w:val="auto"/>
        </w:rPr>
        <w:t>Section 10.2. Merger, Consolidation, Etc</w:t>
      </w:r>
      <w:r>
        <w:rPr>
          <w:rFonts w:ascii="Arial" w:cs="Arial" w:eastAsia="Arial" w:hAnsi="Arial"/>
          <w:sz w:val="22"/>
          <w:szCs w:val="22"/>
          <w:color w:val="auto"/>
        </w:rPr>
        <w:t>. The Company will not consolidate with or merge</w:t>
      </w:r>
      <w:r>
        <w:rPr>
          <w:rFonts w:ascii="Arial" w:cs="Arial" w:eastAsia="Arial" w:hAnsi="Arial"/>
          <w:sz w:val="22"/>
          <w:szCs w:val="22"/>
          <w:i w:val="1"/>
          <w:iCs w:val="1"/>
          <w:color w:val="auto"/>
        </w:rPr>
        <w:t xml:space="preserve"> </w:t>
      </w:r>
      <w:r>
        <w:rPr>
          <w:rFonts w:ascii="Arial" w:cs="Arial" w:eastAsia="Arial" w:hAnsi="Arial"/>
          <w:sz w:val="22"/>
          <w:szCs w:val="22"/>
          <w:color w:val="auto"/>
        </w:rPr>
        <w:t>with any other Person or convey, transfer or lease all or substantially all of its assets in a single transaction or series of transactions to any Person unless:</w:t>
      </w:r>
    </w:p>
    <w:p>
      <w:pPr>
        <w:spacing w:after="0" w:line="227" w:lineRule="exact"/>
        <w:rPr>
          <w:sz w:val="20"/>
          <w:szCs w:val="20"/>
          <w:color w:val="auto"/>
        </w:rPr>
      </w:pPr>
    </w:p>
    <w:p>
      <w:pPr>
        <w:jc w:val="both"/>
        <w:ind w:left="840" w:right="199" w:firstLine="262"/>
        <w:spacing w:after="0" w:line="272" w:lineRule="auto"/>
        <w:tabs>
          <w:tab w:leader="none" w:pos="1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182" w:lineRule="exact"/>
        <w:rPr>
          <w:rFonts w:ascii="Arial" w:cs="Arial" w:eastAsia="Arial" w:hAnsi="Arial"/>
          <w:sz w:val="19"/>
          <w:szCs w:val="19"/>
          <w:color w:val="auto"/>
        </w:rPr>
      </w:pPr>
    </w:p>
    <w:p>
      <w:pPr>
        <w:ind w:left="840" w:right="199" w:firstLine="316"/>
        <w:spacing w:after="0" w:line="250" w:lineRule="auto"/>
        <w:tabs>
          <w:tab w:leader="none" w:pos="17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215" w:lineRule="exact"/>
        <w:rPr>
          <w:sz w:val="20"/>
          <w:szCs w:val="20"/>
          <w:color w:val="auto"/>
        </w:rPr>
      </w:pPr>
    </w:p>
    <w:p>
      <w:pPr>
        <w:jc w:val="both"/>
        <w:ind w:left="180" w:right="199"/>
        <w:spacing w:after="0" w:line="238" w:lineRule="auto"/>
        <w:rPr>
          <w:sz w:val="20"/>
          <w:szCs w:val="20"/>
          <w:color w:val="auto"/>
        </w:rPr>
      </w:pPr>
      <w:r>
        <w:rPr>
          <w:rFonts w:ascii="Arial" w:cs="Arial" w:eastAsia="Arial" w:hAnsi="Arial"/>
          <w:sz w:val="22"/>
          <w:szCs w:val="22"/>
          <w:color w:val="auto"/>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w:t>
      </w:r>
      <w:r>
        <w:rPr>
          <w:rFonts w:ascii="Arial" w:cs="Arial" w:eastAsia="Arial" w:hAnsi="Arial"/>
          <w:sz w:val="22"/>
          <w:szCs w:val="22"/>
          <w:b w:val="1"/>
          <w:bCs w:val="1"/>
          <w:color w:val="auto"/>
        </w:rPr>
        <w:t>Section 10.2</w:t>
      </w:r>
      <w:r>
        <w:rPr>
          <w:rFonts w:ascii="Arial" w:cs="Arial" w:eastAsia="Arial" w:hAnsi="Arial"/>
          <w:sz w:val="22"/>
          <w:szCs w:val="22"/>
          <w:color w:val="auto"/>
        </w:rPr>
        <w:t xml:space="preserve"> from its liability under the Financing Agreements.</w:t>
      </w:r>
    </w:p>
    <w:p>
      <w:pPr>
        <w:spacing w:after="0" w:line="225" w:lineRule="exact"/>
        <w:rPr>
          <w:sz w:val="20"/>
          <w:szCs w:val="20"/>
          <w:color w:val="auto"/>
        </w:rPr>
      </w:pPr>
    </w:p>
    <w:p>
      <w:pPr>
        <w:jc w:val="both"/>
        <w:ind w:left="180" w:right="199" w:firstLine="256"/>
        <w:spacing w:after="0" w:line="287" w:lineRule="auto"/>
        <w:rPr>
          <w:sz w:val="20"/>
          <w:szCs w:val="20"/>
          <w:color w:val="auto"/>
        </w:rPr>
      </w:pPr>
      <w:r>
        <w:rPr>
          <w:rFonts w:ascii="Arial" w:cs="Arial" w:eastAsia="Arial" w:hAnsi="Arial"/>
          <w:sz w:val="19"/>
          <w:szCs w:val="19"/>
          <w:i w:val="1"/>
          <w:iCs w:val="1"/>
          <w:color w:val="auto"/>
        </w:rPr>
        <w:t>Section 10.3. Line of Business</w:t>
      </w:r>
      <w:r>
        <w:rPr>
          <w:rFonts w:ascii="Arial" w:cs="Arial" w:eastAsia="Arial" w:hAnsi="Arial"/>
          <w:sz w:val="19"/>
          <w:szCs w:val="19"/>
          <w:color w:val="auto"/>
        </w:rPr>
        <w:t>. The Company will not engage in any business if, as a result,</w:t>
      </w:r>
      <w:r>
        <w:rPr>
          <w:rFonts w:ascii="Arial" w:cs="Arial" w:eastAsia="Arial" w:hAnsi="Arial"/>
          <w:sz w:val="19"/>
          <w:szCs w:val="19"/>
          <w:i w:val="1"/>
          <w:iCs w:val="1"/>
          <w:color w:val="auto"/>
        </w:rPr>
        <w:t xml:space="preserve"> </w:t>
      </w:r>
      <w:r>
        <w:rPr>
          <w:rFonts w:ascii="Arial" w:cs="Arial" w:eastAsia="Arial" w:hAnsi="Arial"/>
          <w:sz w:val="19"/>
          <w:szCs w:val="19"/>
          <w:color w:val="auto"/>
        </w:rPr>
        <w:t>the general nature of the business in which the Company and its Subsidiaries, taken as a whole, would then be engaged would be substantially changed from the general nature of the business in which the Company and its Subsidiaries, taken as whole, is engaged on the date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2" w:name="page83"/>
    <w:bookmarkEnd w:id="82"/>
    <w:p>
      <w:pPr>
        <w:jc w:val="both"/>
        <w:ind w:left="180" w:right="199" w:firstLine="337"/>
        <w:spacing w:after="0" w:line="246" w:lineRule="auto"/>
        <w:rPr>
          <w:sz w:val="20"/>
          <w:szCs w:val="20"/>
          <w:color w:val="auto"/>
        </w:rPr>
      </w:pPr>
      <w:r>
        <w:rPr>
          <w:rFonts w:ascii="Arial" w:cs="Arial" w:eastAsia="Arial" w:hAnsi="Arial"/>
          <w:sz w:val="21"/>
          <w:szCs w:val="21"/>
          <w:i w:val="1"/>
          <w:iCs w:val="1"/>
          <w:color w:val="auto"/>
        </w:rPr>
        <w:t xml:space="preserve">Section 10.4. Economic Sanctions, Etc.. </w:t>
      </w:r>
      <w:r>
        <w:rPr>
          <w:rFonts w:ascii="Arial" w:cs="Arial" w:eastAsia="Arial" w:hAnsi="Arial"/>
          <w:sz w:val="21"/>
          <w:szCs w:val="21"/>
          <w:color w:val="auto"/>
        </w:rPr>
        <w:t>The Company will not, and will not permit any</w:t>
      </w:r>
      <w:r>
        <w:rPr>
          <w:rFonts w:ascii="Arial" w:cs="Arial" w:eastAsia="Arial" w:hAnsi="Arial"/>
          <w:sz w:val="21"/>
          <w:szCs w:val="21"/>
          <w:i w:val="1"/>
          <w:iCs w:val="1"/>
          <w:color w:val="auto"/>
        </w:rPr>
        <w:t xml:space="preserve"> </w:t>
      </w:r>
      <w:r>
        <w:rPr>
          <w:rFonts w:ascii="Arial" w:cs="Arial" w:eastAsia="Arial" w:hAnsi="Arial"/>
          <w:sz w:val="21"/>
          <w:szCs w:val="21"/>
          <w:color w:val="auto"/>
        </w:rPr>
        <w:t>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47" w:lineRule="exact"/>
        <w:rPr>
          <w:sz w:val="20"/>
          <w:szCs w:val="20"/>
          <w:color w:val="auto"/>
        </w:rPr>
      </w:pPr>
    </w:p>
    <w:p>
      <w:pPr>
        <w:ind w:left="180"/>
        <w:spacing w:after="0"/>
        <w:tabs>
          <w:tab w:leader="none" w:pos="16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PAYMENTS ON BONDS.</w:t>
      </w:r>
    </w:p>
    <w:p>
      <w:pPr>
        <w:spacing w:after="0" w:line="247" w:lineRule="exact"/>
        <w:rPr>
          <w:sz w:val="20"/>
          <w:szCs w:val="20"/>
          <w:color w:val="auto"/>
        </w:rPr>
      </w:pPr>
    </w:p>
    <w:p>
      <w:pPr>
        <w:jc w:val="both"/>
        <w:ind w:left="180" w:right="199" w:firstLine="243"/>
        <w:spacing w:after="0" w:line="244" w:lineRule="exact"/>
        <w:rPr>
          <w:sz w:val="20"/>
          <w:szCs w:val="20"/>
          <w:color w:val="auto"/>
        </w:rPr>
      </w:pPr>
      <w:r>
        <w:rPr>
          <w:rFonts w:ascii="Arial" w:cs="Arial" w:eastAsia="Arial" w:hAnsi="Arial"/>
          <w:sz w:val="19"/>
          <w:szCs w:val="19"/>
          <w:i w:val="1"/>
          <w:iCs w:val="1"/>
          <w:color w:val="auto"/>
        </w:rPr>
        <w:t>Section 11.1. Payment by Wire Transfer</w:t>
      </w:r>
      <w:r>
        <w:rPr>
          <w:rFonts w:ascii="Arial" w:cs="Arial" w:eastAsia="Arial" w:hAnsi="Arial"/>
          <w:sz w:val="19"/>
          <w:szCs w:val="19"/>
          <w:color w:val="auto"/>
        </w:rPr>
        <w:t>. So long as any Purchaser or its nominee shall be the</w:t>
      </w:r>
      <w:r>
        <w:rPr>
          <w:rFonts w:ascii="Arial" w:cs="Arial" w:eastAsia="Arial" w:hAnsi="Arial"/>
          <w:sz w:val="19"/>
          <w:szCs w:val="19"/>
          <w:i w:val="1"/>
          <w:iCs w:val="1"/>
          <w:color w:val="auto"/>
        </w:rPr>
        <w:t xml:space="preserve"> </w:t>
      </w:r>
      <w:r>
        <w:rPr>
          <w:rFonts w:ascii="Arial" w:cs="Arial" w:eastAsia="Arial" w:hAnsi="Arial"/>
          <w:sz w:val="19"/>
          <w:szCs w:val="19"/>
          <w:color w:val="auto"/>
        </w:rPr>
        <w:t>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 xml:space="preserve">Whole Amount or premium, if any, and interest by the method and at the address specified for such purpose below such Purchaser’s name in </w:t>
      </w:r>
      <w:r>
        <w:rPr>
          <w:rFonts w:ascii="Arial" w:cs="Arial" w:eastAsia="Arial" w:hAnsi="Arial"/>
          <w:sz w:val="19"/>
          <w:szCs w:val="19"/>
          <w:i w:val="1"/>
          <w:iCs w:val="1"/>
          <w:color w:val="auto"/>
        </w:rPr>
        <w:t>Schedule A</w:t>
      </w:r>
      <w:r>
        <w:rPr>
          <w:rFonts w:ascii="Arial" w:cs="Arial" w:eastAsia="Arial" w:hAnsi="Arial"/>
          <w:sz w:val="19"/>
          <w:szCs w:val="19"/>
          <w:color w:val="auto"/>
        </w:rPr>
        <w:t xml:space="preserve">,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w:t>
      </w:r>
      <w:r>
        <w:rPr>
          <w:rFonts w:ascii="Arial" w:cs="Arial" w:eastAsia="Arial" w:hAnsi="Arial"/>
          <w:sz w:val="19"/>
          <w:szCs w:val="19"/>
          <w:b w:val="1"/>
          <w:bCs w:val="1"/>
          <w:color w:val="auto"/>
        </w:rPr>
        <w:t>Section 11.1</w:t>
      </w:r>
      <w:r>
        <w:rPr>
          <w:rFonts w:ascii="Arial" w:cs="Arial" w:eastAsia="Arial" w:hAnsi="Arial"/>
          <w:sz w:val="19"/>
          <w:szCs w:val="19"/>
          <w:color w:val="auto"/>
        </w:rPr>
        <w:t xml:space="preserve"> to any Institutional Investor that is the direct or indirect transferee of any Bond purchased by a Purchaser under this Agreement and that has made the same agreement relating to such Bond as the Purchasers have made in this </w:t>
      </w:r>
      <w:r>
        <w:rPr>
          <w:rFonts w:ascii="Arial" w:cs="Arial" w:eastAsia="Arial" w:hAnsi="Arial"/>
          <w:sz w:val="19"/>
          <w:szCs w:val="19"/>
          <w:b w:val="1"/>
          <w:bCs w:val="1"/>
          <w:color w:val="auto"/>
        </w:rPr>
        <w:t>Section 11.1</w:t>
      </w:r>
      <w:r>
        <w:rPr>
          <w:rFonts w:ascii="Arial" w:cs="Arial" w:eastAsia="Arial" w:hAnsi="Arial"/>
          <w:sz w:val="19"/>
          <w:szCs w:val="19"/>
          <w:color w:val="auto"/>
        </w:rPr>
        <w:t>.</w:t>
      </w:r>
    </w:p>
    <w:p>
      <w:pPr>
        <w:spacing w:after="0" w:line="265" w:lineRule="exact"/>
        <w:rPr>
          <w:sz w:val="20"/>
          <w:szCs w:val="20"/>
          <w:color w:val="auto"/>
        </w:rPr>
      </w:pPr>
    </w:p>
    <w:p>
      <w:pPr>
        <w:ind w:left="180"/>
        <w:spacing w:after="0"/>
        <w:tabs>
          <w:tab w:leader="none" w:pos="16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REGISTRATION; EXCHANGE; EXPENSES, ETC.</w:t>
      </w:r>
    </w:p>
    <w:p>
      <w:pPr>
        <w:spacing w:after="0" w:line="233" w:lineRule="exact"/>
        <w:rPr>
          <w:sz w:val="20"/>
          <w:szCs w:val="20"/>
          <w:color w:val="auto"/>
        </w:rPr>
      </w:pPr>
    </w:p>
    <w:p>
      <w:pPr>
        <w:jc w:val="both"/>
        <w:ind w:left="180" w:right="199" w:firstLine="262"/>
        <w:spacing w:after="0"/>
        <w:rPr>
          <w:sz w:val="20"/>
          <w:szCs w:val="20"/>
          <w:color w:val="auto"/>
        </w:rPr>
      </w:pPr>
      <w:r>
        <w:rPr>
          <w:rFonts w:ascii="Arial" w:cs="Arial" w:eastAsia="Arial" w:hAnsi="Arial"/>
          <w:sz w:val="22"/>
          <w:szCs w:val="22"/>
          <w:i w:val="1"/>
          <w:iCs w:val="1"/>
          <w:color w:val="auto"/>
        </w:rPr>
        <w:t xml:space="preserve">Section 12.1. Registration of Bonds. </w:t>
      </w:r>
      <w:r>
        <w:rPr>
          <w:rFonts w:ascii="Arial" w:cs="Arial" w:eastAsia="Arial" w:hAnsi="Arial"/>
          <w:sz w:val="22"/>
          <w:szCs w:val="22"/>
          <w:color w:val="auto"/>
        </w:rPr>
        <w:t>The Company shall cause the Trustee to keep a register</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registration and registration of transfers of Bonds in accordance with Article XIII, Section 9 of the Indenture.</w:t>
      </w:r>
    </w:p>
    <w:p>
      <w:pPr>
        <w:spacing w:after="0" w:line="227" w:lineRule="exact"/>
        <w:rPr>
          <w:sz w:val="20"/>
          <w:szCs w:val="20"/>
          <w:color w:val="auto"/>
        </w:rPr>
      </w:pPr>
    </w:p>
    <w:p>
      <w:pPr>
        <w:jc w:val="both"/>
        <w:ind w:left="180" w:right="199" w:firstLine="243"/>
        <w:spacing w:after="0" w:line="275" w:lineRule="auto"/>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 hereby are</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3" w:name="page84"/>
    <w:bookmarkEnd w:id="83"/>
    <w:p>
      <w:pPr>
        <w:jc w:val="both"/>
        <w:ind w:left="180" w:right="199"/>
        <w:spacing w:after="0" w:line="246" w:lineRule="exact"/>
        <w:rPr>
          <w:sz w:val="20"/>
          <w:szCs w:val="20"/>
          <w:color w:val="auto"/>
        </w:rPr>
      </w:pPr>
      <w:r>
        <w:rPr>
          <w:rFonts w:ascii="Arial" w:cs="Arial" w:eastAsia="Arial" w:hAnsi="Arial"/>
          <w:sz w:val="19"/>
          <w:szCs w:val="19"/>
          <w:color w:val="auto"/>
        </w:rPr>
        <w:t>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19"/>
          <w:szCs w:val="19"/>
          <w:color w:val="auto"/>
        </w:rPr>
        <w:t>‑</w:t>
      </w:r>
      <w:r>
        <w:rPr>
          <w:rFonts w:ascii="Arial" w:cs="Arial" w:eastAsia="Arial" w:hAnsi="Arial"/>
          <w:sz w:val="19"/>
          <w:szCs w:val="19"/>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 costs or expenses if any, of brokers and finders (other than those, if any, retained by a Purchaser or other holder in connection with its purchase of the Bonds).</w:t>
      </w:r>
    </w:p>
    <w:p>
      <w:pPr>
        <w:spacing w:after="0" w:line="206" w:lineRule="exact"/>
        <w:rPr>
          <w:sz w:val="20"/>
          <w:szCs w:val="20"/>
          <w:color w:val="auto"/>
        </w:rPr>
      </w:pPr>
    </w:p>
    <w:p>
      <w:pPr>
        <w:jc w:val="both"/>
        <w:ind w:left="180" w:right="199" w:firstLine="229"/>
        <w:spacing w:after="0" w:line="260" w:lineRule="auto"/>
        <w:rPr>
          <w:sz w:val="20"/>
          <w:szCs w:val="20"/>
          <w:color w:val="auto"/>
        </w:rPr>
      </w:pPr>
      <w:r>
        <w:rPr>
          <w:rFonts w:ascii="Arial" w:cs="Arial" w:eastAsia="Arial" w:hAnsi="Arial"/>
          <w:sz w:val="21"/>
          <w:szCs w:val="21"/>
          <w:i w:val="1"/>
          <w:iCs w:val="1"/>
          <w:color w:val="auto"/>
        </w:rPr>
        <w:t>Section 12.3. Survival</w:t>
      </w:r>
      <w:r>
        <w:rPr>
          <w:rFonts w:ascii="Arial" w:cs="Arial" w:eastAsia="Arial" w:hAnsi="Arial"/>
          <w:sz w:val="21"/>
          <w:szCs w:val="21"/>
          <w:color w:val="auto"/>
        </w:rPr>
        <w:t>. The obligations of the Company under this</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Section 12</w:t>
      </w:r>
      <w:r>
        <w:rPr>
          <w:rFonts w:ascii="Arial" w:cs="Arial" w:eastAsia="Arial" w:hAnsi="Arial"/>
          <w:sz w:val="21"/>
          <w:szCs w:val="21"/>
          <w:i w:val="1"/>
          <w:iCs w:val="1"/>
          <w:color w:val="auto"/>
        </w:rPr>
        <w:t xml:space="preserve"> </w:t>
      </w:r>
      <w:r>
        <w:rPr>
          <w:rFonts w:ascii="Arial" w:cs="Arial" w:eastAsia="Arial" w:hAnsi="Arial"/>
          <w:sz w:val="21"/>
          <w:szCs w:val="21"/>
          <w:color w:val="auto"/>
        </w:rPr>
        <w:t>will survive the</w:t>
      </w:r>
      <w:r>
        <w:rPr>
          <w:rFonts w:ascii="Arial" w:cs="Arial" w:eastAsia="Arial" w:hAnsi="Arial"/>
          <w:sz w:val="21"/>
          <w:szCs w:val="21"/>
          <w:i w:val="1"/>
          <w:iCs w:val="1"/>
          <w:color w:val="auto"/>
        </w:rPr>
        <w:t xml:space="preserve"> </w:t>
      </w:r>
      <w:r>
        <w:rPr>
          <w:rFonts w:ascii="Arial" w:cs="Arial" w:eastAsia="Arial" w:hAnsi="Arial"/>
          <w:sz w:val="21"/>
          <w:szCs w:val="21"/>
          <w:color w:val="auto"/>
        </w:rPr>
        <w:t>payment or transfer of any Bond, the enforcement, amendment or waiver of any provision of any Financing Agreement, and the termination of any Financing Agreement.</w:t>
      </w:r>
    </w:p>
    <w:p>
      <w:pPr>
        <w:spacing w:after="0" w:line="207" w:lineRule="exact"/>
        <w:rPr>
          <w:sz w:val="20"/>
          <w:szCs w:val="20"/>
          <w:color w:val="auto"/>
        </w:rPr>
      </w:pPr>
    </w:p>
    <w:p>
      <w:pPr>
        <w:jc w:val="both"/>
        <w:ind w:left="180" w:right="199" w:firstLine="243"/>
        <w:spacing w:after="0" w:line="275" w:lineRule="auto"/>
        <w:rPr>
          <w:sz w:val="20"/>
          <w:szCs w:val="20"/>
          <w:color w:val="auto"/>
        </w:rPr>
      </w:pPr>
      <w:r>
        <w:rPr>
          <w:rFonts w:ascii="Arial" w:cs="Arial" w:eastAsia="Arial" w:hAnsi="Arial"/>
          <w:sz w:val="19"/>
          <w:szCs w:val="19"/>
          <w:i w:val="1"/>
          <w:iCs w:val="1"/>
          <w:color w:val="auto"/>
        </w:rPr>
        <w:t>Section 12.4. Tax Withholding</w:t>
      </w:r>
      <w:r>
        <w:rPr>
          <w:rFonts w:ascii="Arial" w:cs="Arial" w:eastAsia="Arial" w:hAnsi="Arial"/>
          <w:sz w:val="19"/>
          <w:szCs w:val="19"/>
          <w:color w:val="auto"/>
        </w:rPr>
        <w:t>. Except as otherwise required by applicable law,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Arial" w:cs="Arial" w:eastAsia="Arial" w:hAnsi="Arial"/>
          <w:sz w:val="19"/>
          <w:szCs w:val="19"/>
          <w:i w:val="1"/>
          <w:iCs w:val="1"/>
          <w:color w:val="auto"/>
        </w:rPr>
        <w:t>U.S. Tax Compliance Certificate</w:t>
      </w:r>
      <w:r>
        <w:rPr>
          <w:rFonts w:ascii="Arial" w:cs="Arial" w:eastAsia="Arial" w:hAnsi="Arial"/>
          <w:sz w:val="19"/>
          <w:szCs w:val="19"/>
          <w:color w:val="auto"/>
        </w:rPr>
        <w:t xml:space="preserve">” substantially in the form attached as </w:t>
      </w:r>
      <w:r>
        <w:rPr>
          <w:rFonts w:ascii="Arial" w:cs="Arial" w:eastAsia="Arial" w:hAnsi="Arial"/>
          <w:sz w:val="19"/>
          <w:szCs w:val="19"/>
          <w:i w:val="1"/>
          <w:iCs w:val="1"/>
          <w:color w:val="auto"/>
        </w:rPr>
        <w:t>Exhibit 12.4</w:t>
      </w:r>
      <w:r>
        <w:rPr>
          <w:rFonts w:ascii="Arial" w:cs="Arial" w:eastAsia="Arial" w:hAnsi="Arial"/>
          <w:sz w:val="19"/>
          <w:szCs w:val="19"/>
          <w:color w:val="auto"/>
        </w:rPr>
        <w:t>, in both cases correctly completed and executed.</w:t>
      </w:r>
    </w:p>
    <w:p>
      <w:pPr>
        <w:spacing w:after="0" w:line="225" w:lineRule="exact"/>
        <w:rPr>
          <w:sz w:val="20"/>
          <w:szCs w:val="20"/>
          <w:color w:val="auto"/>
        </w:rPr>
      </w:pPr>
    </w:p>
    <w:p>
      <w:pPr>
        <w:ind w:left="1640" w:right="1139" w:hanging="1528"/>
        <w:spacing w:after="0" w:line="250" w:lineRule="auto"/>
        <w:tabs>
          <w:tab w:leader="none" w:pos="1620" w:val="left"/>
        </w:tabs>
        <w:rPr>
          <w:sz w:val="20"/>
          <w:szCs w:val="20"/>
          <w:color w:val="auto"/>
        </w:rPr>
      </w:pPr>
      <w:r>
        <w:rPr>
          <w:rFonts w:ascii="Arial" w:cs="Arial" w:eastAsia="Arial" w:hAnsi="Arial"/>
          <w:sz w:val="22"/>
          <w:szCs w:val="22"/>
          <w:color w:val="auto"/>
        </w:rPr>
        <w:t>SECTION 13.</w:t>
        <w:tab/>
        <w:t>SURVIVAL OF REPRESENTATIONS AND WARRANTIES; ENTIRE AGREEMENT.</w:t>
      </w:r>
    </w:p>
    <w:p>
      <w:pPr>
        <w:spacing w:after="0" w:line="215" w:lineRule="exact"/>
        <w:rPr>
          <w:sz w:val="20"/>
          <w:szCs w:val="20"/>
          <w:color w:val="auto"/>
        </w:rPr>
      </w:pPr>
    </w:p>
    <w:p>
      <w:pPr>
        <w:jc w:val="both"/>
        <w:ind w:left="180" w:right="199" w:firstLine="648"/>
        <w:spacing w:after="0" w:line="245" w:lineRule="auto"/>
        <w:rPr>
          <w:sz w:val="20"/>
          <w:szCs w:val="20"/>
          <w:color w:val="auto"/>
        </w:rPr>
      </w:pPr>
      <w:r>
        <w:rPr>
          <w:rFonts w:ascii="Arial" w:cs="Arial" w:eastAsia="Arial" w:hAnsi="Arial"/>
          <w:sz w:val="21"/>
          <w:szCs w:val="21"/>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248"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AMENDMENT AND WAIVER.</w:t>
      </w:r>
    </w:p>
    <w:p>
      <w:pPr>
        <w:spacing w:after="0" w:line="247" w:lineRule="exact"/>
        <w:rPr>
          <w:sz w:val="20"/>
          <w:szCs w:val="20"/>
          <w:color w:val="auto"/>
        </w:rPr>
      </w:pPr>
    </w:p>
    <w:p>
      <w:pPr>
        <w:jc w:val="both"/>
        <w:ind w:left="180" w:right="199" w:firstLine="364"/>
        <w:spacing w:after="0" w:line="282" w:lineRule="auto"/>
        <w:rPr>
          <w:sz w:val="20"/>
          <w:szCs w:val="20"/>
          <w:color w:val="auto"/>
        </w:rPr>
      </w:pPr>
      <w:r>
        <w:rPr>
          <w:rFonts w:ascii="Arial" w:cs="Arial" w:eastAsia="Arial" w:hAnsi="Arial"/>
          <w:sz w:val="19"/>
          <w:szCs w:val="19"/>
          <w:i w:val="1"/>
          <w:iCs w:val="1"/>
          <w:color w:val="auto"/>
        </w:rPr>
        <w:t>Section 14.1. Requirements</w:t>
      </w:r>
      <w:r>
        <w:rPr>
          <w:rFonts w:ascii="Arial" w:cs="Arial" w:eastAsia="Arial" w:hAnsi="Arial"/>
          <w:sz w:val="19"/>
          <w:szCs w:val="19"/>
          <w:color w:val="auto"/>
        </w:rPr>
        <w:t>. This Agreement and the Bonds may be amended,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observance of any term hereof or of the Bonds may be waived (either retroactively or prospectively), with (and only with) the written consent of the Company and the Required Holders, except that (i) no amendment or waiver of any of the provisions of </w:t>
      </w:r>
      <w:r>
        <w:rPr>
          <w:rFonts w:ascii="Arial" w:cs="Arial" w:eastAsia="Arial" w:hAnsi="Arial"/>
          <w:sz w:val="19"/>
          <w:szCs w:val="19"/>
          <w:b w:val="1"/>
          <w:bCs w:val="1"/>
          <w:color w:val="auto"/>
        </w:rPr>
        <w:t>Sections 1</w:t>
      </w:r>
      <w:r>
        <w:rPr>
          <w:rFonts w:ascii="Arial" w:cs="Arial" w:eastAsia="Arial" w:hAnsi="Arial"/>
          <w:sz w:val="19"/>
          <w:szCs w:val="19"/>
          <w:color w:val="auto"/>
        </w:rPr>
        <w:t xml:space="preserve">, </w:t>
      </w:r>
      <w:r>
        <w:rPr>
          <w:rFonts w:ascii="Arial" w:cs="Arial" w:eastAsia="Arial" w:hAnsi="Arial"/>
          <w:sz w:val="19"/>
          <w:szCs w:val="19"/>
          <w:b w:val="1"/>
          <w:bCs w:val="1"/>
          <w:color w:val="auto"/>
        </w:rPr>
        <w:t>2</w:t>
      </w:r>
      <w:r>
        <w:rPr>
          <w:rFonts w:ascii="Arial" w:cs="Arial" w:eastAsia="Arial" w:hAnsi="Arial"/>
          <w:sz w:val="19"/>
          <w:szCs w:val="19"/>
          <w:color w:val="auto"/>
        </w:rPr>
        <w:t xml:space="preserve">, </w:t>
      </w:r>
      <w:r>
        <w:rPr>
          <w:rFonts w:ascii="Arial" w:cs="Arial" w:eastAsia="Arial" w:hAnsi="Arial"/>
          <w:sz w:val="19"/>
          <w:szCs w:val="19"/>
          <w:b w:val="1"/>
          <w:bCs w:val="1"/>
          <w:color w:val="auto"/>
        </w:rPr>
        <w:t>3</w:t>
      </w:r>
      <w:r>
        <w:rPr>
          <w:rFonts w:ascii="Arial" w:cs="Arial" w:eastAsia="Arial" w:hAnsi="Arial"/>
          <w:sz w:val="19"/>
          <w:szCs w:val="19"/>
          <w:color w:val="auto"/>
        </w:rPr>
        <w:t xml:space="preserve">, </w:t>
      </w:r>
      <w:r>
        <w:rPr>
          <w:rFonts w:ascii="Arial" w:cs="Arial" w:eastAsia="Arial" w:hAnsi="Arial"/>
          <w:sz w:val="19"/>
          <w:szCs w:val="19"/>
          <w:b w:val="1"/>
          <w:bCs w:val="1"/>
          <w:color w:val="auto"/>
        </w:rPr>
        <w:t>4</w:t>
      </w:r>
      <w:r>
        <w:rPr>
          <w:rFonts w:ascii="Arial" w:cs="Arial" w:eastAsia="Arial" w:hAnsi="Arial"/>
          <w:sz w:val="19"/>
          <w:szCs w:val="19"/>
          <w:color w:val="auto"/>
        </w:rPr>
        <w:t xml:space="preserve">, </w:t>
      </w:r>
      <w:r>
        <w:rPr>
          <w:rFonts w:ascii="Arial" w:cs="Arial" w:eastAsia="Arial" w:hAnsi="Arial"/>
          <w:sz w:val="19"/>
          <w:szCs w:val="19"/>
          <w:b w:val="1"/>
          <w:bCs w:val="1"/>
          <w:color w:val="auto"/>
        </w:rPr>
        <w:t>5</w:t>
      </w:r>
      <w:r>
        <w:rPr>
          <w:rFonts w:ascii="Arial" w:cs="Arial" w:eastAsia="Arial" w:hAnsi="Arial"/>
          <w:sz w:val="19"/>
          <w:szCs w:val="19"/>
          <w:color w:val="auto"/>
        </w:rPr>
        <w:t xml:space="preserve">, </w:t>
      </w:r>
      <w:r>
        <w:rPr>
          <w:rFonts w:ascii="Arial" w:cs="Arial" w:eastAsia="Arial" w:hAnsi="Arial"/>
          <w:sz w:val="19"/>
          <w:szCs w:val="19"/>
          <w:b w:val="1"/>
          <w:bCs w:val="1"/>
          <w:color w:val="auto"/>
        </w:rPr>
        <w:t>6</w:t>
      </w:r>
      <w:r>
        <w:rPr>
          <w:rFonts w:ascii="Arial" w:cs="Arial" w:eastAsia="Arial" w:hAnsi="Arial"/>
          <w:sz w:val="19"/>
          <w:szCs w:val="19"/>
          <w:color w:val="auto"/>
        </w:rPr>
        <w:t xml:space="preserve">, or </w:t>
      </w:r>
      <w:r>
        <w:rPr>
          <w:rFonts w:ascii="Arial" w:cs="Arial" w:eastAsia="Arial" w:hAnsi="Arial"/>
          <w:sz w:val="19"/>
          <w:szCs w:val="19"/>
          <w:b w:val="1"/>
          <w:bCs w:val="1"/>
          <w:color w:val="auto"/>
        </w:rPr>
        <w:t>19</w:t>
      </w:r>
      <w:r>
        <w:rPr>
          <w:rFonts w:ascii="Arial" w:cs="Arial" w:eastAsia="Arial" w:hAnsi="Arial"/>
          <w:sz w:val="19"/>
          <w:szCs w:val="19"/>
          <w:color w:val="auto"/>
        </w:rPr>
        <w:t xml:space="preserve"> hereof, or any defined term, will be effective as to any holder of Bonds unless consented to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4" w:name="page85"/>
    <w:bookmarkEnd w:id="84"/>
    <w:p>
      <w:pPr>
        <w:jc w:val="both"/>
        <w:ind w:left="180" w:right="199"/>
        <w:spacing w:after="0" w:line="234" w:lineRule="auto"/>
        <w:rPr>
          <w:sz w:val="20"/>
          <w:szCs w:val="20"/>
          <w:color w:val="auto"/>
        </w:rPr>
      </w:pPr>
      <w:r>
        <w:rPr>
          <w:rFonts w:ascii="Arial" w:cs="Arial" w:eastAsia="Arial" w:hAnsi="Arial"/>
          <w:sz w:val="22"/>
          <w:szCs w:val="22"/>
          <w:color w:val="auto"/>
        </w:rPr>
        <w:t xml:space="preserve">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 principal amount of the Bonds the holders of which are required to consent to any such amendment or waiver, or (C) amend any of </w:t>
      </w:r>
      <w:r>
        <w:rPr>
          <w:rFonts w:ascii="Arial" w:cs="Arial" w:eastAsia="Arial" w:hAnsi="Arial"/>
          <w:sz w:val="22"/>
          <w:szCs w:val="22"/>
          <w:b w:val="1"/>
          <w:bCs w:val="1"/>
          <w:color w:val="auto"/>
        </w:rPr>
        <w:t>Sections 8</w:t>
      </w:r>
      <w:r>
        <w:rPr>
          <w:rFonts w:ascii="Arial" w:cs="Arial" w:eastAsia="Arial" w:hAnsi="Arial"/>
          <w:sz w:val="22"/>
          <w:szCs w:val="22"/>
          <w:color w:val="auto"/>
        </w:rPr>
        <w:t>,</w:t>
      </w:r>
      <w:r>
        <w:rPr>
          <w:rFonts w:ascii="Arial" w:cs="Arial" w:eastAsia="Arial" w:hAnsi="Arial"/>
          <w:sz w:val="22"/>
          <w:szCs w:val="22"/>
          <w:b w:val="1"/>
          <w:bCs w:val="1"/>
          <w:color w:val="auto"/>
        </w:rPr>
        <w:t xml:space="preserve"> 14</w:t>
      </w:r>
      <w:r>
        <w:rPr>
          <w:rFonts w:ascii="Arial" w:cs="Arial" w:eastAsia="Arial" w:hAnsi="Arial"/>
          <w:sz w:val="22"/>
          <w:szCs w:val="22"/>
          <w:color w:val="auto"/>
        </w:rPr>
        <w:t>, or</w:t>
      </w:r>
      <w:r>
        <w:rPr>
          <w:rFonts w:ascii="Arial" w:cs="Arial" w:eastAsia="Arial" w:hAnsi="Arial"/>
          <w:sz w:val="22"/>
          <w:szCs w:val="22"/>
          <w:b w:val="1"/>
          <w:bCs w:val="1"/>
          <w:color w:val="auto"/>
        </w:rPr>
        <w:t xml:space="preserve"> 18</w:t>
      </w:r>
      <w:r>
        <w:rPr>
          <w:rFonts w:ascii="Arial" w:cs="Arial" w:eastAsia="Arial" w:hAnsi="Arial"/>
          <w:sz w:val="22"/>
          <w:szCs w:val="22"/>
          <w:color w:val="auto"/>
        </w:rPr>
        <w:t>.</w:t>
      </w:r>
    </w:p>
    <w:p>
      <w:pPr>
        <w:spacing w:after="0" w:line="214"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r>
        <w:rPr>
          <w:rFonts w:ascii="Arial" w:cs="Arial" w:eastAsia="Arial" w:hAnsi="Arial"/>
          <w:sz w:val="19"/>
          <w:szCs w:val="19"/>
          <w:color w:val="auto"/>
        </w:rPr>
        <w:t>.</w:t>
      </w:r>
    </w:p>
    <w:p>
      <w:pPr>
        <w:spacing w:after="0" w:line="247" w:lineRule="exact"/>
        <w:rPr>
          <w:sz w:val="20"/>
          <w:szCs w:val="20"/>
          <w:color w:val="auto"/>
        </w:rPr>
      </w:pPr>
    </w:p>
    <w:p>
      <w:pPr>
        <w:jc w:val="both"/>
        <w:ind w:left="180" w:right="199" w:firstLine="247"/>
        <w:spacing w:after="0" w:line="275" w:lineRule="auto"/>
        <w:tabs>
          <w:tab w:leader="none" w:pos="906" w:val="left"/>
        </w:tabs>
        <w:numPr>
          <w:ilvl w:val="1"/>
          <w:numId w:val="41"/>
        </w:numPr>
        <w:rPr>
          <w:rFonts w:ascii="Arial" w:cs="Arial" w:eastAsia="Arial" w:hAnsi="Arial"/>
          <w:sz w:val="19"/>
          <w:szCs w:val="19"/>
          <w:color w:val="auto"/>
        </w:rPr>
      </w:pPr>
      <w:r>
        <w:rPr>
          <w:rFonts w:ascii="Arial" w:cs="Arial" w:eastAsia="Arial" w:hAnsi="Arial"/>
          <w:sz w:val="19"/>
          <w:szCs w:val="19"/>
          <w:i w:val="1"/>
          <w:iCs w:val="1"/>
          <w:color w:val="auto"/>
        </w:rPr>
        <w:t xml:space="preserve">Solicitation. </w:t>
      </w:r>
      <w:r>
        <w:rPr>
          <w:rFonts w:ascii="Arial" w:cs="Arial" w:eastAsia="Arial" w:hAnsi="Arial"/>
          <w:sz w:val="19"/>
          <w:szCs w:val="19"/>
          <w:color w:val="auto"/>
        </w:rPr>
        <w:t>The Company will provide each holder of Bonds (irrespective of the amount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w:t>
      </w:r>
      <w:r>
        <w:rPr>
          <w:rFonts w:ascii="Arial" w:cs="Arial" w:eastAsia="Arial" w:hAnsi="Arial"/>
          <w:sz w:val="19"/>
          <w:szCs w:val="19"/>
          <w:b w:val="1"/>
          <w:bCs w:val="1"/>
          <w:color w:val="auto"/>
        </w:rPr>
        <w:t>Section 14</w:t>
      </w:r>
      <w:r>
        <w:rPr>
          <w:rFonts w:ascii="Arial" w:cs="Arial" w:eastAsia="Arial" w:hAnsi="Arial"/>
          <w:sz w:val="19"/>
          <w:szCs w:val="19"/>
          <w:color w:val="auto"/>
        </w:rPr>
        <w:t xml:space="preserve"> to each Purchaser and each holder of outstanding Bonds promptly following the date on which it is executed and delivered by, or receives the consent or approval of, the requisite holders of Bonds.</w:t>
      </w:r>
    </w:p>
    <w:p>
      <w:pPr>
        <w:spacing w:after="0" w:line="197" w:lineRule="exact"/>
        <w:rPr>
          <w:rFonts w:ascii="Arial" w:cs="Arial" w:eastAsia="Arial" w:hAnsi="Arial"/>
          <w:sz w:val="19"/>
          <w:szCs w:val="19"/>
          <w:color w:val="auto"/>
        </w:rPr>
      </w:pPr>
    </w:p>
    <w:p>
      <w:pPr>
        <w:jc w:val="both"/>
        <w:ind w:left="180" w:right="199" w:firstLine="368"/>
        <w:spacing w:after="0" w:line="275" w:lineRule="auto"/>
        <w:tabs>
          <w:tab w:leader="none" w:pos="1161" w:val="left"/>
        </w:tabs>
        <w:numPr>
          <w:ilvl w:val="2"/>
          <w:numId w:val="41"/>
        </w:numPr>
        <w:rPr>
          <w:rFonts w:ascii="Arial" w:cs="Arial" w:eastAsia="Arial" w:hAnsi="Arial"/>
          <w:sz w:val="19"/>
          <w:szCs w:val="19"/>
          <w:color w:val="auto"/>
        </w:rPr>
      </w:pPr>
      <w:r>
        <w:rPr>
          <w:rFonts w:ascii="Arial" w:cs="Arial" w:eastAsia="Arial" w:hAnsi="Arial"/>
          <w:sz w:val="19"/>
          <w:szCs w:val="19"/>
          <w:i w:val="1"/>
          <w:iCs w:val="1"/>
          <w:color w:val="auto"/>
        </w:rPr>
        <w:t xml:space="preserve">Payment. </w:t>
      </w:r>
      <w:r>
        <w:rPr>
          <w:rFonts w:ascii="Arial" w:cs="Arial" w:eastAsia="Arial" w:hAnsi="Arial"/>
          <w:sz w:val="19"/>
          <w:szCs w:val="19"/>
          <w:color w:val="auto"/>
        </w:rPr>
        <w:t>The Company will not directly or indirectly pay or cause to be paid any</w:t>
      </w:r>
      <w:r>
        <w:rPr>
          <w:rFonts w:ascii="Arial" w:cs="Arial" w:eastAsia="Arial" w:hAnsi="Arial"/>
          <w:sz w:val="19"/>
          <w:szCs w:val="19"/>
          <w:i w:val="1"/>
          <w:iCs w:val="1"/>
          <w:color w:val="auto"/>
        </w:rPr>
        <w:t xml:space="preserve"> </w:t>
      </w:r>
      <w:r>
        <w:rPr>
          <w:rFonts w:ascii="Arial" w:cs="Arial" w:eastAsia="Arial" w:hAnsi="Arial"/>
          <w:sz w:val="19"/>
          <w:szCs w:val="19"/>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178" w:lineRule="exact"/>
        <w:rPr>
          <w:rFonts w:ascii="Arial" w:cs="Arial" w:eastAsia="Arial" w:hAnsi="Arial"/>
          <w:sz w:val="19"/>
          <w:szCs w:val="19"/>
          <w:color w:val="auto"/>
        </w:rPr>
      </w:pPr>
    </w:p>
    <w:p>
      <w:pPr>
        <w:jc w:val="both"/>
        <w:ind w:left="180" w:right="199" w:firstLine="233"/>
        <w:spacing w:after="0" w:line="274" w:lineRule="auto"/>
        <w:tabs>
          <w:tab w:leader="none" w:pos="879"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Consent in Contemplation of Transfer</w:t>
      </w:r>
      <w:r>
        <w:rPr>
          <w:rFonts w:ascii="Arial" w:cs="Arial" w:eastAsia="Arial" w:hAnsi="Arial"/>
          <w:sz w:val="19"/>
          <w:szCs w:val="19"/>
          <w:color w:val="auto"/>
        </w:rPr>
        <w:t>. Any consent made pursuant to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14</w:t>
      </w:r>
      <w:r>
        <w:rPr>
          <w:rFonts w:ascii="Arial" w:cs="Arial" w:eastAsia="Arial" w:hAnsi="Arial"/>
          <w:sz w:val="19"/>
          <w:szCs w:val="19"/>
          <w:i w:val="1"/>
          <w:iCs w:val="1"/>
          <w:color w:val="auto"/>
        </w:rPr>
        <w:t xml:space="preserve"> </w:t>
      </w:r>
      <w:r>
        <w:rPr>
          <w:rFonts w:ascii="Arial" w:cs="Arial" w:eastAsia="Arial" w:hAnsi="Arial"/>
          <w:sz w:val="19"/>
          <w:szCs w:val="19"/>
          <w:color w:val="auto"/>
        </w:rPr>
        <w:t>by a</w:t>
      </w:r>
      <w:r>
        <w:rPr>
          <w:rFonts w:ascii="Arial" w:cs="Arial" w:eastAsia="Arial" w:hAnsi="Arial"/>
          <w:sz w:val="19"/>
          <w:szCs w:val="19"/>
          <w:i w:val="1"/>
          <w:iCs w:val="1"/>
          <w:color w:val="auto"/>
        </w:rPr>
        <w:t xml:space="preserve"> </w:t>
      </w:r>
      <w:r>
        <w:rPr>
          <w:rFonts w:ascii="Arial" w:cs="Arial" w:eastAsia="Arial" w:hAnsi="Arial"/>
          <w:sz w:val="19"/>
          <w:szCs w:val="19"/>
          <w:color w:val="auto"/>
        </w:rPr>
        <w:t>holder of Bonds that has transferred or 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198" w:lineRule="exact"/>
        <w:rPr>
          <w:sz w:val="20"/>
          <w:szCs w:val="20"/>
          <w:color w:val="auto"/>
        </w:rPr>
      </w:pPr>
    </w:p>
    <w:p>
      <w:pPr>
        <w:jc w:val="both"/>
        <w:ind w:left="180" w:right="199" w:firstLine="243"/>
        <w:spacing w:after="0" w:line="279" w:lineRule="auto"/>
        <w:rPr>
          <w:sz w:val="20"/>
          <w:szCs w:val="20"/>
          <w:color w:val="auto"/>
        </w:rPr>
      </w:pPr>
      <w:r>
        <w:rPr>
          <w:rFonts w:ascii="Arial" w:cs="Arial" w:eastAsia="Arial" w:hAnsi="Arial"/>
          <w:sz w:val="19"/>
          <w:szCs w:val="19"/>
          <w:i w:val="1"/>
          <w:iCs w:val="1"/>
          <w:color w:val="auto"/>
        </w:rPr>
        <w:t>Section 14.3. Binding Effect, Etc</w:t>
      </w:r>
      <w:r>
        <w:rPr>
          <w:rFonts w:ascii="Arial" w:cs="Arial" w:eastAsia="Arial" w:hAnsi="Arial"/>
          <w:sz w:val="19"/>
          <w:szCs w:val="19"/>
          <w:color w:val="auto"/>
        </w:rPr>
        <w:t>. Any amendment or waiver consented to as provided in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 xml:space="preserve">Section 14 </w:t>
      </w:r>
      <w:r>
        <w:rPr>
          <w:rFonts w:ascii="Arial" w:cs="Arial" w:eastAsia="Arial" w:hAnsi="Arial"/>
          <w:sz w:val="19"/>
          <w:szCs w:val="19"/>
          <w:color w:val="auto"/>
        </w:rPr>
        <w:t>applies equally to all holders of Bonds and is binding upon them and upon each future</w:t>
      </w:r>
      <w:r>
        <w:rPr>
          <w:rFonts w:ascii="Arial" w:cs="Arial" w:eastAsia="Arial" w:hAnsi="Arial"/>
          <w:sz w:val="19"/>
          <w:szCs w:val="19"/>
          <w:b w:val="1"/>
          <w:bCs w:val="1"/>
          <w:color w:val="auto"/>
        </w:rPr>
        <w:t xml:space="preserve"> </w:t>
      </w:r>
      <w:r>
        <w:rPr>
          <w:rFonts w:ascii="Arial" w:cs="Arial" w:eastAsia="Arial" w:hAnsi="Arial"/>
          <w:sz w:val="19"/>
          <w:szCs w:val="19"/>
          <w:color w:val="auto"/>
        </w:rPr>
        <w:t>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5" w:name="page86"/>
    <w:bookmarkEnd w:id="85"/>
    <w:p>
      <w:pPr>
        <w:jc w:val="both"/>
        <w:ind w:left="180" w:right="199"/>
        <w:spacing w:after="0" w:line="250" w:lineRule="auto"/>
        <w:rPr>
          <w:sz w:val="20"/>
          <w:szCs w:val="20"/>
          <w:color w:val="auto"/>
        </w:rPr>
      </w:pPr>
      <w:r>
        <w:rPr>
          <w:rFonts w:ascii="Arial" w:cs="Arial" w:eastAsia="Arial" w:hAnsi="Arial"/>
          <w:sz w:val="22"/>
          <w:szCs w:val="22"/>
          <w:color w:val="auto"/>
        </w:rPr>
        <w:t>of any Bond nor any delay in exercising any rights hereunder or under any Bond shall operate as a waiver of any rights of any holder of such Bond.</w:t>
      </w:r>
    </w:p>
    <w:p>
      <w:pPr>
        <w:spacing w:after="0" w:line="202" w:lineRule="exact"/>
        <w:rPr>
          <w:sz w:val="20"/>
          <w:szCs w:val="20"/>
          <w:color w:val="auto"/>
        </w:rPr>
      </w:pPr>
    </w:p>
    <w:p>
      <w:pPr>
        <w:jc w:val="both"/>
        <w:ind w:left="180" w:right="199" w:firstLine="216"/>
        <w:spacing w:after="0" w:line="246" w:lineRule="auto"/>
        <w:rPr>
          <w:sz w:val="20"/>
          <w:szCs w:val="20"/>
          <w:color w:val="auto"/>
        </w:rPr>
      </w:pPr>
      <w:r>
        <w:rPr>
          <w:rFonts w:ascii="Arial" w:cs="Arial" w:eastAsia="Arial" w:hAnsi="Arial"/>
          <w:sz w:val="21"/>
          <w:szCs w:val="21"/>
          <w:i w:val="1"/>
          <w:iCs w:val="1"/>
          <w:color w:val="auto"/>
        </w:rPr>
        <w:t>Section 14.4. Bonds Held by Company, Etc</w:t>
      </w:r>
      <w:r>
        <w:rPr>
          <w:rFonts w:ascii="Arial" w:cs="Arial" w:eastAsia="Arial" w:hAnsi="Arial"/>
          <w:sz w:val="21"/>
          <w:szCs w:val="21"/>
          <w:color w:val="auto"/>
        </w:rPr>
        <w:t>. Solely for the purpose of determining whether the</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265"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color w:val="auto"/>
        </w:rPr>
        <w:t>NOTICES.</w:t>
      </w:r>
    </w:p>
    <w:p>
      <w:pPr>
        <w:spacing w:after="0" w:line="233" w:lineRule="exact"/>
        <w:rPr>
          <w:sz w:val="20"/>
          <w:szCs w:val="20"/>
          <w:color w:val="auto"/>
        </w:rPr>
      </w:pPr>
    </w:p>
    <w:p>
      <w:pPr>
        <w:jc w:val="both"/>
        <w:ind w:left="180" w:right="199" w:firstLine="648"/>
        <w:spacing w:after="0" w:line="236" w:lineRule="auto"/>
        <w:rPr>
          <w:sz w:val="20"/>
          <w:szCs w:val="20"/>
          <w:color w:val="auto"/>
        </w:rPr>
      </w:pPr>
      <w:r>
        <w:rPr>
          <w:rFonts w:ascii="Arial" w:cs="Arial" w:eastAsia="Arial" w:hAnsi="Arial"/>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28" w:lineRule="exact"/>
        <w:rPr>
          <w:sz w:val="20"/>
          <w:szCs w:val="20"/>
          <w:color w:val="auto"/>
        </w:rPr>
      </w:pPr>
    </w:p>
    <w:p>
      <w:pPr>
        <w:jc w:val="both"/>
        <w:ind w:left="840" w:right="199" w:firstLine="302"/>
        <w:spacing w:after="0" w:line="257" w:lineRule="auto"/>
        <w:tabs>
          <w:tab w:leader="none" w:pos="1665"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if to any Purchaser or its nominee, to such Purchaser or nominee at the address specified for such communications in </w:t>
      </w:r>
      <w:r>
        <w:rPr>
          <w:rFonts w:ascii="Arial" w:cs="Arial" w:eastAsia="Arial" w:hAnsi="Arial"/>
          <w:sz w:val="21"/>
          <w:szCs w:val="21"/>
          <w:i w:val="1"/>
          <w:iCs w:val="1"/>
          <w:color w:val="auto"/>
        </w:rPr>
        <w:t>Schedule A</w:t>
      </w:r>
      <w:r>
        <w:rPr>
          <w:rFonts w:ascii="Arial" w:cs="Arial" w:eastAsia="Arial" w:hAnsi="Arial"/>
          <w:sz w:val="21"/>
          <w:szCs w:val="21"/>
          <w:color w:val="auto"/>
        </w:rPr>
        <w:t>, or at such other address as such Purchaser or nominee shall have specified to the Company in writing,</w:t>
      </w:r>
    </w:p>
    <w:p>
      <w:pPr>
        <w:spacing w:after="0" w:line="210" w:lineRule="exact"/>
        <w:rPr>
          <w:sz w:val="20"/>
          <w:szCs w:val="20"/>
          <w:color w:val="auto"/>
        </w:rPr>
      </w:pPr>
    </w:p>
    <w:p>
      <w:pPr>
        <w:ind w:left="840" w:right="199" w:firstLine="275"/>
        <w:spacing w:after="0" w:line="250" w:lineRule="auto"/>
        <w:tabs>
          <w:tab w:leader="none" w:pos="16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202" w:lineRule="exact"/>
        <w:rPr>
          <w:sz w:val="20"/>
          <w:szCs w:val="20"/>
          <w:color w:val="auto"/>
        </w:rPr>
      </w:pPr>
    </w:p>
    <w:p>
      <w:pPr>
        <w:jc w:val="both"/>
        <w:ind w:left="840" w:right="199" w:firstLine="235"/>
        <w:spacing w:after="0" w:line="238" w:lineRule="auto"/>
        <w:tabs>
          <w:tab w:leader="none" w:pos="165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Notices under this </w:t>
      </w:r>
      <w:r>
        <w:rPr>
          <w:rFonts w:ascii="Arial" w:cs="Arial" w:eastAsia="Arial" w:hAnsi="Arial"/>
          <w:sz w:val="22"/>
          <w:szCs w:val="22"/>
          <w:b w:val="1"/>
          <w:bCs w:val="1"/>
          <w:color w:val="auto"/>
        </w:rPr>
        <w:t>Section 15</w:t>
      </w:r>
      <w:r>
        <w:rPr>
          <w:rFonts w:ascii="Arial" w:cs="Arial" w:eastAsia="Arial" w:hAnsi="Arial"/>
          <w:sz w:val="22"/>
          <w:szCs w:val="22"/>
          <w:color w:val="auto"/>
        </w:rPr>
        <w:t xml:space="preserve"> will be deemed given only when actually received.</w:t>
      </w:r>
    </w:p>
    <w:p>
      <w:pPr>
        <w:spacing w:after="0" w:line="28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color w:val="auto"/>
        </w:rPr>
        <w:t>INDEMNIFICATION.</w:t>
      </w:r>
    </w:p>
    <w:p>
      <w:pPr>
        <w:spacing w:after="0" w:line="247" w:lineRule="exact"/>
        <w:rPr>
          <w:sz w:val="20"/>
          <w:szCs w:val="20"/>
          <w:color w:val="auto"/>
        </w:rPr>
      </w:pPr>
    </w:p>
    <w:p>
      <w:pPr>
        <w:jc w:val="both"/>
        <w:ind w:left="180" w:right="199" w:firstLine="648"/>
        <w:spacing w:after="0" w:line="279" w:lineRule="auto"/>
        <w:rPr>
          <w:sz w:val="20"/>
          <w:szCs w:val="20"/>
          <w:color w:val="auto"/>
        </w:rPr>
      </w:pPr>
      <w:r>
        <w:rPr>
          <w:rFonts w:ascii="Arial" w:cs="Arial" w:eastAsia="Arial" w:hAnsi="Arial"/>
          <w:sz w:val="19"/>
          <w:szCs w:val="19"/>
          <w:color w:val="auto"/>
        </w:rPr>
        <w:t xml:space="preserve">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w:t>
      </w:r>
      <w:r>
        <w:rPr>
          <w:rFonts w:ascii="Arial" w:cs="Arial" w:eastAsia="Arial" w:hAnsi="Arial"/>
          <w:sz w:val="19"/>
          <w:szCs w:val="19"/>
          <w:b w:val="1"/>
          <w:bCs w:val="1"/>
          <w:color w:val="auto"/>
        </w:rPr>
        <w:t xml:space="preserve">Section 16 </w:t>
      </w:r>
      <w:r>
        <w:rPr>
          <w:rFonts w:ascii="Arial" w:cs="Arial" w:eastAsia="Arial" w:hAnsi="Arial"/>
          <w:sz w:val="19"/>
          <w:szCs w:val="19"/>
          <w:color w:val="auto"/>
        </w:rPr>
        <w:t>shall survive the execution and delivery of this Agreement, the delivery of the Bonds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Purchasers and the consummation of the transactions contemplated herein.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6" w:name="page87"/>
    <w:bookmarkEnd w:id="86"/>
    <w:p>
      <w:pPr>
        <w:ind w:left="180"/>
        <w:spacing w:after="0"/>
        <w:tabs>
          <w:tab w:leader="none" w:pos="162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color w:val="auto"/>
        </w:rPr>
        <w:t>REPRODUCTION OF DOCUMENTS.</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1"/>
          <w:szCs w:val="21"/>
          <w:color w:val="auto"/>
        </w:rPr>
        <w:t>This  Agreement  and  all  documents  relating  thereto,  including,  without  limitation,</w:t>
      </w:r>
    </w:p>
    <w:p>
      <w:pPr>
        <w:spacing w:after="0" w:line="20" w:lineRule="exact"/>
        <w:rPr>
          <w:sz w:val="20"/>
          <w:szCs w:val="20"/>
          <w:color w:val="auto"/>
        </w:rPr>
      </w:pPr>
    </w:p>
    <w:p>
      <w:pPr>
        <w:jc w:val="both"/>
        <w:ind w:left="180" w:right="199" w:firstLine="4"/>
        <w:spacing w:after="0" w:line="270" w:lineRule="auto"/>
        <w:tabs>
          <w:tab w:leader="none" w:pos="481"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Arial" w:cs="Arial" w:eastAsia="Arial" w:hAnsi="Arial"/>
          <w:sz w:val="19"/>
          <w:szCs w:val="19"/>
          <w:b w:val="1"/>
          <w:bCs w:val="1"/>
          <w:color w:val="auto"/>
        </w:rPr>
        <w:t>Section 17</w:t>
      </w:r>
      <w:r>
        <w:rPr>
          <w:rFonts w:ascii="Arial" w:cs="Arial" w:eastAsia="Arial" w:hAnsi="Arial"/>
          <w:sz w:val="19"/>
          <w:szCs w:val="19"/>
          <w:color w:val="auto"/>
        </w:rPr>
        <w:t xml:space="preserve"> shall not prohibit the Company or any other holder of Bonds from contesting any such reproduction to the same extent that it could contest the original, or from introducing evidence to demonstrate the inaccuracy of any such reproduction.</w:t>
      </w:r>
    </w:p>
    <w:p>
      <w:pPr>
        <w:spacing w:after="0" w:line="200" w:lineRule="exact"/>
        <w:rPr>
          <w:sz w:val="20"/>
          <w:szCs w:val="20"/>
          <w:color w:val="auto"/>
        </w:rPr>
      </w:pPr>
    </w:p>
    <w:p>
      <w:pPr>
        <w:spacing w:after="0" w:line="275"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1"/>
          <w:szCs w:val="21"/>
          <w:color w:val="auto"/>
        </w:rPr>
        <w:t>CONFIDENTIAL INFORMATION.</w:t>
      </w:r>
    </w:p>
    <w:p>
      <w:pPr>
        <w:spacing w:after="0" w:line="241" w:lineRule="exact"/>
        <w:rPr>
          <w:sz w:val="20"/>
          <w:szCs w:val="20"/>
          <w:color w:val="auto"/>
        </w:rPr>
      </w:pPr>
    </w:p>
    <w:p>
      <w:pPr>
        <w:jc w:val="both"/>
        <w:ind w:left="180" w:right="199" w:firstLine="648"/>
        <w:spacing w:after="0" w:line="269"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Arial" w:cs="Arial" w:eastAsia="Arial" w:hAnsi="Arial"/>
          <w:sz w:val="19"/>
          <w:szCs w:val="19"/>
          <w:b w:val="1"/>
          <w:bCs w:val="1"/>
          <w:color w:val="auto"/>
        </w:rPr>
        <w:t>Section 7.1</w:t>
      </w:r>
      <w:r>
        <w:rPr>
          <w:rFonts w:ascii="Arial" w:cs="Arial" w:eastAsia="Arial" w:hAnsi="Arial"/>
          <w:sz w:val="19"/>
          <w:szCs w:val="19"/>
          <w:color w:val="auto"/>
        </w:rPr>
        <w:t xml:space="preserve">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(v) any Person from which it offers to purchase any security of the Company (if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87" w:name="page88"/>
    <w:bookmarkEnd w:id="87"/>
    <w:p>
      <w:pPr>
        <w:jc w:val="both"/>
        <w:ind w:left="180" w:right="199"/>
        <w:spacing w:after="0" w:line="272" w:lineRule="auto"/>
        <w:rPr>
          <w:sz w:val="20"/>
          <w:szCs w:val="20"/>
          <w:color w:val="auto"/>
        </w:rPr>
      </w:pPr>
      <w:r>
        <w:rPr>
          <w:rFonts w:ascii="Arial" w:cs="Arial" w:eastAsia="Arial" w:hAnsi="Arial"/>
          <w:sz w:val="19"/>
          <w:szCs w:val="19"/>
          <w:color w:val="auto"/>
        </w:rPr>
        <w:t xml:space="preserve">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w:t>
      </w:r>
    </w:p>
    <w:p>
      <w:pPr>
        <w:spacing w:after="0" w:line="188"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21"/>
          <w:szCs w:val="21"/>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shall not be amended thereby and, as between such Purchaser or such holder and the Company, this </w:t>
      </w:r>
      <w:r>
        <w:rPr>
          <w:rFonts w:ascii="Arial" w:cs="Arial" w:eastAsia="Arial" w:hAnsi="Arial"/>
          <w:sz w:val="21"/>
          <w:szCs w:val="21"/>
          <w:b w:val="1"/>
          <w:bCs w:val="1"/>
          <w:color w:val="auto"/>
        </w:rPr>
        <w:t>Section 18</w:t>
      </w:r>
      <w:r>
        <w:rPr>
          <w:rFonts w:ascii="Arial" w:cs="Arial" w:eastAsia="Arial" w:hAnsi="Arial"/>
          <w:sz w:val="21"/>
          <w:szCs w:val="21"/>
          <w:color w:val="auto"/>
        </w:rPr>
        <w:t xml:space="preserve"> shall supersede any such other confidentiality undertaking.</w:t>
      </w:r>
    </w:p>
    <w:p>
      <w:pPr>
        <w:spacing w:after="0" w:line="265" w:lineRule="exact"/>
        <w:rPr>
          <w:sz w:val="20"/>
          <w:szCs w:val="20"/>
          <w:color w:val="auto"/>
        </w:rPr>
      </w:pPr>
    </w:p>
    <w:p>
      <w:pPr>
        <w:ind w:left="180"/>
        <w:spacing w:after="0"/>
        <w:tabs>
          <w:tab w:leader="none" w:pos="172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21"/>
          <w:szCs w:val="21"/>
          <w:color w:val="auto"/>
        </w:rPr>
        <w:t>MISCELLANEOUS.</w:t>
      </w:r>
    </w:p>
    <w:p>
      <w:pPr>
        <w:spacing w:after="0" w:line="233" w:lineRule="exact"/>
        <w:rPr>
          <w:sz w:val="20"/>
          <w:szCs w:val="20"/>
          <w:color w:val="auto"/>
        </w:rPr>
      </w:pPr>
    </w:p>
    <w:p>
      <w:pPr>
        <w:jc w:val="both"/>
        <w:ind w:left="180" w:right="199" w:firstLine="270"/>
        <w:spacing w:after="0" w:line="245" w:lineRule="auto"/>
        <w:rPr>
          <w:sz w:val="20"/>
          <w:szCs w:val="20"/>
          <w:color w:val="auto"/>
        </w:rPr>
      </w:pPr>
      <w:r>
        <w:rPr>
          <w:rFonts w:ascii="Arial" w:cs="Arial" w:eastAsia="Arial" w:hAnsi="Arial"/>
          <w:sz w:val="21"/>
          <w:szCs w:val="21"/>
          <w:i w:val="1"/>
          <w:iCs w:val="1"/>
          <w:color w:val="auto"/>
        </w:rPr>
        <w:t>Section 19.1. Successors and Assigns</w:t>
      </w:r>
      <w:r>
        <w:rPr>
          <w:rFonts w:ascii="Arial" w:cs="Arial" w:eastAsia="Arial" w:hAnsi="Arial"/>
          <w:sz w:val="21"/>
          <w:szCs w:val="21"/>
          <w:color w:val="auto"/>
        </w:rPr>
        <w:t>. All covenants and other agreements contained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Agreement by or on behalf of any of the parties hereto bind and inure to the benefit of their respective successors and assigns (including, without limitation, any subsequent holder of a Bond) whether so expressed or not, except that, subject to </w:t>
      </w:r>
      <w:r>
        <w:rPr>
          <w:rFonts w:ascii="Arial" w:cs="Arial" w:eastAsia="Arial" w:hAnsi="Arial"/>
          <w:sz w:val="21"/>
          <w:szCs w:val="21"/>
          <w:b w:val="1"/>
          <w:bCs w:val="1"/>
          <w:color w:val="auto"/>
        </w:rPr>
        <w:t>Section 10.2</w:t>
      </w:r>
      <w:r>
        <w:rPr>
          <w:rFonts w:ascii="Arial" w:cs="Arial" w:eastAsia="Arial" w:hAnsi="Arial"/>
          <w:sz w:val="21"/>
          <w:szCs w:val="21"/>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25" w:lineRule="exact"/>
        <w:rPr>
          <w:sz w:val="20"/>
          <w:szCs w:val="20"/>
          <w:color w:val="auto"/>
        </w:rPr>
      </w:pPr>
    </w:p>
    <w:p>
      <w:pPr>
        <w:jc w:val="both"/>
        <w:ind w:left="180" w:right="199" w:firstLine="297"/>
        <w:spacing w:after="0" w:line="246" w:lineRule="exact"/>
        <w:rPr>
          <w:sz w:val="20"/>
          <w:szCs w:val="20"/>
          <w:color w:val="auto"/>
        </w:rPr>
      </w:pPr>
      <w:r>
        <w:rPr>
          <w:rFonts w:ascii="Arial" w:cs="Arial" w:eastAsia="Arial" w:hAnsi="Arial"/>
          <w:sz w:val="19"/>
          <w:szCs w:val="19"/>
          <w:i w:val="1"/>
          <w:iCs w:val="1"/>
          <w:color w:val="auto"/>
        </w:rPr>
        <w:t xml:space="preserve">Section 19.2. Accounting Terms </w:t>
      </w:r>
      <w:r>
        <w:rPr>
          <w:rFonts w:ascii="Arial" w:cs="Arial" w:eastAsia="Arial" w:hAnsi="Arial"/>
          <w:sz w:val="19"/>
          <w:szCs w:val="19"/>
          <w:color w:val="auto"/>
        </w:rPr>
        <w:t>. All accounting terms used herein which are not expressly</w:t>
      </w:r>
      <w:r>
        <w:rPr>
          <w:rFonts w:ascii="Arial" w:cs="Arial" w:eastAsia="Arial" w:hAnsi="Arial"/>
          <w:sz w:val="19"/>
          <w:szCs w:val="19"/>
          <w:i w:val="1"/>
          <w:iCs w:val="1"/>
          <w:color w:val="auto"/>
        </w:rPr>
        <w:t xml:space="preserve"> </w:t>
      </w:r>
      <w:r>
        <w:rPr>
          <w:rFonts w:ascii="Arial" w:cs="Arial" w:eastAsia="Arial" w:hAnsi="Arial"/>
          <w:sz w:val="19"/>
          <w:szCs w:val="19"/>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19"/>
          <w:szCs w:val="19"/>
          <w:color w:val="auto"/>
        </w:rPr>
        <w:t>‑</w:t>
      </w:r>
      <w:r>
        <w:rPr>
          <w:rFonts w:ascii="Arial" w:cs="Arial" w:eastAsia="Arial" w:hAnsi="Arial"/>
          <w:sz w:val="19"/>
          <w:szCs w:val="19"/>
          <w:color w:val="auto"/>
        </w:rPr>
        <w:t>10</w:t>
      </w:r>
      <w:r>
        <w:rPr>
          <w:rFonts w:ascii="MS PGothic" w:cs="MS PGothic" w:eastAsia="MS PGothic" w:hAnsi="MS PGothic"/>
          <w:sz w:val="19"/>
          <w:szCs w:val="19"/>
          <w:color w:val="auto"/>
        </w:rPr>
        <w:t>‑</w:t>
      </w:r>
      <w:r>
        <w:rPr>
          <w:rFonts w:ascii="Arial" w:cs="Arial" w:eastAsia="Arial" w:hAnsi="Arial"/>
          <w:sz w:val="19"/>
          <w:szCs w:val="19"/>
          <w:color w:val="auto"/>
        </w:rPr>
        <w:t xml:space="preserve">25 – </w:t>
      </w:r>
      <w:r>
        <w:rPr>
          <w:rFonts w:ascii="Arial" w:cs="Arial" w:eastAsia="Arial" w:hAnsi="Arial"/>
          <w:sz w:val="19"/>
          <w:szCs w:val="19"/>
          <w:i w:val="1"/>
          <w:iCs w:val="1"/>
          <w:color w:val="auto"/>
        </w:rPr>
        <w:t>Fair Value Option,</w:t>
      </w:r>
      <w:r>
        <w:rPr>
          <w:rFonts w:ascii="Arial" w:cs="Arial" w:eastAsia="Arial" w:hAnsi="Arial"/>
          <w:sz w:val="19"/>
          <w:szCs w:val="19"/>
          <w:color w:val="auto"/>
        </w:rPr>
        <w:t xml:space="preserve"> International Accounting Standard 39 – </w:t>
      </w:r>
      <w:r>
        <w:rPr>
          <w:rFonts w:ascii="Arial" w:cs="Arial" w:eastAsia="Arial" w:hAnsi="Arial"/>
          <w:sz w:val="19"/>
          <w:szCs w:val="19"/>
          <w:i w:val="1"/>
          <w:iCs w:val="1"/>
          <w:color w:val="auto"/>
        </w:rPr>
        <w:t>Financial Instruments: Recognition and Measurement</w:t>
      </w:r>
      <w:r>
        <w:rPr>
          <w:rFonts w:ascii="Arial" w:cs="Arial" w:eastAsia="Arial" w:hAnsi="Arial"/>
          <w:sz w:val="19"/>
          <w:szCs w:val="19"/>
          <w:color w:val="auto"/>
        </w:rPr>
        <w:t xml:space="preserve"> or any similar accounting standard) shall be disregarded and such determination shall be made as if such election had not been made and such Debt shall be valued at not less than 100% of the principal amount thereof.</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8" w:name="page89"/>
    <w:bookmarkEnd w:id="88"/>
    <w:p>
      <w:pPr>
        <w:jc w:val="both"/>
        <w:ind w:left="180" w:right="199" w:firstLine="216"/>
        <w:spacing w:after="0" w:line="249" w:lineRule="auto"/>
        <w:rPr>
          <w:sz w:val="20"/>
          <w:szCs w:val="20"/>
          <w:color w:val="auto"/>
        </w:rPr>
      </w:pPr>
      <w:r>
        <w:rPr>
          <w:rFonts w:ascii="Arial" w:cs="Arial" w:eastAsia="Arial" w:hAnsi="Arial"/>
          <w:sz w:val="21"/>
          <w:szCs w:val="21"/>
          <w:i w:val="1"/>
          <w:iCs w:val="1"/>
          <w:color w:val="auto"/>
        </w:rPr>
        <w:t>Section 19.3. Severability</w:t>
      </w:r>
      <w:r>
        <w:rPr>
          <w:rFonts w:ascii="Arial" w:cs="Arial" w:eastAsia="Arial" w:hAnsi="Arial"/>
          <w:sz w:val="21"/>
          <w:szCs w:val="21"/>
          <w:color w:val="auto"/>
        </w:rPr>
        <w:t>. Any provision of this Agreement that is prohibited or unenforceable</w:t>
      </w:r>
      <w:r>
        <w:rPr>
          <w:rFonts w:ascii="Arial" w:cs="Arial" w:eastAsia="Arial" w:hAnsi="Arial"/>
          <w:sz w:val="21"/>
          <w:szCs w:val="21"/>
          <w:i w:val="1"/>
          <w:iCs w:val="1"/>
          <w:color w:val="auto"/>
        </w:rPr>
        <w:t xml:space="preserve"> </w:t>
      </w:r>
      <w:r>
        <w:rPr>
          <w:rFonts w:ascii="Arial" w:cs="Arial" w:eastAsia="Arial" w:hAnsi="Arial"/>
          <w:sz w:val="21"/>
          <w:szCs w:val="21"/>
          <w:color w:val="auto"/>
        </w:rPr>
        <w:t>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05" w:lineRule="exact"/>
        <w:rPr>
          <w:sz w:val="20"/>
          <w:szCs w:val="20"/>
          <w:color w:val="auto"/>
        </w:rPr>
      </w:pPr>
    </w:p>
    <w:p>
      <w:pPr>
        <w:jc w:val="both"/>
        <w:ind w:left="180" w:right="199" w:firstLine="283"/>
        <w:spacing w:after="0" w:line="279" w:lineRule="auto"/>
        <w:rPr>
          <w:sz w:val="20"/>
          <w:szCs w:val="20"/>
          <w:color w:val="auto"/>
        </w:rPr>
      </w:pPr>
      <w:r>
        <w:rPr>
          <w:rFonts w:ascii="Arial" w:cs="Arial" w:eastAsia="Arial" w:hAnsi="Arial"/>
          <w:sz w:val="19"/>
          <w:szCs w:val="19"/>
          <w:i w:val="1"/>
          <w:iCs w:val="1"/>
          <w:color w:val="auto"/>
        </w:rPr>
        <w:t>Section 19.4. Construction, Etc</w:t>
      </w:r>
      <w:r>
        <w:rPr>
          <w:rFonts w:ascii="Arial" w:cs="Arial" w:eastAsia="Arial" w:hAnsi="Arial"/>
          <w:sz w:val="19"/>
          <w:szCs w:val="19"/>
          <w:color w:val="auto"/>
        </w:rPr>
        <w:t>. Each covenant contained herein shall be construed (absent</w:t>
      </w:r>
      <w:r>
        <w:rPr>
          <w:rFonts w:ascii="Arial" w:cs="Arial" w:eastAsia="Arial" w:hAnsi="Arial"/>
          <w:sz w:val="19"/>
          <w:szCs w:val="19"/>
          <w:i w:val="1"/>
          <w:iCs w:val="1"/>
          <w:color w:val="auto"/>
        </w:rPr>
        <w:t xml:space="preserve"> </w:t>
      </w:r>
      <w:r>
        <w:rPr>
          <w:rFonts w:ascii="Arial" w:cs="Arial" w:eastAsia="Arial" w:hAnsi="Arial"/>
          <w:sz w:val="19"/>
          <w:szCs w:val="19"/>
          <w:color w:val="auto"/>
        </w:rPr>
        <w:t>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91"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215" w:lineRule="exact"/>
        <w:rPr>
          <w:sz w:val="20"/>
          <w:szCs w:val="20"/>
          <w:color w:val="auto"/>
        </w:rPr>
      </w:pPr>
    </w:p>
    <w:p>
      <w:pPr>
        <w:jc w:val="both"/>
        <w:ind w:left="180" w:right="199" w:firstLine="243"/>
        <w:spacing w:after="0" w:line="238" w:lineRule="auto"/>
        <w:rPr>
          <w:sz w:val="20"/>
          <w:szCs w:val="20"/>
          <w:color w:val="auto"/>
        </w:rPr>
      </w:pPr>
      <w:r>
        <w:rPr>
          <w:rFonts w:ascii="Arial" w:cs="Arial" w:eastAsia="Arial" w:hAnsi="Arial"/>
          <w:sz w:val="22"/>
          <w:szCs w:val="22"/>
          <w:i w:val="1"/>
          <w:iCs w:val="1"/>
          <w:color w:val="auto"/>
        </w:rPr>
        <w:t>Section 19.5. Counterparts</w:t>
      </w:r>
      <w:r>
        <w:rPr>
          <w:rFonts w:ascii="Arial" w:cs="Arial" w:eastAsia="Arial" w:hAnsi="Arial"/>
          <w:sz w:val="22"/>
          <w:szCs w:val="22"/>
          <w:color w:val="auto"/>
        </w:rPr>
        <w:t>. This Agreement may be executed in any number of counterparts,</w:t>
      </w:r>
      <w:r>
        <w:rPr>
          <w:rFonts w:ascii="Arial" w:cs="Arial" w:eastAsia="Arial" w:hAnsi="Arial"/>
          <w:sz w:val="22"/>
          <w:szCs w:val="22"/>
          <w:i w:val="1"/>
          <w:iCs w:val="1"/>
          <w:color w:val="auto"/>
        </w:rPr>
        <w:t xml:space="preserve"> </w:t>
      </w:r>
      <w:r>
        <w:rPr>
          <w:rFonts w:ascii="Arial" w:cs="Arial" w:eastAsia="Arial" w:hAnsi="Arial"/>
          <w:sz w:val="22"/>
          <w:szCs w:val="22"/>
          <w:color w:val="auto"/>
        </w:rPr>
        <w:t>each of which shall be an original but all of which together shall constitute one instrument. Each counterpart may consist of a number of copies hereof, each signed by less than all, but together signed by all, of the parties hereto.</w:t>
      </w:r>
    </w:p>
    <w:p>
      <w:pPr>
        <w:spacing w:after="0" w:line="212" w:lineRule="exact"/>
        <w:rPr>
          <w:sz w:val="20"/>
          <w:szCs w:val="20"/>
          <w:color w:val="auto"/>
        </w:rPr>
      </w:pPr>
    </w:p>
    <w:p>
      <w:pPr>
        <w:jc w:val="both"/>
        <w:ind w:left="180" w:right="199" w:firstLine="243"/>
        <w:spacing w:after="0" w:line="251" w:lineRule="exact"/>
        <w:rPr>
          <w:sz w:val="20"/>
          <w:szCs w:val="20"/>
          <w:color w:val="auto"/>
        </w:rPr>
      </w:pPr>
      <w:r>
        <w:rPr>
          <w:rFonts w:ascii="Arial" w:cs="Arial" w:eastAsia="Arial" w:hAnsi="Arial"/>
          <w:sz w:val="22"/>
          <w:szCs w:val="22"/>
          <w:i w:val="1"/>
          <w:iCs w:val="1"/>
          <w:color w:val="auto"/>
        </w:rPr>
        <w:t>Section 19.6. Governing Law</w:t>
      </w:r>
      <w:r>
        <w:rPr>
          <w:rFonts w:ascii="Arial" w:cs="Arial" w:eastAsia="Arial" w:hAnsi="Arial"/>
          <w:sz w:val="22"/>
          <w:szCs w:val="22"/>
          <w:color w:val="auto"/>
        </w:rPr>
        <w:t>. This Agreement shall be construed and enforced in accordance</w:t>
      </w:r>
      <w:r>
        <w:rPr>
          <w:rFonts w:ascii="Arial" w:cs="Arial" w:eastAsia="Arial" w:hAnsi="Arial"/>
          <w:sz w:val="22"/>
          <w:szCs w:val="22"/>
          <w:i w:val="1"/>
          <w:iCs w:val="1"/>
          <w:color w:val="auto"/>
        </w:rPr>
        <w:t xml:space="preserve"> </w:t>
      </w:r>
      <w:r>
        <w:rPr>
          <w:rFonts w:ascii="Arial" w:cs="Arial" w:eastAsia="Arial" w:hAnsi="Arial"/>
          <w:sz w:val="22"/>
          <w:szCs w:val="22"/>
          <w:color w:val="auto"/>
        </w:rPr>
        <w:t>with, and the rights of the parties shall be governed by, the law of the Commonwealth of Pennsylvania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225" w:lineRule="exact"/>
        <w:rPr>
          <w:sz w:val="20"/>
          <w:szCs w:val="20"/>
          <w:color w:val="auto"/>
        </w:rPr>
      </w:pPr>
    </w:p>
    <w:p>
      <w:pPr>
        <w:jc w:val="both"/>
        <w:ind w:left="180" w:right="199" w:firstLine="283"/>
        <w:spacing w:after="0" w:line="245" w:lineRule="auto"/>
        <w:rPr>
          <w:sz w:val="20"/>
          <w:szCs w:val="20"/>
          <w:color w:val="auto"/>
        </w:rPr>
      </w:pPr>
      <w:r>
        <w:rPr>
          <w:rFonts w:ascii="Arial" w:cs="Arial" w:eastAsia="Arial" w:hAnsi="Arial"/>
          <w:sz w:val="21"/>
          <w:szCs w:val="21"/>
          <w:i w:val="1"/>
          <w:iCs w:val="1"/>
          <w:color w:val="auto"/>
        </w:rPr>
        <w:t>Section 19.7. Jurisdiction and Process; Waiver of Jury Trial</w:t>
      </w:r>
      <w:r>
        <w:rPr>
          <w:rFonts w:ascii="Arial" w:cs="Arial" w:eastAsia="Arial" w:hAnsi="Arial"/>
          <w:sz w:val="21"/>
          <w:szCs w:val="21"/>
          <w:color w:val="auto"/>
        </w:rPr>
        <w:t>. (a) The Company irrevocably</w:t>
      </w:r>
      <w:r>
        <w:rPr>
          <w:rFonts w:ascii="Arial" w:cs="Arial" w:eastAsia="Arial" w:hAnsi="Arial"/>
          <w:sz w:val="21"/>
          <w:szCs w:val="21"/>
          <w:i w:val="1"/>
          <w:iCs w:val="1"/>
          <w:color w:val="auto"/>
        </w:rPr>
        <w:t xml:space="preserve"> </w:t>
      </w:r>
      <w:r>
        <w:rPr>
          <w:rFonts w:ascii="Arial" w:cs="Arial" w:eastAsia="Arial" w:hAnsi="Arial"/>
          <w:sz w:val="21"/>
          <w:szCs w:val="21"/>
          <w:color w:val="auto"/>
        </w:rPr>
        <w:t>submits to the 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25" w:lineRule="exact"/>
        <w:rPr>
          <w:sz w:val="20"/>
          <w:szCs w:val="20"/>
          <w:color w:val="auto"/>
        </w:rPr>
      </w:pPr>
    </w:p>
    <w:p>
      <w:pPr>
        <w:jc w:val="both"/>
        <w:ind w:left="180" w:right="199" w:firstLine="247"/>
        <w:spacing w:after="0" w:line="273" w:lineRule="auto"/>
        <w:tabs>
          <w:tab w:leader="none" w:pos="918"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The Company consents to process being served by or on behalf of any holder of Bonds in any suit, action or proceeding of the nature referred to in </w:t>
      </w:r>
      <w:r>
        <w:rPr>
          <w:rFonts w:ascii="Arial" w:cs="Arial" w:eastAsia="Arial" w:hAnsi="Arial"/>
          <w:sz w:val="19"/>
          <w:szCs w:val="19"/>
          <w:b w:val="1"/>
          <w:bCs w:val="1"/>
          <w:color w:val="auto"/>
        </w:rPr>
        <w:t>Section 19.7(a)</w:t>
      </w:r>
      <w:r>
        <w:rPr>
          <w:rFonts w:ascii="Arial" w:cs="Arial" w:eastAsia="Arial" w:hAnsi="Arial"/>
          <w:sz w:val="19"/>
          <w:szCs w:val="19"/>
          <w:color w:val="auto"/>
        </w:rPr>
        <w:t xml:space="preserve"> by mailing a copy thereof by registered or certified mail (or any substantially similar form of mail), postage prepaid, return receipt requested, to it at its address specified in </w:t>
      </w:r>
      <w:r>
        <w:rPr>
          <w:rFonts w:ascii="Arial" w:cs="Arial" w:eastAsia="Arial" w:hAnsi="Arial"/>
          <w:sz w:val="19"/>
          <w:szCs w:val="19"/>
          <w:b w:val="1"/>
          <w:bCs w:val="1"/>
          <w:color w:val="auto"/>
        </w:rPr>
        <w:t>Section 15</w:t>
      </w:r>
      <w:r>
        <w:rPr>
          <w:rFonts w:ascii="Arial" w:cs="Arial" w:eastAsia="Arial" w:hAnsi="Arial"/>
          <w:sz w:val="19"/>
          <w:szCs w:val="19"/>
          <w:color w:val="auto"/>
        </w:rPr>
        <w:t xml:space="preserve"> or at such other address of which such holder shall then have been notified pursuant to said </w:t>
      </w:r>
      <w:r>
        <w:rPr>
          <w:rFonts w:ascii="Arial" w:cs="Arial" w:eastAsia="Arial" w:hAnsi="Arial"/>
          <w:sz w:val="19"/>
          <w:szCs w:val="19"/>
          <w:b w:val="1"/>
          <w:bCs w:val="1"/>
          <w:color w:val="auto"/>
        </w:rPr>
        <w:t>Section</w:t>
      </w:r>
      <w:r>
        <w:rPr>
          <w:rFonts w:ascii="Arial" w:cs="Arial" w:eastAsia="Arial" w:hAnsi="Arial"/>
          <w:sz w:val="19"/>
          <w:szCs w:val="19"/>
          <w:color w:val="auto"/>
        </w:rPr>
        <w:t>.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89" w:name="page90"/>
    <w:bookmarkEnd w:id="89"/>
    <w:p>
      <w:pPr>
        <w:jc w:val="both"/>
        <w:ind w:left="180" w:right="199" w:firstLine="247"/>
        <w:spacing w:after="0" w:line="289" w:lineRule="auto"/>
        <w:tabs>
          <w:tab w:leader="none" w:pos="906"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b w:val="1"/>
          <w:bCs w:val="1"/>
          <w:color w:val="auto"/>
        </w:rPr>
        <w:t>Section 19.7</w:t>
      </w:r>
      <w:r>
        <w:rPr>
          <w:rFonts w:ascii="Arial" w:cs="Arial" w:eastAsia="Arial" w:hAnsi="Arial"/>
          <w:sz w:val="19"/>
          <w:szCs w:val="19"/>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68" w:lineRule="exact"/>
        <w:rPr>
          <w:rFonts w:ascii="Arial" w:cs="Arial" w:eastAsia="Arial" w:hAnsi="Arial"/>
          <w:sz w:val="19"/>
          <w:szCs w:val="19"/>
          <w:color w:val="auto"/>
        </w:rPr>
      </w:pPr>
    </w:p>
    <w:p>
      <w:pPr>
        <w:ind w:left="180" w:right="199" w:firstLine="220"/>
        <w:spacing w:after="0" w:line="328" w:lineRule="auto"/>
        <w:tabs>
          <w:tab w:leader="none" w:pos="864"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parties hereto hereby waive trial by jury in any action brought on or with respect to this Agreement, the Bonds or any other document executed in connection herewith or therewith.</w:t>
      </w:r>
    </w:p>
    <w:p>
      <w:pPr>
        <w:spacing w:after="0" w:line="145" w:lineRule="exact"/>
        <w:rPr>
          <w:sz w:val="20"/>
          <w:szCs w:val="20"/>
          <w:color w:val="auto"/>
        </w:rPr>
      </w:pPr>
    </w:p>
    <w:p>
      <w:pPr>
        <w:jc w:val="both"/>
        <w:ind w:left="180" w:right="199" w:firstLine="229"/>
        <w:spacing w:after="0" w:line="275" w:lineRule="auto"/>
        <w:rPr>
          <w:sz w:val="20"/>
          <w:szCs w:val="20"/>
          <w:color w:val="auto"/>
        </w:rPr>
      </w:pPr>
      <w:r>
        <w:rPr>
          <w:rFonts w:ascii="Arial" w:cs="Arial" w:eastAsia="Arial" w:hAnsi="Arial"/>
          <w:sz w:val="19"/>
          <w:szCs w:val="19"/>
          <w:i w:val="1"/>
          <w:iCs w:val="1"/>
          <w:color w:val="auto"/>
        </w:rPr>
        <w:t>Section 19.8. Payments Due on Non-Business Days</w:t>
      </w:r>
      <w:r>
        <w:rPr>
          <w:rFonts w:ascii="Arial" w:cs="Arial" w:eastAsia="Arial" w:hAnsi="Arial"/>
          <w:sz w:val="19"/>
          <w:szCs w:val="19"/>
          <w:color w:val="auto"/>
        </w:rPr>
        <w:t>. Anything in this Agreement or the Bonds</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90" w:name="page91"/>
    <w:bookmarkEnd w:id="90"/>
    <w:p>
      <w:pPr>
        <w:jc w:val="both"/>
        <w:ind w:left="180" w:right="199" w:firstLine="648"/>
        <w:spacing w:after="0" w:line="257" w:lineRule="auto"/>
        <w:rPr>
          <w:sz w:val="20"/>
          <w:szCs w:val="20"/>
          <w:color w:val="auto"/>
        </w:rPr>
      </w:pPr>
      <w:r>
        <w:rPr>
          <w:rFonts w:ascii="Arial" w:cs="Arial" w:eastAsia="Arial" w:hAnsi="Arial"/>
          <w:sz w:val="21"/>
          <w:szCs w:val="21"/>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19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AQUA PENNSYLVANIA,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360"/>
        <w:spacing w:after="0"/>
        <w:tabs>
          <w:tab w:leader="none" w:pos="4900" w:val="left"/>
        </w:tabs>
        <w:rPr>
          <w:sz w:val="20"/>
          <w:szCs w:val="20"/>
          <w:color w:val="auto"/>
        </w:rPr>
      </w:pPr>
      <w:r>
        <w:rPr>
          <w:rFonts w:ascii="Arial" w:cs="Arial" w:eastAsia="Arial" w:hAnsi="Arial"/>
          <w:sz w:val="22"/>
          <w:szCs w:val="22"/>
          <w:color w:val="auto"/>
        </w:rPr>
        <w:t>By:</w:t>
        <w:tab/>
        <w:t>/s/ Stanley F. Szczygiel</w:t>
      </w:r>
    </w:p>
    <w:p>
      <w:pPr>
        <w:spacing w:after="0" w:line="8" w:lineRule="exact"/>
        <w:rPr>
          <w:sz w:val="20"/>
          <w:szCs w:val="20"/>
          <w:color w:val="auto"/>
        </w:rPr>
      </w:pPr>
    </w:p>
    <w:p>
      <w:pPr>
        <w:ind w:left="4100"/>
        <w:spacing w:after="0"/>
        <w:tabs>
          <w:tab w:leader="none" w:pos="4900" w:val="left"/>
        </w:tabs>
        <w:rPr>
          <w:sz w:val="20"/>
          <w:szCs w:val="20"/>
          <w:color w:val="auto"/>
        </w:rPr>
      </w:pPr>
      <w:r>
        <w:rPr>
          <w:rFonts w:ascii="Arial" w:cs="Arial" w:eastAsia="Arial" w:hAnsi="Arial"/>
          <w:sz w:val="22"/>
          <w:szCs w:val="22"/>
          <w:color w:val="auto"/>
        </w:rPr>
        <w:t>Name:</w:t>
        <w:tab/>
        <w:t>Stanley F. Szczygiel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-158115</wp:posOffset>
            </wp:positionV>
            <wp:extent cx="21259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4220"/>
        <w:spacing w:after="0"/>
        <w:tabs>
          <w:tab w:leader="none" w:pos="4900" w:val="left"/>
        </w:tabs>
        <w:rPr>
          <w:sz w:val="20"/>
          <w:szCs w:val="20"/>
          <w:color w:val="auto"/>
        </w:rPr>
      </w:pPr>
      <w:r>
        <w:rPr>
          <w:rFonts w:ascii="Arial" w:cs="Arial" w:eastAsia="Arial" w:hAnsi="Arial"/>
          <w:sz w:val="22"/>
          <w:szCs w:val="22"/>
          <w:color w:val="auto"/>
        </w:rPr>
        <w:t>Title:</w:t>
        <w:tab/>
        <w:t>VP Finance and Treasurer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91" w:name="page92"/>
    <w:bookmarkEnd w:id="91"/>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TEACHERS INSURANCE AND ANNUITY</w:t>
      </w:r>
    </w:p>
    <w:p>
      <w:pPr>
        <w:spacing w:after="0" w:line="20"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ASSOCIATION OF AMERICA. a New York</w:t>
      </w:r>
    </w:p>
    <w:p>
      <w:pPr>
        <w:spacing w:after="0" w:line="25"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domiciled life inusrance company</w:t>
      </w:r>
    </w:p>
    <w:p>
      <w:pPr>
        <w:spacing w:after="0" w:line="215"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By: Nuveen Alternatives Advisors LLC.</w:t>
      </w:r>
    </w:p>
    <w:p>
      <w:pPr>
        <w:ind w:left="4480"/>
        <w:spacing w:after="0" w:line="238" w:lineRule="auto"/>
        <w:rPr>
          <w:sz w:val="20"/>
          <w:szCs w:val="20"/>
          <w:color w:val="auto"/>
        </w:rPr>
      </w:pPr>
      <w:r>
        <w:rPr>
          <w:rFonts w:ascii="Arial" w:cs="Arial" w:eastAsia="Arial" w:hAnsi="Arial"/>
          <w:sz w:val="22"/>
          <w:szCs w:val="22"/>
          <w:color w:val="auto"/>
        </w:rPr>
        <w:t>a Delaware limited liability company.</w:t>
      </w:r>
    </w:p>
    <w:p>
      <w:pPr>
        <w:ind w:left="4480"/>
        <w:spacing w:after="0"/>
        <w:rPr>
          <w:sz w:val="20"/>
          <w:szCs w:val="20"/>
          <w:color w:val="auto"/>
        </w:rPr>
      </w:pPr>
      <w:r>
        <w:rPr>
          <w:rFonts w:ascii="Arial" w:cs="Arial" w:eastAsia="Arial" w:hAnsi="Arial"/>
          <w:sz w:val="22"/>
          <w:szCs w:val="22"/>
          <w:color w:val="auto"/>
        </w:rPr>
        <w:t>its investment manger</w:t>
      </w:r>
    </w:p>
    <w:p>
      <w:pPr>
        <w:spacing w:after="0" w:line="229"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Matthew W. Smith</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Matthew 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4800"/>
        <w:spacing w:after="0"/>
        <w:tabs>
          <w:tab w:leader="none" w:pos="5480" w:val="left"/>
        </w:tabs>
        <w:rPr>
          <w:sz w:val="20"/>
          <w:szCs w:val="20"/>
          <w:color w:val="auto"/>
        </w:rPr>
      </w:pPr>
      <w:r>
        <w:rPr>
          <w:rFonts w:ascii="Arial" w:cs="Arial" w:eastAsia="Arial" w:hAnsi="Arial"/>
          <w:sz w:val="22"/>
          <w:szCs w:val="22"/>
          <w:color w:val="auto"/>
        </w:rPr>
        <w:t>Title:</w:t>
        <w:tab/>
        <w:t>Senior Director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2" w:name="page93"/>
    <w:bookmarkEnd w:id="92"/>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3920" w:right="539"/>
        <w:spacing w:after="0"/>
        <w:rPr>
          <w:sz w:val="20"/>
          <w:szCs w:val="20"/>
          <w:color w:val="auto"/>
        </w:rPr>
      </w:pPr>
      <w:r>
        <w:rPr>
          <w:rFonts w:ascii="Arial" w:cs="Arial" w:eastAsia="Arial" w:hAnsi="Arial"/>
          <w:sz w:val="22"/>
          <w:szCs w:val="22"/>
          <w:color w:val="auto"/>
        </w:rPr>
        <w:t>METROPOLITAN LIFE INSURANCE COMPANY by MetLife Investment Management, LLC, Its Investment Manager</w:t>
      </w:r>
    </w:p>
    <w:p>
      <w:pPr>
        <w:spacing w:after="0" w:line="21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METROPOLITAN TOWER LIFE INSURANCE</w:t>
      </w:r>
    </w:p>
    <w:p>
      <w:pPr>
        <w:ind w:left="3920"/>
        <w:spacing w:after="0" w:line="238" w:lineRule="auto"/>
        <w:rPr>
          <w:sz w:val="20"/>
          <w:szCs w:val="20"/>
          <w:color w:val="auto"/>
        </w:rPr>
      </w:pPr>
      <w:r>
        <w:rPr>
          <w:rFonts w:ascii="Arial" w:cs="Arial" w:eastAsia="Arial" w:hAnsi="Arial"/>
          <w:sz w:val="22"/>
          <w:szCs w:val="22"/>
          <w:color w:val="auto"/>
        </w:rPr>
        <w:t>COMPANY</w:t>
      </w:r>
    </w:p>
    <w:p>
      <w:pPr>
        <w:ind w:left="3920"/>
        <w:spacing w:after="0" w:line="230" w:lineRule="auto"/>
        <w:rPr>
          <w:sz w:val="20"/>
          <w:szCs w:val="20"/>
          <w:color w:val="auto"/>
        </w:rPr>
      </w:pPr>
      <w:r>
        <w:rPr>
          <w:rFonts w:ascii="Arial" w:cs="Arial" w:eastAsia="Arial" w:hAnsi="Arial"/>
          <w:sz w:val="22"/>
          <w:szCs w:val="22"/>
          <w:color w:val="auto"/>
        </w:rPr>
        <w:t>by MetLife Investment Management, LLC, Its</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Investment Manager</w:t>
      </w:r>
    </w:p>
    <w:p>
      <w:pPr>
        <w:spacing w:after="0" w:line="215"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METLIFE INSURANCE K.K</w:t>
      </w:r>
    </w:p>
    <w:p>
      <w:pPr>
        <w:ind w:left="3920"/>
        <w:spacing w:after="0" w:line="238" w:lineRule="auto"/>
        <w:rPr>
          <w:sz w:val="20"/>
          <w:szCs w:val="20"/>
          <w:color w:val="auto"/>
        </w:rPr>
      </w:pPr>
      <w:r>
        <w:rPr>
          <w:rFonts w:ascii="Arial" w:cs="Arial" w:eastAsia="Arial" w:hAnsi="Arial"/>
          <w:sz w:val="22"/>
          <w:szCs w:val="22"/>
          <w:color w:val="auto"/>
        </w:rPr>
        <w:t>By MetLife Investment Management, LLC, Its</w:t>
      </w:r>
    </w:p>
    <w:p>
      <w:pPr>
        <w:ind w:left="3920"/>
        <w:spacing w:after="0"/>
        <w:rPr>
          <w:sz w:val="20"/>
          <w:szCs w:val="20"/>
          <w:color w:val="auto"/>
        </w:rPr>
      </w:pPr>
      <w:r>
        <w:rPr>
          <w:rFonts w:ascii="Arial" w:cs="Arial" w:eastAsia="Arial" w:hAnsi="Arial"/>
          <w:sz w:val="22"/>
          <w:szCs w:val="22"/>
          <w:color w:val="auto"/>
        </w:rPr>
        <w:t>Investment Manager</w:t>
      </w:r>
    </w:p>
    <w:p>
      <w:pPr>
        <w:spacing w:after="0" w:line="200" w:lineRule="exact"/>
        <w:rPr>
          <w:sz w:val="20"/>
          <w:szCs w:val="20"/>
          <w:color w:val="auto"/>
        </w:rPr>
      </w:pPr>
    </w:p>
    <w:p>
      <w:pPr>
        <w:spacing w:after="0" w:line="272"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John Wills</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John Wills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4800"/>
        <w:spacing w:after="0"/>
        <w:tabs>
          <w:tab w:leader="none" w:pos="548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3" w:name="page94"/>
    <w:bookmarkEnd w:id="93"/>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ROTHESAY LIFE PLC</w:t>
      </w:r>
    </w:p>
    <w:p>
      <w:pPr>
        <w:spacing w:after="0" w:line="247"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David Land</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David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jc w:val="both"/>
        <w:ind w:left="4800"/>
        <w:spacing w:after="0"/>
        <w:tabs>
          <w:tab w:leader="none" w:pos="548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4" w:name="page95"/>
    <w:bookmarkEnd w:id="94"/>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THE UNITED STATES LIFE INSURANCE</w:t>
      </w:r>
    </w:p>
    <w:p>
      <w:pPr>
        <w:ind w:left="3920"/>
        <w:spacing w:after="0" w:line="238" w:lineRule="auto"/>
        <w:rPr>
          <w:sz w:val="20"/>
          <w:szCs w:val="20"/>
          <w:color w:val="auto"/>
        </w:rPr>
      </w:pPr>
      <w:r>
        <w:rPr>
          <w:rFonts w:ascii="Arial" w:cs="Arial" w:eastAsia="Arial" w:hAnsi="Arial"/>
          <w:sz w:val="22"/>
          <w:szCs w:val="22"/>
          <w:color w:val="auto"/>
        </w:rPr>
        <w:t>COMPANY IN THE CITY OF NEW YORK</w:t>
      </w:r>
    </w:p>
    <w:p>
      <w:pPr>
        <w:ind w:left="3920"/>
        <w:spacing w:after="0" w:line="230" w:lineRule="auto"/>
        <w:rPr>
          <w:sz w:val="20"/>
          <w:szCs w:val="20"/>
          <w:color w:val="auto"/>
        </w:rPr>
      </w:pPr>
      <w:r>
        <w:rPr>
          <w:rFonts w:ascii="Arial" w:cs="Arial" w:eastAsia="Arial" w:hAnsi="Arial"/>
          <w:sz w:val="22"/>
          <w:szCs w:val="22"/>
          <w:color w:val="auto"/>
        </w:rPr>
        <w:t>AMERICAN GENERAL LIFE INSURANCE</w:t>
      </w:r>
    </w:p>
    <w:p>
      <w:pPr>
        <w:ind w:left="3920"/>
        <w:spacing w:after="0" w:line="231" w:lineRule="auto"/>
        <w:rPr>
          <w:sz w:val="20"/>
          <w:szCs w:val="20"/>
          <w:color w:val="auto"/>
        </w:rPr>
      </w:pPr>
      <w:r>
        <w:rPr>
          <w:rFonts w:ascii="Arial" w:cs="Arial" w:eastAsia="Arial" w:hAnsi="Arial"/>
          <w:sz w:val="22"/>
          <w:szCs w:val="22"/>
          <w:color w:val="auto"/>
        </w:rPr>
        <w:t>COMPANY</w:t>
      </w:r>
    </w:p>
    <w:p>
      <w:pPr>
        <w:ind w:left="3920"/>
        <w:spacing w:after="0"/>
        <w:rPr>
          <w:sz w:val="20"/>
          <w:szCs w:val="20"/>
          <w:color w:val="auto"/>
        </w:rPr>
      </w:pPr>
      <w:r>
        <w:rPr>
          <w:rFonts w:ascii="Arial" w:cs="Arial" w:eastAsia="Arial" w:hAnsi="Arial"/>
          <w:sz w:val="19"/>
          <w:szCs w:val="19"/>
          <w:color w:val="auto"/>
        </w:rPr>
        <w:t>By: AIG Asset Management (U.S.), LLC, as Investment</w:t>
      </w:r>
    </w:p>
    <w:p>
      <w:pPr>
        <w:spacing w:after="0" w:line="25"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Adviser</w:t>
      </w:r>
    </w:p>
    <w:p>
      <w:pPr>
        <w:spacing w:after="0" w:line="229"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John H. Pollock</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John H. Pollock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4800"/>
        <w:spacing w:after="0"/>
        <w:tabs>
          <w:tab w:leader="none" w:pos="5480" w:val="left"/>
        </w:tabs>
        <w:rPr>
          <w:sz w:val="20"/>
          <w:szCs w:val="20"/>
          <w:color w:val="auto"/>
        </w:rPr>
      </w:pPr>
      <w:r>
        <w:rPr>
          <w:rFonts w:ascii="Arial" w:cs="Arial" w:eastAsia="Arial" w:hAnsi="Arial"/>
          <w:sz w:val="22"/>
          <w:szCs w:val="22"/>
          <w:color w:val="auto"/>
        </w:rPr>
        <w:t>Title:</w:t>
        <w:tab/>
        <w:t>Head of Infrastructure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5" w:name="page96"/>
    <w:bookmarkEnd w:id="95"/>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THE NORTHWESTERN MUTUAL LIFE</w:t>
      </w:r>
    </w:p>
    <w:p>
      <w:pPr>
        <w:ind w:left="4080"/>
        <w:spacing w:after="0" w:line="238" w:lineRule="auto"/>
        <w:rPr>
          <w:sz w:val="20"/>
          <w:szCs w:val="20"/>
          <w:color w:val="auto"/>
        </w:rPr>
      </w:pPr>
      <w:r>
        <w:rPr>
          <w:rFonts w:ascii="Arial" w:cs="Arial" w:eastAsia="Arial" w:hAnsi="Arial"/>
          <w:sz w:val="22"/>
          <w:szCs w:val="22"/>
          <w:color w:val="auto"/>
        </w:rPr>
        <w:t>INSURANCE COMPANY</w:t>
      </w:r>
    </w:p>
    <w:p>
      <w:pPr>
        <w:ind w:left="4080"/>
        <w:spacing w:after="0"/>
        <w:rPr>
          <w:sz w:val="20"/>
          <w:szCs w:val="20"/>
          <w:color w:val="auto"/>
        </w:rPr>
      </w:pPr>
      <w:r>
        <w:rPr>
          <w:rFonts w:ascii="Arial" w:cs="Arial" w:eastAsia="Arial" w:hAnsi="Arial"/>
          <w:sz w:val="19"/>
          <w:szCs w:val="19"/>
          <w:color w:val="auto"/>
        </w:rPr>
        <w:t>By: Northwestern Mutual Investment Management</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Company, LLC, Its Investment Adviser</w:t>
      </w:r>
    </w:p>
    <w:p>
      <w:pPr>
        <w:spacing w:after="0" w:line="200" w:lineRule="exact"/>
        <w:rPr>
          <w:sz w:val="20"/>
          <w:szCs w:val="20"/>
          <w:color w:val="auto"/>
        </w:rPr>
      </w:pPr>
    </w:p>
    <w:p>
      <w:pPr>
        <w:spacing w:after="0" w:line="272"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David A. Barras</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David A Barras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4800"/>
        <w:spacing w:after="0"/>
        <w:tabs>
          <w:tab w:leader="none" w:pos="5480" w:val="left"/>
        </w:tabs>
        <w:rPr>
          <w:sz w:val="20"/>
          <w:szCs w:val="20"/>
          <w:color w:val="auto"/>
        </w:rPr>
      </w:pPr>
      <w:r>
        <w:rPr>
          <w:rFonts w:ascii="Arial" w:cs="Arial" w:eastAsia="Arial" w:hAnsi="Arial"/>
          <w:sz w:val="22"/>
          <w:szCs w:val="22"/>
          <w:color w:val="auto"/>
        </w:rPr>
        <w:t>Title:</w:t>
        <w:tab/>
        <w:t>Managing Director</w:t>
      </w:r>
    </w:p>
    <w:p>
      <w:pPr>
        <w:spacing w:after="0" w:line="21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THE NORTHWESTERN MUTUAL LIFE</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INSURANCE COMPANY for its Group Annuity</w:t>
      </w:r>
    </w:p>
    <w:p>
      <w:pPr>
        <w:spacing w:after="0" w:line="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Separate Account</w:t>
      </w:r>
    </w:p>
    <w:p>
      <w:pPr>
        <w:spacing w:after="0" w:line="229"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David A. Barras</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David A Barras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4800"/>
        <w:spacing w:after="0"/>
        <w:tabs>
          <w:tab w:leader="none" w:pos="5480" w:val="left"/>
        </w:tabs>
        <w:rPr>
          <w:sz w:val="20"/>
          <w:szCs w:val="20"/>
          <w:color w:val="auto"/>
        </w:rPr>
      </w:pPr>
      <w:r>
        <w:rPr>
          <w:rFonts w:ascii="Arial" w:cs="Arial" w:eastAsia="Arial" w:hAnsi="Arial"/>
          <w:sz w:val="22"/>
          <w:szCs w:val="22"/>
          <w:color w:val="auto"/>
        </w:rPr>
        <w:t>Title:</w:t>
        <w:tab/>
        <w:t>Authorized Representative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6" w:name="page97"/>
    <w:bookmarkEnd w:id="96"/>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BANNER LIFE INSURANCE COMPANY</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By Legal &amp; General Investment Management</w:t>
      </w:r>
    </w:p>
    <w:p>
      <w:pPr>
        <w:spacing w:after="0" w:line="4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America, Inc., its Investment Manager</w:t>
      </w:r>
    </w:p>
    <w:p>
      <w:pPr>
        <w:spacing w:after="0" w:line="200" w:lineRule="exact"/>
        <w:rPr>
          <w:sz w:val="20"/>
          <w:szCs w:val="20"/>
          <w:color w:val="auto"/>
        </w:rPr>
      </w:pPr>
    </w:p>
    <w:p>
      <w:pPr>
        <w:spacing w:after="0" w:line="272"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Edward Wood</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Edward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jc w:val="both"/>
        <w:ind w:left="4800"/>
        <w:spacing w:after="0"/>
        <w:tabs>
          <w:tab w:leader="none" w:pos="5480" w:val="left"/>
        </w:tabs>
        <w:rPr>
          <w:sz w:val="20"/>
          <w:szCs w:val="20"/>
          <w:color w:val="auto"/>
        </w:rPr>
      </w:pPr>
      <w:r>
        <w:rPr>
          <w:rFonts w:ascii="Arial" w:cs="Arial" w:eastAsia="Arial" w:hAnsi="Arial"/>
          <w:sz w:val="22"/>
          <w:szCs w:val="22"/>
          <w:color w:val="auto"/>
        </w:rPr>
        <w:t>Title:</w:t>
        <w:tab/>
        <w:t>Head of US Private Placements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7" w:name="page98"/>
    <w:bookmarkEnd w:id="97"/>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WEST COAST LIFE INSURANCE COMPANY</w:t>
      </w:r>
    </w:p>
    <w:p>
      <w:pPr>
        <w:spacing w:after="0" w:line="2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(WCL)</w:t>
      </w:r>
    </w:p>
    <w:p>
      <w:pPr>
        <w:spacing w:after="0" w:line="229"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Diane S. Griswold</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Diane S. Griswold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jc w:val="both"/>
        <w:ind w:left="4800"/>
        <w:spacing w:after="0"/>
        <w:tabs>
          <w:tab w:leader="none" w:pos="5480" w:val="left"/>
        </w:tabs>
        <w:rPr>
          <w:sz w:val="20"/>
          <w:szCs w:val="20"/>
          <w:color w:val="auto"/>
        </w:rPr>
      </w:pPr>
      <w:r>
        <w:rPr>
          <w:rFonts w:ascii="Arial" w:cs="Arial" w:eastAsia="Arial" w:hAnsi="Arial"/>
          <w:sz w:val="22"/>
          <w:szCs w:val="22"/>
          <w:color w:val="auto"/>
        </w:rPr>
        <w:t>Title:</w:t>
        <w:tab/>
        <w:t>Second Vice President Investments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8" w:name="page99"/>
    <w:bookmarkEnd w:id="98"/>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jc w:val="right"/>
        <w:ind w:right="919"/>
        <w:spacing w:after="0"/>
        <w:rPr>
          <w:sz w:val="20"/>
          <w:szCs w:val="20"/>
          <w:color w:val="auto"/>
        </w:rPr>
      </w:pPr>
      <w:r>
        <w:rPr>
          <w:rFonts w:ascii="Arial" w:cs="Arial" w:eastAsia="Arial" w:hAnsi="Arial"/>
          <w:sz w:val="22"/>
          <w:szCs w:val="22"/>
          <w:color w:val="auto"/>
        </w:rPr>
        <w:t>MANULIFE LIFE INSURANCE COMPANY</w:t>
      </w:r>
    </w:p>
    <w:p>
      <w:pPr>
        <w:spacing w:after="0" w:line="247"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Akira Okada</w:t>
      </w:r>
    </w:p>
    <w:p>
      <w:pPr>
        <w:spacing w:after="0" w:line="8"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22"/>
          <w:szCs w:val="22"/>
          <w:color w:val="auto"/>
        </w:rPr>
        <w:t>Name:</w:t>
        <w:tab/>
        <w:t>Akira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-158115</wp:posOffset>
            </wp:positionV>
            <wp:extent cx="2125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4800"/>
        <w:spacing w:after="0"/>
        <w:tabs>
          <w:tab w:leader="none" w:pos="5480" w:val="left"/>
        </w:tabs>
        <w:rPr>
          <w:sz w:val="20"/>
          <w:szCs w:val="20"/>
          <w:color w:val="auto"/>
        </w:rPr>
      </w:pPr>
      <w:r>
        <w:rPr>
          <w:rFonts w:ascii="Arial" w:cs="Arial" w:eastAsia="Arial" w:hAnsi="Arial"/>
          <w:sz w:val="22"/>
          <w:szCs w:val="22"/>
          <w:color w:val="auto"/>
        </w:rPr>
        <w:t>Title:</w:t>
        <w:tab/>
        <w:t>Head of Investments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9" w:name="page100"/>
    <w:bookmarkEnd w:id="99"/>
    <w:p>
      <w:pPr>
        <w:ind w:left="180"/>
        <w:spacing w:after="0"/>
        <w:rPr>
          <w:sz w:val="20"/>
          <w:szCs w:val="20"/>
          <w:color w:val="auto"/>
        </w:rPr>
      </w:pPr>
      <w:r>
        <w:rPr>
          <w:rFonts w:ascii="Arial" w:cs="Arial" w:eastAsia="Arial" w:hAnsi="Arial"/>
          <w:sz w:val="22"/>
          <w:szCs w:val="22"/>
          <w:color w:val="auto"/>
        </w:rPr>
        <w:t>Accepted as of the date first written above.</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MANUFACTURERS LIFE REINSURANCE</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LIMITED</w:t>
      </w:r>
    </w:p>
    <w:p>
      <w:pPr>
        <w:spacing w:after="0" w:line="229" w:lineRule="exact"/>
        <w:rPr>
          <w:sz w:val="20"/>
          <w:szCs w:val="20"/>
          <w:color w:val="auto"/>
        </w:rPr>
      </w:pPr>
    </w:p>
    <w:p>
      <w:pPr>
        <w:ind w:left="4960"/>
        <w:spacing w:after="0"/>
        <w:tabs>
          <w:tab w:leader="none" w:pos="5480" w:val="left"/>
        </w:tabs>
        <w:rPr>
          <w:sz w:val="20"/>
          <w:szCs w:val="20"/>
          <w:color w:val="auto"/>
        </w:rPr>
      </w:pPr>
      <w:r>
        <w:rPr>
          <w:rFonts w:ascii="Arial" w:cs="Arial" w:eastAsia="Arial" w:hAnsi="Arial"/>
          <w:sz w:val="22"/>
          <w:szCs w:val="22"/>
          <w:color w:val="auto"/>
        </w:rPr>
        <w:t>By:</w:t>
        <w:tab/>
        <w:t>/s/ Tatsuya Oshiro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6985</wp:posOffset>
            </wp:positionV>
            <wp:extent cx="2125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ind w:left="4680"/>
        <w:spacing w:after="0"/>
        <w:tabs>
          <w:tab w:leader="none" w:pos="5480" w:val="left"/>
        </w:tabs>
        <w:rPr>
          <w:sz w:val="20"/>
          <w:szCs w:val="20"/>
          <w:color w:val="auto"/>
        </w:rPr>
      </w:pPr>
      <w:r>
        <w:rPr>
          <w:rFonts w:ascii="Arial" w:cs="Arial" w:eastAsia="Arial" w:hAnsi="Arial"/>
          <w:sz w:val="22"/>
          <w:szCs w:val="22"/>
          <w:color w:val="auto"/>
        </w:rPr>
        <w:t>Name:</w:t>
        <w:tab/>
        <w:t>Tatsuya Oshiro</w:t>
      </w:r>
    </w:p>
    <w:p>
      <w:pPr>
        <w:ind w:left="4800"/>
        <w:spacing w:after="0" w:line="230" w:lineRule="auto"/>
        <w:tabs>
          <w:tab w:leader="none" w:pos="5480" w:val="left"/>
        </w:tabs>
        <w:rPr>
          <w:sz w:val="20"/>
          <w:szCs w:val="20"/>
          <w:color w:val="auto"/>
        </w:rPr>
      </w:pPr>
      <w:r>
        <w:rPr>
          <w:rFonts w:ascii="Arial" w:cs="Arial" w:eastAsia="Arial" w:hAnsi="Arial"/>
          <w:sz w:val="22"/>
          <w:szCs w:val="22"/>
          <w:color w:val="auto"/>
        </w:rPr>
        <w:t>Title:</w:t>
        <w:tab/>
        <w:t>Manulife General Account</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Investments (Singapore) Pte. Ltd.</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as investment manager of</w:t>
      </w:r>
    </w:p>
    <w:p>
      <w:pPr>
        <w:ind w:left="5500"/>
        <w:spacing w:after="0"/>
        <w:rPr>
          <w:sz w:val="20"/>
          <w:szCs w:val="20"/>
          <w:color w:val="auto"/>
        </w:rPr>
      </w:pPr>
      <w:r>
        <w:rPr>
          <w:rFonts w:ascii="Arial" w:cs="Arial" w:eastAsia="Arial" w:hAnsi="Arial"/>
          <w:sz w:val="19"/>
          <w:szCs w:val="19"/>
          <w:color w:val="auto"/>
        </w:rPr>
        <w:t>Manufacturers Life Reinsurance</w:t>
      </w:r>
    </w:p>
    <w:p>
      <w:pPr>
        <w:spacing w:after="0" w:line="2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21"/>
          <w:szCs w:val="21"/>
          <w:b w:val="1"/>
          <w:bCs w:val="1"/>
          <w:color w:val="auto"/>
        </w:rPr>
        <w:t>INFORMATION RELATING TO PURCHASERS</w:t>
      </w:r>
    </w:p>
    <w:p>
      <w:pPr>
        <w:sectPr>
          <w:pgSz w:w="11900" w:h="16838" w:orient="portrait"/>
          <w:cols w:equalWidth="0" w:num="1">
            <w:col w:w="9019"/>
          </w:cols>
          <w:pgMar w:left="1440" w:top="67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left="300"/>
        <w:spacing w:after="0"/>
        <w:rPr>
          <w:sz w:val="20"/>
          <w:szCs w:val="20"/>
          <w:color w:val="auto"/>
        </w:rPr>
      </w:pPr>
      <w:r>
        <w:rPr>
          <w:rFonts w:ascii="Arial" w:cs="Arial" w:eastAsia="Arial" w:hAnsi="Arial"/>
          <w:sz w:val="21"/>
          <w:szCs w:val="21"/>
          <w:color w:val="auto"/>
        </w:rPr>
        <w:t>NAME OF AND ADDRESS</w:t>
      </w:r>
    </w:p>
    <w:p>
      <w:pPr>
        <w:spacing w:after="0" w:line="20"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OF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SERIES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OF BONDS</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PRINCIPAL</w:t>
      </w:r>
    </w:p>
    <w:p>
      <w:pPr>
        <w:jc w:val="center"/>
        <w:ind w:right="519"/>
        <w:spacing w:after="0" w:line="238" w:lineRule="auto"/>
        <w:rPr>
          <w:sz w:val="20"/>
          <w:szCs w:val="20"/>
          <w:color w:val="auto"/>
        </w:rPr>
      </w:pPr>
      <w:r>
        <w:rPr>
          <w:rFonts w:ascii="Arial" w:cs="Arial" w:eastAsia="Arial" w:hAnsi="Arial"/>
          <w:sz w:val="22"/>
          <w:szCs w:val="22"/>
          <w:color w:val="auto"/>
        </w:rPr>
        <w:t>AMOUNT OF</w:t>
      </w:r>
    </w:p>
    <w:p>
      <w:pPr>
        <w:jc w:val="center"/>
        <w:ind w:right="519"/>
        <w:spacing w:after="0"/>
        <w:rPr>
          <w:sz w:val="20"/>
          <w:szCs w:val="20"/>
          <w:color w:val="auto"/>
        </w:rPr>
      </w:pPr>
      <w:r>
        <w:rPr>
          <w:rFonts w:ascii="Arial" w:cs="Arial" w:eastAsia="Arial" w:hAnsi="Arial"/>
          <w:sz w:val="19"/>
          <w:szCs w:val="19"/>
          <w:color w:val="auto"/>
        </w:rPr>
        <w:t>BONDS TO BE</w:t>
      </w:r>
    </w:p>
    <w:p>
      <w:pPr>
        <w:spacing w:after="0" w:line="15"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PURCHASED</w:t>
      </w:r>
    </w:p>
    <w:p>
      <w:pPr>
        <w:jc w:val="center"/>
        <w:ind w:right="5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3">
            <w:col w:w="4400" w:space="720"/>
            <w:col w:w="1260" w:space="720"/>
            <w:col w:w="1919"/>
          </w:cols>
          <w:pgMar w:left="1440" w:top="6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274955</wp:posOffset>
            </wp:positionV>
            <wp:extent cx="550354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22"/>
          <w:szCs w:val="22"/>
          <w:b w:val="1"/>
          <w:bCs w:val="1"/>
          <w:color w:val="auto"/>
        </w:rPr>
        <w:t>DEFINED TERMS</w:t>
      </w:r>
    </w:p>
    <w:p>
      <w:pPr>
        <w:spacing w:after="0" w:line="253"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“3.49% Series due June 1, 2051 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“3.54% Series due June 1, 2055 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“3.55% Series due June 1, 2056 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39" w:lineRule="exact"/>
        <w:rPr>
          <w:sz w:val="20"/>
          <w:szCs w:val="20"/>
          <w:color w:val="auto"/>
        </w:rPr>
      </w:pPr>
    </w:p>
    <w:p>
      <w:pPr>
        <w:jc w:val="both"/>
        <w:ind w:left="180" w:right="199" w:firstLine="648"/>
        <w:spacing w:after="0" w:line="246" w:lineRule="auto"/>
        <w:rPr>
          <w:sz w:val="20"/>
          <w:szCs w:val="20"/>
          <w:color w:val="auto"/>
        </w:rPr>
      </w:pPr>
      <w:r>
        <w:rPr>
          <w:rFonts w:ascii="Arial" w:cs="Arial" w:eastAsia="Arial" w:hAnsi="Arial"/>
          <w:sz w:val="21"/>
          <w:szCs w:val="21"/>
          <w:i w:val="1"/>
          <w:iCs w:val="1"/>
          <w:color w:val="auto"/>
        </w:rPr>
        <w:t xml:space="preserve">“Affiliate” </w:t>
      </w:r>
      <w:r>
        <w:rPr>
          <w:rFonts w:ascii="Arial" w:cs="Arial" w:eastAsia="Arial" w:hAnsi="Arial"/>
          <w:sz w:val="21"/>
          <w:szCs w:val="21"/>
          <w:color w:val="auto"/>
        </w:rPr>
        <w:t>means, at any time, and with respect to any Person, any other Person that at such</w:t>
      </w:r>
      <w:r>
        <w:rPr>
          <w:rFonts w:ascii="Arial" w:cs="Arial" w:eastAsia="Arial" w:hAnsi="Arial"/>
          <w:sz w:val="21"/>
          <w:szCs w:val="21"/>
          <w:i w:val="1"/>
          <w:iCs w:val="1"/>
          <w:color w:val="auto"/>
        </w:rPr>
        <w:t xml:space="preserve"> </w:t>
      </w:r>
      <w:r>
        <w:rPr>
          <w:rFonts w:ascii="Arial" w:cs="Arial" w:eastAsia="Arial" w:hAnsi="Arial"/>
          <w:sz w:val="21"/>
          <w:szCs w:val="21"/>
          <w:color w:val="auto"/>
        </w:rPr>
        <w:t>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21"/>
          <w:szCs w:val="21"/>
          <w:i w:val="1"/>
          <w:iCs w:val="1"/>
          <w:color w:val="auto"/>
        </w:rPr>
        <w:t>Affiliate</w:t>
      </w:r>
      <w:r>
        <w:rPr>
          <w:rFonts w:ascii="Arial" w:cs="Arial" w:eastAsia="Arial" w:hAnsi="Arial"/>
          <w:sz w:val="21"/>
          <w:szCs w:val="21"/>
          <w:color w:val="auto"/>
        </w:rPr>
        <w:t>” is a reference to an Affiliate of the Company.</w:t>
      </w:r>
    </w:p>
    <w:p>
      <w:pPr>
        <w:spacing w:after="0" w:line="225"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Bond Purchase Agreement, including all Schedules and Exhibits</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to this Agreement.</w:t>
      </w:r>
    </w:p>
    <w:p>
      <w:pPr>
        <w:spacing w:after="0" w:line="215" w:lineRule="exact"/>
        <w:rPr>
          <w:sz w:val="20"/>
          <w:szCs w:val="20"/>
          <w:color w:val="auto"/>
        </w:rPr>
      </w:pPr>
    </w:p>
    <w:p>
      <w:pPr>
        <w:jc w:val="both"/>
        <w:ind w:left="180" w:right="199" w:firstLine="648"/>
        <w:spacing w:after="0" w:line="253" w:lineRule="exact"/>
        <w:rPr>
          <w:sz w:val="20"/>
          <w:szCs w:val="20"/>
          <w:color w:val="auto"/>
        </w:rPr>
      </w:pP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 xml:space="preserve">Corruption Laws” </w:t>
      </w:r>
      <w:r>
        <w:rPr>
          <w:rFonts w:ascii="Arial" w:cs="Arial" w:eastAsia="Arial" w:hAnsi="Arial"/>
          <w:sz w:val="22"/>
          <w:szCs w:val="22"/>
          <w:color w:val="auto"/>
        </w:rPr>
        <w:t>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w:t>
      </w:r>
      <w:r>
        <w:rPr>
          <w:rFonts w:ascii="Arial" w:cs="Arial" w:eastAsia="Arial" w:hAnsi="Arial"/>
          <w:sz w:val="22"/>
          <w:szCs w:val="22"/>
          <w:i w:val="1"/>
          <w:iCs w:val="1"/>
          <w:color w:val="auto"/>
        </w:rPr>
        <w:t xml:space="preserve"> </w:t>
      </w:r>
      <w:r>
        <w:rPr>
          <w:rFonts w:ascii="Arial" w:cs="Arial" w:eastAsia="Arial" w:hAnsi="Arial"/>
          <w:sz w:val="22"/>
          <w:szCs w:val="22"/>
          <w:color w:val="auto"/>
        </w:rPr>
        <w:t>regarding bribery or any other corrupt activity, including the U.S. Foreign Corrupt Practices Act and the U.K. Bribery Act 2010.</w:t>
      </w:r>
    </w:p>
    <w:p>
      <w:pPr>
        <w:spacing w:after="0" w:line="213" w:lineRule="exact"/>
        <w:rPr>
          <w:sz w:val="20"/>
          <w:szCs w:val="20"/>
          <w:color w:val="auto"/>
        </w:rPr>
      </w:pPr>
    </w:p>
    <w:p>
      <w:pPr>
        <w:jc w:val="both"/>
        <w:ind w:left="180" w:right="199" w:firstLine="648"/>
        <w:spacing w:after="0" w:line="251" w:lineRule="exact"/>
        <w:rPr>
          <w:sz w:val="20"/>
          <w:szCs w:val="20"/>
          <w:color w:val="auto"/>
        </w:rPr>
      </w:pPr>
      <w:r>
        <w:rPr>
          <w:rFonts w:ascii="Arial" w:cs="Arial" w:eastAsia="Arial" w:hAnsi="Arial"/>
          <w:sz w:val="21"/>
          <w:szCs w:val="21"/>
          <w:i w:val="1"/>
          <w:iCs w:val="1"/>
          <w:color w:val="auto"/>
        </w:rPr>
        <w:t>“Anti</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 xml:space="preserve">Money Laundering Laws” </w:t>
      </w:r>
      <w:r>
        <w:rPr>
          <w:rFonts w:ascii="Arial" w:cs="Arial" w:eastAsia="Arial" w:hAnsi="Arial"/>
          <w:sz w:val="21"/>
          <w:szCs w:val="21"/>
          <w:color w:val="auto"/>
        </w:rPr>
        <w:t>means any law or regulation in a U.S. or any non</w:t>
      </w:r>
      <w:r>
        <w:rPr>
          <w:rFonts w:ascii="MS PGothic" w:cs="MS PGothic" w:eastAsia="MS PGothic" w:hAnsi="MS PGothic"/>
          <w:sz w:val="21"/>
          <w:szCs w:val="21"/>
          <w:color w:val="auto"/>
        </w:rPr>
        <w:t>‑</w:t>
      </w:r>
      <w:r>
        <w:rPr>
          <w:rFonts w:ascii="Arial" w:cs="Arial" w:eastAsia="Arial" w:hAnsi="Arial"/>
          <w:sz w:val="21"/>
          <w:szCs w:val="21"/>
          <w:color w:val="auto"/>
        </w:rPr>
        <w:t>U.S.</w:t>
      </w:r>
      <w:r>
        <w:rPr>
          <w:rFonts w:ascii="Arial" w:cs="Arial" w:eastAsia="Arial" w:hAnsi="Arial"/>
          <w:sz w:val="21"/>
          <w:szCs w:val="21"/>
          <w:i w:val="1"/>
          <w:iCs w:val="1"/>
          <w:color w:val="auto"/>
        </w:rPr>
        <w:t xml:space="preserve"> </w:t>
      </w:r>
      <w:r>
        <w:rPr>
          <w:rFonts w:ascii="Arial" w:cs="Arial" w:eastAsia="Arial" w:hAnsi="Arial"/>
          <w:sz w:val="21"/>
          <w:szCs w:val="21"/>
          <w:color w:val="auto"/>
        </w:rPr>
        <w:t>jurisdiction regarding money laundering, drug trafficking, terrorist</w:t>
      </w:r>
      <w:r>
        <w:rPr>
          <w:rFonts w:ascii="MS PGothic" w:cs="MS PGothic" w:eastAsia="MS PGothic" w:hAnsi="MS PGothic"/>
          <w:sz w:val="21"/>
          <w:szCs w:val="21"/>
          <w:color w:val="auto"/>
        </w:rPr>
        <w:t>‑</w:t>
      </w:r>
      <w:r>
        <w:rPr>
          <w:rFonts w:ascii="Arial" w:cs="Arial" w:eastAsia="Arial" w:hAnsi="Arial"/>
          <w:sz w:val="21"/>
          <w:szCs w:val="21"/>
          <w:color w:val="auto"/>
        </w:rPr>
        <w:t>related activities or other money laundering predicate crimes, including the Currency and Foreign Transactions Reporting Act of 1970 (otherwise known as the Bank Secrecy Act) and the USA Patriot Act.</w:t>
      </w:r>
    </w:p>
    <w:p>
      <w:pPr>
        <w:spacing w:after="0" w:line="226" w:lineRule="exact"/>
        <w:rPr>
          <w:sz w:val="20"/>
          <w:szCs w:val="20"/>
          <w:color w:val="auto"/>
        </w:rPr>
      </w:pPr>
    </w:p>
    <w:p>
      <w:pPr>
        <w:jc w:val="both"/>
        <w:ind w:left="180" w:right="199" w:firstLine="648"/>
        <w:spacing w:after="0" w:line="279" w:lineRule="auto"/>
        <w:rPr>
          <w:sz w:val="20"/>
          <w:szCs w:val="20"/>
          <w:color w:val="auto"/>
        </w:rPr>
      </w:pPr>
      <w:r>
        <w:rPr>
          <w:rFonts w:ascii="Arial" w:cs="Arial" w:eastAsia="Arial" w:hAnsi="Arial"/>
          <w:sz w:val="19"/>
          <w:szCs w:val="19"/>
          <w:i w:val="1"/>
          <w:iCs w:val="1"/>
          <w:color w:val="auto"/>
        </w:rPr>
        <w:t xml:space="preserve">“Blocked Person” </w:t>
      </w:r>
      <w:r>
        <w:rPr>
          <w:rFonts w:ascii="Arial" w:cs="Arial" w:eastAsia="Arial" w:hAnsi="Arial"/>
          <w:sz w:val="19"/>
          <w:szCs w:val="19"/>
          <w:color w:val="auto"/>
        </w:rPr>
        <w:t>means (a) a Person whose name appears on the list of Specially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Arial" w:cs="Arial" w:eastAsia="Arial" w:hAnsi="Arial"/>
          <w:sz w:val="19"/>
          <w:szCs w:val="19"/>
          <w:b w:val="1"/>
          <w:bCs w:val="1"/>
          <w:color w:val="auto"/>
        </w:rPr>
        <w:t>clause (a)</w:t>
      </w:r>
      <w:r>
        <w:rPr>
          <w:rFonts w:ascii="Arial" w:cs="Arial" w:eastAsia="Arial" w:hAnsi="Arial"/>
          <w:sz w:val="19"/>
          <w:szCs w:val="19"/>
          <w:color w:val="auto"/>
        </w:rPr>
        <w:t xml:space="preserve"> or </w:t>
      </w:r>
      <w:r>
        <w:rPr>
          <w:rFonts w:ascii="Arial" w:cs="Arial" w:eastAsia="Arial" w:hAnsi="Arial"/>
          <w:sz w:val="19"/>
          <w:szCs w:val="19"/>
          <w:b w:val="1"/>
          <w:bCs w:val="1"/>
          <w:color w:val="auto"/>
        </w:rPr>
        <w:t>(b)</w:t>
      </w:r>
      <w:r>
        <w:rPr>
          <w:rFonts w:ascii="Arial" w:cs="Arial" w:eastAsia="Arial" w:hAnsi="Arial"/>
          <w:sz w:val="19"/>
          <w:szCs w:val="19"/>
          <w:color w:val="auto"/>
        </w:rPr>
        <w:t>.</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“Bonds”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39" w:lineRule="exact"/>
        <w:rPr>
          <w:sz w:val="20"/>
          <w:szCs w:val="20"/>
          <w:color w:val="auto"/>
        </w:rPr>
      </w:pPr>
    </w:p>
    <w:p>
      <w:pPr>
        <w:jc w:val="both"/>
        <w:ind w:left="180" w:right="199" w:firstLine="648"/>
        <w:spacing w:after="0"/>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for the purposes of any provision of this Agreement, any day other</w:t>
      </w:r>
      <w:r>
        <w:rPr>
          <w:rFonts w:ascii="Arial" w:cs="Arial" w:eastAsia="Arial" w:hAnsi="Arial"/>
          <w:sz w:val="22"/>
          <w:szCs w:val="22"/>
          <w:i w:val="1"/>
          <w:iCs w:val="1"/>
          <w:color w:val="auto"/>
        </w:rPr>
        <w:t xml:space="preserve"> </w:t>
      </w:r>
      <w:r>
        <w:rPr>
          <w:rFonts w:ascii="Arial" w:cs="Arial" w:eastAsia="Arial" w:hAnsi="Arial"/>
          <w:sz w:val="22"/>
          <w:szCs w:val="22"/>
          <w:color w:val="auto"/>
        </w:rPr>
        <w:t>than a Saturday, a Sunday or a day on which commercial banks in New York, New York or Philadelphia, Pennsylvania are required or authorized to be closed.</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B</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02" w:name="page103"/>
    <w:bookmarkEnd w:id="102"/>
    <w:p>
      <w:pPr>
        <w:jc w:val="both"/>
        <w:ind w:left="180" w:right="199" w:firstLine="648"/>
        <w:spacing w:after="0"/>
        <w:rPr>
          <w:sz w:val="20"/>
          <w:szCs w:val="20"/>
          <w:color w:val="auto"/>
        </w:rPr>
      </w:pPr>
      <w:r>
        <w:rPr>
          <w:rFonts w:ascii="Arial" w:cs="Arial" w:eastAsia="Arial" w:hAnsi="Arial"/>
          <w:sz w:val="22"/>
          <w:szCs w:val="22"/>
          <w:i w:val="1"/>
          <w:iCs w:val="1"/>
          <w:color w:val="auto"/>
        </w:rPr>
        <w:t xml:space="preserve">“Capital Lease” </w:t>
      </w:r>
      <w:r>
        <w:rPr>
          <w:rFonts w:ascii="Arial" w:cs="Arial" w:eastAsia="Arial" w:hAnsi="Arial"/>
          <w:sz w:val="22"/>
          <w:szCs w:val="22"/>
          <w:color w:val="auto"/>
        </w:rPr>
        <w:t>means, at any time, a lease with respect to which the lessee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to recognize the acquisition of an asset and the incurrence of a liability in accordance with GAAP.</w:t>
      </w:r>
    </w:p>
    <w:p>
      <w:pPr>
        <w:spacing w:after="0" w:line="213" w:lineRule="exact"/>
        <w:rPr>
          <w:sz w:val="20"/>
          <w:szCs w:val="20"/>
          <w:color w:val="auto"/>
        </w:rPr>
      </w:pPr>
    </w:p>
    <w:p>
      <w:pPr>
        <w:jc w:val="both"/>
        <w:ind w:left="180" w:right="199" w:firstLine="648"/>
        <w:spacing w:after="0" w:line="257" w:lineRule="auto"/>
        <w:rPr>
          <w:sz w:val="20"/>
          <w:szCs w:val="20"/>
          <w:color w:val="auto"/>
        </w:rPr>
      </w:pPr>
      <w:r>
        <w:rPr>
          <w:rFonts w:ascii="Arial" w:cs="Arial" w:eastAsia="Arial" w:hAnsi="Arial"/>
          <w:sz w:val="21"/>
          <w:szCs w:val="21"/>
          <w:i w:val="1"/>
          <w:iCs w:val="1"/>
          <w:color w:val="auto"/>
        </w:rPr>
        <w:t xml:space="preserve">“Capital Lease Obligation” </w:t>
      </w:r>
      <w:r>
        <w:rPr>
          <w:rFonts w:ascii="Arial" w:cs="Arial" w:eastAsia="Arial" w:hAnsi="Arial"/>
          <w:sz w:val="21"/>
          <w:szCs w:val="21"/>
          <w:color w:val="auto"/>
        </w:rPr>
        <w:t>means, with respect to any Person and a Capital Lease, the</w:t>
      </w:r>
      <w:r>
        <w:rPr>
          <w:rFonts w:ascii="Arial" w:cs="Arial" w:eastAsia="Arial" w:hAnsi="Arial"/>
          <w:sz w:val="21"/>
          <w:szCs w:val="21"/>
          <w:i w:val="1"/>
          <w:iCs w:val="1"/>
          <w:color w:val="auto"/>
        </w:rPr>
        <w:t xml:space="preserve"> </w:t>
      </w:r>
      <w:r>
        <w:rPr>
          <w:rFonts w:ascii="Arial" w:cs="Arial" w:eastAsia="Arial" w:hAnsi="Arial"/>
          <w:sz w:val="21"/>
          <w:szCs w:val="21"/>
          <w:color w:val="auto"/>
        </w:rPr>
        <w:t>amount of the obligation of such Person as the lessee under such Capital Lease which would, in accordance with GAAP, appear as a liability on a balance sheet of such Person.</w:t>
      </w:r>
    </w:p>
    <w:p>
      <w:pPr>
        <w:spacing w:after="0" w:line="204"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“Closing”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3</w:t>
      </w:r>
      <w:r>
        <w:rPr>
          <w:rFonts w:ascii="Arial" w:cs="Arial" w:eastAsia="Arial" w:hAnsi="Arial"/>
          <w:sz w:val="22"/>
          <w:szCs w:val="22"/>
          <w:color w:val="auto"/>
        </w:rPr>
        <w:t>.</w:t>
      </w:r>
    </w:p>
    <w:p>
      <w:pPr>
        <w:spacing w:after="0" w:line="253"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w:t>
      </w:r>
    </w:p>
    <w:p>
      <w:pPr>
        <w:spacing w:after="0" w:line="202"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Aqua Pennsylvania, Inc., a corporation existing under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Commonwealth of Pennsylvania.</w:t>
      </w:r>
    </w:p>
    <w:p>
      <w:pPr>
        <w:spacing w:after="0" w:line="215" w:lineRule="exact"/>
        <w:rPr>
          <w:sz w:val="20"/>
          <w:szCs w:val="20"/>
          <w:color w:val="auto"/>
        </w:rPr>
      </w:pPr>
    </w:p>
    <w:p>
      <w:pPr>
        <w:jc w:val="both"/>
        <w:ind w:left="180" w:right="19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Controlled Entity</w:t>
      </w:r>
      <w:r>
        <w:rPr>
          <w:rFonts w:ascii="Arial" w:cs="Arial" w:eastAsia="Arial" w:hAnsi="Arial"/>
          <w:sz w:val="22"/>
          <w:szCs w:val="22"/>
          <w:color w:val="auto"/>
        </w:rPr>
        <w:t>” means any of the Subsidiaries of the Company and any of their or the Company’s respective Controlled Affiliates. As used in this definition, “</w:t>
      </w:r>
      <w:r>
        <w:rPr>
          <w:rFonts w:ascii="Arial" w:cs="Arial" w:eastAsia="Arial" w:hAnsi="Arial"/>
          <w:sz w:val="22"/>
          <w:szCs w:val="22"/>
          <w:i w:val="1"/>
          <w:i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w:t>
      </w:r>
    </w:p>
    <w:p>
      <w:pPr>
        <w:spacing w:after="0" w:line="228"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“Debt” </w:t>
      </w:r>
      <w:r>
        <w:rPr>
          <w:rFonts w:ascii="Arial" w:cs="Arial" w:eastAsia="Arial" w:hAnsi="Arial"/>
          <w:sz w:val="22"/>
          <w:szCs w:val="22"/>
          <w:color w:val="auto"/>
        </w:rPr>
        <w:t>means, with respect to any Person, without duplication,</w:t>
      </w:r>
    </w:p>
    <w:p>
      <w:pPr>
        <w:spacing w:after="0" w:line="233" w:lineRule="exact"/>
        <w:rPr>
          <w:sz w:val="20"/>
          <w:szCs w:val="20"/>
          <w:color w:val="auto"/>
        </w:rPr>
      </w:pPr>
    </w:p>
    <w:p>
      <w:pPr>
        <w:ind w:left="1500" w:hanging="452"/>
        <w:spacing w:after="0"/>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246" w:lineRule="exact"/>
        <w:rPr>
          <w:rFonts w:ascii="Arial" w:cs="Arial" w:eastAsia="Arial" w:hAnsi="Arial"/>
          <w:sz w:val="22"/>
          <w:szCs w:val="22"/>
          <w:color w:val="auto"/>
        </w:rPr>
      </w:pPr>
    </w:p>
    <w:p>
      <w:pPr>
        <w:jc w:val="both"/>
        <w:ind w:left="840" w:right="199" w:firstLine="275"/>
        <w:spacing w:after="0" w:line="287" w:lineRule="auto"/>
        <w:tabs>
          <w:tab w:leader="none" w:pos="1659" w:val="left"/>
        </w:tabs>
        <w:numPr>
          <w:ilvl w:val="1"/>
          <w:numId w:val="50"/>
        </w:numPr>
        <w:rPr>
          <w:rFonts w:ascii="Arial" w:cs="Arial" w:eastAsia="Arial" w:hAnsi="Arial"/>
          <w:sz w:val="19"/>
          <w:szCs w:val="19"/>
          <w:color w:val="auto"/>
        </w:rPr>
      </w:pPr>
      <w:r>
        <w:rPr>
          <w:rFonts w:ascii="Arial" w:cs="Arial" w:eastAsia="Arial" w:hAnsi="Arial"/>
          <w:sz w:val="19"/>
          <w:szCs w:val="19"/>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83" w:lineRule="exact"/>
        <w:rPr>
          <w:sz w:val="20"/>
          <w:szCs w:val="20"/>
          <w:color w:val="auto"/>
        </w:rPr>
      </w:pPr>
    </w:p>
    <w:p>
      <w:pPr>
        <w:ind w:left="1500" w:hanging="452"/>
        <w:spacing w:after="0"/>
        <w:tabs>
          <w:tab w:leader="none" w:pos="15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233" w:lineRule="exact"/>
        <w:rPr>
          <w:rFonts w:ascii="Arial" w:cs="Arial" w:eastAsia="Arial" w:hAnsi="Arial"/>
          <w:sz w:val="22"/>
          <w:szCs w:val="22"/>
          <w:color w:val="auto"/>
        </w:rPr>
      </w:pPr>
    </w:p>
    <w:p>
      <w:pPr>
        <w:jc w:val="both"/>
        <w:ind w:left="840" w:right="199" w:firstLine="221"/>
        <w:spacing w:after="0"/>
        <w:tabs>
          <w:tab w:leader="none" w:pos="1564" w:val="left"/>
        </w:tabs>
        <w:numPr>
          <w:ilvl w:val="1"/>
          <w:numId w:val="51"/>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226" w:lineRule="exact"/>
        <w:rPr>
          <w:rFonts w:ascii="Arial" w:cs="Arial" w:eastAsia="Arial" w:hAnsi="Arial"/>
          <w:sz w:val="22"/>
          <w:szCs w:val="22"/>
          <w:color w:val="auto"/>
        </w:rPr>
      </w:pPr>
    </w:p>
    <w:p>
      <w:pPr>
        <w:jc w:val="both"/>
        <w:ind w:left="840" w:right="199" w:firstLine="316"/>
        <w:spacing w:after="0" w:line="257" w:lineRule="auto"/>
        <w:tabs>
          <w:tab w:leader="none" w:pos="1728" w:val="left"/>
        </w:tabs>
        <w:numPr>
          <w:ilvl w:val="2"/>
          <w:numId w:val="51"/>
        </w:numPr>
        <w:rPr>
          <w:rFonts w:ascii="Arial" w:cs="Arial" w:eastAsia="Arial" w:hAnsi="Arial"/>
          <w:sz w:val="21"/>
          <w:szCs w:val="21"/>
          <w:color w:val="auto"/>
        </w:rPr>
      </w:pPr>
      <w:r>
        <w:rPr>
          <w:rFonts w:ascii="Arial" w:cs="Arial" w:eastAsia="Arial" w:hAnsi="Arial"/>
          <w:sz w:val="21"/>
          <w:szCs w:val="21"/>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210" w:lineRule="exact"/>
        <w:rPr>
          <w:sz w:val="20"/>
          <w:szCs w:val="20"/>
          <w:color w:val="auto"/>
        </w:rPr>
      </w:pPr>
    </w:p>
    <w:p>
      <w:pPr>
        <w:ind w:left="1480" w:hanging="432"/>
        <w:spacing w:after="0"/>
        <w:tabs>
          <w:tab w:leader="none" w:pos="14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3" w:name="page104"/>
    <w:bookmarkEnd w:id="103"/>
    <w:p>
      <w:pPr>
        <w:ind w:left="840" w:right="199" w:firstLine="262"/>
        <w:spacing w:after="0" w:line="250" w:lineRule="auto"/>
        <w:tabs>
          <w:tab w:leader="none" w:pos="1632" w:val="left"/>
        </w:tabs>
        <w:numPr>
          <w:ilvl w:val="0"/>
          <w:numId w:val="53"/>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202" w:lineRule="exact"/>
        <w:rPr>
          <w:sz w:val="20"/>
          <w:szCs w:val="20"/>
          <w:color w:val="auto"/>
        </w:rPr>
      </w:pPr>
    </w:p>
    <w:p>
      <w:pPr>
        <w:jc w:val="both"/>
        <w:ind w:left="180" w:right="199"/>
        <w:spacing w:after="0" w:line="257" w:lineRule="auto"/>
        <w:rPr>
          <w:sz w:val="20"/>
          <w:szCs w:val="20"/>
          <w:color w:val="auto"/>
        </w:rPr>
      </w:pPr>
      <w:r>
        <w:rPr>
          <w:rFonts w:ascii="Arial" w:cs="Arial" w:eastAsia="Arial" w:hAnsi="Arial"/>
          <w:sz w:val="21"/>
          <w:szCs w:val="21"/>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10"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 event or condition the occurrence or existence of which would,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lapse of time or the giving of notice or both, become an Event of Default.</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“Disclosure Documents”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5.3</w:t>
      </w:r>
      <w:r>
        <w:rPr>
          <w:rFonts w:ascii="Arial" w:cs="Arial" w:eastAsia="Arial" w:hAnsi="Arial"/>
          <w:sz w:val="22"/>
          <w:szCs w:val="22"/>
          <w:color w:val="auto"/>
        </w:rPr>
        <w:t>.</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“EMMA”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7.1(a)</w:t>
      </w:r>
      <w:r>
        <w:rPr>
          <w:rFonts w:ascii="Arial" w:cs="Arial" w:eastAsia="Arial" w:hAnsi="Arial"/>
          <w:sz w:val="22"/>
          <w:szCs w:val="22"/>
          <w:color w:val="auto"/>
        </w:rPr>
        <w:t>.</w:t>
      </w:r>
    </w:p>
    <w:p>
      <w:pPr>
        <w:spacing w:after="0" w:line="253" w:lineRule="exact"/>
        <w:rPr>
          <w:sz w:val="20"/>
          <w:szCs w:val="20"/>
          <w:color w:val="auto"/>
        </w:rPr>
      </w:pPr>
    </w:p>
    <w:p>
      <w:pPr>
        <w:jc w:val="both"/>
        <w:ind w:left="180" w:right="199" w:firstLine="648"/>
        <w:spacing w:after="0" w:line="236" w:lineRule="auto"/>
        <w:rPr>
          <w:sz w:val="20"/>
          <w:szCs w:val="20"/>
          <w:color w:val="auto"/>
        </w:rPr>
      </w:pPr>
      <w:r>
        <w:rPr>
          <w:rFonts w:ascii="Arial" w:cs="Arial" w:eastAsia="Arial" w:hAnsi="Arial"/>
          <w:sz w:val="22"/>
          <w:szCs w:val="22"/>
          <w:i w:val="1"/>
          <w:iCs w:val="1"/>
          <w:color w:val="auto"/>
        </w:rPr>
        <w:t xml:space="preserve">“Environmental Laws” </w:t>
      </w:r>
      <w:r>
        <w:rPr>
          <w:rFonts w:ascii="Arial" w:cs="Arial" w:eastAsia="Arial" w:hAnsi="Arial"/>
          <w:sz w:val="22"/>
          <w:szCs w:val="22"/>
          <w:color w:val="auto"/>
        </w:rPr>
        <w:t>means any and all Federal, state, local, and foreign statutes, laws,</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228" w:lineRule="exact"/>
        <w:rPr>
          <w:sz w:val="20"/>
          <w:szCs w:val="20"/>
          <w:color w:val="auto"/>
        </w:rPr>
      </w:pPr>
    </w:p>
    <w:p>
      <w:pPr>
        <w:jc w:val="both"/>
        <w:ind w:left="180" w:right="199" w:firstLine="648"/>
        <w:spacing w:after="0" w:line="328" w:lineRule="auto"/>
        <w:rPr>
          <w:sz w:val="20"/>
          <w:szCs w:val="20"/>
          <w:color w:val="auto"/>
        </w:rPr>
      </w:pPr>
      <w:r>
        <w:rPr>
          <w:rFonts w:ascii="Arial" w:cs="Arial" w:eastAsia="Arial" w:hAnsi="Arial"/>
          <w:sz w:val="19"/>
          <w:szCs w:val="19"/>
          <w:i w:val="1"/>
          <w:iCs w:val="1"/>
          <w:color w:val="auto"/>
        </w:rPr>
        <w:t xml:space="preserve">“ERISA” </w:t>
      </w:r>
      <w:r>
        <w:rPr>
          <w:rFonts w:ascii="Arial" w:cs="Arial" w:eastAsia="Arial" w:hAnsi="Arial"/>
          <w:sz w:val="19"/>
          <w:szCs w:val="19"/>
          <w:color w:val="auto"/>
        </w:rPr>
        <w:t>means the Employee Retirement Income Security Act of 1974, as amended from</w:t>
      </w:r>
      <w:r>
        <w:rPr>
          <w:rFonts w:ascii="Arial" w:cs="Arial" w:eastAsia="Arial" w:hAnsi="Arial"/>
          <w:sz w:val="19"/>
          <w:szCs w:val="19"/>
          <w:i w:val="1"/>
          <w:iCs w:val="1"/>
          <w:color w:val="auto"/>
        </w:rPr>
        <w:t xml:space="preserve"> </w:t>
      </w:r>
      <w:r>
        <w:rPr>
          <w:rFonts w:ascii="Arial" w:cs="Arial" w:eastAsia="Arial" w:hAnsi="Arial"/>
          <w:sz w:val="19"/>
          <w:szCs w:val="19"/>
          <w:color w:val="auto"/>
        </w:rPr>
        <w:t>time to time, and the rules and regulations promulgated thereunder from time to time in effect.</w:t>
      </w:r>
    </w:p>
    <w:p>
      <w:pPr>
        <w:spacing w:after="0" w:line="132" w:lineRule="exact"/>
        <w:rPr>
          <w:sz w:val="20"/>
          <w:szCs w:val="20"/>
          <w:color w:val="auto"/>
        </w:rPr>
      </w:pPr>
    </w:p>
    <w:p>
      <w:pPr>
        <w:jc w:val="both"/>
        <w:ind w:left="180" w:right="199" w:firstLine="648"/>
        <w:spacing w:after="0" w:line="274" w:lineRule="auto"/>
        <w:rPr>
          <w:sz w:val="20"/>
          <w:szCs w:val="20"/>
          <w:color w:val="auto"/>
        </w:rPr>
      </w:pPr>
      <w:r>
        <w:rPr>
          <w:rFonts w:ascii="Arial" w:cs="Arial" w:eastAsia="Arial" w:hAnsi="Arial"/>
          <w:sz w:val="21"/>
          <w:szCs w:val="21"/>
          <w:i w:val="1"/>
          <w:iCs w:val="1"/>
          <w:color w:val="auto"/>
        </w:rPr>
        <w:t xml:space="preserve">“ERISA Affiliate” </w:t>
      </w:r>
      <w:r>
        <w:rPr>
          <w:rFonts w:ascii="Arial" w:cs="Arial" w:eastAsia="Arial" w:hAnsi="Arial"/>
          <w:sz w:val="21"/>
          <w:szCs w:val="21"/>
          <w:color w:val="auto"/>
        </w:rPr>
        <w:t>means any trade or business (whether or not incorporated) that is treated</w:t>
      </w:r>
      <w:r>
        <w:rPr>
          <w:rFonts w:ascii="Arial" w:cs="Arial" w:eastAsia="Arial" w:hAnsi="Arial"/>
          <w:sz w:val="21"/>
          <w:szCs w:val="21"/>
          <w:i w:val="1"/>
          <w:iCs w:val="1"/>
          <w:color w:val="auto"/>
        </w:rPr>
        <w:t xml:space="preserve"> </w:t>
      </w:r>
      <w:r>
        <w:rPr>
          <w:rFonts w:ascii="Arial" w:cs="Arial" w:eastAsia="Arial" w:hAnsi="Arial"/>
          <w:sz w:val="21"/>
          <w:szCs w:val="21"/>
          <w:color w:val="auto"/>
        </w:rPr>
        <w:t>as a single employer together with the Company under section 414 of the Code.</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is an “event of default” as defined in the Indenture.</w:t>
      </w:r>
    </w:p>
    <w:p>
      <w:pPr>
        <w:spacing w:after="0" w:line="247"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“Financing Agreements” </w:t>
      </w:r>
      <w:r>
        <w:rPr>
          <w:rFonts w:ascii="Arial" w:cs="Arial" w:eastAsia="Arial" w:hAnsi="Arial"/>
          <w:sz w:val="22"/>
          <w:szCs w:val="22"/>
          <w:color w:val="auto"/>
        </w:rPr>
        <w:t>means this Agreement, the Indenture (including without limitation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 Supplement), and the Bonds.</w:t>
      </w:r>
    </w:p>
    <w:p>
      <w:pPr>
        <w:spacing w:after="0" w:line="202"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as in effect from time to time in the United States of America.</w:t>
      </w:r>
    </w:p>
    <w:p>
      <w:pPr>
        <w:spacing w:after="0" w:line="215"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“Governmental Authority” </w:t>
      </w:r>
      <w:r>
        <w:rPr>
          <w:rFonts w:ascii="Arial" w:cs="Arial" w:eastAsia="Arial" w:hAnsi="Arial"/>
          <w:sz w:val="22"/>
          <w:szCs w:val="22"/>
          <w:color w:val="auto"/>
        </w:rPr>
        <w:t>means:</w:t>
      </w:r>
    </w:p>
    <w:p>
      <w:pPr>
        <w:spacing w:after="0" w:line="247" w:lineRule="exact"/>
        <w:rPr>
          <w:sz w:val="20"/>
          <w:szCs w:val="20"/>
          <w:color w:val="auto"/>
        </w:rPr>
      </w:pPr>
    </w:p>
    <w:p>
      <w:pPr>
        <w:ind w:left="1500" w:hanging="452"/>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33" w:lineRule="exact"/>
        <w:rPr>
          <w:rFonts w:ascii="Arial" w:cs="Arial" w:eastAsia="Arial" w:hAnsi="Arial"/>
          <w:sz w:val="22"/>
          <w:szCs w:val="22"/>
          <w:color w:val="auto"/>
        </w:rPr>
      </w:pPr>
    </w:p>
    <w:p>
      <w:pPr>
        <w:ind w:left="1480" w:right="199" w:firstLine="324"/>
        <w:spacing w:after="0" w:line="250" w:lineRule="auto"/>
        <w:tabs>
          <w:tab w:leader="none" w:pos="2345"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United States of America or any State or other political subdivision thereof, or</w:t>
      </w:r>
    </w:p>
    <w:p>
      <w:pPr>
        <w:spacing w:after="0" w:line="215" w:lineRule="exact"/>
        <w:rPr>
          <w:sz w:val="20"/>
          <w:szCs w:val="20"/>
          <w:color w:val="auto"/>
        </w:rPr>
      </w:pPr>
    </w:p>
    <w:p>
      <w:pPr>
        <w:jc w:val="both"/>
        <w:ind w:left="1480" w:right="199" w:firstLine="229"/>
        <w:spacing w:after="0"/>
        <w:tabs>
          <w:tab w:leader="none" w:pos="22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4" w:name="page105"/>
    <w:bookmarkEnd w:id="104"/>
    <w:p>
      <w:pPr>
        <w:ind w:left="840" w:right="199" w:firstLine="289"/>
        <w:spacing w:after="0" w:line="250" w:lineRule="auto"/>
        <w:tabs>
          <w:tab w:leader="none" w:pos="1686"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202" w:lineRule="exact"/>
        <w:rPr>
          <w:sz w:val="20"/>
          <w:szCs w:val="20"/>
          <w:color w:val="auto"/>
        </w:rPr>
      </w:pPr>
    </w:p>
    <w:p>
      <w:pPr>
        <w:jc w:val="both"/>
        <w:ind w:left="180" w:right="199" w:firstLine="648"/>
        <w:spacing w:after="0" w:line="251" w:lineRule="exact"/>
        <w:rPr>
          <w:sz w:val="20"/>
          <w:szCs w:val="20"/>
          <w:color w:val="auto"/>
        </w:rPr>
      </w:pPr>
      <w:r>
        <w:rPr>
          <w:rFonts w:ascii="Arial" w:cs="Arial" w:eastAsia="Arial" w:hAnsi="Arial"/>
          <w:sz w:val="22"/>
          <w:szCs w:val="22"/>
          <w:i w:val="1"/>
          <w:iCs w:val="1"/>
          <w:color w:val="auto"/>
        </w:rPr>
        <w:t xml:space="preserve">“Governmental Official” </w:t>
      </w:r>
      <w:r>
        <w:rPr>
          <w:rFonts w:ascii="Arial" w:cs="Arial" w:eastAsia="Arial" w:hAnsi="Arial"/>
          <w:sz w:val="22"/>
          <w:szCs w:val="22"/>
          <w:color w:val="auto"/>
        </w:rPr>
        <w:t>means any governmental official or employee, employee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w:t>
      </w:r>
      <w:r>
        <w:rPr>
          <w:rFonts w:ascii="MS PGothic" w:cs="MS PGothic" w:eastAsia="MS PGothic" w:hAnsi="MS PGothic"/>
          <w:sz w:val="22"/>
          <w:szCs w:val="22"/>
          <w:color w:val="auto"/>
        </w:rPr>
        <w:t>‑</w:t>
      </w:r>
      <w:r>
        <w:rPr>
          <w:rFonts w:ascii="Arial" w:cs="Arial" w:eastAsia="Arial" w:hAnsi="Arial"/>
          <w:sz w:val="22"/>
          <w:szCs w:val="22"/>
          <w:color w:val="auto"/>
        </w:rPr>
        <w:t>owned or government</w:t>
      </w:r>
      <w:r>
        <w:rPr>
          <w:rFonts w:ascii="MS PGothic" w:cs="MS PGothic" w:eastAsia="MS PGothic" w:hAnsi="MS PGothic"/>
          <w:sz w:val="22"/>
          <w:szCs w:val="22"/>
          <w:color w:val="auto"/>
        </w:rPr>
        <w:t>‑</w:t>
      </w:r>
      <w:r>
        <w:rPr>
          <w:rFonts w:ascii="Arial" w:cs="Arial" w:eastAsia="Arial" w:hAnsi="Arial"/>
          <w:sz w:val="22"/>
          <w:szCs w:val="22"/>
          <w:color w:val="auto"/>
        </w:rPr>
        <w:t>controlled entity, political party, any official of a political party, candidate for political office, official of any public international organization or anyone else acting in an official capacity.</w:t>
      </w:r>
    </w:p>
    <w:p>
      <w:pPr>
        <w:spacing w:after="0" w:line="225" w:lineRule="exact"/>
        <w:rPr>
          <w:sz w:val="20"/>
          <w:szCs w:val="20"/>
          <w:color w:val="auto"/>
        </w:rPr>
      </w:pPr>
    </w:p>
    <w:p>
      <w:pPr>
        <w:jc w:val="both"/>
        <w:ind w:left="180" w:right="199" w:firstLine="648"/>
        <w:spacing w:after="0" w:line="282" w:lineRule="auto"/>
        <w:rPr>
          <w:sz w:val="20"/>
          <w:szCs w:val="20"/>
          <w:color w:val="auto"/>
        </w:rPr>
      </w:pPr>
      <w:r>
        <w:rPr>
          <w:rFonts w:ascii="Arial" w:cs="Arial" w:eastAsia="Arial" w:hAnsi="Arial"/>
          <w:sz w:val="19"/>
          <w:szCs w:val="19"/>
          <w:i w:val="1"/>
          <w:iCs w:val="1"/>
          <w:color w:val="auto"/>
        </w:rPr>
        <w:t xml:space="preserve">“Guaranty” </w:t>
      </w:r>
      <w:r>
        <w:rPr>
          <w:rFonts w:ascii="Arial" w:cs="Arial" w:eastAsia="Arial" w:hAnsi="Arial"/>
          <w:sz w:val="19"/>
          <w:szCs w:val="19"/>
          <w:color w:val="auto"/>
        </w:rPr>
        <w:t>means, with respect to any Person, any obligation (except the endorsement in</w:t>
      </w:r>
      <w:r>
        <w:rPr>
          <w:rFonts w:ascii="Arial" w:cs="Arial" w:eastAsia="Arial" w:hAnsi="Arial"/>
          <w:sz w:val="19"/>
          <w:szCs w:val="19"/>
          <w:i w:val="1"/>
          <w:iCs w:val="1"/>
          <w:color w:val="auto"/>
        </w:rPr>
        <w:t xml:space="preserve"> </w:t>
      </w:r>
      <w:r>
        <w:rPr>
          <w:rFonts w:ascii="Arial" w:cs="Arial" w:eastAsia="Arial" w:hAnsi="Arial"/>
          <w:sz w:val="19"/>
          <w:szCs w:val="19"/>
          <w:color w:val="auto"/>
        </w:rPr>
        <w:t>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88" w:lineRule="exact"/>
        <w:rPr>
          <w:sz w:val="20"/>
          <w:szCs w:val="20"/>
          <w:color w:val="auto"/>
        </w:rPr>
      </w:pPr>
    </w:p>
    <w:p>
      <w:pPr>
        <w:jc w:val="both"/>
        <w:ind w:left="840" w:right="199" w:firstLine="262"/>
        <w:spacing w:after="0"/>
        <w:tabs>
          <w:tab w:leader="none" w:pos="1633" w:val="left"/>
        </w:tabs>
        <w:numPr>
          <w:ilvl w:val="1"/>
          <w:numId w:val="57"/>
        </w:numPr>
        <w:rPr>
          <w:rFonts w:ascii="Arial" w:cs="Arial" w:eastAsia="Arial" w:hAnsi="Arial"/>
          <w:sz w:val="22"/>
          <w:szCs w:val="22"/>
          <w:color w:val="auto"/>
        </w:rPr>
      </w:pPr>
      <w:r>
        <w:rPr>
          <w:rFonts w:ascii="Arial" w:cs="Arial" w:eastAsia="Arial" w:hAnsi="Arial"/>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213" w:lineRule="exact"/>
        <w:rPr>
          <w:rFonts w:ascii="Arial" w:cs="Arial" w:eastAsia="Arial" w:hAnsi="Arial"/>
          <w:sz w:val="22"/>
          <w:szCs w:val="22"/>
          <w:color w:val="auto"/>
        </w:rPr>
      </w:pPr>
    </w:p>
    <w:p>
      <w:pPr>
        <w:jc w:val="both"/>
        <w:ind w:left="840" w:right="199" w:firstLine="356"/>
        <w:spacing w:after="0" w:line="252" w:lineRule="auto"/>
        <w:tabs>
          <w:tab w:leader="none" w:pos="1821" w:val="left"/>
        </w:tabs>
        <w:numPr>
          <w:ilvl w:val="3"/>
          <w:numId w:val="57"/>
        </w:numPr>
        <w:rPr>
          <w:rFonts w:ascii="Arial" w:cs="Arial" w:eastAsia="Arial" w:hAnsi="Arial"/>
          <w:sz w:val="21"/>
          <w:szCs w:val="21"/>
          <w:color w:val="auto"/>
        </w:rPr>
      </w:pPr>
      <w:r>
        <w:rPr>
          <w:rFonts w:ascii="Arial" w:cs="Arial" w:eastAsia="Arial" w:hAnsi="Arial"/>
          <w:sz w:val="21"/>
          <w:szCs w:val="21"/>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214" w:lineRule="exact"/>
        <w:rPr>
          <w:rFonts w:ascii="Arial" w:cs="Arial" w:eastAsia="Arial" w:hAnsi="Arial"/>
          <w:sz w:val="21"/>
          <w:szCs w:val="21"/>
          <w:color w:val="auto"/>
        </w:rPr>
      </w:pPr>
    </w:p>
    <w:p>
      <w:pPr>
        <w:jc w:val="both"/>
        <w:ind w:left="840" w:right="199" w:firstLine="221"/>
        <w:spacing w:after="0"/>
        <w:tabs>
          <w:tab w:leader="none" w:pos="1539" w:val="left"/>
        </w:tabs>
        <w:numPr>
          <w:ilvl w:val="0"/>
          <w:numId w:val="58"/>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226" w:lineRule="exact"/>
        <w:rPr>
          <w:rFonts w:ascii="Arial" w:cs="Arial" w:eastAsia="Arial" w:hAnsi="Arial"/>
          <w:sz w:val="22"/>
          <w:szCs w:val="22"/>
          <w:color w:val="auto"/>
        </w:rPr>
      </w:pPr>
    </w:p>
    <w:p>
      <w:pPr>
        <w:ind w:left="1680" w:hanging="551"/>
        <w:spacing w:after="0"/>
        <w:tabs>
          <w:tab w:leader="none" w:pos="1680" w:val="left"/>
        </w:tabs>
        <w:numPr>
          <w:ilvl w:val="2"/>
          <w:numId w:val="58"/>
        </w:numPr>
        <w:rPr>
          <w:rFonts w:ascii="Arial" w:cs="Arial" w:eastAsia="Arial" w:hAnsi="Arial"/>
          <w:sz w:val="19"/>
          <w:szCs w:val="19"/>
          <w:color w:val="auto"/>
        </w:rPr>
      </w:pPr>
      <w:r>
        <w:rPr>
          <w:rFonts w:ascii="Arial" w:cs="Arial" w:eastAsia="Arial" w:hAnsi="Arial"/>
          <w:sz w:val="19"/>
          <w:szCs w:val="19"/>
          <w:color w:val="auto"/>
        </w:rPr>
        <w:t>otherwise to assure the owner of such Debt or obligation against loss in respect</w:t>
      </w:r>
    </w:p>
    <w:p>
      <w:pPr>
        <w:spacing w:after="0" w:line="42"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15" w:lineRule="exact"/>
        <w:rPr>
          <w:sz w:val="20"/>
          <w:szCs w:val="20"/>
          <w:color w:val="auto"/>
        </w:rPr>
      </w:pPr>
    </w:p>
    <w:p>
      <w:pPr>
        <w:jc w:val="both"/>
        <w:ind w:left="180" w:right="199"/>
        <w:spacing w:after="0" w:line="287" w:lineRule="auto"/>
        <w:rPr>
          <w:sz w:val="20"/>
          <w:szCs w:val="20"/>
          <w:color w:val="auto"/>
        </w:rPr>
      </w:pPr>
      <w:r>
        <w:rPr>
          <w:rFonts w:ascii="Arial" w:cs="Arial" w:eastAsia="Arial" w:hAnsi="Arial"/>
          <w:sz w:val="19"/>
          <w:szCs w:val="19"/>
          <w:color w:val="auto"/>
        </w:rPr>
        <w:t xml:space="preserve">In any computation of the Debt or other liabilities of the obligor under any Guaranty, the Debt or other obligations that are the subject of such Guaranty shall be assumed to be direct obligations of such obligor,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such Debt outstanding for purposes of this Agreement shall not exceed the maximum amount of Debt that is the subject of such Guaranty.</w:t>
      </w:r>
    </w:p>
    <w:p>
      <w:pPr>
        <w:spacing w:after="0" w:line="183" w:lineRule="exact"/>
        <w:rPr>
          <w:sz w:val="20"/>
          <w:szCs w:val="20"/>
          <w:color w:val="auto"/>
        </w:rPr>
      </w:pPr>
    </w:p>
    <w:p>
      <w:pPr>
        <w:jc w:val="both"/>
        <w:ind w:left="180" w:right="199" w:firstLine="648"/>
        <w:spacing w:after="0" w:line="277"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and all pollutants, toxic or hazardous wastes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is defined in the Indenture.</w:t>
      </w:r>
    </w:p>
    <w:p>
      <w:pPr>
        <w:spacing w:after="0" w:line="227"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“Indenture”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5" w:name="page106"/>
    <w:bookmarkEnd w:id="105"/>
    <w:p>
      <w:pPr>
        <w:jc w:val="both"/>
        <w:ind w:left="180" w:right="199" w:firstLine="648"/>
        <w:spacing w:after="0" w:line="248" w:lineRule="auto"/>
        <w:rPr>
          <w:sz w:val="20"/>
          <w:szCs w:val="20"/>
          <w:color w:val="auto"/>
        </w:rPr>
      </w:pPr>
      <w:r>
        <w:rPr>
          <w:rFonts w:ascii="Arial" w:cs="Arial" w:eastAsia="Arial" w:hAnsi="Arial"/>
          <w:sz w:val="21"/>
          <w:szCs w:val="21"/>
          <w:i w:val="1"/>
          <w:iCs w:val="1"/>
          <w:color w:val="auto"/>
        </w:rPr>
        <w:t xml:space="preserve">“Institutional Investor” </w:t>
      </w:r>
      <w:r>
        <w:rPr>
          <w:rFonts w:ascii="Arial" w:cs="Arial" w:eastAsia="Arial" w:hAnsi="Arial"/>
          <w:sz w:val="21"/>
          <w:szCs w:val="21"/>
          <w:color w:val="auto"/>
        </w:rPr>
        <w:t>means (a) any Purchaser of a Bond, (b) any holder of a Bond</w:t>
      </w:r>
      <w:r>
        <w:rPr>
          <w:rFonts w:ascii="Arial" w:cs="Arial" w:eastAsia="Arial" w:hAnsi="Arial"/>
          <w:sz w:val="21"/>
          <w:szCs w:val="21"/>
          <w:i w:val="1"/>
          <w:iCs w:val="1"/>
          <w:color w:val="auto"/>
        </w:rPr>
        <w:t xml:space="preserve"> </w:t>
      </w:r>
      <w:r>
        <w:rPr>
          <w:rFonts w:ascii="Arial" w:cs="Arial" w:eastAsia="Arial" w:hAnsi="Arial"/>
          <w:sz w:val="21"/>
          <w:szCs w:val="21"/>
          <w:color w:val="auto"/>
        </w:rPr>
        <w:t>holding (together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204" w:lineRule="exact"/>
        <w:rPr>
          <w:sz w:val="20"/>
          <w:szCs w:val="20"/>
          <w:color w:val="auto"/>
        </w:rPr>
      </w:pPr>
    </w:p>
    <w:p>
      <w:pPr>
        <w:jc w:val="both"/>
        <w:ind w:left="180" w:right="199" w:firstLine="648"/>
        <w:spacing w:after="0" w:line="282" w:lineRule="auto"/>
        <w:rPr>
          <w:sz w:val="20"/>
          <w:szCs w:val="20"/>
          <w:color w:val="auto"/>
        </w:rPr>
      </w:pPr>
      <w:r>
        <w:rPr>
          <w:rFonts w:ascii="Arial" w:cs="Arial" w:eastAsia="Arial" w:hAnsi="Arial"/>
          <w:sz w:val="19"/>
          <w:szCs w:val="19"/>
          <w:i w:val="1"/>
          <w:iCs w:val="1"/>
          <w:color w:val="auto"/>
        </w:rPr>
        <w:t xml:space="preserve">“Lien” </w:t>
      </w:r>
      <w:r>
        <w:rPr>
          <w:rFonts w:ascii="Arial" w:cs="Arial" w:eastAsia="Arial" w:hAnsi="Arial"/>
          <w:sz w:val="19"/>
          <w:szCs w:val="19"/>
          <w:color w:val="auto"/>
        </w:rPr>
        <w:t>means, with respect to any Person, any mortgage, lien, pledge, charge, security</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“Make-Whole Amount” </w:t>
      </w:r>
      <w:r>
        <w:rPr>
          <w:rFonts w:ascii="Arial" w:cs="Arial" w:eastAsia="Arial" w:hAnsi="Arial"/>
          <w:sz w:val="22"/>
          <w:szCs w:val="22"/>
          <w:color w:val="auto"/>
        </w:rPr>
        <w:t>is defined in the Supplement.</w:t>
      </w:r>
    </w:p>
    <w:p>
      <w:pPr>
        <w:spacing w:after="0" w:line="247"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“Material” </w:t>
      </w:r>
      <w:r>
        <w:rPr>
          <w:rFonts w:ascii="Arial" w:cs="Arial" w:eastAsia="Arial" w:hAnsi="Arial"/>
          <w:sz w:val="22"/>
          <w:szCs w:val="22"/>
          <w:color w:val="auto"/>
        </w:rPr>
        <w:t>means material in relation to the business, operations, affairs,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 assets or properties of the Company and its Subsidiaries taken as a whole.</w:t>
      </w:r>
    </w:p>
    <w:p>
      <w:pPr>
        <w:spacing w:after="0" w:line="202" w:lineRule="exact"/>
        <w:rPr>
          <w:sz w:val="20"/>
          <w:szCs w:val="20"/>
          <w:color w:val="auto"/>
        </w:rPr>
      </w:pPr>
    </w:p>
    <w:p>
      <w:pPr>
        <w:jc w:val="both"/>
        <w:ind w:left="180" w:right="199" w:firstLine="648"/>
        <w:spacing w:after="0" w:line="287"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material adverse effect on (a) the business,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affairs, financial 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183"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any Plan that is a “</w:t>
      </w:r>
      <w:r>
        <w:rPr>
          <w:rFonts w:ascii="Arial" w:cs="Arial" w:eastAsia="Arial" w:hAnsi="Arial"/>
          <w:sz w:val="22"/>
          <w:szCs w:val="22"/>
          <w:i w:val="1"/>
          <w:iCs w:val="1"/>
          <w:color w:val="auto"/>
        </w:rPr>
        <w:t>multiemployer plan</w:t>
      </w:r>
      <w:r>
        <w:rPr>
          <w:rFonts w:ascii="Arial" w:cs="Arial" w:eastAsia="Arial" w:hAnsi="Arial"/>
          <w:sz w:val="22"/>
          <w:szCs w:val="22"/>
          <w:color w:val="auto"/>
        </w:rPr>
        <w:t>” (as such term is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4001(a)(3) of ERISA).</w:t>
      </w:r>
    </w:p>
    <w:p>
      <w:pPr>
        <w:spacing w:after="0" w:line="215"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“NAIC” </w:t>
      </w:r>
      <w:r>
        <w:rPr>
          <w:rFonts w:ascii="Arial" w:cs="Arial" w:eastAsia="Arial" w:hAnsi="Arial"/>
          <w:sz w:val="22"/>
          <w:szCs w:val="22"/>
          <w:color w:val="auto"/>
        </w:rPr>
        <w:t>means the National Association of Insurance Commissioners or any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thereto.</w:t>
      </w:r>
    </w:p>
    <w:p>
      <w:pPr>
        <w:spacing w:after="0" w:line="202" w:lineRule="exact"/>
        <w:rPr>
          <w:sz w:val="20"/>
          <w:szCs w:val="20"/>
          <w:color w:val="auto"/>
        </w:rPr>
      </w:pPr>
    </w:p>
    <w:p>
      <w:pPr>
        <w:jc w:val="both"/>
        <w:ind w:left="180" w:right="199" w:firstLine="648"/>
        <w:spacing w:after="0" w:line="248" w:lineRule="exact"/>
        <w:rPr>
          <w:sz w:val="20"/>
          <w:szCs w:val="20"/>
          <w:color w:val="auto"/>
        </w:rPr>
      </w:pP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 xml:space="preserve">U.S. Plan” </w:t>
      </w:r>
      <w:r>
        <w:rPr>
          <w:rFonts w:ascii="Arial" w:cs="Arial" w:eastAsia="Arial" w:hAnsi="Arial"/>
          <w:sz w:val="19"/>
          <w:szCs w:val="19"/>
          <w:color w:val="auto"/>
        </w:rPr>
        <w:t>means any plan, fund or other similar program that (a) is established or</w:t>
      </w:r>
      <w:r>
        <w:rPr>
          <w:rFonts w:ascii="Arial" w:cs="Arial" w:eastAsia="Arial" w:hAnsi="Arial"/>
          <w:sz w:val="19"/>
          <w:szCs w:val="19"/>
          <w:i w:val="1"/>
          <w:iCs w:val="1"/>
          <w:color w:val="auto"/>
        </w:rPr>
        <w:t xml:space="preserve"> </w:t>
      </w:r>
      <w:r>
        <w:rPr>
          <w:rFonts w:ascii="Arial" w:cs="Arial" w:eastAsia="Arial" w:hAnsi="Arial"/>
          <w:sz w:val="19"/>
          <w:szCs w:val="19"/>
          <w:color w:val="auto"/>
        </w:rPr>
        <w:t>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29"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means the Office of Foreign Assets Control of the United States Department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Treasury.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6" w:name="page107"/>
    <w:bookmarkEnd w:id="106"/>
    <w:p>
      <w:pPr>
        <w:jc w:val="both"/>
        <w:ind w:left="180" w:right="199"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OFAC Sanctions Program</w:t>
      </w:r>
      <w:r>
        <w:rPr>
          <w:rFonts w:ascii="Arial" w:cs="Arial" w:eastAsia="Arial" w:hAnsi="Arial"/>
          <w:sz w:val="21"/>
          <w:szCs w:val="21"/>
          <w:color w:val="auto"/>
        </w:rPr>
        <w:t>” means any economic or trade sanction that OFAC is responsible for administering and enforcing. A list of OFAC Sanctions Programs may be found at http://www.treasury.gov/resource-center/sanctions/Programs/Pages/Programs.aspx.</w:t>
      </w:r>
    </w:p>
    <w:p>
      <w:pPr>
        <w:spacing w:after="0" w:line="196" w:lineRule="exact"/>
        <w:rPr>
          <w:sz w:val="20"/>
          <w:szCs w:val="20"/>
          <w:color w:val="auto"/>
        </w:rPr>
      </w:pPr>
    </w:p>
    <w:p>
      <w:pPr>
        <w:jc w:val="both"/>
        <w:ind w:left="180" w:right="199" w:firstLine="648"/>
        <w:spacing w:after="0" w:line="274" w:lineRule="auto"/>
        <w:rPr>
          <w:sz w:val="20"/>
          <w:szCs w:val="20"/>
          <w:color w:val="auto"/>
        </w:rPr>
      </w:pPr>
      <w:r>
        <w:rPr>
          <w:rFonts w:ascii="Arial" w:cs="Arial" w:eastAsia="Arial" w:hAnsi="Arial"/>
          <w:sz w:val="21"/>
          <w:szCs w:val="21"/>
          <w:i w:val="1"/>
          <w:iCs w:val="1"/>
          <w:color w:val="auto"/>
        </w:rPr>
        <w:t xml:space="preserve">“Officer’s Certificate” </w:t>
      </w:r>
      <w:r>
        <w:rPr>
          <w:rFonts w:ascii="Arial" w:cs="Arial" w:eastAsia="Arial" w:hAnsi="Arial"/>
          <w:sz w:val="21"/>
          <w:szCs w:val="21"/>
          <w:color w:val="auto"/>
        </w:rPr>
        <w:t>means a certificate of a Senior Financial Officer or of any other</w:t>
      </w:r>
      <w:r>
        <w:rPr>
          <w:rFonts w:ascii="Arial" w:cs="Arial" w:eastAsia="Arial" w:hAnsi="Arial"/>
          <w:sz w:val="21"/>
          <w:szCs w:val="21"/>
          <w:i w:val="1"/>
          <w:iCs w:val="1"/>
          <w:color w:val="auto"/>
        </w:rPr>
        <w:t xml:space="preserve"> </w:t>
      </w:r>
      <w:r>
        <w:rPr>
          <w:rFonts w:ascii="Arial" w:cs="Arial" w:eastAsia="Arial" w:hAnsi="Arial"/>
          <w:sz w:val="21"/>
          <w:szCs w:val="21"/>
          <w:color w:val="auto"/>
        </w:rPr>
        <w:t>officer of the Company whose responsibilities extend to the subject matter of such certificate.</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“Original Indenture”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referred to and defined in</w:t>
      </w:r>
      <w:r>
        <w:rPr>
          <w:rFonts w:ascii="Arial" w:cs="Arial" w:eastAsia="Arial" w:hAnsi="Arial"/>
          <w:sz w:val="22"/>
          <w:szCs w:val="22"/>
          <w:i w:val="1"/>
          <w:iCs w:val="1"/>
          <w:color w:val="auto"/>
        </w:rPr>
        <w:t xml:space="preserve"> </w:t>
      </w:r>
      <w:r>
        <w:rPr>
          <w:rFonts w:ascii="Arial" w:cs="Arial" w:eastAsia="Arial" w:hAnsi="Arial"/>
          <w:sz w:val="22"/>
          <w:szCs w:val="22"/>
          <w:color w:val="auto"/>
        </w:rPr>
        <w:t>ERISA or any successor thereto.</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“Permitted Liens” </w:t>
      </w:r>
      <w:r>
        <w:rPr>
          <w:rFonts w:ascii="Arial" w:cs="Arial" w:eastAsia="Arial" w:hAnsi="Arial"/>
          <w:sz w:val="22"/>
          <w:szCs w:val="22"/>
          <w:color w:val="auto"/>
        </w:rPr>
        <w:t>shall have the meaning assigned to such term in the Indenture.</w:t>
      </w:r>
    </w:p>
    <w:p>
      <w:pPr>
        <w:spacing w:after="0" w:line="247" w:lineRule="exact"/>
        <w:rPr>
          <w:sz w:val="20"/>
          <w:szCs w:val="20"/>
          <w:color w:val="auto"/>
        </w:rPr>
      </w:pPr>
    </w:p>
    <w:p>
      <w:pPr>
        <w:jc w:val="both"/>
        <w:ind w:left="180" w:right="199" w:firstLine="648"/>
        <w:spacing w:after="0" w:line="274" w:lineRule="auto"/>
        <w:rPr>
          <w:sz w:val="20"/>
          <w:szCs w:val="20"/>
          <w:color w:val="auto"/>
        </w:rPr>
      </w:pPr>
      <w:r>
        <w:rPr>
          <w:rFonts w:ascii="Arial" w:cs="Arial" w:eastAsia="Arial" w:hAnsi="Arial"/>
          <w:sz w:val="21"/>
          <w:szCs w:val="21"/>
          <w:i w:val="1"/>
          <w:iCs w:val="1"/>
          <w:color w:val="auto"/>
        </w:rPr>
        <w:t xml:space="preserve">“Person” </w:t>
      </w:r>
      <w:r>
        <w:rPr>
          <w:rFonts w:ascii="Arial" w:cs="Arial" w:eastAsia="Arial" w:hAnsi="Arial"/>
          <w:sz w:val="21"/>
          <w:szCs w:val="21"/>
          <w:color w:val="auto"/>
        </w:rPr>
        <w:t>means an individual, partnership, corporation, limited liability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association, trust, unincorporated organization, business entity or Governmental Authority.</w:t>
      </w:r>
    </w:p>
    <w:p>
      <w:pPr>
        <w:spacing w:after="0" w:line="191" w:lineRule="exact"/>
        <w:rPr>
          <w:sz w:val="20"/>
          <w:szCs w:val="20"/>
          <w:color w:val="auto"/>
        </w:rPr>
      </w:pPr>
    </w:p>
    <w:p>
      <w:pPr>
        <w:jc w:val="both"/>
        <w:ind w:left="180" w:right="199" w:firstLine="648"/>
        <w:spacing w:after="0" w:line="236"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 “</w:t>
      </w:r>
      <w:r>
        <w:rPr>
          <w:rFonts w:ascii="Arial" w:cs="Arial" w:eastAsia="Arial" w:hAnsi="Arial"/>
          <w:sz w:val="22"/>
          <w:szCs w:val="22"/>
          <w:i w:val="1"/>
          <w:iCs w:val="1"/>
          <w:color w:val="auto"/>
        </w:rPr>
        <w:t>employee benefit plan</w:t>
      </w:r>
      <w:r>
        <w:rPr>
          <w:rFonts w:ascii="Arial" w:cs="Arial" w:eastAsia="Arial" w:hAnsi="Arial"/>
          <w:sz w:val="22"/>
          <w:szCs w:val="22"/>
          <w:color w:val="auto"/>
        </w:rPr>
        <w:t>” (as defined in section 3(2) of ERISA)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14"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or</w:t>
      </w:r>
      <w:r>
        <w:rPr>
          <w:rFonts w:ascii="Arial" w:cs="Arial" w:eastAsia="Arial" w:hAnsi="Arial"/>
          <w:sz w:val="22"/>
          <w:szCs w:val="22"/>
          <w:i w:val="1"/>
          <w:iCs w:val="1"/>
          <w:color w:val="auto"/>
        </w:rPr>
        <w:t xml:space="preserve"> “properties” </w:t>
      </w:r>
      <w:r>
        <w:rPr>
          <w:rFonts w:ascii="Arial" w:cs="Arial" w:eastAsia="Arial" w:hAnsi="Arial"/>
          <w:sz w:val="22"/>
          <w:szCs w:val="22"/>
          <w:color w:val="auto"/>
        </w:rPr>
        <w:t>means, unless otherwise specifically limited, real or personal</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of any kind, tangible or intangible, choate or inchoate.</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“PTE”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6.2(a)</w:t>
      </w:r>
      <w:r>
        <w:rPr>
          <w:rFonts w:ascii="Arial" w:cs="Arial" w:eastAsia="Arial" w:hAnsi="Arial"/>
          <w:sz w:val="22"/>
          <w:szCs w:val="22"/>
          <w:color w:val="auto"/>
        </w:rPr>
        <w:t>.</w:t>
      </w:r>
    </w:p>
    <w:p>
      <w:pPr>
        <w:spacing w:after="0" w:line="253"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“Purchaser”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1"/>
          <w:szCs w:val="21"/>
          <w:i w:val="1"/>
          <w:iCs w:val="1"/>
          <w:color w:val="auto"/>
        </w:rPr>
        <w:t xml:space="preserve">“Related Fund” </w:t>
      </w:r>
      <w:r>
        <w:rPr>
          <w:rFonts w:ascii="Arial" w:cs="Arial" w:eastAsia="Arial" w:hAnsi="Arial"/>
          <w:sz w:val="21"/>
          <w:szCs w:val="21"/>
          <w:color w:val="auto"/>
        </w:rPr>
        <w:t>means, with respect to any holder of any Bond, any fund or entity that</w:t>
      </w:r>
    </w:p>
    <w:p>
      <w:pPr>
        <w:spacing w:after="0" w:line="20" w:lineRule="exact"/>
        <w:rPr>
          <w:sz w:val="20"/>
          <w:szCs w:val="20"/>
          <w:color w:val="auto"/>
        </w:rPr>
      </w:pPr>
    </w:p>
    <w:p>
      <w:pPr>
        <w:ind w:left="180" w:right="199" w:firstLine="4"/>
        <w:spacing w:after="0" w:line="308" w:lineRule="auto"/>
        <w:tabs>
          <w:tab w:leader="none" w:pos="469"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invests in Securities or bank loans, and (ii) is advised or managed by such holder, the same investment advisor as such holder or by an affiliate of such holder or such investment advisor.</w:t>
      </w:r>
    </w:p>
    <w:p>
      <w:pPr>
        <w:spacing w:after="0" w:line="164" w:lineRule="exact"/>
        <w:rPr>
          <w:sz w:val="20"/>
          <w:szCs w:val="20"/>
          <w:color w:val="auto"/>
        </w:rPr>
      </w:pPr>
    </w:p>
    <w:p>
      <w:pPr>
        <w:ind w:left="180" w:right="199" w:firstLine="648"/>
        <w:spacing w:after="0" w:line="328" w:lineRule="auto"/>
        <w:rPr>
          <w:sz w:val="20"/>
          <w:szCs w:val="20"/>
          <w:color w:val="auto"/>
        </w:rPr>
      </w:pPr>
      <w:r>
        <w:rPr>
          <w:rFonts w:ascii="Arial" w:cs="Arial" w:eastAsia="Arial" w:hAnsi="Arial"/>
          <w:sz w:val="19"/>
          <w:szCs w:val="19"/>
          <w:i w:val="1"/>
          <w:iCs w:val="1"/>
          <w:color w:val="auto"/>
        </w:rPr>
        <w:t xml:space="preserve">“Required Holders” </w:t>
      </w:r>
      <w:r>
        <w:rPr>
          <w:rFonts w:ascii="Arial" w:cs="Arial" w:eastAsia="Arial" w:hAnsi="Arial"/>
          <w:sz w:val="19"/>
          <w:szCs w:val="19"/>
          <w:color w:val="auto"/>
        </w:rPr>
        <w:t>means the holders of at least 51% in principal amount of the Bonds at</w:t>
      </w:r>
      <w:r>
        <w:rPr>
          <w:rFonts w:ascii="Arial" w:cs="Arial" w:eastAsia="Arial" w:hAnsi="Arial"/>
          <w:sz w:val="19"/>
          <w:szCs w:val="19"/>
          <w:i w:val="1"/>
          <w:iCs w:val="1"/>
          <w:color w:val="auto"/>
        </w:rPr>
        <w:t xml:space="preserve"> </w:t>
      </w:r>
      <w:r>
        <w:rPr>
          <w:rFonts w:ascii="Arial" w:cs="Arial" w:eastAsia="Arial" w:hAnsi="Arial"/>
          <w:sz w:val="19"/>
          <w:szCs w:val="19"/>
          <w:color w:val="auto"/>
        </w:rPr>
        <w:t>the time outstanding (exclusive of Bonds then owned by the Company or any of its Affiliates).</w:t>
      </w:r>
    </w:p>
    <w:p>
      <w:pPr>
        <w:spacing w:after="0" w:line="145" w:lineRule="exact"/>
        <w:rPr>
          <w:sz w:val="20"/>
          <w:szCs w:val="20"/>
          <w:color w:val="auto"/>
        </w:rPr>
      </w:pPr>
    </w:p>
    <w:p>
      <w:pPr>
        <w:ind w:left="180" w:right="199" w:firstLine="648"/>
        <w:spacing w:after="0" w:line="274" w:lineRule="auto"/>
        <w:rPr>
          <w:sz w:val="20"/>
          <w:szCs w:val="20"/>
          <w:color w:val="auto"/>
        </w:rPr>
      </w:pPr>
      <w:r>
        <w:rPr>
          <w:rFonts w:ascii="Arial" w:cs="Arial" w:eastAsia="Arial" w:hAnsi="Arial"/>
          <w:sz w:val="21"/>
          <w:szCs w:val="21"/>
          <w:i w:val="1"/>
          <w:iCs w:val="1"/>
          <w:color w:val="auto"/>
        </w:rPr>
        <w:t xml:space="preserve">“Responsible Officer” </w:t>
      </w:r>
      <w:r>
        <w:rPr>
          <w:rFonts w:ascii="Arial" w:cs="Arial" w:eastAsia="Arial" w:hAnsi="Arial"/>
          <w:sz w:val="21"/>
          <w:szCs w:val="21"/>
          <w:color w:val="auto"/>
        </w:rPr>
        <w:t>means any Senior Financial Officer and any other officer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with responsibility for the administration of the relevant portion of this Agreement.</w:t>
      </w:r>
    </w:p>
    <w:p>
      <w:pPr>
        <w:spacing w:after="0" w:line="178" w:lineRule="exact"/>
        <w:rPr>
          <w:sz w:val="20"/>
          <w:szCs w:val="20"/>
          <w:color w:val="auto"/>
        </w:rPr>
      </w:pPr>
    </w:p>
    <w:p>
      <w:pPr>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Securities and Exchange Commission of the United States,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w:t>
      </w:r>
    </w:p>
    <w:p>
      <w:pPr>
        <w:spacing w:after="0" w:line="215" w:lineRule="exact"/>
        <w:rPr>
          <w:sz w:val="20"/>
          <w:szCs w:val="20"/>
          <w:color w:val="auto"/>
        </w:rPr>
      </w:pPr>
    </w:p>
    <w:p>
      <w:pPr>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“Securities” </w:t>
      </w:r>
      <w:r>
        <w:rPr>
          <w:rFonts w:ascii="Arial" w:cs="Arial" w:eastAsia="Arial" w:hAnsi="Arial"/>
          <w:sz w:val="22"/>
          <w:szCs w:val="22"/>
          <w:color w:val="auto"/>
        </w:rPr>
        <w:t>or</w:t>
      </w:r>
      <w:r>
        <w:rPr>
          <w:rFonts w:ascii="Arial" w:cs="Arial" w:eastAsia="Arial" w:hAnsi="Arial"/>
          <w:sz w:val="22"/>
          <w:szCs w:val="22"/>
          <w:i w:val="1"/>
          <w:iCs w:val="1"/>
          <w:color w:val="auto"/>
        </w:rPr>
        <w:t xml:space="preserve"> “Security” </w:t>
      </w:r>
      <w:r>
        <w:rPr>
          <w:rFonts w:ascii="Arial" w:cs="Arial" w:eastAsia="Arial" w:hAnsi="Arial"/>
          <w:sz w:val="22"/>
          <w:szCs w:val="22"/>
          <w:color w:val="auto"/>
        </w:rPr>
        <w:t>shall have the meaning specified in section 2(a)(1)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7" w:name="page108"/>
    <w:bookmarkEnd w:id="107"/>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rules and regulations promulgated thereunder from time to time in effect.</w:t>
      </w:r>
    </w:p>
    <w:p>
      <w:pPr>
        <w:spacing w:after="0" w:line="202"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“Senior Financial Officer” </w:t>
      </w:r>
      <w:r>
        <w:rPr>
          <w:rFonts w:ascii="Arial" w:cs="Arial" w:eastAsia="Arial" w:hAnsi="Arial"/>
          <w:sz w:val="22"/>
          <w:szCs w:val="22"/>
          <w:color w:val="auto"/>
        </w:rPr>
        <w:t>means the chief financial officer, principal accounting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treasurer or comptroller of the Company.</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“Source”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6.2</w:t>
      </w:r>
      <w:r>
        <w:rPr>
          <w:rFonts w:ascii="Arial" w:cs="Arial" w:eastAsia="Arial" w:hAnsi="Arial"/>
          <w:sz w:val="22"/>
          <w:szCs w:val="22"/>
          <w:color w:val="auto"/>
        </w:rPr>
        <w:t>.</w:t>
      </w:r>
    </w:p>
    <w:p>
      <w:pPr>
        <w:spacing w:after="0" w:line="253" w:lineRule="exact"/>
        <w:rPr>
          <w:sz w:val="20"/>
          <w:szCs w:val="20"/>
          <w:color w:val="auto"/>
        </w:rPr>
      </w:pPr>
    </w:p>
    <w:p>
      <w:pPr>
        <w:jc w:val="both"/>
        <w:ind w:left="180" w:right="199" w:firstLine="648"/>
        <w:spacing w:after="0" w:line="238" w:lineRule="auto"/>
        <w:rPr>
          <w:sz w:val="20"/>
          <w:szCs w:val="20"/>
          <w:color w:val="auto"/>
        </w:rPr>
      </w:pPr>
      <w:r>
        <w:rPr>
          <w:rFonts w:ascii="Arial" w:cs="Arial" w:eastAsia="Arial" w:hAnsi="Arial"/>
          <w:sz w:val="22"/>
          <w:szCs w:val="22"/>
          <w:i w:val="1"/>
          <w:iCs w:val="1"/>
          <w:color w:val="auto"/>
        </w:rPr>
        <w:t xml:space="preserve">“State Sanctions List” </w:t>
      </w:r>
      <w:r>
        <w:rPr>
          <w:rFonts w:ascii="Arial" w:cs="Arial" w:eastAsia="Arial" w:hAnsi="Arial"/>
          <w:sz w:val="22"/>
          <w:szCs w:val="22"/>
          <w:color w:val="auto"/>
        </w:rPr>
        <w:t>means a list that is adopted by any state Governmental Authority</w:t>
      </w:r>
      <w:r>
        <w:rPr>
          <w:rFonts w:ascii="Arial" w:cs="Arial" w:eastAsia="Arial" w:hAnsi="Arial"/>
          <w:sz w:val="22"/>
          <w:szCs w:val="22"/>
          <w:i w:val="1"/>
          <w:iCs w:val="1"/>
          <w:color w:val="auto"/>
        </w:rPr>
        <w:t xml:space="preserve"> </w:t>
      </w:r>
      <w:r>
        <w:rPr>
          <w:rFonts w:ascii="Arial" w:cs="Arial" w:eastAsia="Arial" w:hAnsi="Arial"/>
          <w:sz w:val="22"/>
          <w:szCs w:val="22"/>
          <w:color w:val="auto"/>
        </w:rPr>
        <w:t>within the United States of America pertaining to Persons that engage in investment or other commercial activities in Iran or any other country that is a target of economic sanctions imposed under U.S. Economic Sanctions Laws.</w:t>
      </w:r>
    </w:p>
    <w:p>
      <w:pPr>
        <w:spacing w:after="0" w:line="212" w:lineRule="exact"/>
        <w:rPr>
          <w:sz w:val="20"/>
          <w:szCs w:val="20"/>
          <w:color w:val="auto"/>
        </w:rPr>
      </w:pPr>
    </w:p>
    <w:p>
      <w:pPr>
        <w:jc w:val="both"/>
        <w:ind w:left="180" w:right="199" w:firstLine="648"/>
        <w:spacing w:after="0" w:line="245" w:lineRule="auto"/>
        <w:rPr>
          <w:sz w:val="20"/>
          <w:szCs w:val="20"/>
          <w:color w:val="auto"/>
        </w:rPr>
      </w:pPr>
      <w:r>
        <w:rPr>
          <w:rFonts w:ascii="Arial" w:cs="Arial" w:eastAsia="Arial" w:hAnsi="Arial"/>
          <w:sz w:val="21"/>
          <w:szCs w:val="21"/>
          <w:i w:val="1"/>
          <w:iCs w:val="1"/>
          <w:color w:val="auto"/>
        </w:rPr>
        <w:t xml:space="preserve">“Subsidiary” </w:t>
      </w:r>
      <w:r>
        <w:rPr>
          <w:rFonts w:ascii="Arial" w:cs="Arial" w:eastAsia="Arial" w:hAnsi="Arial"/>
          <w:sz w:val="21"/>
          <w:szCs w:val="21"/>
          <w:color w:val="auto"/>
        </w:rPr>
        <w:t>means, as to any Person, any other Person in which such first Person or one or</w:t>
      </w:r>
      <w:r>
        <w:rPr>
          <w:rFonts w:ascii="Arial" w:cs="Arial" w:eastAsia="Arial" w:hAnsi="Arial"/>
          <w:sz w:val="21"/>
          <w:szCs w:val="21"/>
          <w:i w:val="1"/>
          <w:iCs w:val="1"/>
          <w:color w:val="auto"/>
        </w:rPr>
        <w:t xml:space="preserve"> </w:t>
      </w:r>
      <w:r>
        <w:rPr>
          <w:rFonts w:ascii="Arial" w:cs="Arial" w:eastAsia="Arial" w:hAnsi="Arial"/>
          <w:sz w:val="21"/>
          <w:szCs w:val="21"/>
          <w:color w:val="auto"/>
        </w:rPr>
        <w:t>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Arial" w:cs="Arial" w:eastAsia="Arial" w:hAnsi="Arial"/>
          <w:sz w:val="21"/>
          <w:szCs w:val="21"/>
          <w:i w:val="1"/>
          <w:iCs w:val="1"/>
          <w:color w:val="auto"/>
        </w:rPr>
        <w:t>Subsidiary</w:t>
      </w:r>
      <w:r>
        <w:rPr>
          <w:rFonts w:ascii="Arial" w:cs="Arial" w:eastAsia="Arial" w:hAnsi="Arial"/>
          <w:sz w:val="21"/>
          <w:szCs w:val="21"/>
          <w:color w:val="auto"/>
        </w:rPr>
        <w:t>” is a reference to a Subsidiary of the Company.</w:t>
      </w:r>
    </w:p>
    <w:p>
      <w:pPr>
        <w:spacing w:after="0" w:line="215"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“Supplement”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53" w:lineRule="exact"/>
        <w:rPr>
          <w:sz w:val="20"/>
          <w:szCs w:val="20"/>
          <w:color w:val="auto"/>
        </w:rPr>
      </w:pPr>
    </w:p>
    <w:p>
      <w:pPr>
        <w:ind w:left="840"/>
        <w:spacing w:after="0"/>
        <w:rPr>
          <w:sz w:val="20"/>
          <w:szCs w:val="20"/>
          <w:color w:val="auto"/>
        </w:rPr>
      </w:pPr>
      <w:r>
        <w:rPr>
          <w:rFonts w:ascii="Arial" w:cs="Arial" w:eastAsia="Arial" w:hAnsi="Arial"/>
          <w:sz w:val="19"/>
          <w:szCs w:val="19"/>
          <w:i w:val="1"/>
          <w:iCs w:val="1"/>
          <w:color w:val="auto"/>
        </w:rPr>
        <w:t xml:space="preserve">“SVO” </w:t>
      </w:r>
      <w:r>
        <w:rPr>
          <w:rFonts w:ascii="Arial" w:cs="Arial" w:eastAsia="Arial" w:hAnsi="Arial"/>
          <w:sz w:val="19"/>
          <w:szCs w:val="19"/>
          <w:color w:val="auto"/>
        </w:rPr>
        <w:t>means the Securities Valuation Office of the NAIC or any successor to such Office.</w:t>
      </w:r>
    </w:p>
    <w:p>
      <w:pPr>
        <w:spacing w:after="0" w:line="268" w:lineRule="exact"/>
        <w:rPr>
          <w:sz w:val="20"/>
          <w:szCs w:val="20"/>
          <w:color w:val="auto"/>
        </w:rPr>
      </w:pPr>
    </w:p>
    <w:p>
      <w:pPr>
        <w:jc w:val="both"/>
        <w:ind w:left="180" w:right="199" w:firstLine="648"/>
        <w:spacing w:after="0" w:line="245" w:lineRule="auto"/>
        <w:rPr>
          <w:sz w:val="20"/>
          <w:szCs w:val="20"/>
          <w:color w:val="auto"/>
        </w:rPr>
      </w:pPr>
      <w:r>
        <w:rPr>
          <w:rFonts w:ascii="Arial" w:cs="Arial" w:eastAsia="Arial" w:hAnsi="Arial"/>
          <w:sz w:val="21"/>
          <w:szCs w:val="21"/>
          <w:i w:val="1"/>
          <w:iCs w:val="1"/>
          <w:color w:val="auto"/>
        </w:rPr>
        <w:t xml:space="preserve">“Swaps” </w:t>
      </w:r>
      <w:r>
        <w:rPr>
          <w:rFonts w:ascii="Arial" w:cs="Arial" w:eastAsia="Arial" w:hAnsi="Arial"/>
          <w:sz w:val="21"/>
          <w:szCs w:val="21"/>
          <w:color w:val="auto"/>
        </w:rPr>
        <w:t>means, with respect to any Person, payment obligations with respect to interest</w:t>
      </w:r>
      <w:r>
        <w:rPr>
          <w:rFonts w:ascii="Arial" w:cs="Arial" w:eastAsia="Arial" w:hAnsi="Arial"/>
          <w:sz w:val="21"/>
          <w:szCs w:val="21"/>
          <w:i w:val="1"/>
          <w:iCs w:val="1"/>
          <w:color w:val="auto"/>
        </w:rPr>
        <w:t xml:space="preserve"> </w:t>
      </w:r>
      <w:r>
        <w:rPr>
          <w:rFonts w:ascii="Arial" w:cs="Arial" w:eastAsia="Arial" w:hAnsi="Arial"/>
          <w:sz w:val="21"/>
          <w:szCs w:val="21"/>
          <w:color w:val="auto"/>
        </w:rPr>
        <w:t>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“Trust Estate” </w:t>
      </w:r>
      <w:r>
        <w:rPr>
          <w:rFonts w:ascii="Arial" w:cs="Arial" w:eastAsia="Arial" w:hAnsi="Arial"/>
          <w:sz w:val="22"/>
          <w:szCs w:val="22"/>
          <w:color w:val="auto"/>
        </w:rPr>
        <w:t>is defined in the Indenture.</w:t>
      </w:r>
    </w:p>
    <w:p>
      <w:pPr>
        <w:spacing w:after="0" w:line="241" w:lineRule="exact"/>
        <w:rPr>
          <w:sz w:val="20"/>
          <w:szCs w:val="20"/>
          <w:color w:val="auto"/>
        </w:rPr>
      </w:pPr>
    </w:p>
    <w:p>
      <w:pPr>
        <w:ind w:left="840"/>
        <w:spacing w:after="0"/>
        <w:rPr>
          <w:sz w:val="20"/>
          <w:szCs w:val="20"/>
          <w:color w:val="auto"/>
        </w:rPr>
      </w:pPr>
      <w:r>
        <w:rPr>
          <w:rFonts w:ascii="Arial" w:cs="Arial" w:eastAsia="Arial" w:hAnsi="Arial"/>
          <w:sz w:val="22"/>
          <w:szCs w:val="22"/>
          <w:i w:val="1"/>
          <w:iCs w:val="1"/>
          <w:color w:val="auto"/>
        </w:rPr>
        <w:t xml:space="preserve">“Trustee”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39"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enacted and in effect from time to time in</w:t>
      </w:r>
      <w:r>
        <w:rPr>
          <w:rFonts w:ascii="Arial" w:cs="Arial" w:eastAsia="Arial" w:hAnsi="Arial"/>
          <w:sz w:val="22"/>
          <w:szCs w:val="22"/>
          <w:i w:val="1"/>
          <w:iCs w:val="1"/>
          <w:color w:val="auto"/>
        </w:rPr>
        <w:t xml:space="preserve"> </w:t>
      </w:r>
      <w:r>
        <w:rPr>
          <w:rFonts w:ascii="Arial" w:cs="Arial" w:eastAsia="Arial" w:hAnsi="Arial"/>
          <w:sz w:val="22"/>
          <w:szCs w:val="22"/>
          <w:color w:val="auto"/>
        </w:rPr>
        <w:t>the state whose laws are treated as applying to the Trust Estate.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8" w:name="page109"/>
    <w:bookmarkEnd w:id="108"/>
    <w:p>
      <w:pPr>
        <w:jc w:val="both"/>
        <w:ind w:left="180" w:right="199" w:firstLine="648"/>
        <w:spacing w:after="0" w:line="251" w:lineRule="exact"/>
        <w:rPr>
          <w:sz w:val="20"/>
          <w:szCs w:val="20"/>
          <w:color w:val="auto"/>
        </w:rPr>
      </w:pPr>
      <w:r>
        <w:rPr>
          <w:rFonts w:ascii="Arial" w:cs="Arial" w:eastAsia="Arial" w:hAnsi="Arial"/>
          <w:sz w:val="22"/>
          <w:szCs w:val="22"/>
          <w:i w:val="1"/>
          <w:iCs w:val="1"/>
          <w:color w:val="auto"/>
        </w:rPr>
        <w:t xml:space="preserve">“USA Patriot Act” </w:t>
      </w:r>
      <w:r>
        <w:rPr>
          <w:rFonts w:ascii="Arial" w:cs="Arial" w:eastAsia="Arial" w:hAnsi="Arial"/>
          <w:sz w:val="22"/>
          <w:szCs w:val="22"/>
          <w:color w:val="auto"/>
        </w:rPr>
        <w:t>means United States Public Law 107</w:t>
      </w:r>
      <w:r>
        <w:rPr>
          <w:rFonts w:ascii="MS PGothic" w:cs="MS PGothic" w:eastAsia="MS PGothic" w:hAnsi="MS PGothic"/>
          <w:sz w:val="22"/>
          <w:szCs w:val="22"/>
          <w:color w:val="auto"/>
        </w:rPr>
        <w:t>‑</w:t>
      </w:r>
      <w:r>
        <w:rPr>
          <w:rFonts w:ascii="Arial" w:cs="Arial" w:eastAsia="Arial" w:hAnsi="Arial"/>
          <w:sz w:val="22"/>
          <w:szCs w:val="22"/>
          <w:color w:val="auto"/>
        </w:rPr>
        <w:t>56, Uniting and Strengthening</w:t>
      </w:r>
      <w:r>
        <w:rPr>
          <w:rFonts w:ascii="Arial" w:cs="Arial" w:eastAsia="Arial" w:hAnsi="Arial"/>
          <w:sz w:val="22"/>
          <w:szCs w:val="22"/>
          <w:i w:val="1"/>
          <w:iCs w:val="1"/>
          <w:color w:val="auto"/>
        </w:rPr>
        <w:t xml:space="preserve"> </w:t>
      </w:r>
      <w:r>
        <w:rPr>
          <w:rFonts w:ascii="Arial" w:cs="Arial" w:eastAsia="Arial" w:hAnsi="Arial"/>
          <w:sz w:val="22"/>
          <w:szCs w:val="22"/>
          <w:color w:val="auto"/>
        </w:rPr>
        <w:t>America by Providing Appropriate Tools Required to Intercept and Obstruct Terrorism (USA PATRIOT ACT) Act of 2001, as amended from time to time, and the rules and regulations promulgated thereunder from time to time in effect.</w:t>
      </w:r>
    </w:p>
    <w:p>
      <w:pPr>
        <w:spacing w:after="0" w:line="212" w:lineRule="exact"/>
        <w:rPr>
          <w:sz w:val="20"/>
          <w:szCs w:val="20"/>
          <w:color w:val="auto"/>
        </w:rPr>
      </w:pPr>
    </w:p>
    <w:p>
      <w:pPr>
        <w:jc w:val="both"/>
        <w:ind w:left="180" w:right="199" w:firstLine="648"/>
        <w:spacing w:after="0" w:line="248" w:lineRule="auto"/>
        <w:rPr>
          <w:sz w:val="20"/>
          <w:szCs w:val="20"/>
          <w:color w:val="auto"/>
        </w:rPr>
      </w:pPr>
      <w:r>
        <w:rPr>
          <w:rFonts w:ascii="Arial" w:cs="Arial" w:eastAsia="Arial" w:hAnsi="Arial"/>
          <w:sz w:val="21"/>
          <w:szCs w:val="21"/>
          <w:i w:val="1"/>
          <w:iCs w:val="1"/>
          <w:color w:val="auto"/>
        </w:rPr>
        <w:t xml:space="preserve">“U.S. Economic Sanctions Laws” </w:t>
      </w:r>
      <w:r>
        <w:rPr>
          <w:rFonts w:ascii="Arial" w:cs="Arial" w:eastAsia="Arial" w:hAnsi="Arial"/>
          <w:sz w:val="21"/>
          <w:szCs w:val="21"/>
          <w:color w:val="auto"/>
        </w:rPr>
        <w:t>means those laws, executive orders, enabling legislation</w:t>
      </w:r>
      <w:r>
        <w:rPr>
          <w:rFonts w:ascii="Arial" w:cs="Arial" w:eastAsia="Arial" w:hAnsi="Arial"/>
          <w:sz w:val="21"/>
          <w:szCs w:val="21"/>
          <w:i w:val="1"/>
          <w:iCs w:val="1"/>
          <w:color w:val="auto"/>
        </w:rPr>
        <w:t xml:space="preserve"> </w:t>
      </w:r>
      <w:r>
        <w:rPr>
          <w:rFonts w:ascii="Arial" w:cs="Arial" w:eastAsia="Arial" w:hAnsi="Arial"/>
          <w:sz w:val="21"/>
          <w:szCs w:val="21"/>
          <w:color w:val="auto"/>
        </w:rPr>
        <w:t>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22"/>
          <w:szCs w:val="22"/>
          <w:b w:val="1"/>
          <w:bCs w:val="1"/>
          <w:color w:val="auto"/>
        </w:rPr>
        <w:t>AQUA PENNSYLVANIA,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SUBSIDIARIES OF THE COMPANY,</w:t>
      </w:r>
    </w:p>
    <w:p>
      <w:pPr>
        <w:jc w:val="center"/>
        <w:ind w:right="19"/>
        <w:spacing w:after="0"/>
        <w:rPr>
          <w:sz w:val="20"/>
          <w:szCs w:val="20"/>
          <w:color w:val="auto"/>
        </w:rPr>
      </w:pPr>
      <w:r>
        <w:rPr>
          <w:rFonts w:ascii="Arial" w:cs="Arial" w:eastAsia="Arial" w:hAnsi="Arial"/>
          <w:sz w:val="22"/>
          <w:szCs w:val="22"/>
          <w:b w:val="1"/>
          <w:bCs w:val="1"/>
          <w:color w:val="auto"/>
        </w:rPr>
        <w:t>OWNERSHIP OF SUBSIDIARY STOCK</w:t>
      </w:r>
    </w:p>
    <w:p>
      <w:pPr>
        <w:spacing w:after="0" w:line="200" w:lineRule="exact"/>
        <w:rPr>
          <w:sz w:val="20"/>
          <w:szCs w:val="20"/>
          <w:color w:val="auto"/>
        </w:rPr>
      </w:pPr>
    </w:p>
    <w:p>
      <w:pPr>
        <w:spacing w:after="0" w:line="273" w:lineRule="exact"/>
        <w:rPr>
          <w:sz w:val="20"/>
          <w:szCs w:val="20"/>
          <w:color w:val="auto"/>
        </w:rPr>
      </w:pPr>
    </w:p>
    <w:tbl>
      <w:tblPr>
        <w:tblLayout w:type="fixed"/>
        <w:tblInd w:w="190" w:type="dxa"/>
        <w:tblCellMar>
          <w:top w:w="0" w:type="dxa"/>
          <w:left w:w="0" w:type="dxa"/>
          <w:bottom w:w="0" w:type="dxa"/>
          <w:right w:w="0" w:type="dxa"/>
        </w:tblCellMar>
      </w:tblPr>
      <w:tr>
        <w:trPr>
          <w:trHeight w:val="307"/>
        </w:trPr>
        <w:tc>
          <w:tcPr>
            <w:tcW w:w="2760" w:type="dxa"/>
            <w:vAlign w:val="bottom"/>
            <w:tcBorders>
              <w:top w:val="single" w:sz="8" w:color="auto"/>
              <w:left w:val="single" w:sz="8" w:color="auto"/>
              <w:right w:val="single" w:sz="8" w:color="auto"/>
            </w:tcBorders>
            <w:vMerge w:val="restart"/>
            <w:shd w:val="clear" w:color="auto" w:fill="DBE5F1"/>
          </w:tcPr>
          <w:p>
            <w:pPr>
              <w:jc w:val="center"/>
              <w:spacing w:after="0"/>
              <w:rPr>
                <w:sz w:val="20"/>
                <w:szCs w:val="20"/>
                <w:color w:val="auto"/>
              </w:rPr>
            </w:pPr>
            <w:r>
              <w:rPr>
                <w:rFonts w:ascii="Arial" w:cs="Arial" w:eastAsia="Arial" w:hAnsi="Arial"/>
                <w:sz w:val="22"/>
                <w:szCs w:val="22"/>
                <w:b w:val="1"/>
                <w:bCs w:val="1"/>
                <w:color w:val="auto"/>
                <w:w w:val="90"/>
              </w:rPr>
              <w:t>Company Name</w:t>
            </w:r>
          </w:p>
        </w:tc>
        <w:tc>
          <w:tcPr>
            <w:tcW w:w="230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0"/>
              </w:rPr>
              <w:t>State of Incorporation</w:t>
            </w:r>
          </w:p>
        </w:tc>
        <w:tc>
          <w:tcPr>
            <w:tcW w:w="360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2"/>
                <w:szCs w:val="22"/>
                <w:b w:val="1"/>
                <w:bCs w:val="1"/>
                <w:color w:val="auto"/>
                <w:w w:val="92"/>
              </w:rPr>
              <w:t>% of Ownership (Direct &amp; Indirect)</w:t>
            </w:r>
          </w:p>
        </w:tc>
        <w:tc>
          <w:tcPr>
            <w:tcW w:w="0" w:type="dxa"/>
            <w:vAlign w:val="bottom"/>
          </w:tcPr>
          <w:p>
            <w:pPr>
              <w:spacing w:after="0"/>
              <w:rPr>
                <w:sz w:val="1"/>
                <w:szCs w:val="1"/>
                <w:color w:val="auto"/>
              </w:rPr>
            </w:pPr>
          </w:p>
        </w:tc>
      </w:tr>
      <w:tr>
        <w:trPr>
          <w:trHeight w:val="206"/>
        </w:trPr>
        <w:tc>
          <w:tcPr>
            <w:tcW w:w="2760" w:type="dxa"/>
            <w:vAlign w:val="bottom"/>
            <w:tcBorders>
              <w:left w:val="single" w:sz="8" w:color="auto"/>
              <w:bottom w:val="single" w:sz="8" w:color="auto"/>
              <w:right w:val="single" w:sz="8" w:color="auto"/>
            </w:tcBorders>
            <w:vMerge w:val="continue"/>
            <w:shd w:val="clear" w:color="auto" w:fill="DBE5F1"/>
          </w:tcPr>
          <w:p>
            <w:pPr>
              <w:spacing w:after="0"/>
              <w:rPr>
                <w:sz w:val="17"/>
                <w:szCs w:val="17"/>
                <w:color w:val="auto"/>
              </w:rPr>
            </w:pPr>
          </w:p>
        </w:tc>
        <w:tc>
          <w:tcPr>
            <w:tcW w:w="2300" w:type="dxa"/>
            <w:vAlign w:val="bottom"/>
            <w:tcBorders>
              <w:bottom w:val="single" w:sz="8" w:color="auto"/>
              <w:right w:val="single" w:sz="8" w:color="auto"/>
            </w:tcBorders>
            <w:shd w:val="clear" w:color="auto" w:fill="DBE5F1"/>
          </w:tcPr>
          <w:p>
            <w:pPr>
              <w:spacing w:after="0"/>
              <w:rPr>
                <w:sz w:val="17"/>
                <w:szCs w:val="17"/>
                <w:color w:val="auto"/>
              </w:rPr>
            </w:pPr>
          </w:p>
        </w:tc>
        <w:tc>
          <w:tcPr>
            <w:tcW w:w="3600" w:type="dxa"/>
            <w:vAlign w:val="bottom"/>
            <w:tcBorders>
              <w:bottom w:val="single" w:sz="8" w:color="auto"/>
              <w:right w:val="single" w:sz="8" w:color="auto"/>
            </w:tcBorders>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60" w:type="dxa"/>
            <w:vAlign w:val="bottom"/>
          </w:tcPr>
          <w:p>
            <w:pPr>
              <w:jc w:val="center"/>
              <w:spacing w:after="0" w:line="228" w:lineRule="exact"/>
              <w:rPr>
                <w:sz w:val="20"/>
                <w:szCs w:val="20"/>
                <w:color w:val="auto"/>
              </w:rPr>
            </w:pPr>
            <w:r>
              <w:rPr>
                <w:rFonts w:ascii="Arial" w:cs="Arial" w:eastAsia="Arial" w:hAnsi="Arial"/>
                <w:sz w:val="22"/>
                <w:szCs w:val="22"/>
                <w:color w:val="auto"/>
                <w:w w:val="88"/>
              </w:rPr>
              <w:t>Aqua Pennsylvania, Inc.</w:t>
            </w:r>
          </w:p>
        </w:tc>
        <w:tc>
          <w:tcPr>
            <w:tcW w:w="2300" w:type="dxa"/>
            <w:vAlign w:val="bottom"/>
          </w:tcPr>
          <w:p>
            <w:pPr>
              <w:jc w:val="center"/>
              <w:spacing w:after="0" w:line="228" w:lineRule="exact"/>
              <w:rPr>
                <w:sz w:val="20"/>
                <w:szCs w:val="20"/>
                <w:color w:val="auto"/>
              </w:rPr>
            </w:pPr>
            <w:r>
              <w:rPr>
                <w:rFonts w:ascii="Arial" w:cs="Arial" w:eastAsia="Arial" w:hAnsi="Arial"/>
                <w:sz w:val="22"/>
                <w:szCs w:val="22"/>
                <w:color w:val="auto"/>
                <w:w w:val="88"/>
              </w:rPr>
              <w:t>Pennsylvania</w:t>
            </w:r>
          </w:p>
        </w:tc>
        <w:tc>
          <w:tcPr>
            <w:tcW w:w="3600" w:type="dxa"/>
            <w:vAlign w:val="bottom"/>
          </w:tcPr>
          <w:p>
            <w:pPr>
              <w:jc w:val="center"/>
              <w:spacing w:after="0" w:line="228" w:lineRule="exact"/>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243"/>
        </w:trPr>
        <w:tc>
          <w:tcPr>
            <w:tcW w:w="2760" w:type="dxa"/>
            <w:vAlign w:val="bottom"/>
          </w:tcPr>
          <w:p>
            <w:pPr>
              <w:jc w:val="center"/>
              <w:spacing w:after="0" w:line="243" w:lineRule="exact"/>
              <w:rPr>
                <w:sz w:val="20"/>
                <w:szCs w:val="20"/>
                <w:color w:val="auto"/>
              </w:rPr>
            </w:pPr>
            <w:r>
              <w:rPr>
                <w:rFonts w:ascii="Arial" w:cs="Arial" w:eastAsia="Arial" w:hAnsi="Arial"/>
                <w:sz w:val="22"/>
                <w:szCs w:val="22"/>
                <w:color w:val="auto"/>
                <w:w w:val="89"/>
              </w:rPr>
              <w:t>1. Aqua Pennsylvania</w:t>
            </w:r>
          </w:p>
        </w:tc>
        <w:tc>
          <w:tcPr>
            <w:tcW w:w="2300" w:type="dxa"/>
            <w:vAlign w:val="bottom"/>
            <w:vMerge w:val="restart"/>
          </w:tcPr>
          <w:p>
            <w:pPr>
              <w:jc w:val="center"/>
              <w:spacing w:after="0"/>
              <w:rPr>
                <w:sz w:val="20"/>
                <w:szCs w:val="20"/>
                <w:color w:val="auto"/>
              </w:rPr>
            </w:pPr>
            <w:r>
              <w:rPr>
                <w:rFonts w:ascii="Arial" w:cs="Arial" w:eastAsia="Arial" w:hAnsi="Arial"/>
                <w:sz w:val="22"/>
                <w:szCs w:val="22"/>
                <w:color w:val="auto"/>
                <w:w w:val="88"/>
              </w:rPr>
              <w:t>Pennsylvania</w:t>
            </w:r>
          </w:p>
        </w:tc>
        <w:tc>
          <w:tcPr>
            <w:tcW w:w="3600" w:type="dxa"/>
            <w:vAlign w:val="bottom"/>
            <w:vMerge w:val="restart"/>
          </w:tcPr>
          <w:p>
            <w:pPr>
              <w:jc w:val="center"/>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153"/>
        </w:trPr>
        <w:tc>
          <w:tcPr>
            <w:tcW w:w="27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86"/>
              </w:rPr>
              <w:t>Wastewater, Inc.</w:t>
            </w:r>
          </w:p>
        </w:tc>
        <w:tc>
          <w:tcPr>
            <w:tcW w:w="2300" w:type="dxa"/>
            <w:vAlign w:val="bottom"/>
            <w:vMerge w:val="continue"/>
          </w:tcPr>
          <w:p>
            <w:pPr>
              <w:spacing w:after="0"/>
              <w:rPr>
                <w:sz w:val="13"/>
                <w:szCs w:val="13"/>
                <w:color w:val="auto"/>
              </w:rPr>
            </w:pP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760" w:type="dxa"/>
            <w:vAlign w:val="bottom"/>
          </w:tcPr>
          <w:p>
            <w:pPr>
              <w:jc w:val="center"/>
              <w:spacing w:after="0" w:line="243" w:lineRule="exact"/>
              <w:rPr>
                <w:sz w:val="20"/>
                <w:szCs w:val="20"/>
                <w:color w:val="auto"/>
              </w:rPr>
            </w:pPr>
            <w:r>
              <w:rPr>
                <w:rFonts w:ascii="Arial" w:cs="Arial" w:eastAsia="Arial" w:hAnsi="Arial"/>
                <w:sz w:val="22"/>
                <w:szCs w:val="22"/>
                <w:color w:val="auto"/>
                <w:w w:val="87"/>
              </w:rPr>
              <w:t>2. Honesdale Consolidated</w:t>
            </w:r>
          </w:p>
        </w:tc>
        <w:tc>
          <w:tcPr>
            <w:tcW w:w="2300" w:type="dxa"/>
            <w:vAlign w:val="bottom"/>
            <w:vMerge w:val="restart"/>
          </w:tcPr>
          <w:p>
            <w:pPr>
              <w:jc w:val="center"/>
              <w:spacing w:after="0"/>
              <w:rPr>
                <w:sz w:val="20"/>
                <w:szCs w:val="20"/>
                <w:color w:val="auto"/>
              </w:rPr>
            </w:pPr>
            <w:r>
              <w:rPr>
                <w:rFonts w:ascii="Arial" w:cs="Arial" w:eastAsia="Arial" w:hAnsi="Arial"/>
                <w:sz w:val="22"/>
                <w:szCs w:val="22"/>
                <w:color w:val="auto"/>
                <w:w w:val="88"/>
              </w:rPr>
              <w:t>Pennsylvania</w:t>
            </w:r>
          </w:p>
        </w:tc>
        <w:tc>
          <w:tcPr>
            <w:tcW w:w="3600" w:type="dxa"/>
            <w:vAlign w:val="bottom"/>
            <w:vMerge w:val="restart"/>
          </w:tcPr>
          <w:p>
            <w:pPr>
              <w:jc w:val="center"/>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153"/>
        </w:trPr>
        <w:tc>
          <w:tcPr>
            <w:tcW w:w="2760" w:type="dxa"/>
            <w:vAlign w:val="bottom"/>
            <w:vMerge w:val="restart"/>
          </w:tcPr>
          <w:p>
            <w:pPr>
              <w:jc w:val="center"/>
              <w:spacing w:after="0"/>
              <w:rPr>
                <w:sz w:val="20"/>
                <w:szCs w:val="20"/>
                <w:color w:val="auto"/>
              </w:rPr>
            </w:pPr>
            <w:r>
              <w:rPr>
                <w:rFonts w:ascii="Arial" w:cs="Arial" w:eastAsia="Arial" w:hAnsi="Arial"/>
                <w:sz w:val="22"/>
                <w:szCs w:val="22"/>
                <w:color w:val="auto"/>
                <w:w w:val="88"/>
              </w:rPr>
              <w:t>Water Company</w:t>
            </w:r>
          </w:p>
        </w:tc>
        <w:tc>
          <w:tcPr>
            <w:tcW w:w="2300" w:type="dxa"/>
            <w:vAlign w:val="bottom"/>
            <w:vMerge w:val="continue"/>
          </w:tcPr>
          <w:p>
            <w:pPr>
              <w:spacing w:after="0"/>
              <w:rPr>
                <w:sz w:val="13"/>
                <w:szCs w:val="13"/>
                <w:color w:val="auto"/>
              </w:rPr>
            </w:pP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22"/>
          <w:szCs w:val="22"/>
          <w:b w:val="1"/>
          <w:bCs w:val="1"/>
          <w:color w:val="auto"/>
        </w:rPr>
        <w:t>FINANCIAL STATEMENTS</w:t>
      </w:r>
    </w:p>
    <w:p>
      <w:pPr>
        <w:spacing w:after="0" w:line="200" w:lineRule="exact"/>
        <w:rPr>
          <w:sz w:val="20"/>
          <w:szCs w:val="20"/>
          <w:color w:val="auto"/>
        </w:rPr>
      </w:pPr>
    </w:p>
    <w:p>
      <w:pPr>
        <w:spacing w:after="0" w:line="296" w:lineRule="exact"/>
        <w:rPr>
          <w:sz w:val="20"/>
          <w:szCs w:val="20"/>
          <w:color w:val="auto"/>
        </w:rPr>
      </w:pPr>
    </w:p>
    <w:p>
      <w:pPr>
        <w:ind w:left="840" w:right="759" w:hanging="656"/>
        <w:spacing w:after="0" w:line="250" w:lineRule="auto"/>
        <w:tabs>
          <w:tab w:leader="none" w:pos="5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Aqua Pennsylvania, Inc. Consolidated Financial Statements as of and for the years ended December 31, 2019, 2018, and 2017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5.5</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11" w:name="page112"/>
    <w:bookmarkEnd w:id="111"/>
    <w:p>
      <w:pPr>
        <w:jc w:val="center"/>
        <w:ind w:left="2720"/>
        <w:spacing w:after="0"/>
        <w:rPr>
          <w:sz w:val="20"/>
          <w:szCs w:val="20"/>
          <w:color w:val="auto"/>
        </w:rPr>
      </w:pPr>
      <w:r>
        <w:rPr>
          <w:rFonts w:ascii="Arial" w:cs="Arial" w:eastAsia="Arial" w:hAnsi="Arial"/>
          <w:sz w:val="17"/>
          <w:szCs w:val="17"/>
          <w:b w:val="1"/>
          <w:bCs w:val="1"/>
          <w:color w:val="auto"/>
        </w:rPr>
        <w:t>Aqua Pennsylvania and Subsidiaries</w:t>
      </w:r>
    </w:p>
    <w:p>
      <w:pPr>
        <w:spacing w:after="0" w:line="25"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Schedule 5.15(a) - Existing Debt</w:t>
      </w:r>
    </w:p>
    <w:p>
      <w:pPr>
        <w:jc w:val="center"/>
        <w:ind w:left="2720"/>
        <w:spacing w:after="0"/>
        <w:rPr>
          <w:sz w:val="20"/>
          <w:szCs w:val="20"/>
          <w:color w:val="auto"/>
        </w:rPr>
      </w:pPr>
      <w:r>
        <w:rPr>
          <w:rFonts w:ascii="Arial" w:cs="Arial" w:eastAsia="Arial" w:hAnsi="Arial"/>
          <w:sz w:val="18"/>
          <w:szCs w:val="18"/>
          <w:b w:val="1"/>
          <w:bCs w:val="1"/>
          <w:color w:val="auto"/>
        </w:rPr>
        <w:t>as of 12/31/2019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120" w:type="dxa"/>
            <w:vAlign w:val="bottom"/>
          </w:tcPr>
          <w:p>
            <w:pPr>
              <w:spacing w:after="0"/>
              <w:rPr>
                <w:sz w:val="20"/>
                <w:szCs w:val="20"/>
                <w:color w:val="auto"/>
              </w:rPr>
            </w:pPr>
            <w:r>
              <w:rPr>
                <w:rFonts w:ascii="Arial" w:cs="Arial" w:eastAsia="Arial" w:hAnsi="Arial"/>
                <w:sz w:val="16"/>
                <w:szCs w:val="16"/>
                <w:color w:val="auto"/>
              </w:rPr>
              <w:t>Unsecured Note</w:t>
            </w:r>
          </w:p>
        </w:tc>
        <w:tc>
          <w:tcPr>
            <w:tcW w:w="1680" w:type="dxa"/>
            <w:vAlign w:val="bottom"/>
          </w:tcPr>
          <w:p>
            <w:pPr>
              <w:ind w:left="1140"/>
              <w:spacing w:after="0"/>
              <w:rPr>
                <w:sz w:val="20"/>
                <w:szCs w:val="20"/>
                <w:color w:val="auto"/>
              </w:rPr>
            </w:pPr>
            <w:r>
              <w:rPr>
                <w:rFonts w:ascii="Arial" w:cs="Arial" w:eastAsia="Arial" w:hAnsi="Arial"/>
                <w:sz w:val="16"/>
                <w:szCs w:val="16"/>
                <w:color w:val="auto"/>
              </w:rPr>
              <w:t>5.64%</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Unsecured Note</w:t>
            </w:r>
          </w:p>
        </w:tc>
        <w:tc>
          <w:tcPr>
            <w:tcW w:w="1680" w:type="dxa"/>
            <w:vAlign w:val="bottom"/>
          </w:tcPr>
          <w:p>
            <w:pPr>
              <w:ind w:left="1140"/>
              <w:spacing w:after="0"/>
              <w:rPr>
                <w:sz w:val="20"/>
                <w:szCs w:val="20"/>
                <w:color w:val="auto"/>
              </w:rPr>
            </w:pPr>
            <w:r>
              <w:rPr>
                <w:rFonts w:ascii="Arial" w:cs="Arial" w:eastAsia="Arial" w:hAnsi="Arial"/>
                <w:sz w:val="16"/>
                <w:szCs w:val="16"/>
                <w:color w:val="auto"/>
              </w:rPr>
              <w:t>5.64%</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Unsecured Note</w:t>
            </w:r>
          </w:p>
        </w:tc>
        <w:tc>
          <w:tcPr>
            <w:tcW w:w="1680" w:type="dxa"/>
            <w:vAlign w:val="bottom"/>
          </w:tcPr>
          <w:p>
            <w:pPr>
              <w:ind w:left="1140"/>
              <w:spacing w:after="0"/>
              <w:rPr>
                <w:sz w:val="20"/>
                <w:szCs w:val="20"/>
                <w:color w:val="auto"/>
              </w:rPr>
            </w:pPr>
            <w:r>
              <w:rPr>
                <w:rFonts w:ascii="Arial" w:cs="Arial" w:eastAsia="Arial" w:hAnsi="Arial"/>
                <w:sz w:val="16"/>
                <w:szCs w:val="16"/>
                <w:color w:val="auto"/>
              </w:rPr>
              <w:t>5.95%</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Unsecured Note</w:t>
            </w:r>
          </w:p>
        </w:tc>
        <w:tc>
          <w:tcPr>
            <w:tcW w:w="1680" w:type="dxa"/>
            <w:vAlign w:val="bottom"/>
          </w:tcPr>
          <w:p>
            <w:pPr>
              <w:ind w:left="1140"/>
              <w:spacing w:after="0"/>
              <w:rPr>
                <w:sz w:val="20"/>
                <w:szCs w:val="20"/>
                <w:color w:val="auto"/>
              </w:rPr>
            </w:pPr>
            <w:r>
              <w:rPr>
                <w:rFonts w:ascii="Arial" w:cs="Arial" w:eastAsia="Arial" w:hAnsi="Arial"/>
                <w:sz w:val="16"/>
                <w:szCs w:val="16"/>
                <w:color w:val="auto"/>
              </w:rPr>
              <w:t>5.95%</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Unsecured Note</w:t>
            </w:r>
          </w:p>
        </w:tc>
        <w:tc>
          <w:tcPr>
            <w:tcW w:w="1680" w:type="dxa"/>
            <w:vAlign w:val="bottom"/>
          </w:tcPr>
          <w:p>
            <w:pPr>
              <w:ind w:left="1140"/>
              <w:spacing w:after="0"/>
              <w:rPr>
                <w:sz w:val="20"/>
                <w:szCs w:val="20"/>
                <w:color w:val="auto"/>
              </w:rPr>
            </w:pPr>
            <w:r>
              <w:rPr>
                <w:rFonts w:ascii="Arial" w:cs="Arial" w:eastAsia="Arial" w:hAnsi="Arial"/>
                <w:sz w:val="16"/>
                <w:szCs w:val="16"/>
                <w:color w:val="auto"/>
              </w:rPr>
              <w:t>5.95%</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Unsecured Note</w:t>
            </w:r>
          </w:p>
        </w:tc>
        <w:tc>
          <w:tcPr>
            <w:tcW w:w="1680" w:type="dxa"/>
            <w:vAlign w:val="bottom"/>
          </w:tcPr>
          <w:p>
            <w:pPr>
              <w:ind w:left="1140"/>
              <w:spacing w:after="0"/>
              <w:rPr>
                <w:sz w:val="20"/>
                <w:szCs w:val="20"/>
                <w:color w:val="auto"/>
              </w:rPr>
            </w:pPr>
            <w:r>
              <w:rPr>
                <w:rFonts w:ascii="Arial" w:cs="Arial" w:eastAsia="Arial" w:hAnsi="Arial"/>
                <w:sz w:val="16"/>
                <w:szCs w:val="16"/>
                <w:color w:val="auto"/>
              </w:rPr>
              <w:t>5.95%</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Bank Loan</w:t>
            </w:r>
          </w:p>
        </w:tc>
        <w:tc>
          <w:tcPr>
            <w:tcW w:w="1680" w:type="dxa"/>
            <w:vAlign w:val="bottom"/>
          </w:tcPr>
          <w:p>
            <w:pPr>
              <w:ind w:left="1140"/>
              <w:spacing w:after="0"/>
              <w:rPr>
                <w:sz w:val="20"/>
                <w:szCs w:val="20"/>
                <w:color w:val="auto"/>
              </w:rPr>
            </w:pPr>
            <w:r>
              <w:rPr>
                <w:rFonts w:ascii="Arial" w:cs="Arial" w:eastAsia="Arial" w:hAnsi="Arial"/>
                <w:sz w:val="16"/>
                <w:szCs w:val="16"/>
                <w:color w:val="auto"/>
              </w:rPr>
              <w:t>3.50%</w:t>
            </w:r>
          </w:p>
        </w:tc>
      </w:tr>
      <w:tr>
        <w:trPr>
          <w:trHeight w:val="499"/>
        </w:trPr>
        <w:tc>
          <w:tcPr>
            <w:tcW w:w="3120" w:type="dxa"/>
            <w:vAlign w:val="bottom"/>
          </w:tcPr>
          <w:p>
            <w:pPr>
              <w:spacing w:after="0"/>
              <w:rPr>
                <w:sz w:val="20"/>
                <w:szCs w:val="20"/>
                <w:color w:val="auto"/>
              </w:rPr>
            </w:pPr>
            <w:r>
              <w:rPr>
                <w:rFonts w:ascii="Arial" w:cs="Arial" w:eastAsia="Arial" w:hAnsi="Arial"/>
                <w:sz w:val="16"/>
                <w:szCs w:val="16"/>
                <w:b w:val="1"/>
                <w:bCs w:val="1"/>
                <w:color w:val="auto"/>
              </w:rPr>
              <w:t>Total Unsecured Notes</w:t>
            </w:r>
          </w:p>
        </w:tc>
        <w:tc>
          <w:tcPr>
            <w:tcW w:w="1680" w:type="dxa"/>
            <w:vAlign w:val="bottom"/>
          </w:tcPr>
          <w:p>
            <w:pPr>
              <w:spacing w:after="0"/>
              <w:rPr>
                <w:sz w:val="24"/>
                <w:szCs w:val="24"/>
                <w:color w:val="auto"/>
              </w:rPr>
            </w:pPr>
          </w:p>
        </w:tc>
      </w:tr>
      <w:tr>
        <w:trPr>
          <w:trHeight w:val="486"/>
        </w:trPr>
        <w:tc>
          <w:tcPr>
            <w:tcW w:w="312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680" w:type="dxa"/>
            <w:vAlign w:val="bottom"/>
          </w:tcPr>
          <w:p>
            <w:pPr>
              <w:spacing w:after="0"/>
              <w:rPr>
                <w:sz w:val="24"/>
                <w:szCs w:val="24"/>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680" w:type="dxa"/>
            <w:vAlign w:val="bottom"/>
          </w:tcPr>
          <w:p>
            <w:pPr>
              <w:spacing w:after="0"/>
              <w:rPr>
                <w:sz w:val="21"/>
                <w:szCs w:val="21"/>
                <w:color w:val="auto"/>
              </w:rPr>
            </w:pPr>
          </w:p>
        </w:tc>
      </w:tr>
      <w:tr>
        <w:trPr>
          <w:trHeight w:val="486"/>
        </w:trPr>
        <w:tc>
          <w:tcPr>
            <w:tcW w:w="312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680" w:type="dxa"/>
            <w:vAlign w:val="bottom"/>
          </w:tcPr>
          <w:p>
            <w:pPr>
              <w:spacing w:after="0"/>
              <w:rPr>
                <w:sz w:val="24"/>
                <w:szCs w:val="24"/>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680" w:type="dxa"/>
            <w:vAlign w:val="bottom"/>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680" w:type="dxa"/>
            <w:vAlign w:val="bottom"/>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w:t>
            </w:r>
          </w:p>
        </w:tc>
        <w:tc>
          <w:tcPr>
            <w:tcW w:w="1680" w:type="dxa"/>
            <w:vAlign w:val="bottom"/>
          </w:tcPr>
          <w:p>
            <w:pPr>
              <w:ind w:left="1140"/>
              <w:spacing w:after="0"/>
              <w:rPr>
                <w:sz w:val="20"/>
                <w:szCs w:val="20"/>
                <w:color w:val="auto"/>
              </w:rPr>
            </w:pPr>
            <w:r>
              <w:rPr>
                <w:rFonts w:ascii="Arial" w:cs="Arial" w:eastAsia="Arial" w:hAnsi="Arial"/>
                <w:sz w:val="16"/>
                <w:szCs w:val="16"/>
                <w:color w:val="auto"/>
              </w:rPr>
              <w:t>5.00%</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w:t>
            </w:r>
          </w:p>
        </w:tc>
        <w:tc>
          <w:tcPr>
            <w:tcW w:w="1680" w:type="dxa"/>
            <w:vAlign w:val="bottom"/>
          </w:tcPr>
          <w:p>
            <w:pPr>
              <w:ind w:left="1140"/>
              <w:spacing w:after="0"/>
              <w:rPr>
                <w:sz w:val="20"/>
                <w:szCs w:val="20"/>
                <w:color w:val="auto"/>
              </w:rPr>
            </w:pPr>
            <w:r>
              <w:rPr>
                <w:rFonts w:ascii="Arial" w:cs="Arial" w:eastAsia="Arial" w:hAnsi="Arial"/>
                <w:sz w:val="16"/>
                <w:szCs w:val="16"/>
                <w:color w:val="auto"/>
              </w:rPr>
              <w:t>5.00%</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680" w:type="dxa"/>
            <w:vAlign w:val="bottom"/>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w:t>
            </w:r>
          </w:p>
        </w:tc>
        <w:tc>
          <w:tcPr>
            <w:tcW w:w="1680" w:type="dxa"/>
            <w:vAlign w:val="bottom"/>
          </w:tcPr>
          <w:p>
            <w:pPr>
              <w:ind w:left="1140"/>
              <w:spacing w:after="0"/>
              <w:rPr>
                <w:sz w:val="20"/>
                <w:szCs w:val="20"/>
                <w:color w:val="auto"/>
              </w:rPr>
            </w:pPr>
            <w:r>
              <w:rPr>
                <w:rFonts w:ascii="Arial" w:cs="Arial" w:eastAsia="Arial" w:hAnsi="Arial"/>
                <w:sz w:val="16"/>
                <w:szCs w:val="16"/>
                <w:color w:val="auto"/>
              </w:rPr>
              <w:t>4.50%</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Exempt-Bond Discount</w:t>
            </w:r>
          </w:p>
        </w:tc>
        <w:tc>
          <w:tcPr>
            <w:tcW w:w="1680" w:type="dxa"/>
            <w:vAlign w:val="bottom"/>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w:t>
            </w:r>
          </w:p>
        </w:tc>
        <w:tc>
          <w:tcPr>
            <w:tcW w:w="1680" w:type="dxa"/>
            <w:vAlign w:val="bottom"/>
          </w:tcPr>
          <w:p>
            <w:pPr>
              <w:ind w:left="1140"/>
              <w:spacing w:after="0"/>
              <w:rPr>
                <w:sz w:val="20"/>
                <w:szCs w:val="20"/>
                <w:color w:val="auto"/>
              </w:rPr>
            </w:pPr>
            <w:r>
              <w:rPr>
                <w:rFonts w:ascii="Arial" w:cs="Arial" w:eastAsia="Arial" w:hAnsi="Arial"/>
                <w:sz w:val="16"/>
                <w:szCs w:val="16"/>
                <w:color w:val="auto"/>
              </w:rPr>
              <w:t>5.00%</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Tax Exempt-Bond Premium</w:t>
            </w:r>
          </w:p>
        </w:tc>
        <w:tc>
          <w:tcPr>
            <w:tcW w:w="1680" w:type="dxa"/>
            <w:vAlign w:val="bottom"/>
          </w:tcPr>
          <w:p>
            <w:pPr>
              <w:spacing w:after="0"/>
              <w:rPr>
                <w:sz w:val="21"/>
                <w:szCs w:val="21"/>
                <w:color w:val="auto"/>
              </w:rPr>
            </w:pPr>
          </w:p>
        </w:tc>
      </w:tr>
      <w:tr>
        <w:trPr>
          <w:trHeight w:val="500"/>
        </w:trPr>
        <w:tc>
          <w:tcPr>
            <w:tcW w:w="3120" w:type="dxa"/>
            <w:vAlign w:val="bottom"/>
          </w:tcPr>
          <w:p>
            <w:pPr>
              <w:spacing w:after="0"/>
              <w:rPr>
                <w:sz w:val="20"/>
                <w:szCs w:val="20"/>
                <w:color w:val="auto"/>
              </w:rPr>
            </w:pPr>
            <w:r>
              <w:rPr>
                <w:rFonts w:ascii="Arial" w:cs="Arial" w:eastAsia="Arial" w:hAnsi="Arial"/>
                <w:sz w:val="16"/>
                <w:szCs w:val="16"/>
                <w:b w:val="1"/>
                <w:bCs w:val="1"/>
                <w:color w:val="auto"/>
              </w:rPr>
              <w:t>Total Tax Exempt Bonds</w:t>
            </w:r>
          </w:p>
        </w:tc>
        <w:tc>
          <w:tcPr>
            <w:tcW w:w="1680" w:type="dxa"/>
            <w:vAlign w:val="bottom"/>
          </w:tcPr>
          <w:p>
            <w:pPr>
              <w:spacing w:after="0"/>
              <w:rPr>
                <w:sz w:val="24"/>
                <w:szCs w:val="24"/>
                <w:color w:val="auto"/>
              </w:rPr>
            </w:pPr>
          </w:p>
        </w:tc>
      </w:tr>
      <w:tr>
        <w:trPr>
          <w:trHeight w:val="486"/>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2.711%</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2.547%</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2.547%</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2.690%</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2.547%</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2.547%</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1.510%</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1.000%</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4.047%</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3.631%</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4.047%</w:t>
            </w:r>
          </w:p>
        </w:tc>
      </w:tr>
      <w:tr>
        <w:trPr>
          <w:trHeight w:val="243"/>
        </w:trPr>
        <w:tc>
          <w:tcPr>
            <w:tcW w:w="3120" w:type="dxa"/>
            <w:vAlign w:val="bottom"/>
          </w:tcPr>
          <w:p>
            <w:pPr>
              <w:spacing w:after="0"/>
              <w:rPr>
                <w:sz w:val="20"/>
                <w:szCs w:val="20"/>
                <w:color w:val="auto"/>
              </w:rPr>
            </w:pPr>
            <w:r>
              <w:rPr>
                <w:rFonts w:ascii="Arial" w:cs="Arial" w:eastAsia="Arial" w:hAnsi="Arial"/>
                <w:sz w:val="16"/>
                <w:szCs w:val="16"/>
                <w:color w:val="auto"/>
              </w:rPr>
              <w:t>PennVest</w:t>
            </w:r>
          </w:p>
        </w:tc>
        <w:tc>
          <w:tcPr>
            <w:tcW w:w="1680" w:type="dxa"/>
            <w:vAlign w:val="bottom"/>
          </w:tcPr>
          <w:p>
            <w:pPr>
              <w:ind w:left="1140"/>
              <w:spacing w:after="0"/>
              <w:rPr>
                <w:sz w:val="20"/>
                <w:szCs w:val="20"/>
                <w:color w:val="auto"/>
              </w:rPr>
            </w:pPr>
            <w:r>
              <w:rPr>
                <w:rFonts w:ascii="Arial" w:cs="Arial" w:eastAsia="Arial" w:hAnsi="Arial"/>
                <w:sz w:val="16"/>
                <w:szCs w:val="16"/>
                <w:color w:val="auto"/>
                <w:w w:val="95"/>
              </w:rPr>
              <w:t>3.552%</w:t>
            </w:r>
          </w:p>
        </w:tc>
      </w:tr>
    </w:tbl>
    <w:p>
      <w:pPr>
        <w:spacing w:after="0" w:line="241" w:lineRule="exact"/>
        <w:rPr>
          <w:sz w:val="20"/>
          <w:szCs w:val="20"/>
          <w:color w:val="auto"/>
        </w:rPr>
      </w:pPr>
    </w:p>
    <w:p>
      <w:pPr>
        <w:jc w:val="center"/>
        <w:ind w:left="2720"/>
        <w:spacing w:after="0"/>
        <w:rPr>
          <w:sz w:val="20"/>
          <w:szCs w:val="20"/>
          <w:color w:val="auto"/>
        </w:rPr>
      </w:pPr>
      <w:r>
        <w:rPr>
          <w:rFonts w:ascii="Arial" w:cs="Arial" w:eastAsia="Arial" w:hAnsi="Arial"/>
          <w:sz w:val="22"/>
          <w:szCs w:val="22"/>
          <w:color w:val="auto"/>
        </w:rPr>
        <w:t>SCHEDULE 5.15(a)</w:t>
      </w:r>
    </w:p>
    <w:p>
      <w:pPr>
        <w:spacing w:after="0" w:line="8" w:lineRule="exact"/>
        <w:rPr>
          <w:sz w:val="20"/>
          <w:szCs w:val="20"/>
          <w:color w:val="auto"/>
        </w:rPr>
      </w:pPr>
    </w:p>
    <w:p>
      <w:pPr>
        <w:jc w:val="center"/>
        <w:ind w:left="272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39"/>
        <w:spacing w:after="0"/>
        <w:rPr>
          <w:sz w:val="20"/>
          <w:szCs w:val="20"/>
          <w:color w:val="auto"/>
        </w:rPr>
      </w:pPr>
      <w:r>
        <w:rPr>
          <w:rFonts w:ascii="Arial" w:cs="Arial" w:eastAsia="Arial" w:hAnsi="Arial"/>
          <w:sz w:val="15"/>
          <w:szCs w:val="15"/>
          <w:color w:val="auto"/>
        </w:rPr>
        <w:t>Outstanding</w:t>
      </w:r>
    </w:p>
    <w:p>
      <w:pPr>
        <w:spacing w:after="0" w:line="44"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10795</wp:posOffset>
            </wp:positionV>
            <wp:extent cx="17487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1748790" cy="17145"/>
                    </a:xfrm>
                    <a:prstGeom prst="rect">
                      <a:avLst/>
                    </a:prstGeom>
                    <a:noFill/>
                  </pic:spPr>
                </pic:pic>
              </a:graphicData>
            </a:graphic>
          </wp:anchor>
        </w:drawing>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5,466,000</w:t>
      </w:r>
    </w:p>
    <w:p>
      <w:pPr>
        <w:spacing w:after="0" w:line="46"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5,461,000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10,000,000</w:t>
      </w:r>
    </w:p>
    <w:p>
      <w:pPr>
        <w:spacing w:after="0" w:line="5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10,000,000</w:t>
      </w:r>
    </w:p>
    <w:p>
      <w:pPr>
        <w:spacing w:after="0" w:line="5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10,000,000</w:t>
      </w:r>
    </w:p>
    <w:p>
      <w:pPr>
        <w:spacing w:after="0" w:line="5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10,000,000</w:t>
      </w:r>
    </w:p>
    <w:p>
      <w:pPr>
        <w:spacing w:after="0" w:line="5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27940</wp:posOffset>
            </wp:positionV>
            <wp:extent cx="17487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1748790" cy="17145"/>
                    </a:xfrm>
                    <a:prstGeom prst="rect">
                      <a:avLst/>
                    </a:prstGeom>
                    <a:noFill/>
                  </pic:spPr>
                </pic:pic>
              </a:graphicData>
            </a:graphic>
          </wp:anchor>
        </w:drawing>
      </w:r>
    </w:p>
    <w:p>
      <w:pPr>
        <w:spacing w:after="0" w:line="27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100,927,000</w:t>
      </w:r>
    </w:p>
    <w:p>
      <w:pPr>
        <w:spacing w:after="0" w:line="322"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1,341,169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222,070</w:t>
      </w:r>
    </w:p>
    <w:p>
      <w:pPr>
        <w:spacing w:after="0" w:line="302"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(1,324,130)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410,592</w:t>
      </w:r>
    </w:p>
    <w:p>
      <w:pPr>
        <w:spacing w:after="0" w:line="59"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(200,947)</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25,910,000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19,270,000</w:t>
      </w:r>
    </w:p>
    <w:p>
      <w:pPr>
        <w:spacing w:after="0" w:line="59"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(82,888)</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15,000,000</w:t>
      </w:r>
    </w:p>
    <w:p>
      <w:pPr>
        <w:spacing w:after="0" w:line="59"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(439,200)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81,205,000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1,871,535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27940</wp:posOffset>
            </wp:positionV>
            <wp:extent cx="17487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1748790" cy="17145"/>
                    </a:xfrm>
                    <a:prstGeom prst="rect">
                      <a:avLst/>
                    </a:prstGeom>
                    <a:noFill/>
                  </pic:spPr>
                </pic:pic>
              </a:graphicData>
            </a:graphic>
          </wp:anchor>
        </w:drawing>
      </w:r>
    </w:p>
    <w:p>
      <w:pPr>
        <w:spacing w:after="0" w:line="27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143,173,201</w:t>
      </w:r>
    </w:p>
    <w:p>
      <w:pPr>
        <w:spacing w:after="0" w:line="376"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347,797</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736,686</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244,694</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711,795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1,406,348</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466,671</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1,837,810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826,310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76,699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11,703</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27,581</w:t>
      </w:r>
    </w:p>
    <w:p>
      <w:pPr>
        <w:spacing w:after="0" w:line="59"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(0)</w:t>
      </w:r>
    </w:p>
    <w:p>
      <w:pPr>
        <w:sectPr>
          <w:pgSz w:w="11900" w:h="16838" w:orient="portrait"/>
          <w:cols w:equalWidth="0" w:num="2">
            <w:col w:w="6300" w:space="720"/>
            <w:col w:w="1999"/>
          </w:cols>
          <w:pgMar w:left="1440" w:top="603" w:right="1440" w:bottom="1440" w:gutter="0" w:footer="0" w:header="0"/>
        </w:sectPr>
      </w:pPr>
    </w:p>
    <w:bookmarkStart w:id="112" w:name="page113"/>
    <w:bookmarkEnd w:id="112"/>
    <w:tbl>
      <w:tblPr>
        <w:tblLayout w:type="fixed"/>
        <w:tblInd w:w="300" w:type="dxa"/>
        <w:tblCellMar>
          <w:top w:w="0" w:type="dxa"/>
          <w:left w:w="0" w:type="dxa"/>
          <w:bottom w:w="0" w:type="dxa"/>
          <w:right w:w="0" w:type="dxa"/>
        </w:tblCellMar>
      </w:tblPr>
      <w:tr>
        <w:trPr>
          <w:trHeight w:val="195"/>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1.349%</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3.631%</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4.050%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3.030%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3.460%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3.468%</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2.774%</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4.047%</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3.790%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3.810%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3.430%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2.774%</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3.470%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3.468%</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3.195%</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2.556%</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2.554%</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3.046%</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3.143%</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3.330%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2.730%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2.668%</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2.774%</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2.774%</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3.052%</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3.468%</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2.774%</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2.774%</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PennVest</w:t>
            </w:r>
          </w:p>
        </w:tc>
        <w:tc>
          <w:tcPr>
            <w:tcW w:w="2320" w:type="dxa"/>
            <w:vAlign w:val="bottom"/>
          </w:tcPr>
          <w:p>
            <w:pPr>
              <w:jc w:val="right"/>
              <w:spacing w:after="0"/>
              <w:rPr>
                <w:sz w:val="20"/>
                <w:szCs w:val="20"/>
                <w:color w:val="auto"/>
              </w:rPr>
            </w:pPr>
            <w:r>
              <w:rPr>
                <w:rFonts w:ascii="Arial" w:cs="Arial" w:eastAsia="Arial" w:hAnsi="Arial"/>
                <w:sz w:val="16"/>
                <w:szCs w:val="16"/>
                <w:color w:val="auto"/>
              </w:rPr>
              <w:t>2.547%</w:t>
            </w:r>
          </w:p>
        </w:tc>
      </w:tr>
    </w:tbl>
    <w:p>
      <w:pPr>
        <w:spacing w:after="0" w:line="28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PennVest</w:t>
      </w:r>
    </w:p>
    <w:p>
      <w:pPr>
        <w:spacing w:after="0" w:line="200" w:lineRule="exact"/>
        <w:rPr>
          <w:sz w:val="20"/>
          <w:szCs w:val="20"/>
          <w:color w:val="auto"/>
        </w:rPr>
      </w:pPr>
    </w:p>
    <w:p>
      <w:pPr>
        <w:spacing w:after="0" w:line="31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5.15(a)-2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28,435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41,075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134,439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148,270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2,865,956</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254,670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1,127,511</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50,178</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483,909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221,924</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262,858</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459,928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1,854,999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109,577</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1,019,959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517,410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652,955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334,576</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787,165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897,015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651,104</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764,571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1,266,600</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620,679</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5,866,229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141,640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1,379,859</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746,347</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725,137</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288,905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116,526</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89,044</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423,298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1,990,285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576,552</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158,796</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851,785</w:t>
      </w:r>
    </w:p>
    <w:p>
      <w:pPr>
        <w:spacing w:after="0" w:line="59"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993,468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1,110,514</w:t>
      </w:r>
    </w:p>
    <w:p>
      <w:pPr>
        <w:spacing w:after="0" w:line="46" w:lineRule="exact"/>
        <w:rPr>
          <w:sz w:val="20"/>
          <w:szCs w:val="20"/>
          <w:color w:val="auto"/>
        </w:rPr>
      </w:pPr>
    </w:p>
    <w:p>
      <w:pPr>
        <w:jc w:val="right"/>
        <w:ind w:right="239"/>
        <w:spacing w:after="0"/>
        <w:rPr>
          <w:sz w:val="20"/>
          <w:szCs w:val="20"/>
          <w:color w:val="auto"/>
        </w:rPr>
      </w:pPr>
      <w:r>
        <w:rPr>
          <w:rFonts w:ascii="Arial" w:cs="Arial" w:eastAsia="Arial" w:hAnsi="Arial"/>
          <w:sz w:val="16"/>
          <w:szCs w:val="16"/>
          <w:color w:val="auto"/>
        </w:rPr>
        <w:t>571,068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1905</wp:posOffset>
            </wp:positionV>
            <wp:extent cx="17487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174879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38,279,312</w:t>
      </w:r>
    </w:p>
    <w:p>
      <w:pPr>
        <w:sectPr>
          <w:pgSz w:w="11900" w:h="16838" w:orient="portrait"/>
          <w:cols w:equalWidth="0" w:num="2">
            <w:col w:w="7240" w:space="720"/>
            <w:col w:w="1059"/>
          </w:cols>
          <w:pgMar w:left="1440" w:top="384" w:right="1440" w:bottom="1440" w:gutter="0" w:footer="0" w:header="0"/>
        </w:sectPr>
      </w:pPr>
    </w:p>
    <w:bookmarkStart w:id="113" w:name="page114"/>
    <w:bookmarkEnd w:id="113"/>
    <w:tbl>
      <w:tblPr>
        <w:tblLayout w:type="fixed"/>
        <w:tblInd w:w="180" w:type="dxa"/>
        <w:tblCellMar>
          <w:top w:w="0" w:type="dxa"/>
          <w:left w:w="0" w:type="dxa"/>
          <w:bottom w:w="0" w:type="dxa"/>
          <w:right w:w="0" w:type="dxa"/>
        </w:tblCellMar>
      </w:tblPr>
      <w:tr>
        <w:trPr>
          <w:trHeight w:val="195"/>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5.980%</w:t>
            </w:r>
          </w:p>
        </w:tc>
        <w:tc>
          <w:tcPr>
            <w:tcW w:w="2760" w:type="dxa"/>
            <w:vAlign w:val="bottom"/>
          </w:tcPr>
          <w:p>
            <w:pPr>
              <w:jc w:val="right"/>
              <w:spacing w:after="0"/>
              <w:rPr>
                <w:sz w:val="20"/>
                <w:szCs w:val="20"/>
                <w:color w:val="auto"/>
              </w:rPr>
            </w:pPr>
            <w:r>
              <w:rPr>
                <w:rFonts w:ascii="Arial" w:cs="Arial" w:eastAsia="Arial" w:hAnsi="Arial"/>
                <w:sz w:val="16"/>
                <w:szCs w:val="16"/>
                <w:color w:val="auto"/>
              </w:rPr>
              <w:t>3,000,000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6.060%</w:t>
            </w:r>
          </w:p>
        </w:tc>
        <w:tc>
          <w:tcPr>
            <w:tcW w:w="2760" w:type="dxa"/>
            <w:vAlign w:val="bottom"/>
          </w:tcPr>
          <w:p>
            <w:pPr>
              <w:jc w:val="right"/>
              <w:spacing w:after="0"/>
              <w:rPr>
                <w:sz w:val="20"/>
                <w:szCs w:val="20"/>
                <w:color w:val="auto"/>
              </w:rPr>
            </w:pPr>
            <w:r>
              <w:rPr>
                <w:rFonts w:ascii="Arial" w:cs="Arial" w:eastAsia="Arial" w:hAnsi="Arial"/>
                <w:sz w:val="16"/>
                <w:szCs w:val="16"/>
                <w:color w:val="auto"/>
              </w:rPr>
              <w:t>15,000,000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6.06%</w:t>
            </w:r>
          </w:p>
        </w:tc>
        <w:tc>
          <w:tcPr>
            <w:tcW w:w="2760" w:type="dxa"/>
            <w:vAlign w:val="bottom"/>
          </w:tcPr>
          <w:p>
            <w:pPr>
              <w:jc w:val="right"/>
              <w:spacing w:after="0"/>
              <w:rPr>
                <w:sz w:val="20"/>
                <w:szCs w:val="20"/>
                <w:color w:val="auto"/>
              </w:rPr>
            </w:pPr>
            <w:r>
              <w:rPr>
                <w:rFonts w:ascii="Arial" w:cs="Arial" w:eastAsia="Arial" w:hAnsi="Arial"/>
                <w:sz w:val="16"/>
                <w:szCs w:val="16"/>
                <w:color w:val="auto"/>
              </w:rPr>
              <w:t>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7.72%</w:t>
            </w:r>
          </w:p>
        </w:tc>
        <w:tc>
          <w:tcPr>
            <w:tcW w:w="2760" w:type="dxa"/>
            <w:vAlign w:val="bottom"/>
          </w:tcPr>
          <w:p>
            <w:pPr>
              <w:jc w:val="right"/>
              <w:spacing w:after="0"/>
              <w:rPr>
                <w:sz w:val="20"/>
                <w:szCs w:val="20"/>
                <w:color w:val="auto"/>
              </w:rPr>
            </w:pPr>
            <w:r>
              <w:rPr>
                <w:rFonts w:ascii="Arial" w:cs="Arial" w:eastAsia="Arial" w:hAnsi="Arial"/>
                <w:sz w:val="16"/>
                <w:szCs w:val="16"/>
                <w:color w:val="auto"/>
              </w:rPr>
              <w:t>15,000,000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9.17%</w:t>
            </w:r>
          </w:p>
        </w:tc>
        <w:tc>
          <w:tcPr>
            <w:tcW w:w="2760" w:type="dxa"/>
            <w:vAlign w:val="bottom"/>
          </w:tcPr>
          <w:p>
            <w:pPr>
              <w:jc w:val="right"/>
              <w:spacing w:after="0"/>
              <w:rPr>
                <w:sz w:val="20"/>
                <w:szCs w:val="20"/>
                <w:color w:val="auto"/>
              </w:rPr>
            </w:pPr>
            <w:r>
              <w:rPr>
                <w:rFonts w:ascii="Arial" w:cs="Arial" w:eastAsia="Arial" w:hAnsi="Arial"/>
                <w:sz w:val="16"/>
                <w:szCs w:val="16"/>
                <w:color w:val="auto"/>
              </w:rPr>
              <w:t>800,000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9.29%</w:t>
            </w:r>
          </w:p>
        </w:tc>
        <w:tc>
          <w:tcPr>
            <w:tcW w:w="2760" w:type="dxa"/>
            <w:vAlign w:val="bottom"/>
          </w:tcPr>
          <w:p>
            <w:pPr>
              <w:jc w:val="right"/>
              <w:spacing w:after="0"/>
              <w:rPr>
                <w:sz w:val="20"/>
                <w:szCs w:val="20"/>
                <w:color w:val="auto"/>
              </w:rPr>
            </w:pPr>
            <w:r>
              <w:rPr>
                <w:rFonts w:ascii="Arial" w:cs="Arial" w:eastAsia="Arial" w:hAnsi="Arial"/>
                <w:sz w:val="16"/>
                <w:szCs w:val="16"/>
                <w:color w:val="auto"/>
              </w:rPr>
              <w:t>12,000,000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3.79%</w:t>
            </w:r>
          </w:p>
        </w:tc>
        <w:tc>
          <w:tcPr>
            <w:tcW w:w="276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3.80%</w:t>
            </w:r>
          </w:p>
        </w:tc>
        <w:tc>
          <w:tcPr>
            <w:tcW w:w="27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3.85%</w:t>
            </w:r>
          </w:p>
        </w:tc>
        <w:tc>
          <w:tcPr>
            <w:tcW w:w="27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3.94%</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4.61%</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4.62%</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3.64%</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4.01%</w:t>
            </w:r>
          </w:p>
        </w:tc>
        <w:tc>
          <w:tcPr>
            <w:tcW w:w="2760" w:type="dxa"/>
            <w:vAlign w:val="bottom"/>
          </w:tcPr>
          <w:p>
            <w:pPr>
              <w:jc w:val="right"/>
              <w:spacing w:after="0"/>
              <w:rPr>
                <w:sz w:val="20"/>
                <w:szCs w:val="20"/>
                <w:color w:val="auto"/>
              </w:rPr>
            </w:pPr>
            <w:r>
              <w:rPr>
                <w:rFonts w:ascii="Arial" w:cs="Arial" w:eastAsia="Arial" w:hAnsi="Arial"/>
                <w:sz w:val="16"/>
                <w:szCs w:val="16"/>
                <w:color w:val="auto"/>
              </w:rPr>
              <w:t>15,000,000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4.06%</w:t>
            </w:r>
          </w:p>
        </w:tc>
        <w:tc>
          <w:tcPr>
            <w:tcW w:w="2760" w:type="dxa"/>
            <w:vAlign w:val="bottom"/>
          </w:tcPr>
          <w:p>
            <w:pPr>
              <w:jc w:val="right"/>
              <w:spacing w:after="0"/>
              <w:rPr>
                <w:sz w:val="20"/>
                <w:szCs w:val="20"/>
                <w:color w:val="auto"/>
              </w:rPr>
            </w:pPr>
            <w:r>
              <w:rPr>
                <w:rFonts w:ascii="Arial" w:cs="Arial" w:eastAsia="Arial" w:hAnsi="Arial"/>
                <w:sz w:val="16"/>
                <w:szCs w:val="16"/>
                <w:color w:val="auto"/>
              </w:rPr>
              <w:t>13,000,000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4.11%</w:t>
            </w:r>
          </w:p>
        </w:tc>
        <w:tc>
          <w:tcPr>
            <w:tcW w:w="2760" w:type="dxa"/>
            <w:vAlign w:val="bottom"/>
          </w:tcPr>
          <w:p>
            <w:pPr>
              <w:jc w:val="right"/>
              <w:spacing w:after="0"/>
              <w:rPr>
                <w:sz w:val="20"/>
                <w:szCs w:val="20"/>
                <w:color w:val="auto"/>
              </w:rPr>
            </w:pPr>
            <w:r>
              <w:rPr>
                <w:rFonts w:ascii="Arial" w:cs="Arial" w:eastAsia="Arial" w:hAnsi="Arial"/>
                <w:sz w:val="16"/>
                <w:szCs w:val="16"/>
                <w:color w:val="auto"/>
              </w:rPr>
              <w:t>12,000,000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3.77%</w:t>
            </w:r>
          </w:p>
        </w:tc>
        <w:tc>
          <w:tcPr>
            <w:tcW w:w="2760" w:type="dxa"/>
            <w:vAlign w:val="bottom"/>
          </w:tcPr>
          <w:p>
            <w:pPr>
              <w:jc w:val="right"/>
              <w:spacing w:after="0"/>
              <w:rPr>
                <w:sz w:val="20"/>
                <w:szCs w:val="20"/>
                <w:color w:val="auto"/>
              </w:rPr>
            </w:pPr>
            <w:r>
              <w:rPr>
                <w:rFonts w:ascii="Arial" w:cs="Arial" w:eastAsia="Arial" w:hAnsi="Arial"/>
                <w:sz w:val="16"/>
                <w:szCs w:val="16"/>
                <w:color w:val="auto"/>
              </w:rPr>
              <w:t>65,000,000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3.82%</w:t>
            </w:r>
          </w:p>
        </w:tc>
        <w:tc>
          <w:tcPr>
            <w:tcW w:w="27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3.85%</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4.16%</w:t>
            </w:r>
          </w:p>
        </w:tc>
        <w:tc>
          <w:tcPr>
            <w:tcW w:w="2760" w:type="dxa"/>
            <w:vAlign w:val="bottom"/>
          </w:tcPr>
          <w:p>
            <w:pPr>
              <w:jc w:val="right"/>
              <w:spacing w:after="0"/>
              <w:rPr>
                <w:sz w:val="20"/>
                <w:szCs w:val="20"/>
                <w:color w:val="auto"/>
              </w:rPr>
            </w:pPr>
            <w:r>
              <w:rPr>
                <w:rFonts w:ascii="Arial" w:cs="Arial" w:eastAsia="Arial" w:hAnsi="Arial"/>
                <w:sz w:val="16"/>
                <w:szCs w:val="16"/>
                <w:color w:val="auto"/>
              </w:rPr>
              <w:t>60,000,000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4.18%</w:t>
            </w:r>
          </w:p>
        </w:tc>
        <w:tc>
          <w:tcPr>
            <w:tcW w:w="27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4.20%</w:t>
            </w:r>
          </w:p>
        </w:tc>
        <w:tc>
          <w:tcPr>
            <w:tcW w:w="27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3.85%</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3.95%</w:t>
            </w:r>
          </w:p>
        </w:tc>
        <w:tc>
          <w:tcPr>
            <w:tcW w:w="2760" w:type="dxa"/>
            <w:vAlign w:val="bottom"/>
          </w:tcPr>
          <w:p>
            <w:pPr>
              <w:jc w:val="right"/>
              <w:spacing w:after="0"/>
              <w:rPr>
                <w:sz w:val="20"/>
                <w:szCs w:val="20"/>
                <w:color w:val="auto"/>
              </w:rPr>
            </w:pPr>
            <w:r>
              <w:rPr>
                <w:rFonts w:ascii="Arial" w:cs="Arial" w:eastAsia="Arial" w:hAnsi="Arial"/>
                <w:sz w:val="16"/>
                <w:szCs w:val="16"/>
                <w:color w:val="auto"/>
              </w:rPr>
              <w:t>60,000,000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3.65%</w:t>
            </w:r>
          </w:p>
        </w:tc>
        <w:tc>
          <w:tcPr>
            <w:tcW w:w="2760" w:type="dxa"/>
            <w:vAlign w:val="bottom"/>
          </w:tcPr>
          <w:p>
            <w:pPr>
              <w:jc w:val="right"/>
              <w:spacing w:after="0"/>
              <w:rPr>
                <w:sz w:val="20"/>
                <w:szCs w:val="20"/>
                <w:color w:val="auto"/>
              </w:rPr>
            </w:pPr>
            <w:r>
              <w:rPr>
                <w:rFonts w:ascii="Arial" w:cs="Arial" w:eastAsia="Arial" w:hAnsi="Arial"/>
                <w:sz w:val="16"/>
                <w:szCs w:val="16"/>
                <w:color w:val="auto"/>
              </w:rPr>
              <w:t>10,000,000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3.69%</w:t>
            </w:r>
          </w:p>
        </w:tc>
        <w:tc>
          <w:tcPr>
            <w:tcW w:w="276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4.04%</w:t>
            </w:r>
          </w:p>
        </w:tc>
        <w:tc>
          <w:tcPr>
            <w:tcW w:w="276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4.06%</w:t>
            </w:r>
          </w:p>
        </w:tc>
        <w:tc>
          <w:tcPr>
            <w:tcW w:w="2760" w:type="dxa"/>
            <w:vAlign w:val="bottom"/>
          </w:tcPr>
          <w:p>
            <w:pPr>
              <w:jc w:val="right"/>
              <w:spacing w:after="0"/>
              <w:rPr>
                <w:sz w:val="20"/>
                <w:szCs w:val="20"/>
                <w:color w:val="auto"/>
              </w:rPr>
            </w:pPr>
            <w:r>
              <w:rPr>
                <w:rFonts w:ascii="Arial" w:cs="Arial" w:eastAsia="Arial" w:hAnsi="Arial"/>
                <w:sz w:val="16"/>
                <w:szCs w:val="16"/>
                <w:color w:val="auto"/>
              </w:rPr>
              <w:t>40,000,000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4.06%</w:t>
            </w:r>
          </w:p>
        </w:tc>
        <w:tc>
          <w:tcPr>
            <w:tcW w:w="2760" w:type="dxa"/>
            <w:vAlign w:val="bottom"/>
          </w:tcPr>
          <w:p>
            <w:pPr>
              <w:jc w:val="right"/>
              <w:spacing w:after="0"/>
              <w:rPr>
                <w:sz w:val="20"/>
                <w:szCs w:val="20"/>
                <w:color w:val="auto"/>
              </w:rPr>
            </w:pPr>
            <w:r>
              <w:rPr>
                <w:rFonts w:ascii="Arial" w:cs="Arial" w:eastAsia="Arial" w:hAnsi="Arial"/>
                <w:sz w:val="16"/>
                <w:szCs w:val="16"/>
                <w:color w:val="auto"/>
              </w:rPr>
              <w:t>35,000,000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4.07%</w:t>
            </w:r>
          </w:p>
        </w:tc>
        <w:tc>
          <w:tcPr>
            <w:tcW w:w="27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4.09%</w:t>
            </w:r>
          </w:p>
        </w:tc>
        <w:tc>
          <w:tcPr>
            <w:tcW w:w="27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3.99%</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4.04%</w:t>
            </w:r>
          </w:p>
        </w:tc>
        <w:tc>
          <w:tcPr>
            <w:tcW w:w="2760" w:type="dxa"/>
            <w:vAlign w:val="bottom"/>
          </w:tcPr>
          <w:p>
            <w:pPr>
              <w:jc w:val="right"/>
              <w:spacing w:after="0"/>
              <w:rPr>
                <w:sz w:val="20"/>
                <w:szCs w:val="20"/>
                <w:color w:val="auto"/>
              </w:rPr>
            </w:pPr>
            <w:r>
              <w:rPr>
                <w:rFonts w:ascii="Arial" w:cs="Arial" w:eastAsia="Arial" w:hAnsi="Arial"/>
                <w:sz w:val="16"/>
                <w:szCs w:val="16"/>
                <w:color w:val="auto"/>
              </w:rPr>
              <w:t>10,000,000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4.09%</w:t>
            </w:r>
          </w:p>
        </w:tc>
        <w:tc>
          <w:tcPr>
            <w:tcW w:w="2760" w:type="dxa"/>
            <w:vAlign w:val="bottom"/>
          </w:tcPr>
          <w:p>
            <w:pPr>
              <w:jc w:val="right"/>
              <w:spacing w:after="0"/>
              <w:rPr>
                <w:sz w:val="20"/>
                <w:szCs w:val="20"/>
                <w:color w:val="auto"/>
              </w:rPr>
            </w:pPr>
            <w:r>
              <w:rPr>
                <w:rFonts w:ascii="Arial" w:cs="Arial" w:eastAsia="Arial" w:hAnsi="Arial"/>
                <w:sz w:val="16"/>
                <w:szCs w:val="16"/>
                <w:color w:val="auto"/>
              </w:rPr>
              <w:t>65,000,000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4.44%</w:t>
            </w:r>
          </w:p>
        </w:tc>
        <w:tc>
          <w:tcPr>
            <w:tcW w:w="2760" w:type="dxa"/>
            <w:vAlign w:val="bottom"/>
          </w:tcPr>
          <w:p>
            <w:pPr>
              <w:jc w:val="right"/>
              <w:spacing w:after="0"/>
              <w:rPr>
                <w:sz w:val="20"/>
                <w:szCs w:val="20"/>
                <w:color w:val="auto"/>
              </w:rPr>
            </w:pPr>
            <w:r>
              <w:rPr>
                <w:rFonts w:ascii="Arial" w:cs="Arial" w:eastAsia="Arial" w:hAnsi="Arial"/>
                <w:sz w:val="16"/>
                <w:szCs w:val="16"/>
                <w:color w:val="auto"/>
              </w:rPr>
              <w:t>65,000,000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4.49%</w:t>
            </w:r>
          </w:p>
        </w:tc>
        <w:tc>
          <w:tcPr>
            <w:tcW w:w="2760" w:type="dxa"/>
            <w:vAlign w:val="bottom"/>
          </w:tcPr>
          <w:p>
            <w:pPr>
              <w:jc w:val="right"/>
              <w:spacing w:after="0"/>
              <w:rPr>
                <w:sz w:val="20"/>
                <w:szCs w:val="20"/>
                <w:color w:val="auto"/>
              </w:rPr>
            </w:pPr>
            <w:r>
              <w:rPr>
                <w:rFonts w:ascii="Arial" w:cs="Arial" w:eastAsia="Arial" w:hAnsi="Arial"/>
                <w:sz w:val="16"/>
                <w:szCs w:val="16"/>
                <w:color w:val="auto"/>
              </w:rPr>
              <w:t>35,000,000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4.51%</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4.02%</w:t>
            </w:r>
          </w:p>
        </w:tc>
        <w:tc>
          <w:tcPr>
            <w:tcW w:w="2760" w:type="dxa"/>
            <w:vAlign w:val="bottom"/>
          </w:tcPr>
          <w:p>
            <w:pPr>
              <w:jc w:val="right"/>
              <w:spacing w:after="0"/>
              <w:rPr>
                <w:sz w:val="20"/>
                <w:szCs w:val="20"/>
                <w:color w:val="auto"/>
              </w:rPr>
            </w:pPr>
            <w:r>
              <w:rPr>
                <w:rFonts w:ascii="Arial" w:cs="Arial" w:eastAsia="Arial" w:hAnsi="Arial"/>
                <w:sz w:val="16"/>
                <w:szCs w:val="16"/>
                <w:color w:val="auto"/>
              </w:rPr>
              <w:t>75,000,000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4.07%</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4.12%</w:t>
            </w:r>
          </w:p>
        </w:tc>
        <w:tc>
          <w:tcPr>
            <w:tcW w:w="2760" w:type="dxa"/>
            <w:vAlign w:val="bottom"/>
          </w:tcPr>
          <w:p>
            <w:pPr>
              <w:jc w:val="right"/>
              <w:spacing w:after="0"/>
              <w:rPr>
                <w:sz w:val="20"/>
                <w:szCs w:val="20"/>
                <w:color w:val="auto"/>
              </w:rPr>
            </w:pPr>
            <w:r>
              <w:rPr>
                <w:rFonts w:ascii="Arial" w:cs="Arial" w:eastAsia="Arial" w:hAnsi="Arial"/>
                <w:sz w:val="16"/>
                <w:szCs w:val="16"/>
                <w:color w:val="auto"/>
              </w:rPr>
              <w:t>25,000,000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4.09%</w:t>
            </w:r>
          </w:p>
        </w:tc>
        <w:tc>
          <w:tcPr>
            <w:tcW w:w="2760" w:type="dxa"/>
            <w:vAlign w:val="bottom"/>
          </w:tcPr>
          <w:p>
            <w:pPr>
              <w:jc w:val="right"/>
              <w:spacing w:after="0"/>
              <w:rPr>
                <w:sz w:val="20"/>
                <w:szCs w:val="20"/>
                <w:color w:val="auto"/>
              </w:rPr>
            </w:pPr>
            <w:r>
              <w:rPr>
                <w:rFonts w:ascii="Arial" w:cs="Arial" w:eastAsia="Arial" w:hAnsi="Arial"/>
                <w:sz w:val="16"/>
                <w:szCs w:val="16"/>
                <w:color w:val="auto"/>
              </w:rPr>
              <w:t>50,000,000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4.13%</w:t>
            </w:r>
          </w:p>
        </w:tc>
        <w:tc>
          <w:tcPr>
            <w:tcW w:w="2760" w:type="dxa"/>
            <w:vAlign w:val="bottom"/>
          </w:tcPr>
          <w:p>
            <w:pPr>
              <w:jc w:val="right"/>
              <w:spacing w:after="0"/>
              <w:rPr>
                <w:sz w:val="20"/>
                <w:szCs w:val="20"/>
                <w:color w:val="auto"/>
              </w:rPr>
            </w:pPr>
            <w:r>
              <w:rPr>
                <w:rFonts w:ascii="Arial" w:cs="Arial" w:eastAsia="Arial" w:hAnsi="Arial"/>
                <w:sz w:val="16"/>
                <w:szCs w:val="16"/>
                <w:color w:val="auto"/>
              </w:rPr>
              <w:t>75,000,000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4.14%</w:t>
            </w:r>
          </w:p>
        </w:tc>
        <w:tc>
          <w:tcPr>
            <w:tcW w:w="2760" w:type="dxa"/>
            <w:vAlign w:val="bottom"/>
          </w:tcPr>
          <w:p>
            <w:pPr>
              <w:jc w:val="right"/>
              <w:spacing w:after="0"/>
              <w:rPr>
                <w:sz w:val="20"/>
                <w:szCs w:val="20"/>
                <w:color w:val="auto"/>
              </w:rPr>
            </w:pPr>
            <w:r>
              <w:rPr>
                <w:rFonts w:ascii="Arial" w:cs="Arial" w:eastAsia="Arial" w:hAnsi="Arial"/>
                <w:sz w:val="16"/>
                <w:szCs w:val="16"/>
                <w:color w:val="auto"/>
              </w:rPr>
              <w:t>50,000,000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3.39%</w:t>
            </w:r>
          </w:p>
        </w:tc>
        <w:tc>
          <w:tcPr>
            <w:tcW w:w="2760" w:type="dxa"/>
            <w:vAlign w:val="bottom"/>
          </w:tcPr>
          <w:p>
            <w:pPr>
              <w:jc w:val="right"/>
              <w:spacing w:after="0"/>
              <w:rPr>
                <w:sz w:val="20"/>
                <w:szCs w:val="20"/>
                <w:color w:val="auto"/>
              </w:rPr>
            </w:pPr>
            <w:r>
              <w:rPr>
                <w:rFonts w:ascii="Arial" w:cs="Arial" w:eastAsia="Arial" w:hAnsi="Arial"/>
                <w:sz w:val="16"/>
                <w:szCs w:val="16"/>
                <w:color w:val="auto"/>
              </w:rPr>
              <w:t>75,000,000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FMB</w:t>
            </w:r>
          </w:p>
        </w:tc>
        <w:tc>
          <w:tcPr>
            <w:tcW w:w="2700" w:type="dxa"/>
            <w:vAlign w:val="bottom"/>
          </w:tcPr>
          <w:p>
            <w:pPr>
              <w:ind w:left="1200"/>
              <w:spacing w:after="0"/>
              <w:rPr>
                <w:sz w:val="20"/>
                <w:szCs w:val="20"/>
                <w:color w:val="auto"/>
              </w:rPr>
            </w:pPr>
            <w:r>
              <w:rPr>
                <w:rFonts w:ascii="Arial" w:cs="Arial" w:eastAsia="Arial" w:hAnsi="Arial"/>
                <w:sz w:val="16"/>
                <w:szCs w:val="16"/>
                <w:color w:val="auto"/>
              </w:rPr>
              <w:t>3.41%</w:t>
            </w:r>
          </w:p>
        </w:tc>
        <w:tc>
          <w:tcPr>
            <w:tcW w:w="2760" w:type="dxa"/>
            <w:vAlign w:val="bottom"/>
          </w:tcPr>
          <w:p>
            <w:pPr>
              <w:jc w:val="right"/>
              <w:spacing w:after="0"/>
              <w:rPr>
                <w:sz w:val="20"/>
                <w:szCs w:val="20"/>
                <w:color w:val="auto"/>
              </w:rPr>
            </w:pPr>
            <w:r>
              <w:rPr>
                <w:rFonts w:ascii="Arial" w:cs="Arial" w:eastAsia="Arial" w:hAnsi="Arial"/>
                <w:sz w:val="16"/>
                <w:szCs w:val="16"/>
                <w:color w:val="auto"/>
              </w:rPr>
              <w:t>50,000,000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3180" w:type="dxa"/>
            <w:vAlign w:val="bottom"/>
          </w:tcPr>
          <w:p>
            <w:pPr>
              <w:ind w:left="120"/>
              <w:spacing w:after="0"/>
              <w:rPr>
                <w:sz w:val="20"/>
                <w:szCs w:val="20"/>
                <w:color w:val="auto"/>
              </w:rPr>
            </w:pPr>
            <w:r>
              <w:rPr>
                <w:rFonts w:ascii="Arial" w:cs="Arial" w:eastAsia="Arial" w:hAnsi="Arial"/>
                <w:sz w:val="16"/>
                <w:szCs w:val="16"/>
                <w:b w:val="1"/>
                <w:bCs w:val="1"/>
                <w:color w:val="auto"/>
              </w:rPr>
              <w:t>Total First Mortgage Bonds</w:t>
            </w:r>
          </w:p>
        </w:tc>
        <w:tc>
          <w:tcPr>
            <w:tcW w:w="270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6"/>
                <w:szCs w:val="16"/>
                <w:b w:val="1"/>
                <w:bCs w:val="1"/>
                <w:color w:val="auto"/>
              </w:rPr>
              <w:t>1,420,800,000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3180" w:type="dxa"/>
            <w:vAlign w:val="bottom"/>
          </w:tcPr>
          <w:p>
            <w:pPr>
              <w:ind w:left="120"/>
              <w:spacing w:after="0"/>
              <w:rPr>
                <w:sz w:val="20"/>
                <w:szCs w:val="20"/>
                <w:color w:val="auto"/>
              </w:rPr>
            </w:pPr>
            <w:r>
              <w:rPr>
                <w:rFonts w:ascii="Arial" w:cs="Arial" w:eastAsia="Arial" w:hAnsi="Arial"/>
                <w:sz w:val="16"/>
                <w:szCs w:val="16"/>
                <w:color w:val="auto"/>
              </w:rPr>
              <w:t>PennVest - Aqua PA WW</w:t>
            </w:r>
          </w:p>
        </w:tc>
        <w:tc>
          <w:tcPr>
            <w:tcW w:w="2700" w:type="dxa"/>
            <w:vAlign w:val="bottom"/>
          </w:tcPr>
          <w:p>
            <w:pPr>
              <w:ind w:left="1200"/>
              <w:spacing w:after="0"/>
              <w:rPr>
                <w:sz w:val="20"/>
                <w:szCs w:val="20"/>
                <w:color w:val="auto"/>
              </w:rPr>
            </w:pPr>
            <w:r>
              <w:rPr>
                <w:rFonts w:ascii="Arial" w:cs="Arial" w:eastAsia="Arial" w:hAnsi="Arial"/>
                <w:sz w:val="16"/>
                <w:szCs w:val="16"/>
                <w:color w:val="auto"/>
              </w:rPr>
              <w:t>1.16%</w:t>
            </w:r>
          </w:p>
        </w:tc>
        <w:tc>
          <w:tcPr>
            <w:tcW w:w="2760" w:type="dxa"/>
            <w:vAlign w:val="bottom"/>
            <w:vMerge w:val="restart"/>
          </w:tcPr>
          <w:p>
            <w:pPr>
              <w:jc w:val="right"/>
              <w:spacing w:after="0"/>
              <w:rPr>
                <w:sz w:val="20"/>
                <w:szCs w:val="20"/>
                <w:color w:val="auto"/>
              </w:rPr>
            </w:pPr>
            <w:r>
              <w:rPr>
                <w:rFonts w:ascii="Arial" w:cs="Arial" w:eastAsia="Arial" w:hAnsi="Arial"/>
                <w:sz w:val="16"/>
                <w:szCs w:val="16"/>
                <w:color w:val="auto"/>
              </w:rPr>
              <w:t>552,423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80" w:type="dxa"/>
            <w:vAlign w:val="bottom"/>
            <w:vMerge w:val="restart"/>
          </w:tcPr>
          <w:p>
            <w:pPr>
              <w:ind w:left="120"/>
              <w:spacing w:after="0"/>
              <w:rPr>
                <w:sz w:val="20"/>
                <w:szCs w:val="20"/>
                <w:color w:val="auto"/>
              </w:rPr>
            </w:pPr>
            <w:r>
              <w:rPr>
                <w:rFonts w:ascii="Arial" w:cs="Arial" w:eastAsia="Arial" w:hAnsi="Arial"/>
                <w:sz w:val="16"/>
                <w:szCs w:val="16"/>
                <w:color w:val="auto"/>
              </w:rPr>
              <w:t>PennVest - Aqua PA WW</w:t>
            </w:r>
          </w:p>
        </w:tc>
        <w:tc>
          <w:tcPr>
            <w:tcW w:w="2700" w:type="dxa"/>
            <w:vAlign w:val="bottom"/>
            <w:vMerge w:val="restart"/>
          </w:tcPr>
          <w:p>
            <w:pPr>
              <w:ind w:left="1200"/>
              <w:spacing w:after="0"/>
              <w:rPr>
                <w:sz w:val="20"/>
                <w:szCs w:val="20"/>
                <w:color w:val="auto"/>
              </w:rPr>
            </w:pPr>
            <w:r>
              <w:rPr>
                <w:rFonts w:ascii="Arial" w:cs="Arial" w:eastAsia="Arial" w:hAnsi="Arial"/>
                <w:sz w:val="16"/>
                <w:szCs w:val="16"/>
                <w:color w:val="auto"/>
              </w:rPr>
              <w:t>1.00%</w:t>
            </w:r>
          </w:p>
        </w:tc>
        <w:tc>
          <w:tcPr>
            <w:tcW w:w="2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2700" w:type="dxa"/>
            <w:vAlign w:val="bottom"/>
            <w:vMerge w:val="continue"/>
          </w:tcPr>
          <w:p>
            <w:pPr>
              <w:spacing w:after="0"/>
              <w:rPr>
                <w:sz w:val="16"/>
                <w:szCs w:val="16"/>
                <w:color w:val="auto"/>
              </w:rPr>
            </w:pPr>
          </w:p>
        </w:tc>
        <w:tc>
          <w:tcPr>
            <w:tcW w:w="2760" w:type="dxa"/>
            <w:vAlign w:val="bottom"/>
            <w:vMerge w:val="restart"/>
          </w:tcPr>
          <w:p>
            <w:pPr>
              <w:jc w:val="right"/>
              <w:spacing w:after="0"/>
              <w:rPr>
                <w:sz w:val="20"/>
                <w:szCs w:val="20"/>
                <w:color w:val="auto"/>
              </w:rPr>
            </w:pPr>
            <w:r>
              <w:rPr>
                <w:rFonts w:ascii="Arial" w:cs="Arial" w:eastAsia="Arial" w:hAnsi="Arial"/>
                <w:sz w:val="16"/>
                <w:szCs w:val="16"/>
                <w:color w:val="auto"/>
              </w:rPr>
              <w:t>508,555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80" w:type="dxa"/>
            <w:vAlign w:val="bottom"/>
            <w:vMerge w:val="restart"/>
          </w:tcPr>
          <w:p>
            <w:pPr>
              <w:ind w:left="120"/>
              <w:spacing w:after="0"/>
              <w:rPr>
                <w:sz w:val="20"/>
                <w:szCs w:val="20"/>
                <w:color w:val="auto"/>
              </w:rPr>
            </w:pPr>
            <w:r>
              <w:rPr>
                <w:rFonts w:ascii="Arial" w:cs="Arial" w:eastAsia="Arial" w:hAnsi="Arial"/>
                <w:sz w:val="16"/>
                <w:szCs w:val="16"/>
                <w:color w:val="auto"/>
              </w:rPr>
              <w:t>PennVest - Aqua PA WW</w:t>
            </w:r>
          </w:p>
        </w:tc>
        <w:tc>
          <w:tcPr>
            <w:tcW w:w="2700" w:type="dxa"/>
            <w:vAlign w:val="bottom"/>
            <w:vMerge w:val="restart"/>
          </w:tcPr>
          <w:p>
            <w:pPr>
              <w:ind w:left="1200"/>
              <w:spacing w:after="0"/>
              <w:rPr>
                <w:sz w:val="20"/>
                <w:szCs w:val="20"/>
                <w:color w:val="auto"/>
              </w:rPr>
            </w:pPr>
            <w:r>
              <w:rPr>
                <w:rFonts w:ascii="Arial" w:cs="Arial" w:eastAsia="Arial" w:hAnsi="Arial"/>
                <w:sz w:val="16"/>
                <w:szCs w:val="16"/>
                <w:color w:val="auto"/>
              </w:rPr>
              <w:t>1.00%</w:t>
            </w:r>
          </w:p>
        </w:tc>
        <w:tc>
          <w:tcPr>
            <w:tcW w:w="2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2700" w:type="dxa"/>
            <w:vAlign w:val="bottom"/>
            <w:vMerge w:val="continue"/>
          </w:tcPr>
          <w:p>
            <w:pPr>
              <w:spacing w:after="0"/>
              <w:rPr>
                <w:sz w:val="16"/>
                <w:szCs w:val="16"/>
                <w:color w:val="auto"/>
              </w:rPr>
            </w:pPr>
          </w:p>
        </w:tc>
        <w:tc>
          <w:tcPr>
            <w:tcW w:w="2760" w:type="dxa"/>
            <w:vAlign w:val="bottom"/>
            <w:vMerge w:val="restart"/>
          </w:tcPr>
          <w:p>
            <w:pPr>
              <w:jc w:val="right"/>
              <w:spacing w:after="0"/>
              <w:rPr>
                <w:sz w:val="20"/>
                <w:szCs w:val="20"/>
                <w:color w:val="auto"/>
              </w:rPr>
            </w:pPr>
            <w:r>
              <w:rPr>
                <w:rFonts w:ascii="Arial" w:cs="Arial" w:eastAsia="Arial" w:hAnsi="Arial"/>
                <w:sz w:val="16"/>
                <w:szCs w:val="16"/>
                <w:color w:val="auto"/>
              </w:rPr>
              <w:t>73,440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80" w:type="dxa"/>
            <w:vAlign w:val="bottom"/>
            <w:vMerge w:val="restart"/>
          </w:tcPr>
          <w:p>
            <w:pPr>
              <w:ind w:left="120"/>
              <w:spacing w:after="0"/>
              <w:rPr>
                <w:sz w:val="20"/>
                <w:szCs w:val="20"/>
                <w:color w:val="auto"/>
              </w:rPr>
            </w:pPr>
            <w:r>
              <w:rPr>
                <w:rFonts w:ascii="Arial" w:cs="Arial" w:eastAsia="Arial" w:hAnsi="Arial"/>
                <w:sz w:val="16"/>
                <w:szCs w:val="16"/>
                <w:color w:val="auto"/>
              </w:rPr>
              <w:t>PennVest - Aqua PA WW</w:t>
            </w:r>
          </w:p>
        </w:tc>
        <w:tc>
          <w:tcPr>
            <w:tcW w:w="2700" w:type="dxa"/>
            <w:vAlign w:val="bottom"/>
            <w:vMerge w:val="restart"/>
          </w:tcPr>
          <w:p>
            <w:pPr>
              <w:ind w:left="1200"/>
              <w:spacing w:after="0"/>
              <w:rPr>
                <w:sz w:val="20"/>
                <w:szCs w:val="20"/>
                <w:color w:val="auto"/>
              </w:rPr>
            </w:pPr>
            <w:r>
              <w:rPr>
                <w:rFonts w:ascii="Arial" w:cs="Arial" w:eastAsia="Arial" w:hAnsi="Arial"/>
                <w:sz w:val="16"/>
                <w:szCs w:val="16"/>
                <w:color w:val="auto"/>
              </w:rPr>
              <w:t>1.35%</w:t>
            </w:r>
          </w:p>
        </w:tc>
        <w:tc>
          <w:tcPr>
            <w:tcW w:w="2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2700" w:type="dxa"/>
            <w:vAlign w:val="bottom"/>
            <w:vMerge w:val="continue"/>
          </w:tcPr>
          <w:p>
            <w:pPr>
              <w:spacing w:after="0"/>
              <w:rPr>
                <w:sz w:val="16"/>
                <w:szCs w:val="16"/>
                <w:color w:val="auto"/>
              </w:rPr>
            </w:pPr>
          </w:p>
        </w:tc>
        <w:tc>
          <w:tcPr>
            <w:tcW w:w="2760" w:type="dxa"/>
            <w:vAlign w:val="bottom"/>
            <w:vMerge w:val="restart"/>
          </w:tcPr>
          <w:p>
            <w:pPr>
              <w:jc w:val="right"/>
              <w:spacing w:after="0"/>
              <w:rPr>
                <w:sz w:val="20"/>
                <w:szCs w:val="20"/>
                <w:color w:val="auto"/>
              </w:rPr>
            </w:pPr>
            <w:r>
              <w:rPr>
                <w:rFonts w:ascii="Arial" w:cs="Arial" w:eastAsia="Arial" w:hAnsi="Arial"/>
                <w:sz w:val="16"/>
                <w:szCs w:val="16"/>
                <w:color w:val="auto"/>
              </w:rPr>
              <w:t>21,004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80" w:type="dxa"/>
            <w:vAlign w:val="bottom"/>
            <w:vMerge w:val="restart"/>
          </w:tcPr>
          <w:p>
            <w:pPr>
              <w:ind w:left="120"/>
              <w:spacing w:after="0"/>
              <w:rPr>
                <w:sz w:val="20"/>
                <w:szCs w:val="20"/>
                <w:color w:val="auto"/>
              </w:rPr>
            </w:pPr>
            <w:r>
              <w:rPr>
                <w:rFonts w:ascii="Arial" w:cs="Arial" w:eastAsia="Arial" w:hAnsi="Arial"/>
                <w:sz w:val="16"/>
                <w:szCs w:val="16"/>
                <w:color w:val="auto"/>
              </w:rPr>
              <w:t>PennVest - Aqua PA WW</w:t>
            </w:r>
          </w:p>
        </w:tc>
        <w:tc>
          <w:tcPr>
            <w:tcW w:w="2700" w:type="dxa"/>
            <w:vAlign w:val="bottom"/>
            <w:vMerge w:val="restart"/>
          </w:tcPr>
          <w:p>
            <w:pPr>
              <w:ind w:left="1200"/>
              <w:spacing w:after="0"/>
              <w:rPr>
                <w:sz w:val="20"/>
                <w:szCs w:val="20"/>
                <w:color w:val="auto"/>
              </w:rPr>
            </w:pPr>
            <w:r>
              <w:rPr>
                <w:rFonts w:ascii="Arial" w:cs="Arial" w:eastAsia="Arial" w:hAnsi="Arial"/>
                <w:sz w:val="16"/>
                <w:szCs w:val="16"/>
                <w:color w:val="auto"/>
              </w:rPr>
              <w:t>2.77%</w:t>
            </w:r>
          </w:p>
        </w:tc>
        <w:tc>
          <w:tcPr>
            <w:tcW w:w="2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18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180" w:type="dxa"/>
            <w:vAlign w:val="bottom"/>
          </w:tcPr>
          <w:p>
            <w:pPr>
              <w:ind w:left="120"/>
              <w:spacing w:after="0"/>
              <w:rPr>
                <w:sz w:val="20"/>
                <w:szCs w:val="20"/>
                <w:color w:val="auto"/>
              </w:rPr>
            </w:pPr>
            <w:r>
              <w:rPr>
                <w:rFonts w:ascii="Arial" w:cs="Arial" w:eastAsia="Arial" w:hAnsi="Arial"/>
                <w:sz w:val="16"/>
                <w:szCs w:val="16"/>
                <w:b w:val="1"/>
                <w:bCs w:val="1"/>
                <w:color w:val="auto"/>
              </w:rPr>
              <w:t>Total PennVest LWWW</w:t>
            </w:r>
          </w:p>
        </w:tc>
        <w:tc>
          <w:tcPr>
            <w:tcW w:w="270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6"/>
                <w:szCs w:val="16"/>
                <w:b w:val="1"/>
                <w:bCs w:val="1"/>
                <w:color w:val="auto"/>
              </w:rPr>
              <w:t>1,293,557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3180" w:type="dxa"/>
            <w:vAlign w:val="bottom"/>
          </w:tcPr>
          <w:p>
            <w:pPr>
              <w:ind w:left="120"/>
              <w:spacing w:after="0"/>
              <w:rPr>
                <w:sz w:val="20"/>
                <w:szCs w:val="20"/>
                <w:color w:val="auto"/>
              </w:rPr>
            </w:pPr>
            <w:r>
              <w:rPr>
                <w:rFonts w:ascii="Arial" w:cs="Arial" w:eastAsia="Arial" w:hAnsi="Arial"/>
                <w:sz w:val="16"/>
                <w:szCs w:val="16"/>
                <w:b w:val="1"/>
                <w:bCs w:val="1"/>
                <w:color w:val="auto"/>
              </w:rPr>
              <w:t>Total Long Term Debt</w:t>
            </w:r>
          </w:p>
        </w:tc>
        <w:tc>
          <w:tcPr>
            <w:tcW w:w="270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6"/>
                <w:szCs w:val="16"/>
                <w:b w:val="1"/>
                <w:bCs w:val="1"/>
                <w:color w:val="auto"/>
              </w:rPr>
              <w:t>$1,704,473,070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3180" w:type="dxa"/>
            <w:vAlign w:val="bottom"/>
          </w:tcPr>
          <w:p>
            <w:pPr>
              <w:ind w:left="120"/>
              <w:spacing w:after="0"/>
              <w:rPr>
                <w:sz w:val="20"/>
                <w:szCs w:val="20"/>
                <w:color w:val="auto"/>
              </w:rPr>
            </w:pPr>
            <w:r>
              <w:rPr>
                <w:rFonts w:ascii="Arial" w:cs="Arial" w:eastAsia="Arial" w:hAnsi="Arial"/>
                <w:sz w:val="16"/>
                <w:szCs w:val="16"/>
                <w:b w:val="1"/>
                <w:bCs w:val="1"/>
                <w:color w:val="auto"/>
              </w:rPr>
              <w:t>PNC Revolver</w:t>
            </w:r>
          </w:p>
        </w:tc>
        <w:tc>
          <w:tcPr>
            <w:tcW w:w="270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6"/>
                <w:szCs w:val="16"/>
                <w:b w:val="1"/>
                <w:bCs w:val="1"/>
                <w:color w:val="auto"/>
              </w:rPr>
              <w:t>25,724,392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0"/>
        </w:trPr>
        <w:tc>
          <w:tcPr>
            <w:tcW w:w="3180" w:type="dxa"/>
            <w:vAlign w:val="bottom"/>
          </w:tcPr>
          <w:p>
            <w:pPr>
              <w:ind w:left="120"/>
              <w:spacing w:after="0"/>
              <w:rPr>
                <w:sz w:val="20"/>
                <w:szCs w:val="20"/>
                <w:color w:val="auto"/>
              </w:rPr>
            </w:pPr>
            <w:r>
              <w:rPr>
                <w:rFonts w:ascii="Arial" w:cs="Arial" w:eastAsia="Arial" w:hAnsi="Arial"/>
                <w:sz w:val="16"/>
                <w:szCs w:val="16"/>
                <w:b w:val="1"/>
                <w:bCs w:val="1"/>
                <w:color w:val="auto"/>
              </w:rPr>
              <w:t>Total Debt Aqua Pennsylvania</w:t>
            </w:r>
          </w:p>
        </w:tc>
        <w:tc>
          <w:tcPr>
            <w:tcW w:w="270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6"/>
                <w:szCs w:val="16"/>
                <w:b w:val="1"/>
                <w:bCs w:val="1"/>
                <w:color w:val="auto"/>
              </w:rPr>
              <w:t>$1,730,197,462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2700" w:type="dxa"/>
            <w:vAlign w:val="bottom"/>
            <w:vMerge w:val="restart"/>
          </w:tcPr>
          <w:p>
            <w:pPr>
              <w:ind w:left="740"/>
              <w:spacing w:after="0"/>
              <w:rPr>
                <w:sz w:val="20"/>
                <w:szCs w:val="20"/>
                <w:color w:val="auto"/>
              </w:rPr>
            </w:pPr>
            <w:r>
              <w:rPr>
                <w:rFonts w:ascii="Arial" w:cs="Arial" w:eastAsia="Arial" w:hAnsi="Arial"/>
                <w:sz w:val="22"/>
                <w:szCs w:val="22"/>
                <w:color w:val="auto"/>
              </w:rPr>
              <w:t>5.15(a)-3</w:t>
            </w:r>
          </w:p>
        </w:tc>
        <w:tc>
          <w:tcPr>
            <w:tcW w:w="2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12"/>
        </w:trPr>
        <w:tc>
          <w:tcPr>
            <w:tcW w:w="31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18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wp:posOffset>
            </wp:positionV>
            <wp:extent cx="889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019"/>
          </w:cols>
          <w:pgMar w:left="1440" w:top="384" w:right="1440" w:bottom="0" w:gutter="0" w:footer="0" w:header="0"/>
        </w:sectPr>
      </w:pPr>
    </w:p>
    <w:bookmarkStart w:id="114" w:name="page115"/>
    <w:bookmarkEnd w:id="1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2"/>
          <w:szCs w:val="22"/>
          <w:b w:val="1"/>
          <w:bCs w:val="1"/>
          <w:color w:val="auto"/>
        </w:rPr>
        <w:t>SCHEDULE 5.15(b)</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AQUA PENNSYLVANIA,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ISSUANCE LIMITATIONS</w:t>
      </w:r>
    </w:p>
    <w:p>
      <w:pPr>
        <w:spacing w:after="0" w:line="215" w:lineRule="exact"/>
        <w:rPr>
          <w:sz w:val="20"/>
          <w:szCs w:val="20"/>
          <w:color w:val="auto"/>
        </w:rPr>
      </w:pPr>
    </w:p>
    <w:p>
      <w:pPr>
        <w:ind w:left="180" w:right="539"/>
        <w:spacing w:after="0" w:line="250" w:lineRule="auto"/>
        <w:rPr>
          <w:sz w:val="20"/>
          <w:szCs w:val="20"/>
          <w:color w:val="auto"/>
        </w:rPr>
      </w:pPr>
      <w:r>
        <w:rPr>
          <w:rFonts w:ascii="Arial" w:cs="Arial" w:eastAsia="Arial" w:hAnsi="Arial"/>
          <w:sz w:val="22"/>
          <w:szCs w:val="22"/>
          <w:color w:val="auto"/>
        </w:rPr>
        <w:t>Indenture of Mortgage dated as of January 1, 1941 of Aqua Pennsylvania, Inc. as Supplemented and Amended</w:t>
      </w:r>
    </w:p>
    <w:p>
      <w:pPr>
        <w:spacing w:after="0" w:line="202" w:lineRule="exact"/>
        <w:rPr>
          <w:sz w:val="20"/>
          <w:szCs w:val="20"/>
          <w:color w:val="auto"/>
        </w:rPr>
      </w:pPr>
    </w:p>
    <w:p>
      <w:pPr>
        <w:ind w:left="180" w:right="419"/>
        <w:spacing w:after="0" w:line="328" w:lineRule="auto"/>
        <w:rPr>
          <w:sz w:val="20"/>
          <w:szCs w:val="20"/>
          <w:color w:val="auto"/>
        </w:rPr>
      </w:pPr>
      <w:r>
        <w:rPr>
          <w:rFonts w:ascii="Arial" w:cs="Arial" w:eastAsia="Arial" w:hAnsi="Arial"/>
          <w:sz w:val="19"/>
          <w:szCs w:val="19"/>
          <w:color w:val="auto"/>
        </w:rPr>
        <w:t>$100 million Amended and Restated Credit Agreement among Aqua Pennsylvania, Inc. and PNC Bank, National Association as Agent dated as of November 8, 2019, as amended</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Aqua Pennsylvania, Inc. $40,000,000 5.95% Senior Notes dated March 31, 2006</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Aqua Pennsylvania, Inc. $10,927,000 5.64% Senior Notes dated September 29, 2006</w:t>
      </w:r>
    </w:p>
    <w:p>
      <w:pPr>
        <w:spacing w:after="0" w:line="233" w:lineRule="exact"/>
        <w:rPr>
          <w:sz w:val="20"/>
          <w:szCs w:val="20"/>
          <w:color w:val="auto"/>
        </w:rPr>
      </w:pPr>
    </w:p>
    <w:p>
      <w:pPr>
        <w:ind w:left="180" w:right="799"/>
        <w:spacing w:after="0" w:line="250" w:lineRule="auto"/>
        <w:rPr>
          <w:sz w:val="20"/>
          <w:szCs w:val="20"/>
          <w:color w:val="auto"/>
        </w:rPr>
      </w:pPr>
      <w:r>
        <w:rPr>
          <w:rFonts w:ascii="Arial" w:cs="Arial" w:eastAsia="Arial" w:hAnsi="Arial"/>
          <w:sz w:val="22"/>
          <w:szCs w:val="22"/>
          <w:color w:val="auto"/>
        </w:rPr>
        <w:t>$50 million Term Loan Agreement among Aqua Pennsylvania, Inc. and PNC Bank, National Association as Agent and Dated as of May 4, 2018, as amended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5.15(b)</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FORM OF SUPPLEMENT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 FIFTY-EIGHTH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1"/>
          <w:szCs w:val="21"/>
          <w:b w:val="1"/>
          <w:bCs w:val="1"/>
          <w:color w:val="auto"/>
        </w:rPr>
        <w:t>FORM OF OPINION OF GENERAL COUNSEL</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THE COMPANY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4.4(a)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64135</wp:posOffset>
            </wp:positionV>
            <wp:extent cx="550354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COMPANY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4.4(b)</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55880</wp:posOffset>
            </wp:positionV>
            <wp:extent cx="550354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PURCHASERS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[DELIVERED TO PURCHASERS ONLY]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4.4(c)</w:t>
      </w: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55880</wp:posOffset>
            </wp:positionV>
            <wp:extent cx="550354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2"/>
          <w:szCs w:val="22"/>
          <w:color w:val="auto"/>
        </w:rPr>
        <w:t>[FORM OF]</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 TAX COMPLIANCE CERTIFICATE</w:t>
      </w:r>
    </w:p>
    <w:p>
      <w:pPr>
        <w:spacing w:after="0" w:line="200" w:lineRule="exact"/>
        <w:rPr>
          <w:sz w:val="20"/>
          <w:szCs w:val="20"/>
          <w:color w:val="auto"/>
        </w:rPr>
      </w:pPr>
    </w:p>
    <w:p>
      <w:pPr>
        <w:spacing w:after="0" w:line="255" w:lineRule="exact"/>
        <w:rPr>
          <w:sz w:val="20"/>
          <w:szCs w:val="20"/>
          <w:color w:val="auto"/>
        </w:rPr>
      </w:pPr>
    </w:p>
    <w:p>
      <w:pPr>
        <w:jc w:val="both"/>
        <w:ind w:left="180" w:right="199" w:firstLine="378"/>
        <w:spacing w:after="0" w:line="287" w:lineRule="auto"/>
        <w:rPr>
          <w:sz w:val="20"/>
          <w:szCs w:val="20"/>
          <w:color w:val="auto"/>
        </w:rPr>
      </w:pPr>
      <w:r>
        <w:rPr>
          <w:rFonts w:ascii="Arial" w:cs="Arial" w:eastAsia="Arial" w:hAnsi="Arial"/>
          <w:sz w:val="19"/>
          <w:szCs w:val="19"/>
          <w:color w:val="auto"/>
        </w:rPr>
        <w:t xml:space="preserve">Reference is hereby made to the Bond Purchase Agreement dated as of May 1, 2020 (as amended, supplemented or otherwise modified from time to time, the </w:t>
      </w:r>
      <w:r>
        <w:rPr>
          <w:rFonts w:ascii="Arial" w:cs="Arial" w:eastAsia="Arial" w:hAnsi="Arial"/>
          <w:sz w:val="19"/>
          <w:szCs w:val="19"/>
          <w:i w:val="1"/>
          <w:iCs w:val="1"/>
          <w:color w:val="auto"/>
        </w:rPr>
        <w:t>“Bond Purchase</w:t>
      </w:r>
      <w:r>
        <w:rPr>
          <w:rFonts w:ascii="Arial" w:cs="Arial" w:eastAsia="Arial" w:hAnsi="Arial"/>
          <w:sz w:val="19"/>
          <w:szCs w:val="19"/>
          <w:color w:val="auto"/>
        </w:rPr>
        <w:t xml:space="preserve"> </w:t>
      </w:r>
      <w:r>
        <w:rPr>
          <w:rFonts w:ascii="Arial" w:cs="Arial" w:eastAsia="Arial" w:hAnsi="Arial"/>
          <w:sz w:val="19"/>
          <w:szCs w:val="19"/>
          <w:i w:val="1"/>
          <w:iCs w:val="1"/>
          <w:color w:val="auto"/>
        </w:rPr>
        <w:t>Agreement”</w:t>
      </w:r>
      <w:r>
        <w:rPr>
          <w:rFonts w:ascii="Arial" w:cs="Arial" w:eastAsia="Arial" w:hAnsi="Arial"/>
          <w:sz w:val="19"/>
          <w:szCs w:val="19"/>
          <w:color w:val="auto"/>
        </w:rPr>
        <w:t>), among Aqua Pennsylvania, Inc., a corporation organized under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Commonwealth of Pennsylvania (the </w:t>
      </w:r>
      <w:r>
        <w:rPr>
          <w:rFonts w:ascii="Arial" w:cs="Arial" w:eastAsia="Arial" w:hAnsi="Arial"/>
          <w:sz w:val="19"/>
          <w:szCs w:val="19"/>
          <w:i w:val="1"/>
          <w:iCs w:val="1"/>
          <w:color w:val="auto"/>
        </w:rPr>
        <w:t>“Company”</w:t>
      </w:r>
      <w:r>
        <w:rPr>
          <w:rFonts w:ascii="Arial" w:cs="Arial" w:eastAsia="Arial" w:hAnsi="Arial"/>
          <w:sz w:val="19"/>
          <w:szCs w:val="19"/>
          <w:color w:val="auto"/>
        </w:rPr>
        <w:t>) and the Purchasers that are signatories thereto.</w:t>
      </w:r>
    </w:p>
    <w:p>
      <w:pPr>
        <w:spacing w:after="0" w:line="35" w:lineRule="exact"/>
        <w:rPr>
          <w:sz w:val="20"/>
          <w:szCs w:val="20"/>
          <w:color w:val="auto"/>
        </w:rPr>
      </w:pPr>
    </w:p>
    <w:p>
      <w:pPr>
        <w:jc w:val="both"/>
        <w:ind w:left="180" w:right="199" w:firstLine="229"/>
        <w:spacing w:after="0" w:line="326" w:lineRule="auto"/>
        <w:rPr>
          <w:sz w:val="20"/>
          <w:szCs w:val="20"/>
          <w:color w:val="auto"/>
        </w:rPr>
      </w:pPr>
      <w:r>
        <w:rPr>
          <w:rFonts w:ascii="Arial" w:cs="Arial" w:eastAsia="Arial" w:hAnsi="Arial"/>
          <w:sz w:val="19"/>
          <w:szCs w:val="19"/>
          <w:color w:val="auto"/>
        </w:rPr>
        <w:t>Unless otherwise defined herein, capitalized terms defined in the Bond Purchase Agreement and used herein have the meanings given to them in the Bond Purchase Agreement.</w:t>
      </w:r>
    </w:p>
    <w:p>
      <w:pPr>
        <w:jc w:val="both"/>
        <w:ind w:left="180" w:right="199" w:firstLine="256"/>
        <w:spacing w:after="0" w:line="250" w:lineRule="auto"/>
        <w:rPr>
          <w:sz w:val="20"/>
          <w:szCs w:val="20"/>
          <w:color w:val="auto"/>
        </w:rPr>
      </w:pPr>
      <w:r>
        <w:rPr>
          <w:rFonts w:ascii="Arial" w:cs="Arial" w:eastAsia="Arial" w:hAnsi="Arial"/>
          <w:sz w:val="22"/>
          <w:szCs w:val="22"/>
          <w:color w:val="auto"/>
        </w:rPr>
        <w:t>Pursuant to the provisions of Section 12.4 (Tax Withholding) of the Bond Purchase Agreement, the undersigned hereby certifies that:</w:t>
      </w:r>
    </w:p>
    <w:p>
      <w:pPr>
        <w:spacing w:after="0" w:line="67" w:lineRule="exact"/>
        <w:rPr>
          <w:sz w:val="20"/>
          <w:szCs w:val="20"/>
          <w:color w:val="auto"/>
        </w:rPr>
      </w:pPr>
    </w:p>
    <w:p>
      <w:pPr>
        <w:ind w:left="1480" w:right="199" w:hanging="648"/>
        <w:spacing w:after="0" w:line="250" w:lineRule="auto"/>
        <w:tabs>
          <w:tab w:leader="none" w:pos="1414" w:val="left"/>
        </w:tabs>
        <w:numPr>
          <w:ilvl w:val="0"/>
          <w:numId w:val="61"/>
        </w:numPr>
        <w:rPr>
          <w:rFonts w:ascii="Arial" w:cs="Arial" w:eastAsia="Arial" w:hAnsi="Arial"/>
          <w:sz w:val="22"/>
          <w:szCs w:val="22"/>
          <w:color w:val="auto"/>
        </w:rPr>
      </w:pPr>
      <w:r>
        <w:rPr>
          <w:rFonts w:ascii="Arial" w:cs="Arial" w:eastAsia="Arial" w:hAnsi="Arial"/>
          <w:sz w:val="22"/>
          <w:szCs w:val="22"/>
          <w:color w:val="auto"/>
        </w:rPr>
        <w:t>it is the sole record and beneficial owner of the Bonds in respect of which it is providing this certificate;</w:t>
      </w:r>
    </w:p>
    <w:p>
      <w:pPr>
        <w:spacing w:after="0" w:line="66" w:lineRule="exact"/>
        <w:rPr>
          <w:rFonts w:ascii="Arial" w:cs="Arial" w:eastAsia="Arial" w:hAnsi="Arial"/>
          <w:sz w:val="22"/>
          <w:szCs w:val="22"/>
          <w:color w:val="auto"/>
        </w:rPr>
      </w:pPr>
    </w:p>
    <w:p>
      <w:pPr>
        <w:ind w:left="1320" w:hanging="488"/>
        <w:spacing w:after="0"/>
        <w:tabs>
          <w:tab w:leader="none" w:pos="13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it is not a bank within the meaning of Section 881(c)(3)(A) of the Code;</w:t>
      </w:r>
    </w:p>
    <w:p>
      <w:pPr>
        <w:spacing w:after="0" w:line="98" w:lineRule="exact"/>
        <w:rPr>
          <w:rFonts w:ascii="Arial" w:cs="Arial" w:eastAsia="Arial" w:hAnsi="Arial"/>
          <w:sz w:val="22"/>
          <w:szCs w:val="22"/>
          <w:color w:val="auto"/>
        </w:rPr>
      </w:pPr>
    </w:p>
    <w:p>
      <w:pPr>
        <w:ind w:left="1480" w:right="199" w:hanging="648"/>
        <w:spacing w:after="0" w:line="250" w:lineRule="auto"/>
        <w:tabs>
          <w:tab w:leader="none" w:pos="1642" w:val="left"/>
        </w:tabs>
        <w:numPr>
          <w:ilvl w:val="0"/>
          <w:numId w:val="61"/>
        </w:numPr>
        <w:rPr>
          <w:rFonts w:ascii="Arial" w:cs="Arial" w:eastAsia="Arial" w:hAnsi="Arial"/>
          <w:sz w:val="22"/>
          <w:szCs w:val="22"/>
          <w:color w:val="auto"/>
        </w:rPr>
      </w:pPr>
      <w:r>
        <w:rPr>
          <w:rFonts w:ascii="Arial" w:cs="Arial" w:eastAsia="Arial" w:hAnsi="Arial"/>
          <w:sz w:val="22"/>
          <w:szCs w:val="22"/>
          <w:color w:val="auto"/>
        </w:rPr>
        <w:t>it is not a ten percent shareholder of the Company within the meaning of Section 871(h)(3)(B) of the Code; and</w:t>
      </w:r>
    </w:p>
    <w:p>
      <w:pPr>
        <w:spacing w:after="0" w:line="66" w:lineRule="exact"/>
        <w:rPr>
          <w:rFonts w:ascii="Arial" w:cs="Arial" w:eastAsia="Arial" w:hAnsi="Arial"/>
          <w:sz w:val="22"/>
          <w:szCs w:val="22"/>
          <w:color w:val="auto"/>
        </w:rPr>
      </w:pPr>
    </w:p>
    <w:p>
      <w:pPr>
        <w:ind w:left="1480" w:right="199" w:hanging="648"/>
        <w:spacing w:after="0" w:line="250" w:lineRule="auto"/>
        <w:tabs>
          <w:tab w:leader="none" w:pos="1495" w:val="left"/>
        </w:tabs>
        <w:numPr>
          <w:ilvl w:val="0"/>
          <w:numId w:val="61"/>
        </w:numPr>
        <w:rPr>
          <w:rFonts w:ascii="Arial" w:cs="Arial" w:eastAsia="Arial" w:hAnsi="Arial"/>
          <w:sz w:val="22"/>
          <w:szCs w:val="22"/>
          <w:color w:val="auto"/>
        </w:rPr>
      </w:pPr>
      <w:r>
        <w:rPr>
          <w:rFonts w:ascii="Arial" w:cs="Arial" w:eastAsia="Arial" w:hAnsi="Arial"/>
          <w:sz w:val="22"/>
          <w:szCs w:val="22"/>
          <w:color w:val="auto"/>
        </w:rPr>
        <w:t>it is not a controlled foreign corporation related to the Company as described in Section 881(c)(3)(C) of the Code.</w:t>
      </w:r>
    </w:p>
    <w:p>
      <w:pPr>
        <w:spacing w:after="0" w:line="67" w:lineRule="exact"/>
        <w:rPr>
          <w:sz w:val="20"/>
          <w:szCs w:val="20"/>
          <w:color w:val="auto"/>
        </w:rPr>
      </w:pPr>
    </w:p>
    <w:p>
      <w:pPr>
        <w:ind w:left="180" w:right="199" w:firstLine="270"/>
        <w:spacing w:after="0" w:line="250" w:lineRule="auto"/>
        <w:rPr>
          <w:sz w:val="20"/>
          <w:szCs w:val="20"/>
          <w:color w:val="auto"/>
        </w:rPr>
      </w:pPr>
      <w:r>
        <w:rPr>
          <w:rFonts w:ascii="Arial" w:cs="Arial" w:eastAsia="Arial" w:hAnsi="Arial"/>
          <w:sz w:val="22"/>
          <w:szCs w:val="22"/>
          <w:color w:val="auto"/>
        </w:rPr>
        <w:t>The undersigned has furnished the Company with a certificate of its non-U.S. Person status on IRS W-8BEN-E.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___________________________________</w:t>
      </w:r>
    </w:p>
    <w:p>
      <w:pPr>
        <w:ind w:left="980"/>
        <w:spacing w:after="0" w:line="238" w:lineRule="auto"/>
        <w:rPr>
          <w:sz w:val="20"/>
          <w:szCs w:val="20"/>
          <w:color w:val="auto"/>
        </w:rPr>
      </w:pPr>
      <w:r>
        <w:rPr>
          <w:rFonts w:ascii="Arial" w:cs="Arial" w:eastAsia="Arial" w:hAnsi="Arial"/>
          <w:sz w:val="22"/>
          <w:szCs w:val="22"/>
          <w:color w:val="auto"/>
        </w:rPr>
        <w:t>Name:</w:t>
      </w:r>
    </w:p>
    <w:p>
      <w:pPr>
        <w:ind w:left="9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 ________ __, 20[__]</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12.4</w:t>
      </w: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55880</wp:posOffset>
            </wp:positionV>
            <wp:extent cx="550354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21" w:name="page122"/>
    <w:bookmarkEnd w:id="121"/>
    <w:p>
      <w:pPr>
        <w:jc w:val="right"/>
        <w:ind w:right="199"/>
        <w:spacing w:after="0"/>
        <w:rPr>
          <w:sz w:val="20"/>
          <w:szCs w:val="20"/>
          <w:color w:val="auto"/>
        </w:rPr>
      </w:pPr>
      <w:r>
        <w:rPr>
          <w:rFonts w:ascii="Arial" w:cs="Arial" w:eastAsia="Arial" w:hAnsi="Arial"/>
          <w:sz w:val="22"/>
          <w:szCs w:val="22"/>
          <w:color w:val="auto"/>
        </w:rPr>
        <w:t>Exhibit 10.1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THIRD AMENDMENT TO CREDIT AGREEMENT</w:t>
      </w:r>
    </w:p>
    <w:p>
      <w:pPr>
        <w:spacing w:after="0" w:line="188" w:lineRule="exact"/>
        <w:rPr>
          <w:sz w:val="20"/>
          <w:szCs w:val="20"/>
          <w:color w:val="auto"/>
        </w:rPr>
      </w:pPr>
    </w:p>
    <w:p>
      <w:pPr>
        <w:jc w:val="both"/>
        <w:ind w:left="180" w:right="199" w:firstLine="1296"/>
        <w:spacing w:after="0" w:line="236" w:lineRule="auto"/>
        <w:rPr>
          <w:sz w:val="20"/>
          <w:szCs w:val="20"/>
          <w:color w:val="auto"/>
        </w:rPr>
      </w:pPr>
      <w:r>
        <w:rPr>
          <w:rFonts w:ascii="Arial" w:cs="Arial" w:eastAsia="Arial" w:hAnsi="Arial"/>
          <w:sz w:val="22"/>
          <w:szCs w:val="22"/>
          <w:color w:val="auto"/>
        </w:rPr>
        <w:t>THIS THIRD AMENDMENT TO CREDIT AGREEMENT is made as of this 8</w:t>
      </w:r>
      <w:r>
        <w:rPr>
          <w:rFonts w:ascii="Arial" w:cs="Arial" w:eastAsia="Arial" w:hAnsi="Arial"/>
          <w:sz w:val="10"/>
          <w:szCs w:val="10"/>
          <w:color w:val="auto"/>
        </w:rPr>
        <w:t>th</w:t>
      </w:r>
      <w:r>
        <w:rPr>
          <w:rFonts w:ascii="Arial" w:cs="Arial" w:eastAsia="Arial" w:hAnsi="Arial"/>
          <w:sz w:val="22"/>
          <w:szCs w:val="22"/>
          <w:color w:val="auto"/>
        </w:rPr>
        <w:t xml:space="preserve"> day of November, 2019, by and among AQUA PENNSYLVANIA, INC., a Pennsylvania corporation (“Borrower”), the several banks which are parties to this Agreement (each a “Bank” and collectively, the “Banks”) and PNC BANK, NATIONAL ASSOCIATION in its capacity as agent for the Banks (in such capacity, the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left="180" w:right="199" w:firstLine="652"/>
        <w:spacing w:after="0" w:line="235" w:lineRule="auto"/>
        <w:tabs>
          <w:tab w:leader="none" w:pos="1483"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Borrower, the Agent and the Banks are parties to an Amended and Restated Credit Agreement, dated as of November 17, 2016 (as heretofore amended, supplemented, modified, or restated, the “Credit Agreement”), pursuant to which the Banks have made available to the Borrower a revolving credit facility in an aggregate amount of $100,000,000 (the “Facility”). The loans under the Facility are evidenced by the Borrower’s Notes to the Banks in the aggregate principal amount of $100,000,000.</w:t>
      </w:r>
    </w:p>
    <w:p>
      <w:pPr>
        <w:spacing w:after="0" w:line="187" w:lineRule="exact"/>
        <w:rPr>
          <w:rFonts w:ascii="Arial" w:cs="Arial" w:eastAsia="Arial" w:hAnsi="Arial"/>
          <w:sz w:val="22"/>
          <w:szCs w:val="22"/>
          <w:color w:val="auto"/>
        </w:rPr>
      </w:pPr>
    </w:p>
    <w:p>
      <w:pPr>
        <w:jc w:val="both"/>
        <w:ind w:left="180" w:right="199" w:firstLine="652"/>
        <w:spacing w:after="0"/>
        <w:tabs>
          <w:tab w:leader="none" w:pos="147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Borrower, the Agent and the Banks desire to extend the Termination Date of the Facility and modify certain other provisions of the Credit Agreement, all on the terms and subject to the conditions herein set forth.</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NOW THEREFORE, the parties hereto, intending to be legally bound hereby, agree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80" w:right="199" w:firstLine="1300"/>
        <w:spacing w:after="0" w:line="250" w:lineRule="auto"/>
        <w:tabs>
          <w:tab w:leader="none" w:pos="2097" w:val="left"/>
        </w:tabs>
        <w:numPr>
          <w:ilvl w:val="0"/>
          <w:numId w:val="63"/>
        </w:numPr>
        <w:rPr>
          <w:rFonts w:ascii="Arial" w:cs="Arial" w:eastAsia="Arial" w:hAnsi="Arial"/>
          <w:sz w:val="22"/>
          <w:szCs w:val="22"/>
          <w:color w:val="010000"/>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Credit Agreement.</w:t>
      </w:r>
    </w:p>
    <w:p>
      <w:pPr>
        <w:spacing w:after="0" w:line="174" w:lineRule="exact"/>
        <w:rPr>
          <w:rFonts w:ascii="Arial" w:cs="Arial" w:eastAsia="Arial" w:hAnsi="Arial"/>
          <w:sz w:val="22"/>
          <w:szCs w:val="22"/>
          <w:color w:val="010000"/>
        </w:rPr>
      </w:pPr>
    </w:p>
    <w:p>
      <w:pPr>
        <w:ind w:left="180" w:right="199" w:firstLine="1300"/>
        <w:spacing w:after="0" w:line="250" w:lineRule="auto"/>
        <w:tabs>
          <w:tab w:leader="none" w:pos="2097" w:val="left"/>
        </w:tabs>
        <w:numPr>
          <w:ilvl w:val="0"/>
          <w:numId w:val="63"/>
        </w:numPr>
        <w:rPr>
          <w:rFonts w:ascii="Arial" w:cs="Arial" w:eastAsia="Arial" w:hAnsi="Arial"/>
          <w:sz w:val="22"/>
          <w:szCs w:val="22"/>
          <w:color w:val="010000"/>
        </w:rPr>
      </w:pPr>
      <w:r>
        <w:rPr>
          <w:rFonts w:ascii="Arial" w:cs="Arial" w:eastAsia="Arial" w:hAnsi="Arial"/>
          <w:sz w:val="22"/>
          <w:szCs w:val="22"/>
          <w:u w:val="single" w:color="auto"/>
          <w:color w:val="auto"/>
        </w:rPr>
        <w:t>Amendment to Credit Agreement</w:t>
      </w:r>
      <w:r>
        <w:rPr>
          <w:rFonts w:ascii="Arial" w:cs="Arial" w:eastAsia="Arial" w:hAnsi="Arial"/>
          <w:sz w:val="22"/>
          <w:szCs w:val="22"/>
          <w:color w:val="auto"/>
        </w:rPr>
        <w:t>. Effective on November 8, 2019 (the “Effective Date”), the Credit Agreement is hereby amended as follows:</w:t>
      </w:r>
    </w:p>
    <w:p>
      <w:pPr>
        <w:spacing w:after="0" w:line="174" w:lineRule="exact"/>
        <w:rPr>
          <w:rFonts w:ascii="Arial" w:cs="Arial" w:eastAsia="Arial" w:hAnsi="Arial"/>
          <w:sz w:val="22"/>
          <w:szCs w:val="22"/>
          <w:color w:val="010000"/>
        </w:rPr>
      </w:pPr>
    </w:p>
    <w:p>
      <w:pPr>
        <w:ind w:left="180" w:right="199" w:firstLine="1948"/>
        <w:spacing w:after="0" w:line="250" w:lineRule="auto"/>
        <w:tabs>
          <w:tab w:leader="none" w:pos="2769"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following definition in Section 1.1 of the Credit Agreement is hereby amended and restated to read in full as follows:</w:t>
      </w:r>
    </w:p>
    <w:p>
      <w:pPr>
        <w:spacing w:after="0" w:line="175" w:lineRule="exact"/>
        <w:rPr>
          <w:sz w:val="20"/>
          <w:szCs w:val="20"/>
          <w:color w:val="auto"/>
        </w:rPr>
      </w:pPr>
    </w:p>
    <w:p>
      <w:pPr>
        <w:jc w:val="both"/>
        <w:ind w:left="1480" w:right="19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the earlier of (a) November 6, 2020 or any later date to which the Termination Date shall have been extended pursuant to subsection 2.8(d) hereof and (b) the date the Commitments are terminated as provided herein.</w:t>
      </w:r>
    </w:p>
    <w:p>
      <w:pPr>
        <w:spacing w:after="0" w:line="134" w:lineRule="exact"/>
        <w:rPr>
          <w:sz w:val="20"/>
          <w:szCs w:val="20"/>
          <w:color w:val="auto"/>
        </w:rPr>
      </w:pPr>
    </w:p>
    <w:p>
      <w:pPr>
        <w:ind w:left="180" w:right="199" w:firstLine="1948"/>
        <w:spacing w:after="0" w:line="250" w:lineRule="auto"/>
        <w:tabs>
          <w:tab w:leader="none" w:pos="2781"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following Section 9.18 is hereby added to the Credit Agreement immediately following Section 9.17:</w:t>
      </w:r>
    </w:p>
    <w:p>
      <w:pPr>
        <w:spacing w:after="0" w:line="175" w:lineRule="exact"/>
        <w:rPr>
          <w:sz w:val="20"/>
          <w:szCs w:val="20"/>
          <w:color w:val="auto"/>
        </w:rPr>
      </w:pPr>
    </w:p>
    <w:p>
      <w:pPr>
        <w:jc w:val="both"/>
        <w:ind w:left="1480" w:right="199" w:firstLine="648"/>
        <w:spacing w:after="0" w:line="297" w:lineRule="auto"/>
        <w:rPr>
          <w:sz w:val="20"/>
          <w:szCs w:val="20"/>
          <w:color w:val="auto"/>
        </w:rPr>
      </w:pPr>
      <w:r>
        <w:rPr>
          <w:rFonts w:ascii="Arial" w:cs="Arial" w:eastAsia="Arial" w:hAnsi="Arial"/>
          <w:sz w:val="19"/>
          <w:szCs w:val="19"/>
          <w:color w:val="auto"/>
        </w:rPr>
        <w:t xml:space="preserve">“9.18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interest rate hedge agreements or contracts or any other agreement or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98425</wp:posOffset>
            </wp:positionV>
            <wp:extent cx="550354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2" w:name="page123"/>
    <w:bookmarkEnd w:id="122"/>
    <w:p>
      <w:pPr>
        <w:jc w:val="both"/>
        <w:ind w:left="1480" w:right="199"/>
        <w:spacing w:after="0" w:line="273" w:lineRule="auto"/>
        <w:rPr>
          <w:sz w:val="20"/>
          <w:szCs w:val="20"/>
          <w:color w:val="auto"/>
        </w:rPr>
      </w:pPr>
      <w:r>
        <w:rPr>
          <w:rFonts w:ascii="Arial" w:cs="Arial" w:eastAsia="Arial" w:hAnsi="Arial"/>
          <w:sz w:val="19"/>
          <w:szCs w:val="19"/>
          <w:color w:val="auto"/>
        </w:rPr>
        <w:t>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Commonwealth of Pennsylvania and/or of the United States or any other state of the United States):</w:t>
      </w:r>
    </w:p>
    <w:p>
      <w:pPr>
        <w:spacing w:after="0" w:line="161" w:lineRule="exact"/>
        <w:rPr>
          <w:sz w:val="20"/>
          <w:szCs w:val="20"/>
          <w:color w:val="auto"/>
        </w:rPr>
      </w:pPr>
    </w:p>
    <w:p>
      <w:pPr>
        <w:jc w:val="both"/>
        <w:ind w:left="1480" w:right="199" w:firstLine="648"/>
        <w:spacing w:after="0" w:line="270" w:lineRule="auto"/>
        <w:tabs>
          <w:tab w:leader="none" w:pos="2777"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0" w:lineRule="exact"/>
        <w:rPr>
          <w:rFonts w:ascii="Arial" w:cs="Arial" w:eastAsia="Arial" w:hAnsi="Arial"/>
          <w:sz w:val="19"/>
          <w:szCs w:val="19"/>
          <w:color w:val="auto"/>
        </w:rPr>
      </w:pPr>
    </w:p>
    <w:p>
      <w:pPr>
        <w:ind w:left="2760" w:hanging="632"/>
        <w:spacing w:after="0"/>
        <w:tabs>
          <w:tab w:leader="none" w:pos="27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As used in this Section 9.18, the following terms have the following</w:t>
      </w:r>
    </w:p>
    <w:p>
      <w:pPr>
        <w:spacing w:after="0" w:line="42" w:lineRule="exact"/>
        <w:rPr>
          <w:rFonts w:ascii="Arial" w:cs="Arial" w:eastAsia="Arial" w:hAnsi="Arial"/>
          <w:sz w:val="19"/>
          <w:szCs w:val="19"/>
          <w:color w:val="auto"/>
        </w:rPr>
      </w:pPr>
    </w:p>
    <w:p>
      <w:pPr>
        <w:ind w:left="1480"/>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sz w:val="20"/>
          <w:szCs w:val="20"/>
          <w:color w:val="auto"/>
        </w:rPr>
      </w:pPr>
    </w:p>
    <w:p>
      <w:pPr>
        <w:ind w:left="1480" w:right="19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means an “affiliate” (as such term is defined under, and interpreted in accordance with, 12 U.S.C. 1841(k)) of such party.</w:t>
      </w:r>
    </w:p>
    <w:p>
      <w:pPr>
        <w:spacing w:after="0" w:line="105"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06" w:lineRule="exact"/>
        <w:rPr>
          <w:sz w:val="20"/>
          <w:szCs w:val="20"/>
          <w:color w:val="auto"/>
        </w:rPr>
      </w:pPr>
    </w:p>
    <w:p>
      <w:pPr>
        <w:ind w:left="1480" w:right="199" w:firstLine="1296"/>
        <w:spacing w:after="0" w:line="250" w:lineRule="auto"/>
        <w:tabs>
          <w:tab w:leader="none" w:pos="3664"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174" w:lineRule="exact"/>
        <w:rPr>
          <w:rFonts w:ascii="Arial" w:cs="Arial" w:eastAsia="Arial" w:hAnsi="Arial"/>
          <w:sz w:val="22"/>
          <w:szCs w:val="22"/>
          <w:color w:val="auto"/>
        </w:rPr>
      </w:pPr>
    </w:p>
    <w:p>
      <w:pPr>
        <w:ind w:left="1480" w:right="199" w:firstLine="1296"/>
        <w:spacing w:after="0" w:line="250" w:lineRule="auto"/>
        <w:tabs>
          <w:tab w:leader="none" w:pos="367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3" w:name="page124"/>
    <w:bookmarkEnd w:id="123"/>
    <w:p>
      <w:pPr>
        <w:ind w:left="1480" w:right="199" w:firstLine="1296"/>
        <w:spacing w:after="0" w:line="251" w:lineRule="auto"/>
        <w:tabs>
          <w:tab w:leader="none" w:pos="36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173" w:lineRule="exact"/>
        <w:rPr>
          <w:sz w:val="20"/>
          <w:szCs w:val="20"/>
          <w:color w:val="auto"/>
        </w:rPr>
      </w:pPr>
    </w:p>
    <w:p>
      <w:pPr>
        <w:ind w:left="1480" w:right="19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05" w:lineRule="exact"/>
        <w:rPr>
          <w:sz w:val="20"/>
          <w:szCs w:val="20"/>
          <w:color w:val="auto"/>
        </w:rPr>
      </w:pPr>
    </w:p>
    <w:p>
      <w:pPr>
        <w:ind w:left="1480" w:right="19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w:t>
      </w:r>
      <w:r>
        <w:rPr>
          <w:rFonts w:ascii="Arial" w:cs="Arial" w:eastAsia="Arial" w:hAnsi="Arial"/>
          <w:sz w:val="19"/>
          <w:szCs w:val="19"/>
          <w:color w:val="auto"/>
        </w:rPr>
        <w:t>” has the meaning assigned to the term “qualified financial contract” in, and shall be interpreted in accordance with, 12 U.S.C. 5390(c)(8)(D).”</w:t>
      </w:r>
    </w:p>
    <w:p>
      <w:pPr>
        <w:spacing w:after="0" w:line="105" w:lineRule="exact"/>
        <w:rPr>
          <w:sz w:val="20"/>
          <w:szCs w:val="20"/>
          <w:color w:val="auto"/>
        </w:rPr>
      </w:pPr>
    </w:p>
    <w:p>
      <w:pPr>
        <w:jc w:val="both"/>
        <w:ind w:left="180" w:right="199" w:firstLine="1300"/>
        <w:spacing w:after="0" w:line="238" w:lineRule="auto"/>
        <w:tabs>
          <w:tab w:leader="none" w:pos="2097"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auto"/>
        </w:rPr>
        <w:t>Loan Documents</w:t>
      </w:r>
      <w:r>
        <w:rPr>
          <w:rFonts w:ascii="Arial" w:cs="Arial" w:eastAsia="Arial" w:hAnsi="Arial"/>
          <w:sz w:val="22"/>
          <w:szCs w:val="22"/>
          <w:color w:val="auto"/>
        </w:rPr>
        <w:t>. Except where the context clearly requires otherwise, all references to the Credit Agreement in any of the Loan Documents or any other document delivered to the Banks or the Agent in connection therewith shall be to the Credit Agreement as amended by this Agreement.</w:t>
      </w:r>
    </w:p>
    <w:p>
      <w:pPr>
        <w:spacing w:after="0" w:line="184" w:lineRule="exact"/>
        <w:rPr>
          <w:rFonts w:ascii="Arial" w:cs="Arial" w:eastAsia="Arial" w:hAnsi="Arial"/>
          <w:sz w:val="22"/>
          <w:szCs w:val="22"/>
          <w:color w:val="010000"/>
        </w:rPr>
      </w:pPr>
    </w:p>
    <w:p>
      <w:pPr>
        <w:jc w:val="both"/>
        <w:ind w:left="180" w:right="199" w:firstLine="1300"/>
        <w:spacing w:after="0" w:line="275" w:lineRule="auto"/>
        <w:tabs>
          <w:tab w:leader="none" w:pos="2097"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Borrower’s Ratification</w:t>
      </w:r>
      <w:r>
        <w:rPr>
          <w:rFonts w:ascii="Arial" w:cs="Arial" w:eastAsia="Arial" w:hAnsi="Arial"/>
          <w:sz w:val="19"/>
          <w:szCs w:val="19"/>
          <w:color w:val="auto"/>
        </w:rPr>
        <w:t>. The Borrower agrees that it has no defenses or set-offs against the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57" w:lineRule="exact"/>
        <w:rPr>
          <w:rFonts w:ascii="Arial" w:cs="Arial" w:eastAsia="Arial" w:hAnsi="Arial"/>
          <w:sz w:val="19"/>
          <w:szCs w:val="19"/>
          <w:color w:val="010000"/>
        </w:rPr>
      </w:pPr>
    </w:p>
    <w:p>
      <w:pPr>
        <w:ind w:left="180" w:right="199" w:firstLine="1300"/>
        <w:spacing w:after="0" w:line="250" w:lineRule="auto"/>
        <w:tabs>
          <w:tab w:leader="none" w:pos="2097"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Agent and the Banks that:</w:t>
      </w:r>
    </w:p>
    <w:p>
      <w:pPr>
        <w:spacing w:after="0" w:line="174" w:lineRule="exact"/>
        <w:rPr>
          <w:rFonts w:ascii="Arial" w:cs="Arial" w:eastAsia="Arial" w:hAnsi="Arial"/>
          <w:sz w:val="22"/>
          <w:szCs w:val="22"/>
          <w:color w:val="010000"/>
        </w:rPr>
      </w:pPr>
    </w:p>
    <w:p>
      <w:pPr>
        <w:jc w:val="both"/>
        <w:ind w:left="180" w:right="199" w:firstLine="1948"/>
        <w:spacing w:after="0" w:line="287" w:lineRule="auto"/>
        <w:tabs>
          <w:tab w:leader="none" w:pos="2769"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representations and warranties made in the Credit Agreement are true and correct in all material respects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42" w:lineRule="exact"/>
        <w:rPr>
          <w:rFonts w:ascii="Arial" w:cs="Arial" w:eastAsia="Arial" w:hAnsi="Arial"/>
          <w:sz w:val="19"/>
          <w:szCs w:val="19"/>
          <w:color w:val="auto"/>
        </w:rPr>
      </w:pPr>
    </w:p>
    <w:p>
      <w:pPr>
        <w:ind w:left="2780" w:hanging="652"/>
        <w:spacing w:after="0"/>
        <w:tabs>
          <w:tab w:leader="none" w:pos="27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 Default or Event of Default under the Credit Agreement exists on</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the date hereof; and</w:t>
      </w:r>
    </w:p>
    <w:p>
      <w:pPr>
        <w:spacing w:after="0" w:line="188" w:lineRule="exact"/>
        <w:rPr>
          <w:rFonts w:ascii="Arial" w:cs="Arial" w:eastAsia="Arial" w:hAnsi="Arial"/>
          <w:sz w:val="19"/>
          <w:szCs w:val="19"/>
          <w:color w:val="auto"/>
        </w:rPr>
      </w:pPr>
    </w:p>
    <w:p>
      <w:pPr>
        <w:jc w:val="both"/>
        <w:ind w:left="180" w:right="199" w:firstLine="1948"/>
        <w:spacing w:after="0"/>
        <w:tabs>
          <w:tab w:leader="none" w:pos="2769"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so as to constitute the legal, valid and binding obligation of the Borrower, enforceable in accordance with its terms.</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All of the above representations and warranties shall survive the making of this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180" w:right="199" w:firstLine="1300"/>
        <w:spacing w:after="0"/>
        <w:tabs>
          <w:tab w:leader="none" w:pos="2097"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the amendments set forth herein is subject to the fulfillment, to the satisfaction of the Agent and its counsel, of the following conditions precedent on or before the Effective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4" w:name="page125"/>
    <w:bookmarkEnd w:id="124"/>
    <w:p>
      <w:pPr>
        <w:jc w:val="both"/>
        <w:ind w:left="180" w:right="199" w:firstLine="1948"/>
        <w:spacing w:after="0" w:line="238" w:lineRule="auto"/>
        <w:tabs>
          <w:tab w:leader="none" w:pos="2769"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Agent shall have received, with copies or counterparts for each Bank as appropriate, the following, all of which shall be in form and substance satisfactory to the Agent and shall be duly completed and executed by the Borrower, the Agent and the Banks, as applicable:</w:t>
      </w:r>
    </w:p>
    <w:p>
      <w:pPr>
        <w:spacing w:after="0" w:line="185" w:lineRule="exact"/>
        <w:rPr>
          <w:rFonts w:ascii="Arial" w:cs="Arial" w:eastAsia="Arial" w:hAnsi="Arial"/>
          <w:sz w:val="22"/>
          <w:szCs w:val="22"/>
          <w:color w:val="auto"/>
        </w:rPr>
      </w:pPr>
    </w:p>
    <w:p>
      <w:pPr>
        <w:ind w:left="3420" w:hanging="644"/>
        <w:spacing w:after="0"/>
        <w:tabs>
          <w:tab w:leader="none" w:pos="342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ind w:left="3420" w:right="219" w:hanging="644"/>
        <w:spacing w:after="0" w:line="248" w:lineRule="auto"/>
        <w:tabs>
          <w:tab w:leader="none" w:pos="3414" w:val="left"/>
        </w:tabs>
        <w:numPr>
          <w:ilvl w:val="2"/>
          <w:numId w:val="70"/>
        </w:numPr>
        <w:rPr>
          <w:rFonts w:ascii="Arial" w:cs="Arial" w:eastAsia="Arial" w:hAnsi="Arial"/>
          <w:sz w:val="21"/>
          <w:szCs w:val="21"/>
          <w:color w:val="auto"/>
        </w:rPr>
      </w:pPr>
      <w:r>
        <w:rPr>
          <w:rFonts w:ascii="Arial" w:cs="Arial" w:eastAsia="Arial" w:hAnsi="Arial"/>
          <w:sz w:val="21"/>
          <w:szCs w:val="21"/>
          <w:color w:val="auto"/>
        </w:rPr>
        <w:t>Copies, certified by the Secretary or an Assistant Secretary of the Borrower as of a recent date, of resolutions of the board of directors of the Borrower in effect on the date hereof authorizing the execution, delivery and performance of this Agreement and the other documents and transactions contemplated hereby;</w:t>
      </w:r>
    </w:p>
    <w:p>
      <w:pPr>
        <w:spacing w:after="0" w:line="176" w:lineRule="exact"/>
        <w:rPr>
          <w:rFonts w:ascii="Arial" w:cs="Arial" w:eastAsia="Arial" w:hAnsi="Arial"/>
          <w:sz w:val="21"/>
          <w:szCs w:val="21"/>
          <w:color w:val="auto"/>
        </w:rPr>
      </w:pPr>
    </w:p>
    <w:p>
      <w:pPr>
        <w:ind w:left="3420" w:right="259" w:hanging="644"/>
        <w:spacing w:after="0" w:line="248" w:lineRule="auto"/>
        <w:tabs>
          <w:tab w:leader="none" w:pos="3420" w:val="left"/>
        </w:tabs>
        <w:numPr>
          <w:ilvl w:val="2"/>
          <w:numId w:val="70"/>
        </w:numPr>
        <w:rPr>
          <w:rFonts w:ascii="Arial" w:cs="Arial" w:eastAsia="Arial" w:hAnsi="Arial"/>
          <w:sz w:val="21"/>
          <w:szCs w:val="21"/>
          <w:color w:val="auto"/>
        </w:rPr>
      </w:pPr>
      <w:r>
        <w:rPr>
          <w:rFonts w:ascii="Arial" w:cs="Arial" w:eastAsia="Arial" w:hAnsi="Arial"/>
          <w:sz w:val="21"/>
          <w:szCs w:val="21"/>
          <w:color w:val="auto"/>
        </w:rPr>
        <w:t>Copies, certified by its corporate secretary as of a recent date, of the articles of incorporation, certificate of formation, and by-laws of the Borrower as in effect, or a certificate stating that there have been no changes to any such documents since the most recent date, true and correct copies thereof were delivered to the Agent;</w:t>
      </w:r>
    </w:p>
    <w:p>
      <w:pPr>
        <w:spacing w:after="0" w:line="176" w:lineRule="exact"/>
        <w:rPr>
          <w:rFonts w:ascii="Arial" w:cs="Arial" w:eastAsia="Arial" w:hAnsi="Arial"/>
          <w:sz w:val="21"/>
          <w:szCs w:val="21"/>
          <w:color w:val="auto"/>
        </w:rPr>
      </w:pPr>
    </w:p>
    <w:p>
      <w:pPr>
        <w:ind w:left="3420" w:right="279" w:hanging="644"/>
        <w:spacing w:after="0" w:line="277" w:lineRule="auto"/>
        <w:tabs>
          <w:tab w:leader="none" w:pos="3462" w:val="left"/>
        </w:tabs>
        <w:numPr>
          <w:ilvl w:val="2"/>
          <w:numId w:val="70"/>
        </w:numPr>
        <w:rPr>
          <w:rFonts w:ascii="Arial" w:cs="Arial" w:eastAsia="Arial" w:hAnsi="Arial"/>
          <w:sz w:val="19"/>
          <w:szCs w:val="19"/>
          <w:color w:val="auto"/>
        </w:rPr>
      </w:pPr>
      <w:r>
        <w:rPr>
          <w:rFonts w:ascii="Arial" w:cs="Arial" w:eastAsia="Arial" w:hAnsi="Arial"/>
          <w:sz w:val="19"/>
          <w:szCs w:val="19"/>
          <w:color w:val="auto"/>
        </w:rPr>
        <w:t>If the Borrower qualifies as a legal entity customer under the Beneficial Ownership Regulations, an executed Certificate of Beneficial Ownership for the Borrower and such other documentation and other information requested by the Agent and the Banks in connection with applicable “know your customer” and anti-money laundering rules and regulations, including the USA Patriot Act; and</w:t>
      </w:r>
    </w:p>
    <w:p>
      <w:pPr>
        <w:spacing w:after="0" w:line="151" w:lineRule="exact"/>
        <w:rPr>
          <w:rFonts w:ascii="Arial" w:cs="Arial" w:eastAsia="Arial" w:hAnsi="Arial"/>
          <w:sz w:val="19"/>
          <w:szCs w:val="19"/>
          <w:color w:val="auto"/>
        </w:rPr>
      </w:pPr>
    </w:p>
    <w:p>
      <w:pPr>
        <w:ind w:left="3420" w:right="479" w:hanging="644"/>
        <w:spacing w:after="0" w:line="297" w:lineRule="auto"/>
        <w:tabs>
          <w:tab w:leader="none" w:pos="3469" w:val="left"/>
        </w:tabs>
        <w:numPr>
          <w:ilvl w:val="2"/>
          <w:numId w:val="70"/>
        </w:numPr>
        <w:rPr>
          <w:rFonts w:ascii="Arial" w:cs="Arial" w:eastAsia="Arial" w:hAnsi="Arial"/>
          <w:sz w:val="19"/>
          <w:szCs w:val="19"/>
          <w:color w:val="auto"/>
        </w:rPr>
      </w:pPr>
      <w:r>
        <w:rPr>
          <w:rFonts w:ascii="Arial" w:cs="Arial" w:eastAsia="Arial" w:hAnsi="Arial"/>
          <w:sz w:val="19"/>
          <w:szCs w:val="19"/>
          <w:color w:val="auto"/>
        </w:rPr>
        <w:t>Such additional documents, certificates and information as the Agent or the Banks may require pursuant to the terms hereof or otherwise reasonably request.</w:t>
      </w:r>
    </w:p>
    <w:p>
      <w:pPr>
        <w:spacing w:after="0" w:line="133" w:lineRule="exact"/>
        <w:rPr>
          <w:rFonts w:ascii="Arial" w:cs="Arial" w:eastAsia="Arial" w:hAnsi="Arial"/>
          <w:sz w:val="19"/>
          <w:szCs w:val="19"/>
          <w:color w:val="auto"/>
        </w:rPr>
      </w:pPr>
    </w:p>
    <w:p>
      <w:pPr>
        <w:jc w:val="both"/>
        <w:ind w:left="180" w:right="199" w:firstLine="1948"/>
        <w:spacing w:after="0" w:line="249" w:lineRule="auto"/>
        <w:tabs>
          <w:tab w:leader="none" w:pos="2781" w:val="left"/>
        </w:tabs>
        <w:numPr>
          <w:ilvl w:val="1"/>
          <w:numId w:val="70"/>
        </w:numPr>
        <w:rPr>
          <w:rFonts w:ascii="Arial" w:cs="Arial" w:eastAsia="Arial" w:hAnsi="Arial"/>
          <w:sz w:val="21"/>
          <w:szCs w:val="21"/>
          <w:color w:val="auto"/>
        </w:rPr>
      </w:pPr>
      <w:r>
        <w:rPr>
          <w:rFonts w:ascii="Arial" w:cs="Arial" w:eastAsia="Arial" w:hAnsi="Arial"/>
          <w:sz w:val="21"/>
          <w:szCs w:val="21"/>
          <w:color w:val="auto"/>
        </w:rPr>
        <w:t>After giving effect to this Agreement, the representations and warranties set forth in the Credit Agreement shall be true and correct in all material respects on and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78" w:lineRule="exact"/>
        <w:rPr>
          <w:rFonts w:ascii="Arial" w:cs="Arial" w:eastAsia="Arial" w:hAnsi="Arial"/>
          <w:sz w:val="21"/>
          <w:szCs w:val="21"/>
          <w:color w:val="auto"/>
        </w:rPr>
      </w:pPr>
    </w:p>
    <w:p>
      <w:pPr>
        <w:ind w:left="2780" w:hanging="652"/>
        <w:spacing w:after="0"/>
        <w:tabs>
          <w:tab w:leader="none" w:pos="27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w:t>
      </w:r>
    </w:p>
    <w:p>
      <w:pPr>
        <w:spacing w:after="0" w:line="4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as of the date hereof.</w:t>
      </w:r>
    </w:p>
    <w:p>
      <w:pPr>
        <w:spacing w:after="0" w:line="188" w:lineRule="exact"/>
        <w:rPr>
          <w:rFonts w:ascii="Arial" w:cs="Arial" w:eastAsia="Arial" w:hAnsi="Arial"/>
          <w:sz w:val="19"/>
          <w:szCs w:val="19"/>
          <w:color w:val="auto"/>
        </w:rPr>
      </w:pPr>
    </w:p>
    <w:p>
      <w:pPr>
        <w:ind w:left="2100" w:hanging="620"/>
        <w:spacing w:after="0"/>
        <w:tabs>
          <w:tab w:leader="none" w:pos="2100"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80" w:right="199" w:firstLine="1948"/>
        <w:spacing w:after="0" w:line="328" w:lineRule="auto"/>
        <w:tabs>
          <w:tab w:leader="none" w:pos="2769" w:val="left"/>
        </w:tabs>
        <w:numPr>
          <w:ilvl w:val="1"/>
          <w:numId w:val="71"/>
        </w:numPr>
        <w:rPr>
          <w:rFonts w:ascii="Arial" w:cs="Arial" w:eastAsia="Arial" w:hAnsi="Arial"/>
          <w:sz w:val="19"/>
          <w:szCs w:val="19"/>
          <w:color w:val="auto"/>
        </w:rPr>
      </w:pPr>
      <w:r>
        <w:rPr>
          <w:rFonts w:ascii="Arial" w:cs="Arial" w:eastAsia="Arial" w:hAnsi="Arial"/>
          <w:sz w:val="19"/>
          <w:szCs w:val="19"/>
          <w:color w:val="auto"/>
        </w:rPr>
        <w:t>All terms, conditions, provisions and covenants in the Loan Documents and all other documents delivered to the Agent and the Banks in connection therewith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5" w:name="page126"/>
    <w:bookmarkEnd w:id="125"/>
    <w:p>
      <w:pPr>
        <w:jc w:val="both"/>
        <w:ind w:left="180" w:right="199"/>
        <w:spacing w:after="0" w:line="252" w:lineRule="auto"/>
        <w:rPr>
          <w:sz w:val="20"/>
          <w:szCs w:val="20"/>
          <w:color w:val="auto"/>
        </w:rPr>
      </w:pPr>
      <w:r>
        <w:rPr>
          <w:rFonts w:ascii="Arial" w:cs="Arial" w:eastAsia="Arial" w:hAnsi="Arial"/>
          <w:sz w:val="21"/>
          <w:szCs w:val="21"/>
          <w:color w:val="auto"/>
        </w:rPr>
        <w:t>shall remain unaltered and in full force and effect except as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74" w:lineRule="exact"/>
        <w:rPr>
          <w:sz w:val="20"/>
          <w:szCs w:val="20"/>
          <w:color w:val="auto"/>
        </w:rPr>
      </w:pPr>
    </w:p>
    <w:p>
      <w:pPr>
        <w:jc w:val="both"/>
        <w:ind w:left="180" w:right="199" w:firstLine="1948"/>
        <w:spacing w:after="0" w:line="297" w:lineRule="auto"/>
        <w:tabs>
          <w:tab w:leader="none" w:pos="2781"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Agreement shall neither operate as a waiver of any right, power or remedy of the Agent or the Banks under any of the Loan Documents nor constitute a waiver of any Default or Event of Default thereunder.</w:t>
      </w:r>
    </w:p>
    <w:p>
      <w:pPr>
        <w:spacing w:after="0" w:line="133" w:lineRule="exact"/>
        <w:rPr>
          <w:rFonts w:ascii="Arial" w:cs="Arial" w:eastAsia="Arial" w:hAnsi="Arial"/>
          <w:sz w:val="19"/>
          <w:szCs w:val="19"/>
          <w:color w:val="auto"/>
        </w:rPr>
      </w:pPr>
    </w:p>
    <w:p>
      <w:pPr>
        <w:jc w:val="both"/>
        <w:ind w:left="180" w:right="199" w:firstLine="1948"/>
        <w:spacing w:after="0" w:line="236" w:lineRule="auto"/>
        <w:tabs>
          <w:tab w:leader="none" w:pos="2769"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 consideration of the Agent’s and the Banks’ agreement to amend the existing revolving credit facility, the Borrower hereby waives and releases the Agent and the Banks and their respective officers, attorneys, agents and employees from any liability, suit, damage, claim, loss or expense of any kind or failure whatsoever and howsoever arising that it ever had up until, or has as of, the date of this Agreement.</w:t>
      </w:r>
    </w:p>
    <w:p>
      <w:pPr>
        <w:spacing w:after="0" w:line="187" w:lineRule="exact"/>
        <w:rPr>
          <w:rFonts w:ascii="Arial" w:cs="Arial" w:eastAsia="Arial" w:hAnsi="Arial"/>
          <w:sz w:val="22"/>
          <w:szCs w:val="22"/>
          <w:color w:val="auto"/>
        </w:rPr>
      </w:pPr>
    </w:p>
    <w:p>
      <w:pPr>
        <w:jc w:val="both"/>
        <w:ind w:left="180" w:right="199" w:firstLine="1948"/>
        <w:spacing w:after="0"/>
        <w:tabs>
          <w:tab w:leader="none" w:pos="2781"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respect to the subject matter hereof and supersedes all prior and contemporaneous understandings and agreements.</w:t>
      </w:r>
    </w:p>
    <w:p>
      <w:pPr>
        <w:spacing w:after="0" w:line="186" w:lineRule="exact"/>
        <w:rPr>
          <w:rFonts w:ascii="Arial" w:cs="Arial" w:eastAsia="Arial" w:hAnsi="Arial"/>
          <w:sz w:val="22"/>
          <w:szCs w:val="22"/>
          <w:color w:val="auto"/>
        </w:rPr>
      </w:pPr>
    </w:p>
    <w:p>
      <w:pPr>
        <w:jc w:val="both"/>
        <w:ind w:left="180" w:right="199" w:firstLine="1948"/>
        <w:spacing w:after="0"/>
        <w:tabs>
          <w:tab w:leader="none" w:pos="2769"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 the event any provisions of this Agreement shall be held invalid or unenforceable by any court of competent jurisdiction, such holding shall not invalidate or render unenforceable any other provision hereof.</w:t>
      </w:r>
    </w:p>
    <w:p>
      <w:pPr>
        <w:spacing w:after="0" w:line="186" w:lineRule="exact"/>
        <w:rPr>
          <w:rFonts w:ascii="Arial" w:cs="Arial" w:eastAsia="Arial" w:hAnsi="Arial"/>
          <w:sz w:val="22"/>
          <w:szCs w:val="22"/>
          <w:color w:val="auto"/>
        </w:rPr>
      </w:pPr>
    </w:p>
    <w:p>
      <w:pPr>
        <w:ind w:left="180" w:right="199" w:firstLine="1948"/>
        <w:spacing w:after="0" w:line="250" w:lineRule="auto"/>
        <w:tabs>
          <w:tab w:leader="none" w:pos="278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Commonwealth of Pennsylvania.</w:t>
      </w:r>
    </w:p>
    <w:p>
      <w:pPr>
        <w:spacing w:after="0" w:line="174" w:lineRule="exact"/>
        <w:rPr>
          <w:rFonts w:ascii="Arial" w:cs="Arial" w:eastAsia="Arial" w:hAnsi="Arial"/>
          <w:sz w:val="22"/>
          <w:szCs w:val="22"/>
          <w:color w:val="auto"/>
        </w:rPr>
      </w:pPr>
    </w:p>
    <w:p>
      <w:pPr>
        <w:jc w:val="both"/>
        <w:ind w:left="180" w:right="199" w:firstLine="1948"/>
        <w:spacing w:after="0" w:line="238" w:lineRule="auto"/>
        <w:tabs>
          <w:tab w:leader="none" w:pos="2781"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 and may be executed in one or more counterparts, each of which shall be deemed an original, but all of which together shall constitute one and the same instrument.</w:t>
      </w:r>
    </w:p>
    <w:p>
      <w:pPr>
        <w:spacing w:after="0" w:line="184" w:lineRule="exact"/>
        <w:rPr>
          <w:rFonts w:ascii="Arial" w:cs="Arial" w:eastAsia="Arial" w:hAnsi="Arial"/>
          <w:sz w:val="22"/>
          <w:szCs w:val="22"/>
          <w:color w:val="auto"/>
        </w:rPr>
      </w:pPr>
    </w:p>
    <w:p>
      <w:pPr>
        <w:jc w:val="both"/>
        <w:ind w:left="180" w:right="199" w:firstLine="1948"/>
        <w:spacing w:after="0"/>
        <w:tabs>
          <w:tab w:leader="none" w:pos="2781"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0" w:right="199" w:firstLine="1948"/>
        <w:spacing w:after="0" w:line="249" w:lineRule="auto"/>
        <w:tabs>
          <w:tab w:leader="none" w:pos="2787"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75565</wp:posOffset>
            </wp:positionV>
            <wp:extent cx="550354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6" w:name="page127"/>
    <w:bookmarkEnd w:id="126"/>
    <w:p>
      <w:pPr>
        <w:ind w:left="180" w:right="199" w:firstLine="1296"/>
        <w:spacing w:after="0" w:line="328" w:lineRule="auto"/>
        <w:rPr>
          <w:sz w:val="20"/>
          <w:szCs w:val="20"/>
          <w:color w:val="auto"/>
        </w:rPr>
      </w:pPr>
      <w:r>
        <w:rPr>
          <w:rFonts w:ascii="Arial" w:cs="Arial" w:eastAsia="Arial" w:hAnsi="Arial"/>
          <w:sz w:val="19"/>
          <w:szCs w:val="19"/>
          <w:color w:val="auto"/>
        </w:rPr>
        <w:t>IN WITNESS WHEREOF, the Borrower, the Agent and the Banks have caused this Agreement to be executed by their duly authorized officers as of the date first above written.</w:t>
      </w:r>
    </w:p>
    <w:p>
      <w:pPr>
        <w:spacing w:after="0" w:line="10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AQUA PENNSYLVANIA, INC.</w:t>
      </w:r>
    </w:p>
    <w:p>
      <w:pPr>
        <w:spacing w:after="0" w:line="237" w:lineRule="exact"/>
        <w:rPr>
          <w:sz w:val="20"/>
          <w:szCs w:val="20"/>
          <w:color w:val="auto"/>
        </w:rPr>
      </w:pPr>
    </w:p>
    <w:tbl>
      <w:tblPr>
        <w:tblLayout w:type="fixed"/>
        <w:tblInd w:w="418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Pr>
          <w:p>
            <w:pPr>
              <w:ind w:left="120"/>
              <w:spacing w:after="0"/>
              <w:rPr>
                <w:sz w:val="20"/>
                <w:szCs w:val="20"/>
                <w:color w:val="auto"/>
              </w:rPr>
            </w:pPr>
            <w:r>
              <w:rPr>
                <w:rFonts w:ascii="Arial" w:cs="Arial" w:eastAsia="Arial" w:hAnsi="Arial"/>
                <w:sz w:val="22"/>
                <w:szCs w:val="22"/>
                <w:color w:val="auto"/>
              </w:rPr>
              <w:t>/s/ Daniel J. Schuller</w:t>
            </w:r>
          </w:p>
        </w:tc>
        <w:tc>
          <w:tcPr>
            <w:tcW w:w="0" w:type="dxa"/>
            <w:vAlign w:val="bottom"/>
          </w:tcPr>
          <w:p>
            <w:pPr>
              <w:spacing w:after="0"/>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20" w:type="dxa"/>
            <w:vAlign w:val="bottom"/>
            <w:vMerge w:val="continue"/>
          </w:tcPr>
          <w:p>
            <w:pPr>
              <w:spacing w:after="0"/>
              <w:rPr>
                <w:sz w:val="18"/>
                <w:szCs w:val="18"/>
                <w:color w:val="auto"/>
              </w:rPr>
            </w:pPr>
          </w:p>
        </w:tc>
        <w:tc>
          <w:tcPr>
            <w:tcW w:w="3820" w:type="dxa"/>
            <w:vAlign w:val="bottom"/>
          </w:tcPr>
          <w:p>
            <w:pPr>
              <w:ind w:left="120"/>
              <w:spacing w:after="0" w:line="216" w:lineRule="exact"/>
              <w:rPr>
                <w:sz w:val="20"/>
                <w:szCs w:val="20"/>
                <w:color w:val="auto"/>
              </w:rPr>
            </w:pPr>
            <w:r>
              <w:rPr>
                <w:rFonts w:ascii="Arial" w:cs="Arial" w:eastAsia="Arial" w:hAnsi="Arial"/>
                <w:sz w:val="22"/>
                <w:szCs w:val="22"/>
                <w:color w:val="auto"/>
              </w:rPr>
              <w:t>Daniel J. Schuller</w:t>
            </w:r>
          </w:p>
        </w:tc>
        <w:tc>
          <w:tcPr>
            <w:tcW w:w="0" w:type="dxa"/>
            <w:vAlign w:val="bottom"/>
          </w:tcPr>
          <w:p>
            <w:pPr>
              <w:spacing w:after="0"/>
              <w:rPr>
                <w:sz w:val="1"/>
                <w:szCs w:val="1"/>
                <w:color w:val="auto"/>
              </w:rPr>
            </w:pP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120"/>
              <w:spacing w:after="0"/>
              <w:rPr>
                <w:sz w:val="20"/>
                <w:szCs w:val="20"/>
                <w:color w:val="auto"/>
              </w:rPr>
            </w:pPr>
            <w:r>
              <w:rPr>
                <w:rFonts w:ascii="Arial" w:cs="Arial" w:eastAsia="Arial" w:hAnsi="Arial"/>
                <w:sz w:val="22"/>
                <w:szCs w:val="22"/>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PNC BANK, NATIONAL ASSOCIATION,</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Agent and as a Bank</w:t>
      </w:r>
    </w:p>
    <w:p>
      <w:pPr>
        <w:spacing w:after="0" w:line="200" w:lineRule="exact"/>
        <w:rPr>
          <w:sz w:val="20"/>
          <w:szCs w:val="20"/>
          <w:color w:val="auto"/>
        </w:rPr>
      </w:pPr>
    </w:p>
    <w:p>
      <w:pPr>
        <w:spacing w:after="0" w:line="262" w:lineRule="exact"/>
        <w:rPr>
          <w:sz w:val="20"/>
          <w:szCs w:val="20"/>
          <w:color w:val="auto"/>
        </w:rPr>
      </w:pPr>
    </w:p>
    <w:tbl>
      <w:tblPr>
        <w:tblLayout w:type="fixed"/>
        <w:tblInd w:w="418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Pr>
          <w:p>
            <w:pPr>
              <w:ind w:left="120"/>
              <w:spacing w:after="0"/>
              <w:rPr>
                <w:sz w:val="20"/>
                <w:szCs w:val="20"/>
                <w:color w:val="auto"/>
              </w:rPr>
            </w:pPr>
            <w:r>
              <w:rPr>
                <w:rFonts w:ascii="Arial" w:cs="Arial" w:eastAsia="Arial" w:hAnsi="Arial"/>
                <w:sz w:val="22"/>
                <w:szCs w:val="22"/>
                <w:color w:val="auto"/>
              </w:rPr>
              <w:t>/s/ Domenic D’Ginto</w:t>
            </w:r>
          </w:p>
        </w:tc>
        <w:tc>
          <w:tcPr>
            <w:tcW w:w="0" w:type="dxa"/>
            <w:vAlign w:val="bottom"/>
          </w:tcPr>
          <w:p>
            <w:pPr>
              <w:spacing w:after="0"/>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20" w:type="dxa"/>
            <w:vAlign w:val="bottom"/>
            <w:vMerge w:val="continue"/>
          </w:tcPr>
          <w:p>
            <w:pPr>
              <w:spacing w:after="0"/>
              <w:rPr>
                <w:sz w:val="18"/>
                <w:szCs w:val="18"/>
                <w:color w:val="auto"/>
              </w:rPr>
            </w:pPr>
          </w:p>
        </w:tc>
        <w:tc>
          <w:tcPr>
            <w:tcW w:w="3820" w:type="dxa"/>
            <w:vAlign w:val="bottom"/>
          </w:tcPr>
          <w:p>
            <w:pPr>
              <w:ind w:left="120"/>
              <w:spacing w:after="0" w:line="216" w:lineRule="exact"/>
              <w:rPr>
                <w:sz w:val="20"/>
                <w:szCs w:val="20"/>
                <w:color w:val="auto"/>
              </w:rPr>
            </w:pPr>
            <w:r>
              <w:rPr>
                <w:rFonts w:ascii="Arial" w:cs="Arial" w:eastAsia="Arial" w:hAnsi="Arial"/>
                <w:sz w:val="22"/>
                <w:szCs w:val="22"/>
                <w:color w:val="auto"/>
              </w:rPr>
              <w:t>Domenic D’Ginto</w:t>
            </w:r>
          </w:p>
        </w:tc>
        <w:tc>
          <w:tcPr>
            <w:tcW w:w="0" w:type="dxa"/>
            <w:vAlign w:val="bottom"/>
          </w:tcPr>
          <w:p>
            <w:pPr>
              <w:spacing w:after="0"/>
              <w:rPr>
                <w:sz w:val="1"/>
                <w:szCs w:val="1"/>
                <w:color w:val="auto"/>
              </w:rPr>
            </w:pP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120"/>
              <w:spacing w:after="0"/>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CITIZENS BANK OF PENNSYLVANIA,</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 Bank</w:t>
      </w:r>
    </w:p>
    <w:p>
      <w:pPr>
        <w:spacing w:after="0" w:line="219" w:lineRule="exact"/>
        <w:rPr>
          <w:sz w:val="20"/>
          <w:szCs w:val="20"/>
          <w:color w:val="auto"/>
        </w:rPr>
      </w:pPr>
    </w:p>
    <w:tbl>
      <w:tblPr>
        <w:tblLayout w:type="fixed"/>
        <w:tblInd w:w="418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Pr>
          <w:p>
            <w:pPr>
              <w:ind w:left="120"/>
              <w:spacing w:after="0"/>
              <w:rPr>
                <w:sz w:val="20"/>
                <w:szCs w:val="20"/>
                <w:color w:val="auto"/>
              </w:rPr>
            </w:pPr>
            <w:r>
              <w:rPr>
                <w:rFonts w:ascii="Arial" w:cs="Arial" w:eastAsia="Arial" w:hAnsi="Arial"/>
                <w:sz w:val="22"/>
                <w:szCs w:val="22"/>
                <w:color w:val="auto"/>
              </w:rPr>
              <w:t>/s/ Hassan Shakeel</w:t>
            </w:r>
          </w:p>
        </w:tc>
        <w:tc>
          <w:tcPr>
            <w:tcW w:w="0" w:type="dxa"/>
            <w:vAlign w:val="bottom"/>
          </w:tcPr>
          <w:p>
            <w:pPr>
              <w:spacing w:after="0"/>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20" w:type="dxa"/>
            <w:vAlign w:val="bottom"/>
            <w:vMerge w:val="continue"/>
          </w:tcPr>
          <w:p>
            <w:pPr>
              <w:spacing w:after="0"/>
              <w:rPr>
                <w:sz w:val="18"/>
                <w:szCs w:val="18"/>
                <w:color w:val="auto"/>
              </w:rPr>
            </w:pPr>
          </w:p>
        </w:tc>
        <w:tc>
          <w:tcPr>
            <w:tcW w:w="3820" w:type="dxa"/>
            <w:vAlign w:val="bottom"/>
          </w:tcPr>
          <w:p>
            <w:pPr>
              <w:ind w:left="120"/>
              <w:spacing w:after="0" w:line="216" w:lineRule="exact"/>
              <w:rPr>
                <w:sz w:val="20"/>
                <w:szCs w:val="20"/>
                <w:color w:val="auto"/>
              </w:rPr>
            </w:pPr>
            <w:r>
              <w:rPr>
                <w:rFonts w:ascii="Arial" w:cs="Arial" w:eastAsia="Arial" w:hAnsi="Arial"/>
                <w:sz w:val="22"/>
                <w:szCs w:val="22"/>
                <w:color w:val="auto"/>
              </w:rPr>
              <w:t>Hassan Shakeel</w:t>
            </w:r>
          </w:p>
        </w:tc>
        <w:tc>
          <w:tcPr>
            <w:tcW w:w="0" w:type="dxa"/>
            <w:vAlign w:val="bottom"/>
          </w:tcPr>
          <w:p>
            <w:pPr>
              <w:spacing w:after="0"/>
              <w:rPr>
                <w:sz w:val="1"/>
                <w:szCs w:val="1"/>
                <w:color w:val="auto"/>
              </w:rPr>
            </w:pP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12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TD BANK, N.A., as a Bank</w:t>
      </w:r>
    </w:p>
    <w:p>
      <w:pPr>
        <w:spacing w:after="0" w:line="200" w:lineRule="exact"/>
        <w:rPr>
          <w:sz w:val="20"/>
          <w:szCs w:val="20"/>
          <w:color w:val="auto"/>
        </w:rPr>
      </w:pPr>
    </w:p>
    <w:p>
      <w:pPr>
        <w:spacing w:after="0" w:line="280" w:lineRule="exact"/>
        <w:rPr>
          <w:sz w:val="20"/>
          <w:szCs w:val="20"/>
          <w:color w:val="auto"/>
        </w:rPr>
      </w:pPr>
    </w:p>
    <w:tbl>
      <w:tblPr>
        <w:tblLayout w:type="fixed"/>
        <w:tblInd w:w="418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Pr>
          <w:p>
            <w:pPr>
              <w:ind w:left="120"/>
              <w:spacing w:after="0"/>
              <w:rPr>
                <w:sz w:val="20"/>
                <w:szCs w:val="20"/>
                <w:color w:val="auto"/>
              </w:rPr>
            </w:pPr>
            <w:r>
              <w:rPr>
                <w:rFonts w:ascii="Arial" w:cs="Arial" w:eastAsia="Arial" w:hAnsi="Arial"/>
                <w:sz w:val="22"/>
                <w:szCs w:val="22"/>
                <w:color w:val="auto"/>
              </w:rPr>
              <w:t>/s/ Jennifer L. Suspenski</w:t>
            </w:r>
          </w:p>
        </w:tc>
        <w:tc>
          <w:tcPr>
            <w:tcW w:w="0" w:type="dxa"/>
            <w:vAlign w:val="bottom"/>
          </w:tcPr>
          <w:p>
            <w:pPr>
              <w:spacing w:after="0"/>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20" w:type="dxa"/>
            <w:vAlign w:val="bottom"/>
            <w:vMerge w:val="continue"/>
          </w:tcPr>
          <w:p>
            <w:pPr>
              <w:spacing w:after="0"/>
              <w:rPr>
                <w:sz w:val="18"/>
                <w:szCs w:val="18"/>
                <w:color w:val="auto"/>
              </w:rPr>
            </w:pPr>
          </w:p>
        </w:tc>
        <w:tc>
          <w:tcPr>
            <w:tcW w:w="3820" w:type="dxa"/>
            <w:vAlign w:val="bottom"/>
          </w:tcPr>
          <w:p>
            <w:pPr>
              <w:ind w:left="120"/>
              <w:spacing w:after="0" w:line="216" w:lineRule="exact"/>
              <w:rPr>
                <w:sz w:val="20"/>
                <w:szCs w:val="20"/>
                <w:color w:val="auto"/>
              </w:rPr>
            </w:pPr>
            <w:r>
              <w:rPr>
                <w:rFonts w:ascii="Arial" w:cs="Arial" w:eastAsia="Arial" w:hAnsi="Arial"/>
                <w:sz w:val="22"/>
                <w:szCs w:val="22"/>
                <w:color w:val="auto"/>
              </w:rPr>
              <w:t>Jennifer L. Suspenski</w:t>
            </w:r>
          </w:p>
        </w:tc>
        <w:tc>
          <w:tcPr>
            <w:tcW w:w="0" w:type="dxa"/>
            <w:vAlign w:val="bottom"/>
          </w:tcPr>
          <w:p>
            <w:pPr>
              <w:spacing w:after="0"/>
              <w:rPr>
                <w:sz w:val="1"/>
                <w:szCs w:val="1"/>
                <w:color w:val="auto"/>
              </w:rPr>
            </w:pP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12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THE HUNTINGTON NATIONAL BANK,</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 Bank</w:t>
      </w: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820" w:type="dxa"/>
            <w:vAlign w:val="bottom"/>
          </w:tcPr>
          <w:p>
            <w:pPr>
              <w:ind w:left="4000"/>
              <w:spacing w:after="0"/>
              <w:rPr>
                <w:sz w:val="20"/>
                <w:szCs w:val="20"/>
                <w:color w:val="auto"/>
              </w:rPr>
            </w:pPr>
            <w:r>
              <w:rPr>
                <w:rFonts w:ascii="Arial" w:cs="Arial" w:eastAsia="Arial" w:hAnsi="Arial"/>
                <w:sz w:val="22"/>
                <w:szCs w:val="22"/>
                <w:color w:val="auto"/>
              </w:rPr>
              <w:t>By:</w:t>
            </w:r>
          </w:p>
        </w:tc>
        <w:tc>
          <w:tcPr>
            <w:tcW w:w="3820" w:type="dxa"/>
            <w:vAlign w:val="bottom"/>
          </w:tcPr>
          <w:p>
            <w:pPr>
              <w:ind w:left="120"/>
              <w:spacing w:after="0"/>
              <w:rPr>
                <w:sz w:val="20"/>
                <w:szCs w:val="20"/>
                <w:color w:val="auto"/>
              </w:rPr>
            </w:pPr>
            <w:r>
              <w:rPr>
                <w:rFonts w:ascii="Arial" w:cs="Arial" w:eastAsia="Arial" w:hAnsi="Arial"/>
                <w:sz w:val="22"/>
                <w:szCs w:val="22"/>
                <w:color w:val="auto"/>
              </w:rPr>
              <w:t>/s/ Marcel Fournier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820" w:type="dxa"/>
            <w:vAlign w:val="bottom"/>
            <w:vMerge w:val="restart"/>
          </w:tcPr>
          <w:p>
            <w:pPr>
              <w:ind w:left="4000"/>
              <w:spacing w:after="0"/>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820" w:type="dxa"/>
            <w:vAlign w:val="bottom"/>
            <w:vMerge w:val="continue"/>
          </w:tcPr>
          <w:p>
            <w:pPr>
              <w:spacing w:after="0"/>
              <w:rPr>
                <w:sz w:val="18"/>
                <w:szCs w:val="18"/>
                <w:color w:val="auto"/>
              </w:rPr>
            </w:pPr>
          </w:p>
        </w:tc>
        <w:tc>
          <w:tcPr>
            <w:tcW w:w="3820" w:type="dxa"/>
            <w:vAlign w:val="bottom"/>
          </w:tcPr>
          <w:p>
            <w:pPr>
              <w:ind w:left="120"/>
              <w:spacing w:after="0" w:line="216" w:lineRule="exact"/>
              <w:rPr>
                <w:sz w:val="20"/>
                <w:szCs w:val="20"/>
                <w:color w:val="auto"/>
              </w:rPr>
            </w:pPr>
            <w:r>
              <w:rPr>
                <w:rFonts w:ascii="Arial" w:cs="Arial" w:eastAsia="Arial" w:hAnsi="Arial"/>
                <w:sz w:val="22"/>
                <w:szCs w:val="22"/>
                <w:color w:val="auto"/>
              </w:rPr>
              <w:t>Marcel Fournier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820" w:type="dxa"/>
            <w:vAlign w:val="bottom"/>
          </w:tcPr>
          <w:p>
            <w:pPr>
              <w:ind w:left="4000"/>
              <w:spacing w:after="0"/>
              <w:rPr>
                <w:sz w:val="20"/>
                <w:szCs w:val="20"/>
                <w:color w:val="auto"/>
              </w:rPr>
            </w:pPr>
            <w:r>
              <w:rPr>
                <w:rFonts w:ascii="Arial" w:cs="Arial" w:eastAsia="Arial" w:hAnsi="Arial"/>
                <w:sz w:val="22"/>
                <w:szCs w:val="22"/>
                <w:color w:val="auto"/>
              </w:rPr>
              <w:t>Title:</w:t>
            </w:r>
          </w:p>
        </w:tc>
        <w:tc>
          <w:tcPr>
            <w:tcW w:w="3820" w:type="dxa"/>
            <w:vAlign w:val="bottom"/>
          </w:tcPr>
          <w:p>
            <w:pPr>
              <w:ind w:left="120"/>
              <w:spacing w:after="0"/>
              <w:rPr>
                <w:sz w:val="20"/>
                <w:szCs w:val="20"/>
                <w:color w:val="auto"/>
              </w:rPr>
            </w:pPr>
            <w:r>
              <w:rPr>
                <w:rFonts w:ascii="Arial" w:cs="Arial" w:eastAsia="Arial" w:hAnsi="Arial"/>
                <w:sz w:val="22"/>
                <w:szCs w:val="22"/>
                <w:color w:val="auto"/>
              </w:rPr>
              <w:t>Vice President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3"/>
        </w:trPr>
        <w:tc>
          <w:tcPr>
            <w:tcW w:w="48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-16510</wp:posOffset>
            </wp:positionV>
            <wp:extent cx="82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-25400</wp:posOffset>
            </wp:positionV>
            <wp:extent cx="889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27" w:name="page128"/>
    <w:bookmarkEnd w:id="127"/>
    <w:p>
      <w:pPr>
        <w:jc w:val="right"/>
        <w:ind w:right="199"/>
        <w:spacing w:after="0"/>
        <w:rPr>
          <w:sz w:val="20"/>
          <w:szCs w:val="20"/>
          <w:color w:val="auto"/>
        </w:rPr>
      </w:pPr>
      <w:r>
        <w:rPr>
          <w:rFonts w:ascii="Arial" w:cs="Arial" w:eastAsia="Arial" w:hAnsi="Arial"/>
          <w:sz w:val="22"/>
          <w:szCs w:val="22"/>
          <w:color w:val="auto"/>
        </w:rPr>
        <w:t>Exhibit 10.4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ESSENTIAL UTILITIES, INC.</w:t>
      </w:r>
    </w:p>
    <w:p>
      <w:pPr>
        <w:jc w:val="center"/>
        <w:ind w:right="19"/>
        <w:spacing w:after="0"/>
        <w:rPr>
          <w:sz w:val="20"/>
          <w:szCs w:val="20"/>
          <w:color w:val="auto"/>
        </w:rPr>
      </w:pPr>
      <w:r>
        <w:rPr>
          <w:rFonts w:ascii="Arial" w:cs="Arial" w:eastAsia="Arial" w:hAnsi="Arial"/>
          <w:sz w:val="20"/>
          <w:szCs w:val="20"/>
          <w:b w:val="1"/>
          <w:bCs w:val="1"/>
          <w:color w:val="auto"/>
        </w:rPr>
        <w:t>STOCK AWARD GRANT INSTRUMENT</w:t>
      </w:r>
    </w:p>
    <w:p>
      <w:pPr>
        <w:spacing w:after="0" w:line="213" w:lineRule="exact"/>
        <w:rPr>
          <w:sz w:val="20"/>
          <w:szCs w:val="20"/>
          <w:color w:val="auto"/>
        </w:rPr>
      </w:pPr>
    </w:p>
    <w:p>
      <w:pPr>
        <w:ind w:left="180" w:right="519" w:firstLine="648"/>
        <w:spacing w:after="0" w:line="250" w:lineRule="auto"/>
        <w:rPr>
          <w:sz w:val="20"/>
          <w:szCs w:val="20"/>
          <w:color w:val="auto"/>
        </w:rPr>
      </w:pPr>
      <w:r>
        <w:rPr>
          <w:rFonts w:ascii="Arial" w:cs="Arial" w:eastAsia="Arial" w:hAnsi="Arial"/>
          <w:sz w:val="20"/>
          <w:szCs w:val="20"/>
          <w:color w:val="auto"/>
        </w:rPr>
        <w:t>This STOCK AWARD GRANT INSTRUMENT (this “Instrument”) dated as of March 16, 2020 (the “Date of Grant”), is made by Essential Utilities, Inc., a Pennsylvania corporation (the “Company”), to __________ (the “Grantee”).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Company’s Amended and Restated Omnibus Equity Compensation Plan (the “Plan”) provides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for the issuance of equity awards to Employees of the Company, and the Grantee is an eligible</w:t>
      </w:r>
    </w:p>
    <w:p>
      <w:pPr>
        <w:ind w:left="180"/>
        <w:spacing w:after="0"/>
        <w:rPr>
          <w:sz w:val="20"/>
          <w:szCs w:val="20"/>
          <w:color w:val="auto"/>
        </w:rPr>
      </w:pPr>
      <w:r>
        <w:rPr>
          <w:rFonts w:ascii="Arial" w:cs="Arial" w:eastAsia="Arial" w:hAnsi="Arial"/>
          <w:sz w:val="18"/>
          <w:szCs w:val="18"/>
          <w:color w:val="auto"/>
        </w:rPr>
        <w:t>Employee under the Plan. All defined terms used in this Instrument without definition, have the meanings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set forth in the Plan.</w:t>
      </w:r>
    </w:p>
    <w:p>
      <w:pPr>
        <w:spacing w:after="0" w:line="213" w:lineRule="exact"/>
        <w:rPr>
          <w:sz w:val="20"/>
          <w:szCs w:val="20"/>
          <w:color w:val="auto"/>
        </w:rPr>
      </w:pPr>
    </w:p>
    <w:p>
      <w:pPr>
        <w:ind w:left="180" w:right="659" w:firstLine="648"/>
        <w:spacing w:after="0" w:line="246" w:lineRule="auto"/>
        <w:rPr>
          <w:sz w:val="20"/>
          <w:szCs w:val="20"/>
          <w:color w:val="auto"/>
        </w:rPr>
      </w:pPr>
      <w:r>
        <w:rPr>
          <w:rFonts w:ascii="Arial" w:cs="Arial" w:eastAsia="Arial" w:hAnsi="Arial"/>
          <w:sz w:val="20"/>
          <w:szCs w:val="20"/>
          <w:color w:val="auto"/>
        </w:rPr>
        <w:t>The Board of Directors has determined that it is in the best interests of the Company and its stockholders to grant the Stock Award provided for herein to the Grantee pursuant to the terms set forth herein as a bonus for the Grantee’s participation in the successful closing of the Peoples Natural Gas acquisition.</w:t>
      </w:r>
    </w:p>
    <w:p>
      <w:pPr>
        <w:spacing w:after="0" w:line="199" w:lineRule="exact"/>
        <w:rPr>
          <w:sz w:val="20"/>
          <w:szCs w:val="20"/>
          <w:color w:val="auto"/>
        </w:rPr>
      </w:pPr>
    </w:p>
    <w:p>
      <w:pPr>
        <w:ind w:left="180" w:right="559"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hereto agree as follows:</w:t>
      </w:r>
    </w:p>
    <w:p>
      <w:pPr>
        <w:spacing w:after="0" w:line="183" w:lineRule="exact"/>
        <w:rPr>
          <w:sz w:val="20"/>
          <w:szCs w:val="20"/>
          <w:color w:val="auto"/>
        </w:rPr>
      </w:pPr>
    </w:p>
    <w:p>
      <w:pPr>
        <w:ind w:left="540" w:hanging="356"/>
        <w:spacing w:after="0"/>
        <w:tabs>
          <w:tab w:leader="none" w:pos="54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Award of Stock</w:t>
      </w:r>
      <w:r>
        <w:rPr>
          <w:rFonts w:ascii="Arial" w:cs="Arial" w:eastAsia="Arial" w:hAnsi="Arial"/>
          <w:sz w:val="20"/>
          <w:szCs w:val="20"/>
          <w:color w:val="auto"/>
        </w:rPr>
        <w:t xml:space="preserve"> .</w:t>
      </w:r>
    </w:p>
    <w:p>
      <w:pPr>
        <w:spacing w:after="0" w:line="229" w:lineRule="exact"/>
        <w:rPr>
          <w:rFonts w:ascii="Arial" w:cs="Arial" w:eastAsia="Arial" w:hAnsi="Arial"/>
          <w:sz w:val="20"/>
          <w:szCs w:val="20"/>
          <w:color w:val="auto"/>
        </w:rPr>
      </w:pPr>
    </w:p>
    <w:p>
      <w:pPr>
        <w:ind w:left="180" w:right="359" w:firstLine="652"/>
        <w:spacing w:after="0" w:line="263" w:lineRule="auto"/>
        <w:tabs>
          <w:tab w:leader="none" w:pos="1245"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Company hereby grants to the Grantee Two Thousand Nine Hundred and Eighty-eight (2,988) shares of Stock (“the Award”), representing the right to receive an equal number of shares of common stock of the Company (the “Shares”), upon the lapse of forfeiture restrictions (“vesting”) set forth below, and subject to the terms and conditions set forth in this Instrument.</w:t>
      </w:r>
    </w:p>
    <w:p>
      <w:pPr>
        <w:spacing w:after="0" w:line="189" w:lineRule="exact"/>
        <w:rPr>
          <w:rFonts w:ascii="Arial" w:cs="Arial" w:eastAsia="Arial" w:hAnsi="Arial"/>
          <w:sz w:val="19"/>
          <w:szCs w:val="19"/>
          <w:color w:val="auto"/>
        </w:rPr>
      </w:pPr>
    </w:p>
    <w:p>
      <w:pPr>
        <w:ind w:left="180" w:right="359" w:firstLine="652"/>
        <w:spacing w:after="0" w:line="316" w:lineRule="auto"/>
        <w:tabs>
          <w:tab w:leader="none" w:pos="125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Award in made under Section 7 of the Plan, and is subject to the terms and conditions set forth in the Plan. A copy of the Plan has been made available to the Grantee and made a part hereof.</w:t>
      </w:r>
    </w:p>
    <w:p>
      <w:pPr>
        <w:spacing w:after="0" w:line="143" w:lineRule="exact"/>
        <w:rPr>
          <w:rFonts w:ascii="Arial" w:cs="Arial" w:eastAsia="Arial" w:hAnsi="Arial"/>
          <w:sz w:val="18"/>
          <w:szCs w:val="18"/>
          <w:color w:val="auto"/>
        </w:rPr>
      </w:pPr>
    </w:p>
    <w:p>
      <w:pPr>
        <w:ind w:left="180" w:right="279" w:firstLine="652"/>
        <w:spacing w:after="0" w:line="260" w:lineRule="auto"/>
        <w:tabs>
          <w:tab w:leader="none" w:pos="1245" w:val="left"/>
        </w:tabs>
        <w:numPr>
          <w:ilvl w:val="1"/>
          <w:numId w:val="73"/>
        </w:numPr>
        <w:rPr>
          <w:rFonts w:ascii="Arial" w:cs="Arial" w:eastAsia="Arial" w:hAnsi="Arial"/>
          <w:sz w:val="20"/>
          <w:szCs w:val="20"/>
          <w:color w:val="auto"/>
        </w:rPr>
      </w:pPr>
      <w:r>
        <w:rPr>
          <w:rFonts w:ascii="Arial" w:cs="Arial" w:eastAsia="Arial" w:hAnsi="Arial"/>
          <w:sz w:val="20"/>
          <w:szCs w:val="20"/>
          <w:color w:val="auto"/>
        </w:rPr>
        <w:t>Prior to the end of the Restriction Period the Grantee shall be entitled to vote the Shares and to receive dividends declared and/or paid during the Restriction Period.</w:t>
      </w:r>
    </w:p>
    <w:p>
      <w:pPr>
        <w:spacing w:after="0" w:line="190" w:lineRule="exact"/>
        <w:rPr>
          <w:rFonts w:ascii="Arial" w:cs="Arial" w:eastAsia="Arial" w:hAnsi="Arial"/>
          <w:sz w:val="20"/>
          <w:szCs w:val="20"/>
          <w:color w:val="auto"/>
        </w:rPr>
      </w:pPr>
    </w:p>
    <w:p>
      <w:pPr>
        <w:ind w:left="180" w:right="199" w:firstLine="4"/>
        <w:spacing w:after="0" w:line="263" w:lineRule="auto"/>
        <w:tabs>
          <w:tab w:leader="none" w:pos="52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Restriction Period</w:t>
      </w:r>
      <w:r>
        <w:rPr>
          <w:rFonts w:ascii="Arial" w:cs="Arial" w:eastAsia="Arial" w:hAnsi="Arial"/>
          <w:sz w:val="19"/>
          <w:szCs w:val="19"/>
          <w:color w:val="auto"/>
        </w:rPr>
        <w:t>. Except as otherwise provided in Section 3 hereof or in Section 7(c) of the Plan, the Restriction Period is one (1) year after the Date of Grant. The Award is subject to forfeiture if the Grantee does not continue to provide Continuous Service to the Company or any subsidiary during the Restriction Period. At the end of the Restriction Period, the Shares shall vest and be earned.</w:t>
      </w:r>
    </w:p>
    <w:p>
      <w:pPr>
        <w:spacing w:after="0" w:line="189" w:lineRule="exact"/>
        <w:rPr>
          <w:rFonts w:ascii="Arial" w:cs="Arial" w:eastAsia="Arial" w:hAnsi="Arial"/>
          <w:sz w:val="19"/>
          <w:szCs w:val="19"/>
          <w:color w:val="auto"/>
        </w:rPr>
      </w:pPr>
    </w:p>
    <w:p>
      <w:pPr>
        <w:ind w:left="180" w:right="219" w:firstLine="4"/>
        <w:spacing w:after="0" w:line="260" w:lineRule="auto"/>
        <w:tabs>
          <w:tab w:leader="none" w:pos="526"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The provisions of Section 15 of the Plan shall apply to the Shares granted under this Instrument.</w:t>
      </w:r>
    </w:p>
    <w:p>
      <w:pPr>
        <w:spacing w:after="0" w:line="190" w:lineRule="exact"/>
        <w:rPr>
          <w:rFonts w:ascii="Arial" w:cs="Arial" w:eastAsia="Arial" w:hAnsi="Arial"/>
          <w:sz w:val="20"/>
          <w:szCs w:val="20"/>
          <w:color w:val="auto"/>
        </w:rPr>
      </w:pPr>
    </w:p>
    <w:p>
      <w:pPr>
        <w:ind w:left="180" w:right="299" w:firstLine="4"/>
        <w:spacing w:after="0" w:line="273" w:lineRule="auto"/>
        <w:tabs>
          <w:tab w:leader="none" w:pos="52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Promptly following the end of the Restriction Period, and subject to the terms and conditions of the Plan, the Company will issue a stock certificate for the Shares. Such issuance shall take place as soon as practicable following the end of the Restriction Period (but in no event later than two and one-half months following the end of the calendar year in which the Restriction Period ends). The certificates representing the Shares shall be subject to such stop transfer orders and other restrictions as the Committee may determine is required by the rules, regulations, and other requirements of the Securities and Exchange Commission, any stock exchange upon which such Shares are listed, any applicable federal or state laws and the Company’s Articles of Incorporation, as amended,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117475</wp:posOffset>
            </wp:positionV>
            <wp:extent cx="550354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8" w:name="page129"/>
    <w:bookmarkEnd w:id="128"/>
    <w:p>
      <w:pPr>
        <w:ind w:left="180" w:right="579"/>
        <w:spacing w:after="0" w:line="250" w:lineRule="auto"/>
        <w:rPr>
          <w:sz w:val="20"/>
          <w:szCs w:val="20"/>
          <w:color w:val="auto"/>
        </w:rPr>
      </w:pPr>
      <w:r>
        <w:rPr>
          <w:rFonts w:ascii="Arial" w:cs="Arial" w:eastAsia="Arial" w:hAnsi="Arial"/>
          <w:sz w:val="20"/>
          <w:szCs w:val="20"/>
          <w:color w:val="auto"/>
        </w:rPr>
        <w:t>and the Committee may cause a legend or legends to be put on any such certificates to make appropriate reference to such restrictions. If no such stop transfer orders or other restrictions are determined to be necessary, the Shares can be issued in book-entry form.</w:t>
      </w:r>
    </w:p>
    <w:p>
      <w:pPr>
        <w:spacing w:after="0" w:line="200" w:lineRule="exact"/>
        <w:rPr>
          <w:sz w:val="20"/>
          <w:szCs w:val="20"/>
          <w:color w:val="auto"/>
        </w:rPr>
      </w:pPr>
    </w:p>
    <w:p>
      <w:pPr>
        <w:ind w:left="180" w:right="419" w:firstLine="4"/>
        <w:spacing w:after="0" w:line="250" w:lineRule="auto"/>
        <w:tabs>
          <w:tab w:leader="none" w:pos="52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Right to Continued Employment</w:t>
      </w:r>
      <w:r>
        <w:rPr>
          <w:rFonts w:ascii="Arial" w:cs="Arial" w:eastAsia="Arial" w:hAnsi="Arial"/>
          <w:sz w:val="20"/>
          <w:szCs w:val="20"/>
          <w:color w:val="auto"/>
        </w:rPr>
        <w:t>. Neither the Plan nor this Instrument shall confer on the Grantee any right to be retained, in any position, as an Employee of, or an advisor, consultant or Director of the Company.</w:t>
      </w:r>
    </w:p>
    <w:p>
      <w:pPr>
        <w:spacing w:after="0" w:line="199" w:lineRule="exact"/>
        <w:rPr>
          <w:rFonts w:ascii="Arial" w:cs="Arial" w:eastAsia="Arial" w:hAnsi="Arial"/>
          <w:sz w:val="20"/>
          <w:szCs w:val="20"/>
          <w:color w:val="auto"/>
        </w:rPr>
      </w:pPr>
    </w:p>
    <w:p>
      <w:pPr>
        <w:ind w:left="540" w:hanging="356"/>
        <w:spacing w:after="0"/>
        <w:tabs>
          <w:tab w:leader="none" w:pos="54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80" w:right="299" w:firstLine="509"/>
        <w:spacing w:after="0" w:line="263" w:lineRule="auto"/>
        <w:tabs>
          <w:tab w:leader="none" w:pos="1102"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Shares are not transferable and may not be sold, assigned, transferred, disposed of, pledged or otherwise encumbered by the Grantee, other than by will or the laws of descent and distribution. Upon such transfer (by will or the laws of descent and distribution), such transferee in interest shall take the rights granted herein subject to all the terms and conditions hereof.</w:t>
      </w:r>
    </w:p>
    <w:p>
      <w:pPr>
        <w:spacing w:after="0" w:line="189" w:lineRule="exact"/>
        <w:rPr>
          <w:rFonts w:ascii="Arial" w:cs="Arial" w:eastAsia="Arial" w:hAnsi="Arial"/>
          <w:sz w:val="19"/>
          <w:szCs w:val="19"/>
          <w:color w:val="auto"/>
        </w:rPr>
      </w:pPr>
    </w:p>
    <w:p>
      <w:pPr>
        <w:ind w:left="180" w:right="299" w:firstLine="509"/>
        <w:spacing w:after="0" w:line="342" w:lineRule="auto"/>
        <w:tabs>
          <w:tab w:leader="none" w:pos="1113" w:val="left"/>
        </w:tabs>
        <w:numPr>
          <w:ilvl w:val="1"/>
          <w:numId w:val="74"/>
        </w:numPr>
        <w:rPr>
          <w:rFonts w:ascii="Arial" w:cs="Arial" w:eastAsia="Arial" w:hAnsi="Arial"/>
          <w:sz w:val="16"/>
          <w:szCs w:val="16"/>
          <w:color w:val="auto"/>
        </w:rPr>
      </w:pPr>
      <w:r>
        <w:rPr>
          <w:rFonts w:ascii="Arial" w:cs="Arial" w:eastAsia="Arial" w:hAnsi="Arial"/>
          <w:sz w:val="16"/>
          <w:szCs w:val="16"/>
          <w:color w:val="auto"/>
        </w:rPr>
        <w:t>Subject to Section 6(a) hereof, in order to comply with any applicable securities laws, the Grantee agrees that the Shares issued to the Grantee shall only be sold by the Grantee following registration of such Shares under the Securities Act of 1933, as amended, or pursuant to an exemption therefrom.</w:t>
      </w:r>
    </w:p>
    <w:p>
      <w:pPr>
        <w:spacing w:after="0" w:line="131" w:lineRule="exact"/>
        <w:rPr>
          <w:rFonts w:ascii="Arial" w:cs="Arial" w:eastAsia="Arial" w:hAnsi="Arial"/>
          <w:sz w:val="16"/>
          <w:szCs w:val="16"/>
          <w:color w:val="auto"/>
        </w:rPr>
      </w:pPr>
    </w:p>
    <w:p>
      <w:pPr>
        <w:ind w:left="180" w:right="339" w:firstLine="4"/>
        <w:spacing w:after="0" w:line="250" w:lineRule="auto"/>
        <w:tabs>
          <w:tab w:leader="none" w:pos="52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Grantee acknowledges that the Grantee shall be responsible for all taxes that arise at the time of vesting. The Committee has determined that this Award is eligible under Section 13(b) of the Plan, regarding the withholding of shares to satisfy tax obligations.</w:t>
      </w:r>
    </w:p>
    <w:p>
      <w:pPr>
        <w:spacing w:after="0" w:line="199" w:lineRule="exact"/>
        <w:rPr>
          <w:rFonts w:ascii="Arial" w:cs="Arial" w:eastAsia="Arial" w:hAnsi="Arial"/>
          <w:sz w:val="20"/>
          <w:szCs w:val="20"/>
          <w:color w:val="auto"/>
        </w:rPr>
      </w:pPr>
    </w:p>
    <w:p>
      <w:pPr>
        <w:ind w:left="180" w:right="239" w:firstLine="4"/>
        <w:spacing w:after="0" w:line="287" w:lineRule="auto"/>
        <w:tabs>
          <w:tab w:leader="none" w:pos="52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Instrument shall be governed by and construed in accordance with the laws of the Commonwealth of Pennsylvania, without regard to the conflicts of law provisions thereof.</w:t>
      </w:r>
    </w:p>
    <w:p>
      <w:pPr>
        <w:spacing w:after="0" w:line="165" w:lineRule="exact"/>
        <w:rPr>
          <w:rFonts w:ascii="Arial" w:cs="Arial" w:eastAsia="Arial" w:hAnsi="Arial"/>
          <w:sz w:val="19"/>
          <w:szCs w:val="19"/>
          <w:color w:val="auto"/>
        </w:rPr>
      </w:pPr>
    </w:p>
    <w:p>
      <w:pPr>
        <w:ind w:left="180" w:right="699" w:firstLine="4"/>
        <w:spacing w:after="0" w:line="260" w:lineRule="auto"/>
        <w:tabs>
          <w:tab w:leader="none" w:pos="52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This Instrument may be amended or modified as contemplated by Section 17 of the Plan.</w:t>
      </w:r>
    </w:p>
    <w:p>
      <w:pPr>
        <w:spacing w:after="0" w:line="190" w:lineRule="exact"/>
        <w:rPr>
          <w:rFonts w:ascii="Arial" w:cs="Arial" w:eastAsia="Arial" w:hAnsi="Arial"/>
          <w:sz w:val="20"/>
          <w:szCs w:val="20"/>
          <w:color w:val="auto"/>
        </w:rPr>
      </w:pPr>
    </w:p>
    <w:p>
      <w:pPr>
        <w:ind w:left="180" w:right="259" w:firstLine="4"/>
        <w:spacing w:after="0" w:line="257" w:lineRule="auto"/>
        <w:tabs>
          <w:tab w:leader="none" w:pos="62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This Instrument shall at all times be interpreted in accordance with the terms and conditions of the Plan as if set forth herein. The Committee shall have sole and complete discretion under this Instrument with respect to all matters reserved to it by the Plan and decisions of the Committee with respect thereto and this Instrument shall be final and binding upon the Grantee and the Company. In the event of any conflict between the terms and conditions of this Instrument and the Plan, the provisions of this Instrument shall control. The Committee has the authority and discretion to determine any questions which arise in connection with the award of the Shares hereunder.</w:t>
      </w:r>
    </w:p>
    <w:p>
      <w:pPr>
        <w:spacing w:after="0" w:line="198" w:lineRule="exact"/>
        <w:rPr>
          <w:rFonts w:ascii="Arial" w:cs="Arial" w:eastAsia="Arial" w:hAnsi="Arial"/>
          <w:sz w:val="19"/>
          <w:szCs w:val="19"/>
          <w:color w:val="auto"/>
        </w:rPr>
      </w:pPr>
    </w:p>
    <w:p>
      <w:pPr>
        <w:ind w:left="180" w:right="939" w:firstLine="4"/>
        <w:spacing w:after="0" w:line="260" w:lineRule="auto"/>
        <w:tabs>
          <w:tab w:leader="none" w:pos="61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It is the intention of the Company and Grantee that this Instrument not result in an unfavorable tax consequences to Grantee under Code Section</w:t>
      </w:r>
    </w:p>
    <w:p>
      <w:pPr>
        <w:spacing w:after="0" w:line="1" w:lineRule="exact"/>
        <w:rPr>
          <w:rFonts w:ascii="Arial" w:cs="Arial" w:eastAsia="Arial" w:hAnsi="Arial"/>
          <w:sz w:val="19"/>
          <w:szCs w:val="19"/>
          <w:color w:val="auto"/>
        </w:rPr>
      </w:pPr>
    </w:p>
    <w:p>
      <w:pPr>
        <w:ind w:left="180" w:right="239"/>
        <w:spacing w:after="0" w:line="272" w:lineRule="auto"/>
        <w:rPr>
          <w:rFonts w:ascii="Arial" w:cs="Arial" w:eastAsia="Arial" w:hAnsi="Arial"/>
          <w:sz w:val="19"/>
          <w:szCs w:val="19"/>
          <w:color w:val="auto"/>
        </w:rPr>
      </w:pPr>
      <w:r>
        <w:rPr>
          <w:rFonts w:ascii="Arial" w:cs="Arial" w:eastAsia="Arial" w:hAnsi="Arial"/>
          <w:sz w:val="18"/>
          <w:szCs w:val="18"/>
          <w:color w:val="auto"/>
        </w:rPr>
        <w:t>409A. Accordingly, Grantee consents to any amendment of this Instrument as the Company may reasonably make in furtherance of such intention, and the Company shall make available to the Grantee a copy of such amendment. Any such amendments shall be made in a manner that preserves to the maximum extent possible the intended benefits to Grantee. This paragraph does not create an obligation on the part of Company to modify this Instrument and does not guarantee that the amounts or benefits owed under the Instrument will not be subject to interest and penalties under Code Section 409A.</w:t>
      </w:r>
    </w:p>
    <w:p>
      <w:pPr>
        <w:spacing w:after="0" w:line="183" w:lineRule="exact"/>
        <w:rPr>
          <w:rFonts w:ascii="Arial" w:cs="Arial" w:eastAsia="Arial" w:hAnsi="Arial"/>
          <w:sz w:val="19"/>
          <w:szCs w:val="19"/>
          <w:color w:val="auto"/>
        </w:rPr>
      </w:pPr>
    </w:p>
    <w:p>
      <w:pPr>
        <w:ind w:left="180" w:right="379" w:firstLine="4"/>
        <w:spacing w:after="0" w:line="328" w:lineRule="auto"/>
        <w:tabs>
          <w:tab w:leader="none" w:pos="62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Shares to the extent the Company determines it is necessary or advisable in order to comply with local law or facilitate the administration of the Award, and to require the Grantee to sign any additional agreements or undertakings that may be necessary to accomplish the foregoing. The Grantee agrees, upon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78740</wp:posOffset>
            </wp:positionV>
            <wp:extent cx="550354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p>
      <w:pPr>
        <w:ind w:left="180" w:right="599"/>
        <w:spacing w:after="0" w:line="291" w:lineRule="auto"/>
        <w:rPr>
          <w:sz w:val="20"/>
          <w:szCs w:val="20"/>
          <w:color w:val="auto"/>
        </w:rPr>
      </w:pPr>
      <w:r>
        <w:rPr>
          <w:rFonts w:ascii="Arial" w:cs="Arial" w:eastAsia="Arial" w:hAnsi="Arial"/>
          <w:sz w:val="18"/>
          <w:szCs w:val="18"/>
          <w:color w:val="auto"/>
        </w:rPr>
        <w:t>demand of the Company or the Committee, to do all acts and execute, deliver and perform all additional documents, instruments and agreements which may be reasonably required by the Company or the Committee, as the case may be, to implement the provisions and purposes of this Instrument.</w:t>
      </w:r>
    </w:p>
    <w:p>
      <w:pPr>
        <w:spacing w:after="0" w:line="166" w:lineRule="exact"/>
        <w:rPr>
          <w:sz w:val="20"/>
          <w:szCs w:val="20"/>
          <w:color w:val="auto"/>
        </w:rPr>
      </w:pPr>
    </w:p>
    <w:p>
      <w:pPr>
        <w:ind w:left="180" w:right="299" w:firstLine="4"/>
        <w:spacing w:after="0" w:line="250" w:lineRule="auto"/>
        <w:tabs>
          <w:tab w:leader="none" w:pos="625"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Instrument shall not affect the validity or enforceability of any other provision of this Instrument, and each other provision of the Instrument shall be severable and enforceable to the extent permitted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78740</wp:posOffset>
            </wp:positionV>
            <wp:extent cx="550354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0" w:name="page131"/>
    <w:bookmarkEnd w:id="130"/>
    <w:p>
      <w:pPr>
        <w:ind w:left="8904"/>
        <w:spacing w:after="0"/>
        <w:rPr>
          <w:sz w:val="20"/>
          <w:szCs w:val="20"/>
          <w:color w:val="auto"/>
        </w:rPr>
      </w:pPr>
      <w:r>
        <w:rPr>
          <w:rFonts w:ascii="Arial" w:cs="Arial" w:eastAsia="Arial" w:hAnsi="Arial"/>
          <w:sz w:val="19"/>
          <w:szCs w:val="19"/>
          <w:color w:val="auto"/>
        </w:rPr>
        <w:t>Exhibit 31.1</w:t>
      </w:r>
    </w:p>
    <w:p>
      <w:pPr>
        <w:spacing w:after="0" w:line="133" w:lineRule="exact"/>
        <w:rPr>
          <w:sz w:val="20"/>
          <w:szCs w:val="20"/>
          <w:color w:val="auto"/>
        </w:rPr>
      </w:pPr>
    </w:p>
    <w:p>
      <w:pPr>
        <w:ind w:left="12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7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20" w:hanging="324"/>
        <w:spacing w:after="0" w:line="197" w:lineRule="auto"/>
        <w:tabs>
          <w:tab w:leader="none" w:pos="324" w:val="left"/>
        </w:tabs>
        <w:numPr>
          <w:ilvl w:val="0"/>
          <w:numId w:val="7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80" w:hanging="324"/>
        <w:spacing w:after="0" w:line="197" w:lineRule="auto"/>
        <w:tabs>
          <w:tab w:leader="none" w:pos="324" w:val="left"/>
        </w:tabs>
        <w:numPr>
          <w:ilvl w:val="0"/>
          <w:numId w:val="7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00" w:hanging="324"/>
        <w:spacing w:after="0" w:line="207" w:lineRule="auto"/>
        <w:tabs>
          <w:tab w:leader="none" w:pos="324"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hanging="320"/>
        <w:spacing w:after="0" w:line="197" w:lineRule="auto"/>
        <w:tabs>
          <w:tab w:leader="none" w:pos="644" w:val="left"/>
        </w:tabs>
        <w:numPr>
          <w:ilvl w:val="1"/>
          <w:numId w:val="7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60" w:hanging="320"/>
        <w:spacing w:after="0" w:line="197" w:lineRule="auto"/>
        <w:tabs>
          <w:tab w:leader="none" w:pos="644" w:val="left"/>
        </w:tabs>
        <w:numPr>
          <w:ilvl w:val="1"/>
          <w:numId w:val="7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00" w:hanging="320"/>
        <w:spacing w:after="0" w:line="197" w:lineRule="auto"/>
        <w:tabs>
          <w:tab w:leader="none" w:pos="644" w:val="left"/>
        </w:tabs>
        <w:numPr>
          <w:ilvl w:val="1"/>
          <w:numId w:val="7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40" w:hanging="320"/>
        <w:spacing w:after="0" w:line="197" w:lineRule="auto"/>
        <w:tabs>
          <w:tab w:leader="none" w:pos="644" w:val="left"/>
        </w:tabs>
        <w:numPr>
          <w:ilvl w:val="1"/>
          <w:numId w:val="7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40" w:hanging="324"/>
        <w:spacing w:after="0" w:line="197" w:lineRule="auto"/>
        <w:tabs>
          <w:tab w:leader="none" w:pos="324"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00" w:hanging="320"/>
        <w:spacing w:after="0" w:line="197" w:lineRule="auto"/>
        <w:tabs>
          <w:tab w:leader="none" w:pos="644" w:val="left"/>
        </w:tabs>
        <w:numPr>
          <w:ilvl w:val="1"/>
          <w:numId w:val="7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80" w:hanging="320"/>
        <w:spacing w:after="0" w:line="220" w:lineRule="auto"/>
        <w:tabs>
          <w:tab w:leader="none" w:pos="644"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61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632650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24"/>
          </w:cols>
          <w:pgMar w:left="976" w:top="81"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7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40" w:hanging="324"/>
        <w:spacing w:after="0" w:line="197" w:lineRule="auto"/>
        <w:tabs>
          <w:tab w:leader="none" w:pos="324" w:val="left"/>
        </w:tabs>
        <w:numPr>
          <w:ilvl w:val="0"/>
          <w:numId w:val="7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200" w:hanging="324"/>
        <w:spacing w:after="0" w:line="197" w:lineRule="auto"/>
        <w:tabs>
          <w:tab w:leader="none" w:pos="324" w:val="left"/>
        </w:tabs>
        <w:numPr>
          <w:ilvl w:val="0"/>
          <w:numId w:val="7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20" w:hanging="324"/>
        <w:spacing w:after="0" w:line="207" w:lineRule="auto"/>
        <w:tabs>
          <w:tab w:leader="none" w:pos="32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 w:hanging="320"/>
        <w:spacing w:after="0" w:line="197" w:lineRule="auto"/>
        <w:tabs>
          <w:tab w:leader="none" w:pos="644" w:val="left"/>
        </w:tabs>
        <w:numPr>
          <w:ilvl w:val="1"/>
          <w:numId w:val="7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80" w:hanging="320"/>
        <w:spacing w:after="0" w:line="197" w:lineRule="auto"/>
        <w:tabs>
          <w:tab w:leader="none" w:pos="644" w:val="left"/>
        </w:tabs>
        <w:numPr>
          <w:ilvl w:val="1"/>
          <w:numId w:val="7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20" w:hanging="320"/>
        <w:spacing w:after="0" w:line="197" w:lineRule="auto"/>
        <w:tabs>
          <w:tab w:leader="none" w:pos="644" w:val="left"/>
        </w:tabs>
        <w:numPr>
          <w:ilvl w:val="1"/>
          <w:numId w:val="7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60" w:hanging="320"/>
        <w:spacing w:after="0" w:line="197" w:lineRule="auto"/>
        <w:tabs>
          <w:tab w:leader="none" w:pos="644" w:val="left"/>
        </w:tabs>
        <w:numPr>
          <w:ilvl w:val="1"/>
          <w:numId w:val="7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60" w:hanging="324"/>
        <w:spacing w:after="0" w:line="197" w:lineRule="auto"/>
        <w:tabs>
          <w:tab w:leader="none" w:pos="324"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20" w:hanging="320"/>
        <w:spacing w:after="0" w:line="197" w:lineRule="auto"/>
        <w:tabs>
          <w:tab w:leader="none" w:pos="644" w:val="left"/>
        </w:tabs>
        <w:numPr>
          <w:ilvl w:val="1"/>
          <w:numId w:val="7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100" w:hanging="320"/>
        <w:spacing w:after="0" w:line="220" w:lineRule="auto"/>
        <w:tabs>
          <w:tab w:leader="none" w:pos="644"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089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32650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jc w:val="both"/>
        <w:ind w:left="4" w:right="40"/>
        <w:spacing w:after="0" w:line="184" w:lineRule="auto"/>
        <w:rPr>
          <w:sz w:val="20"/>
          <w:szCs w:val="20"/>
          <w:color w:val="auto"/>
        </w:rPr>
      </w:pPr>
      <w:r>
        <w:rPr>
          <w:rFonts w:ascii="Arial" w:cs="Arial" w:eastAsia="Arial" w:hAnsi="Arial"/>
          <w:sz w:val="19"/>
          <w:szCs w:val="19"/>
          <w:color w:val="auto"/>
        </w:rPr>
        <w:t>In connection with the Quarterly Report on Form 10-Q for the period ended March 31, 2020 of Essential Utilities, Inc. (the “Company”) as filed with the Securities and Exchange Commission on the date hereof (the “Report”), I, Christopher H. Franklin, President and Chief Executive Officer of the Company, certify, pursuant to 18 U.S.C.</w:t>
      </w:r>
    </w:p>
    <w:p>
      <w:pPr>
        <w:spacing w:after="0" w:line="1" w:lineRule="exact"/>
        <w:rPr>
          <w:sz w:val="20"/>
          <w:szCs w:val="20"/>
          <w:color w:val="auto"/>
        </w:rPr>
      </w:pPr>
    </w:p>
    <w:p>
      <w:pPr>
        <w:ind w:left="4"/>
        <w:spacing w:after="0"/>
        <w:rPr>
          <w:sz w:val="20"/>
          <w:szCs w:val="20"/>
          <w:color w:val="auto"/>
        </w:rPr>
      </w:pPr>
      <w:r>
        <w:rPr>
          <w:rFonts w:ascii="Arial" w:cs="Arial" w:eastAsia="Arial" w:hAnsi="Arial"/>
          <w:sz w:val="19"/>
          <w:szCs w:val="19"/>
          <w:color w:val="auto"/>
        </w:rPr>
        <w:t>Section 1350, as adopted pursuant to Section 906 of the Sarbanes-Oxley Act of 2002, that, to my knowledge:</w:t>
      </w:r>
    </w:p>
    <w:p>
      <w:pPr>
        <w:spacing w:after="0" w:line="250" w:lineRule="exact"/>
        <w:rPr>
          <w:sz w:val="20"/>
          <w:szCs w:val="20"/>
          <w:color w:val="auto"/>
        </w:rPr>
      </w:pPr>
    </w:p>
    <w:p>
      <w:pPr>
        <w:ind w:left="324" w:right="220" w:hanging="324"/>
        <w:spacing w:after="0" w:line="207" w:lineRule="auto"/>
        <w:tabs>
          <w:tab w:leader="none" w:pos="32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7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632650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884"/>
          </w:cols>
          <w:pgMar w:left="976" w:top="78" w:right="10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4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March 31, 2020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220" w:hanging="324"/>
        <w:spacing w:after="0" w:line="207" w:lineRule="auto"/>
        <w:tabs>
          <w:tab w:leader="none" w:pos="32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29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32650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sectPr>
      <w:pgSz w:w="11900" w:h="16838" w:orient="portrait"/>
      <w:cols w:equalWidth="0" w:num="1">
        <w:col w:w="9884"/>
      </w:cols>
      <w:pgMar w:left="976" w:top="7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o"/>
      <w:numFmt w:val="bullet"/>
      <w:start w:val="1"/>
    </w:lvl>
  </w:abstractNum>
  <w:abstractNum w:abstractNumId="2">
    <w:nsid w:val="153EA438"/>
    <w:multiLevelType w:val="hybridMultilevel"/>
    <w:lvl w:ilvl="0">
      <w:lvlJc w:val="left"/>
      <w:lvlText w:val="(%1)"/>
      <w:numFmt w:val="lowerLetter"/>
      <w:start w:val="1"/>
    </w:lvl>
  </w:abstractNum>
  <w:abstractNum w:abstractNumId="3">
    <w:nsid w:val="3855585C"/>
    <w:multiLevelType w:val="hybridMultilevel"/>
    <w:lvl w:ilvl="0">
      <w:lvlJc w:val="left"/>
      <w:lvlText w:val="(%1)"/>
      <w:numFmt w:val="lowerLetter"/>
      <w:start w:val="2"/>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2"/>
    </w:lvl>
  </w:abstractNum>
  <w:abstractNum w:abstractNumId="9">
    <w:nsid w:val="2CD89A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0">
    <w:nsid w:val="57E4CCAF"/>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1">
    <w:nsid w:val="7A6D8D3C"/>
    <w:multiLevelType w:val="hybridMultilevel"/>
    <w:lvl w:ilvl="0">
      <w:lvlJc w:val="left"/>
      <w:lvlText w:val="(%1)"/>
      <w:numFmt w:val="lowerLetter"/>
      <w:start w:val="2"/>
    </w:lvl>
  </w:abstractNum>
  <w:abstractNum w:abstractNumId="12">
    <w:nsid w:val="4B588F54"/>
    <w:multiLevelType w:val="hybridMultilevel"/>
    <w:lvl w:ilvl="0">
      <w:lvlJc w:val="left"/>
      <w:lvlText w:val="(%1)"/>
      <w:numFmt w:val="lowerLetter"/>
      <w:start w:val="2"/>
    </w:lvl>
  </w:abstractNum>
  <w:abstractNum w:abstractNumId="13">
    <w:nsid w:val="542289EC"/>
    <w:multiLevelType w:val="hybridMultilevel"/>
    <w:lvl w:ilvl="0">
      <w:lvlJc w:val="left"/>
      <w:lvlText w:val="%1"/>
      <w:numFmt w:val="lowerLetter"/>
      <w:start w:val="1"/>
    </w:lvl>
    <w:lvl w:ilvl="1">
      <w:lvlJc w:val="left"/>
      <w:lvlText w:val="(%2)"/>
      <w:numFmt w:val="lowerLetter"/>
      <w:start w:val="2"/>
    </w:lvl>
  </w:abstractNum>
  <w:abstractNum w:abstractNumId="14">
    <w:nsid w:val="6DE91B18"/>
    <w:multiLevelType w:val="hybridMultilevel"/>
    <w:lvl w:ilvl="0">
      <w:lvlJc w:val="left"/>
      <w:lvlText w:val="(%1)"/>
      <w:numFmt w:val="lowerLetter"/>
      <w:start w:val="3"/>
    </w:lvl>
    <w:lvl w:ilvl="1">
      <w:lvlJc w:val="left"/>
      <w:lvlText w:val="%2"/>
      <w:numFmt w:val="lowerLetter"/>
      <w:start w:val="1"/>
    </w:lvl>
  </w:abstractNum>
  <w:abstractNum w:abstractNumId="15">
    <w:nsid w:val="38437FD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6">
    <w:nsid w:val="7644A45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7">
    <w:nsid w:val="32FFF902"/>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18">
    <w:nsid w:val="684A481A"/>
    <w:multiLevelType w:val="hybridMultilevel"/>
    <w:lvl w:ilvl="0">
      <w:lvlJc w:val="left"/>
      <w:lvlText w:val="(%1)"/>
      <w:numFmt w:val="lowerLetter"/>
      <w:start w:val="2"/>
    </w:lvl>
  </w:abstractNum>
  <w:abstractNum w:abstractNumId="19">
    <w:nsid w:val="579478FE"/>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20">
    <w:nsid w:val="749ABB4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1">
    <w:nsid w:val="3DC240FB"/>
    <w:multiLevelType w:val="hybridMultilevel"/>
    <w:lvl w:ilvl="0">
      <w:lvlJc w:val="left"/>
      <w:lvlText w:val="(%1)"/>
      <w:numFmt w:val="lowerLetter"/>
      <w:start w:val="4"/>
    </w:lvl>
  </w:abstractNum>
  <w:abstractNum w:abstractNumId="22">
    <w:nsid w:val="1BA026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3">
    <w:nsid w:val="79A1DEAA"/>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24">
    <w:nsid w:val="75C6C33A"/>
    <w:multiLevelType w:val="hybridMultilevel"/>
    <w:lvl w:ilvl="0">
      <w:lvlJc w:val="left"/>
      <w:lvlText w:val="(%1)"/>
      <w:numFmt w:val="lowerLetter"/>
      <w:start w:val="1"/>
    </w:lvl>
    <w:lvl w:ilvl="1">
      <w:lvlJc w:val="left"/>
      <w:lvlText w:val="(%2)"/>
      <w:numFmt w:val="lowerLetter"/>
      <w:start w:val="2"/>
    </w:lvl>
  </w:abstractNum>
  <w:abstractNum w:abstractNumId="25">
    <w:nsid w:val="12E685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26">
    <w:nsid w:val="70C6A52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5"/>
    </w:lvl>
  </w:abstractNum>
  <w:abstractNum w:abstractNumId="27">
    <w:nsid w:val="520EEDD1"/>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7"/>
    </w:lvl>
    <w:lvl w:ilvl="3">
      <w:lvlJc w:val="left"/>
      <w:lvlText w:val="(%4)"/>
      <w:numFmt w:val="lowerLetter"/>
      <w:start w:val="7"/>
    </w:lvl>
  </w:abstractNum>
  <w:abstractNum w:abstractNumId="28">
    <w:nsid w:val="374A3FE6"/>
    <w:multiLevelType w:val="hybridMultilevel"/>
    <w:lvl w:ilvl="0">
      <w:lvlJc w:val="left"/>
      <w:lvlText w:val="(%1)"/>
      <w:numFmt w:val="lowerLetter"/>
      <w:start w:val="1"/>
    </w:lvl>
    <w:lvl w:ilvl="1">
      <w:lvlJc w:val="left"/>
      <w:lvlText w:val="(%2)"/>
      <w:numFmt w:val="lowerRoman"/>
      <w:start w:val="1"/>
    </w:lvl>
  </w:abstractNum>
  <w:abstractNum w:abstractNumId="29">
    <w:nsid w:val="4F4EF005"/>
    <w:multiLevelType w:val="hybridMultilevel"/>
    <w:lvl w:ilvl="0">
      <w:lvlJc w:val="left"/>
      <w:lvlText w:val="(%1)"/>
      <w:numFmt w:val="lowerLetter"/>
      <w:start w:val="2"/>
    </w:lvl>
  </w:abstractNum>
  <w:abstractNum w:abstractNumId="30">
    <w:nsid w:val="23F9C13C"/>
    <w:multiLevelType w:val="hybridMultilevel"/>
    <w:lvl w:ilvl="0">
      <w:lvlJc w:val="left"/>
      <w:lvlText w:val="(%1)"/>
      <w:numFmt w:val="lowerRoman"/>
      <w:start w:val="1"/>
    </w:lvl>
  </w:abstractNum>
  <w:abstractNum w:abstractNumId="31">
    <w:nsid w:val="649BB77C"/>
    <w:multiLevelType w:val="hybridMultilevel"/>
    <w:lvl w:ilvl="0">
      <w:lvlJc w:val="left"/>
      <w:lvlText w:val="(%1)"/>
      <w:numFmt w:val="lowerRoman"/>
      <w:start w:val="2"/>
    </w:lvl>
  </w:abstractNum>
  <w:abstractNum w:abstractNumId="32">
    <w:nsid w:val="275AC7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Letter"/>
      <w:start w:val="1"/>
    </w:lvl>
  </w:abstractNum>
  <w:abstractNum w:abstractNumId="33">
    <w:nsid w:val="39386575"/>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5"/>
    </w:lvl>
    <w:lvl w:ilvl="3">
      <w:lvlJc w:val="left"/>
      <w:lvlText w:val="%4"/>
      <w:numFmt w:val="lowerLetter"/>
      <w:start w:val="1"/>
    </w:lvl>
    <w:lvl w:ilvl="4">
      <w:lvlJc w:val="left"/>
      <w:lvlText w:val="(%5)"/>
      <w:numFmt w:val="lowerLetter"/>
      <w:start w:val="9"/>
    </w:lvl>
  </w:abstractNum>
  <w:abstractNum w:abstractNumId="34">
    <w:nsid w:val="1CF10FD8"/>
    <w:multiLevelType w:val="hybridMultilevel"/>
    <w:lvl w:ilvl="0">
      <w:lvlJc w:val="left"/>
      <w:lvlText w:val="(%1)"/>
      <w:numFmt w:val="lowerRoman"/>
      <w:start w:val="2"/>
    </w:lvl>
  </w:abstractNum>
  <w:abstractNum w:abstractNumId="35">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6">
    <w:nsid w:val="235BA861"/>
    <w:multiLevelType w:val="hybridMultilevel"/>
    <w:lvl w:ilvl="0">
      <w:lvlJc w:val="left"/>
      <w:lvlText w:val="(%1)"/>
      <w:numFmt w:val="lowerLetter"/>
      <w:start w:val="6"/>
    </w:lvl>
    <w:lvl w:ilvl="1">
      <w:lvlJc w:val="left"/>
      <w:lvlText w:val="(%2)"/>
      <w:numFmt w:val="lowerLetter"/>
      <w:start w:val="8"/>
    </w:lvl>
    <w:lvl w:ilvl="2">
      <w:lvlJc w:val="left"/>
      <w:lvlText w:val="%3"/>
      <w:numFmt w:val="lowerLetter"/>
      <w:start w:val="1"/>
    </w:lvl>
  </w:abstractNum>
  <w:abstractNum w:abstractNumId="37">
    <w:nsid w:val="47398C89"/>
    <w:multiLevelType w:val="hybridMultilevel"/>
    <w:lvl w:ilvl="0">
      <w:lvlJc w:val="left"/>
      <w:lvlText w:val="(%1)"/>
      <w:numFmt w:val="lowerLetter"/>
      <w:start w:val="1"/>
    </w:lvl>
    <w:lvl w:ilvl="1">
      <w:lvlJc w:val="left"/>
      <w:lvlText w:val="(%2)"/>
      <w:numFmt w:val="lowerLetter"/>
      <w:start w:val="2"/>
    </w:lvl>
  </w:abstractNum>
  <w:abstractNum w:abstractNumId="38">
    <w:nsid w:val="354FE9F9"/>
    <w:multiLevelType w:val="hybridMultilevel"/>
    <w:lvl w:ilvl="0">
      <w:lvlJc w:val="left"/>
      <w:lvlText w:val="(%1)"/>
      <w:numFmt w:val="lowerLetter"/>
      <w:start w:val="2"/>
    </w:lvl>
  </w:abstractNum>
  <w:abstractNum w:abstractNumId="39">
    <w:nsid w:val="15B5AF5C"/>
    <w:multiLevelType w:val="hybridMultilevel"/>
    <w:lvl w:ilvl="0">
      <w:lvlJc w:val="left"/>
      <w:lvlText w:val="(%1)"/>
      <w:numFmt w:val="lowerLetter"/>
      <w:start w:val="1"/>
    </w:lvl>
    <w:lvl w:ilvl="1">
      <w:lvlJc w:val="left"/>
      <w:lvlText w:val="(%2)"/>
      <w:numFmt w:val="lowerLetter"/>
      <w:start w:val="2"/>
    </w:lvl>
  </w:abstractNum>
  <w:abstractNum w:abstractNumId="40">
    <w:nsid w:val="741226B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1">
    <w:nsid w:val="D34B6A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2">
    <w:nsid w:val="10233C99"/>
    <w:multiLevelType w:val="hybridMultilevel"/>
    <w:lvl w:ilvl="0">
      <w:lvlJc w:val="left"/>
      <w:lvlText w:val="(%1)"/>
      <w:numFmt w:val="lowerRoman"/>
      <w:start w:val="1"/>
    </w:lvl>
  </w:abstractNum>
  <w:abstractNum w:abstractNumId="43">
    <w:nsid w:val="3F6AB60F"/>
    <w:multiLevelType w:val="hybridMultilevel"/>
    <w:lvl w:ilvl="0">
      <w:lvlJc w:val="left"/>
      <w:lvlText w:val="(%1)"/>
      <w:numFmt w:val="lowerRoman"/>
      <w:start w:val="2"/>
    </w:lvl>
  </w:abstractNum>
  <w:abstractNum w:abstractNumId="44">
    <w:nsid w:val="61574095"/>
    <w:multiLevelType w:val="hybridMultilevel"/>
    <w:lvl w:ilvl="0">
      <w:lvlJc w:val="left"/>
      <w:lvlText w:val="(%1)"/>
      <w:numFmt w:val="lowerRoman"/>
      <w:start w:val="3"/>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2"/>
    </w:lvl>
  </w:abstractNum>
  <w:abstractNum w:abstractNumId="47">
    <w:nsid w:val="579BE4F1"/>
    <w:multiLevelType w:val="hybridMultilevel"/>
    <w:lvl w:ilvl="0">
      <w:lvlJc w:val="left"/>
      <w:lvlText w:val="%1"/>
      <w:numFmt w:val="lowerLetter"/>
      <w:start w:val="1"/>
    </w:lvl>
    <w:lvl w:ilvl="1">
      <w:lvlJc w:val="left"/>
      <w:lvlText w:val="(%2)"/>
      <w:numFmt w:val="lowerLetter"/>
      <w:start w:val="3"/>
    </w:lvl>
  </w:abstractNum>
  <w:abstractNum w:abstractNumId="48">
    <w:nsid w:val="310C50B3"/>
    <w:multiLevelType w:val="hybridMultilevel"/>
    <w:lvl w:ilvl="0">
      <w:lvlJc w:val="left"/>
      <w:lvlText w:val="(%1)"/>
      <w:numFmt w:val="lowerLetter"/>
      <w:start w:val="4"/>
    </w:lvl>
    <w:lvl w:ilvl="1">
      <w:lvlJc w:val="left"/>
      <w:lvlText w:val="%2"/>
      <w:numFmt w:val="lowerLetter"/>
      <w:start w:val="1"/>
    </w:lvl>
  </w:abstractNum>
  <w:abstractNum w:abstractNumId="49">
    <w:nsid w:val="5FF87E05"/>
    <w:multiLevelType w:val="hybridMultilevel"/>
    <w:lvl w:ilvl="0">
      <w:lvlJc w:val="left"/>
      <w:lvlText w:val="(%1)"/>
      <w:numFmt w:val="lowerLetter"/>
      <w:start w:val="1"/>
    </w:lvl>
    <w:lvl w:ilvl="1">
      <w:lvlJc w:val="left"/>
      <w:lvlText w:val="(%2)"/>
      <w:numFmt w:val="lowerLetter"/>
      <w:start w:val="2"/>
    </w:lvl>
  </w:abstractNum>
  <w:abstractNum w:abstractNumId="50">
    <w:nsid w:val="2F305DEF"/>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51">
    <w:nsid w:val="25A70BF7"/>
    <w:multiLevelType w:val="hybridMultilevel"/>
    <w:lvl w:ilvl="0">
      <w:lvlJc w:val="left"/>
      <w:lvlText w:val="(%1)"/>
      <w:numFmt w:val="lowerLetter"/>
      <w:start w:val="6"/>
    </w:lvl>
  </w:abstractNum>
  <w:abstractNum w:abstractNumId="52">
    <w:nsid w:val="1DBABF00"/>
    <w:multiLevelType w:val="hybridMultilevel"/>
    <w:lvl w:ilvl="0">
      <w:lvlJc w:val="left"/>
      <w:lvlText w:val="(%1)"/>
      <w:numFmt w:val="lowerLetter"/>
      <w:start w:val="7"/>
    </w:lvl>
  </w:abstractNum>
  <w:abstractNum w:abstractNumId="53">
    <w:nsid w:val="4AD084E9"/>
    <w:multiLevelType w:val="hybridMultilevel"/>
    <w:lvl w:ilvl="0">
      <w:lvlJc w:val="left"/>
      <w:lvlText w:val="(%1)"/>
      <w:numFmt w:val="lowerLetter"/>
      <w:start w:val="1"/>
    </w:lvl>
    <w:lvl w:ilvl="1">
      <w:lvlJc w:val="left"/>
      <w:lvlText w:val="(%2)"/>
      <w:numFmt w:val="lowerLetter"/>
      <w:start w:val="9"/>
    </w:lvl>
  </w:abstractNum>
  <w:abstractNum w:abstractNumId="54">
    <w:nsid w:val="1F48EAA1"/>
    <w:multiLevelType w:val="hybridMultilevel"/>
    <w:lvl w:ilvl="0">
      <w:lvlJc w:val="left"/>
      <w:lvlText w:val="(%1)"/>
      <w:numFmt w:val="lowerRoman"/>
      <w:start w:val="2"/>
    </w:lvl>
  </w:abstractNum>
  <w:abstractNum w:abstractNumId="55">
    <w:nsid w:val="1381823A"/>
    <w:multiLevelType w:val="hybridMultilevel"/>
    <w:lvl w:ilvl="0">
      <w:lvlJc w:val="left"/>
      <w:lvlText w:val="(%1)"/>
      <w:numFmt w:val="lowerLetter"/>
      <w:start w:val="2"/>
    </w:lvl>
  </w:abstractNum>
  <w:abstractNum w:abstractNumId="56">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57">
    <w:nsid w:val="100F8FCA"/>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58">
    <w:nsid w:val="6590700B"/>
    <w:multiLevelType w:val="hybridMultilevel"/>
    <w:lvl w:ilvl="0">
      <w:lvlJc w:val="left"/>
      <w:lvlText w:val="(%1)"/>
      <w:numFmt w:val="lowerRoman"/>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lowerRoman"/>
      <w:start w:val="1"/>
    </w:lvl>
  </w:abstractNum>
  <w:abstractNum w:abstractNumId="61">
    <w:nsid w:val="98A3148"/>
    <w:multiLevelType w:val="hybridMultilevel"/>
    <w:lvl w:ilvl="0">
      <w:lvlJc w:val="left"/>
      <w:lvlText w:val="%1."/>
      <w:numFmt w:val="upperLetter"/>
      <w:start w:val="1"/>
    </w:lvl>
  </w:abstractNum>
  <w:abstractNum w:abstractNumId="62">
    <w:nsid w:val="799D0247"/>
    <w:multiLevelType w:val="hybridMultilevel"/>
    <w:lvl w:ilvl="0">
      <w:lvlJc w:val="left"/>
      <w:lvlText w:val="%1."/>
      <w:numFmt w:val="decimal"/>
      <w:start w:val="1"/>
    </w:lvl>
    <w:lvl w:ilvl="1">
      <w:lvlJc w:val="left"/>
      <w:lvlText w:val="(%2)"/>
      <w:numFmt w:val="lowerLetter"/>
      <w:start w:val="1"/>
    </w:lvl>
  </w:abstractNum>
  <w:abstractNum w:abstractNumId="63">
    <w:nsid w:val="6B94764"/>
    <w:multiLevelType w:val="hybridMultilevel"/>
    <w:lvl w:ilvl="0">
      <w:lvlJc w:val="left"/>
      <w:lvlText w:val="(%1)"/>
      <w:numFmt w:val="lowerLetter"/>
      <w:start w:val="2"/>
    </w:lvl>
  </w:abstractNum>
  <w:abstractNum w:abstractNumId="64">
    <w:nsid w:val="42C296BD"/>
    <w:multiLevelType w:val="hybridMultilevel"/>
    <w:lvl w:ilvl="0">
      <w:lvlJc w:val="left"/>
      <w:lvlText w:val="(%1)"/>
      <w:numFmt w:val="lowerRoman"/>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3"/>
    </w:lvl>
  </w:abstractNum>
  <w:abstractNum w:abstractNumId="67">
    <w:nsid w:val="661E3F1E"/>
    <w:multiLevelType w:val="hybridMultilevel"/>
    <w:lvl w:ilvl="0">
      <w:lvlJc w:val="left"/>
      <w:lvlText w:val="%1."/>
      <w:numFmt w:val="decimal"/>
      <w:start w:val="3"/>
    </w:lvl>
    <w:lvl w:ilvl="1">
      <w:lvlJc w:val="left"/>
      <w:lvlText w:val="(%2)"/>
      <w:numFmt w:val="lowerLetter"/>
      <w:start w:val="1"/>
    </w:lvl>
  </w:abstractNum>
  <w:abstractNum w:abstractNumId="68">
    <w:nsid w:val="5DC79EA8"/>
    <w:multiLevelType w:val="hybridMultilevel"/>
    <w:lvl w:ilvl="0">
      <w:lvlJc w:val="left"/>
      <w:lvlText w:val="%1."/>
      <w:numFmt w:val="decimal"/>
      <w:start w:val="6"/>
    </w:lvl>
  </w:abstractNum>
  <w:abstractNum w:abstractNumId="69">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7BD3EE7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1">
    <w:nsid w:val="51D9C564"/>
    <w:multiLevelType w:val="hybridMultilevel"/>
    <w:lvl w:ilvl="0">
      <w:lvlJc w:val="left"/>
      <w:lvlText w:val="(%1)"/>
      <w:numFmt w:val="lowerLetter"/>
      <w:start w:val="2"/>
    </w:lvl>
  </w:abstractNum>
  <w:abstractNum w:abstractNumId="72">
    <w:nsid w:val="613EFDC5"/>
    <w:multiLevelType w:val="hybridMultilevel"/>
    <w:lvl w:ilvl="0">
      <w:lvlJc w:val="left"/>
      <w:lvlText w:val="%1."/>
      <w:numFmt w:val="decimal"/>
      <w:start w:val="1"/>
    </w:lvl>
    <w:lvl w:ilvl="1">
      <w:lvlJc w:val="left"/>
      <w:lvlText w:val="(%2)"/>
      <w:numFmt w:val="lowerLetter"/>
      <w:start w:val="1"/>
    </w:lvl>
  </w:abstractNum>
  <w:abstractNum w:abstractNumId="73">
    <w:nsid w:val="BF72B14"/>
    <w:multiLevelType w:val="hybridMultilevel"/>
    <w:lvl w:ilvl="0">
      <w:lvlJc w:val="left"/>
      <w:lvlText w:val="%1."/>
      <w:numFmt w:val="decimal"/>
      <w:start w:val="5"/>
    </w:lvl>
    <w:lvl w:ilvl="1">
      <w:lvlJc w:val="left"/>
      <w:lvlText w:val="(%2)"/>
      <w:numFmt w:val="lowerLetter"/>
      <w:start w:val="1"/>
    </w:lvl>
  </w:abstractNum>
  <w:abstractNum w:abstractNumId="74">
    <w:nsid w:val="11447B73"/>
    <w:multiLevelType w:val="hybridMultilevel"/>
    <w:lvl w:ilvl="0">
      <w:lvlJc w:val="left"/>
      <w:lvlText w:val="%1."/>
      <w:numFmt w:val="decimal"/>
      <w:start w:val="13"/>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77" Type="http://schemas.openxmlformats.org/officeDocument/2006/relationships/hyperlink" Target="http://www.sec.gov/Archives/edgar/data/78128/000155278120000126/e20081_ex3-1.htm" TargetMode="External"/><Relationship Id="rId78" Type="http://schemas.openxmlformats.org/officeDocument/2006/relationships/hyperlink" Target="http://www.sec.gov/Archives/edgar/data/78128/000119312520108220/d917442dex43.htm" TargetMode="External"/><Relationship Id="rId79" Type="http://schemas.openxmlformats.org/officeDocument/2006/relationships/hyperlink" Target="http://www.sec.gov/Archives/edgar/data/78128/000155278120000190/e20153_ex10-1.htm" TargetMode="External"/><Relationship Id="rId80" Type="http://schemas.openxmlformats.org/officeDocument/2006/relationships/hyperlink" Target="http://www.sec.gov/Archives/edgar/data/78128/000155278120000190/e20153_ex10-2.htm" TargetMode="External"/><Relationship Id="rId81" Type="http://schemas.openxmlformats.org/officeDocument/2006/relationships/hyperlink" Target="http://www.sec.gov/Archives/edgar/data/78128/000155278120000252/e20219_ex10-1.htm" TargetMode="External"/><Relationship Id="rId84" Type="http://schemas.openxmlformats.org/officeDocument/2006/relationships/hyperlink" Target="http://www.sec.gov/Archives/edgar/data/78128/000119312520104880/d914748dex101.htm" TargetMode="External"/><Relationship Id="rId85" Type="http://schemas.openxmlformats.org/officeDocument/2006/relationships/hyperlink" Target="http://www.sec.gov/Archives/edgar/data/78128/000119312520104880/d914748dex1011.htm" TargetMode="External"/><Relationship Id="rId86" Type="http://schemas.openxmlformats.org/officeDocument/2006/relationships/hyperlink" Target="http://www.sec.gov/Archives/edgar/data/78128/000119312520104880/d914748dex1012.htm" TargetMode="External"/><Relationship Id="rId87" Type="http://schemas.openxmlformats.org/officeDocument/2006/relationships/hyperlink" Target="http://www.sec.gov/Archives/edgar/data/78128/000119312520104880/d914748dex1013.htm" TargetMode="External"/><Relationship Id="rId88" Type="http://schemas.openxmlformats.org/officeDocument/2006/relationships/hyperlink" Target="http://www.sec.gov/Archives/edgar/data/78128/000119312520104880/d914748dex1014.htm" TargetMode="External"/><Relationship Id="rId89" Type="http://schemas.openxmlformats.org/officeDocument/2006/relationships/hyperlink" Target="http://www.sec.gov/Archives/edgar/data/78128/000119312520104880/d914748dex1015.htm" TargetMode="External"/><Relationship Id="rId90" Type="http://schemas.openxmlformats.org/officeDocument/2006/relationships/hyperlink" Target="http://www.sec.gov/Archives/edgar/data/78128/000119312520104880/d914748dex1016.htm" TargetMode="External"/><Relationship Id="rId91" Type="http://schemas.openxmlformats.org/officeDocument/2006/relationships/hyperlink" Target="http://www.sec.gov/Archives/edgar/data/78128/000119312520104880/d914748dex1017.htm" TargetMode="External"/><Relationship Id="rId92" Type="http://schemas.openxmlformats.org/officeDocument/2006/relationships/hyperlink" Target="http://www.sec.gov/Archives/edgar/data/78128/000119312520104880/d91474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2020-05-08T15:22:27Z</dcterms:created>
  <dcterms:modified xsi:type="dcterms:W3CDTF">2020-05-08T15:22:27Z</dcterms:modified>
</cp:coreProperties>
</file>