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860" w:right="1920" w:hanging="3841"/>
        <w:spacing w:after="0" w:line="347" w:lineRule="auto"/>
        <w:rPr>
          <w:sz w:val="20"/>
          <w:szCs w:val="20"/>
          <w:color w:val="auto"/>
        </w:rPr>
      </w:pPr>
      <w:r>
        <w:rPr>
          <w:rFonts w:ascii="Arial" w:cs="Arial" w:eastAsia="Arial" w:hAnsi="Arial"/>
          <w:sz w:val="14"/>
          <w:szCs w:val="14"/>
          <w:b w:val="1"/>
          <w:bCs w:val="1"/>
          <w:color w:val="auto"/>
          <w:highlight w:val="black"/>
        </w:rPr>
        <w:t xml:space="preserve">S </w:t>
      </w:r>
      <w:r>
        <w:rPr>
          <w:rFonts w:ascii="Times New Roman" w:cs="Times New Roman" w:eastAsia="Times New Roman" w:hAnsi="Times New Roman"/>
          <w:sz w:val="18"/>
          <w:szCs w:val="18"/>
          <w:color w:val="auto"/>
        </w:rPr>
        <w:t>QUARTERLY REPORT PURSUANT TO SECTION 13 or 15 (d) OF THE SECURITIES EXCHANGE ACT OF 1934.</w:t>
      </w:r>
      <w:r>
        <w:rPr>
          <w:rFonts w:ascii="Arial" w:cs="Arial" w:eastAsia="Arial" w:hAnsi="Arial"/>
          <w:sz w:val="14"/>
          <w:szCs w:val="14"/>
          <w:b w:val="1"/>
          <w:bCs w:val="1"/>
          <w:color w:val="auto"/>
          <w:highlight w:val="black"/>
        </w:rPr>
        <w:t xml:space="preserve"> </w:t>
      </w:r>
      <w:r>
        <w:rPr>
          <w:rFonts w:ascii="Times New Roman" w:cs="Times New Roman" w:eastAsia="Times New Roman" w:hAnsi="Times New Roman"/>
          <w:sz w:val="18"/>
          <w:szCs w:val="18"/>
          <w:color w:val="auto"/>
        </w:rPr>
        <w:t>For the quarterly period ended March 31, 2025</w:t>
      </w:r>
    </w:p>
    <w:p>
      <w:pPr>
        <w:spacing w:after="0" w:line="1" w:lineRule="exact"/>
        <w:rPr>
          <w:sz w:val="24"/>
          <w:szCs w:val="24"/>
          <w:color w:val="auto"/>
        </w:rPr>
      </w:pPr>
    </w:p>
    <w:p>
      <w:pPr>
        <w:ind w:left="2960" w:right="1840" w:hanging="2952"/>
        <w:spacing w:after="0" w:line="250" w:lineRule="auto"/>
        <w:tabs>
          <w:tab w:leader="none" w:pos="218"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5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7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23"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63"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57"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Arial" w:cs="Arial" w:eastAsia="Arial" w:hAnsi="Arial"/>
          <w:sz w:val="13"/>
          <w:szCs w:val="13"/>
          <w:b w:val="1"/>
          <w:bCs w:val="1"/>
          <w:color w:val="auto"/>
          <w:highlight w:val="black"/>
        </w:rPr>
        <w:t>S</w:t>
      </w:r>
    </w:p>
    <w:p>
      <w:pPr>
        <w:spacing w:after="0" w:line="226"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Arial" w:cs="Arial" w:eastAsia="Arial" w:hAnsi="Arial"/>
          <w:sz w:val="13"/>
          <w:szCs w:val="13"/>
          <w:b w:val="1"/>
          <w:bCs w:val="1"/>
          <w:color w:val="auto"/>
          <w:highlight w:val="black"/>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Emerging Growth Company </w:t>
      </w:r>
      <w:r>
        <w:rPr>
          <w:rFonts w:ascii="Arial" w:cs="Arial" w:eastAsia="Arial" w:hAnsi="Arial"/>
          <w:sz w:val="13"/>
          <w:szCs w:val="13"/>
          <w:b w:val="1"/>
          <w:bCs w:val="1"/>
          <w:color w:val="auto"/>
          <w:highlight w:val="black"/>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Arial" w:cs="Arial" w:eastAsia="Arial" w:hAnsi="Arial"/>
          <w:sz w:val="13"/>
          <w:szCs w:val="13"/>
          <w:b w:val="1"/>
          <w:bCs w:val="1"/>
          <w:color w:val="auto"/>
          <w:highlight w:val="black"/>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Smaller Reporting Company </w:t>
      </w:r>
      <w:r>
        <w:rPr>
          <w:rFonts w:ascii="Arial" w:cs="Arial" w:eastAsia="Arial" w:hAnsi="Arial"/>
          <w:sz w:val="13"/>
          <w:szCs w:val="13"/>
          <w:b w:val="1"/>
          <w:bCs w:val="1"/>
          <w:color w:val="auto"/>
          <w:highlight w:val="black"/>
        </w:rPr>
        <w:t>£</w:t>
      </w:r>
    </w:p>
    <w:p>
      <w:pPr>
        <w:spacing w:after="0" w:line="369"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b w:val="1"/>
          <w:bCs w:val="1"/>
          <w:color w:val="auto"/>
          <w:highlight w:val="black"/>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Arial" w:cs="Arial" w:eastAsia="Arial" w:hAnsi="Arial"/>
          <w:sz w:val="13"/>
          <w:szCs w:val="13"/>
          <w:b w:val="1"/>
          <w:bCs w:val="1"/>
          <w:color w:val="auto"/>
          <w:highlight w:val="black"/>
        </w:rPr>
        <w:t>£</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S</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April 25, 2025</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280,337,601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40" w:type="dxa"/>
            <w:vAlign w:val="bottom"/>
            <w:gridSpan w:val="12"/>
          </w:tcPr>
          <w:p>
            <w:pPr>
              <w:jc w:val="center"/>
              <w:ind w:right="260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gridSpan w:val="10"/>
          </w:tcPr>
          <w:p>
            <w:pPr>
              <w:jc w:val="center"/>
              <w:ind w:right="382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40" w:type="dxa"/>
            <w:vAlign w:val="bottom"/>
            <w:gridSpan w:val="12"/>
            <w:shd w:val="clear" w:color="auto" w:fill="CCEEFF"/>
          </w:tcPr>
          <w:p>
            <w:pPr>
              <w:jc w:val="center"/>
              <w:ind w:right="266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540" w:type="dxa"/>
            <w:vAlign w:val="bottom"/>
            <w:tcBorders>
              <w:top w:val="single" w:sz="8" w:color="0563C1"/>
            </w:tcBorders>
          </w:tcPr>
          <w:p>
            <w:pPr>
              <w:spacing w:after="0"/>
              <w:rPr>
                <w:sz w:val="18"/>
                <w:szCs w:val="18"/>
                <w:color w:val="auto"/>
              </w:rPr>
            </w:pPr>
          </w:p>
        </w:tc>
        <w:tc>
          <w:tcPr>
            <w:tcW w:w="540" w:type="dxa"/>
            <w:vAlign w:val="bottom"/>
            <w:tcBorders>
              <w:top w:val="single" w:sz="8" w:color="0563C1"/>
            </w:tcBorders>
          </w:tcPr>
          <w:p>
            <w:pPr>
              <w:spacing w:after="0"/>
              <w:rPr>
                <w:sz w:val="18"/>
                <w:szCs w:val="18"/>
                <w:color w:val="auto"/>
              </w:rPr>
            </w:pPr>
          </w:p>
        </w:tc>
        <w:tc>
          <w:tcPr>
            <w:tcW w:w="26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Balance Sheets (unaudited) – March 31, 2025 and December 31,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563C1"/>
            </w:tcBorders>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8"/>
              </w:rPr>
              <w:t>Condensed Consolidated Statements of Operations and Comprehensive Income (unaudited) – Three Months Ended</w:t>
            </w:r>
          </w:p>
        </w:tc>
        <w:tc>
          <w:tcPr>
            <w:tcW w:w="60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6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March 31, 2025 and 2024</w:t>
            </w:r>
          </w:p>
        </w:tc>
        <w:tc>
          <w:tcPr>
            <w:tcW w:w="6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tcPr>
          <w:p>
            <w:pPr>
              <w:spacing w:after="0" w:line="20" w:lineRule="exact"/>
              <w:rPr>
                <w:sz w:val="1"/>
                <w:szCs w:val="1"/>
                <w:color w:val="auto"/>
              </w:rPr>
            </w:pPr>
          </w:p>
        </w:tc>
        <w:tc>
          <w:tcPr>
            <w:tcW w:w="460" w:type="dxa"/>
            <w:vAlign w:val="bottom"/>
            <w:tcBorders>
              <w:top w:val="single" w:sz="8" w:color="0563C1"/>
              <w:bottom w:val="single" w:sz="8" w:color="CCEEFF"/>
            </w:tcBorders>
          </w:tcPr>
          <w:p>
            <w:pPr>
              <w:spacing w:after="0" w:line="20" w:lineRule="exact"/>
              <w:rPr>
                <w:sz w:val="1"/>
                <w:szCs w:val="1"/>
                <w:color w:val="auto"/>
              </w:rPr>
            </w:pPr>
          </w:p>
        </w:tc>
        <w:tc>
          <w:tcPr>
            <w:tcW w:w="100" w:type="dxa"/>
            <w:vAlign w:val="bottom"/>
            <w:tcBorders>
              <w:top w:val="single" w:sz="8" w:color="0563C1"/>
              <w:bottom w:val="single" w:sz="8" w:color="CCEEFF"/>
            </w:tcBorders>
          </w:tcPr>
          <w:p>
            <w:pPr>
              <w:spacing w:after="0" w:line="20" w:lineRule="exact"/>
              <w:rPr>
                <w:sz w:val="1"/>
                <w:szCs w:val="1"/>
                <w:color w:val="auto"/>
              </w:rPr>
            </w:pPr>
          </w:p>
        </w:tc>
        <w:tc>
          <w:tcPr>
            <w:tcW w:w="420" w:type="dxa"/>
            <w:vAlign w:val="bottom"/>
            <w:tcBorders>
              <w:top w:val="single" w:sz="8" w:color="0563C1"/>
              <w:bottom w:val="single" w:sz="8" w:color="CCEEFF"/>
            </w:tcBorders>
          </w:tcPr>
          <w:p>
            <w:pPr>
              <w:spacing w:after="0" w:line="20" w:lineRule="exact"/>
              <w:rPr>
                <w:sz w:val="1"/>
                <w:szCs w:val="1"/>
                <w:color w:val="auto"/>
              </w:rPr>
            </w:pPr>
          </w:p>
        </w:tc>
        <w:tc>
          <w:tcPr>
            <w:tcW w:w="340" w:type="dxa"/>
            <w:vAlign w:val="bottom"/>
            <w:tcBorders>
              <w:top w:val="single" w:sz="8" w:color="0563C1"/>
              <w:bottom w:val="single" w:sz="8" w:color="CCEEFF"/>
            </w:tcBorders>
          </w:tcPr>
          <w:p>
            <w:pPr>
              <w:spacing w:after="0" w:line="20" w:lineRule="exact"/>
              <w:rPr>
                <w:sz w:val="1"/>
                <w:szCs w:val="1"/>
                <w:color w:val="auto"/>
              </w:rPr>
            </w:pPr>
          </w:p>
        </w:tc>
        <w:tc>
          <w:tcPr>
            <w:tcW w:w="20" w:type="dxa"/>
            <w:vAlign w:val="bottom"/>
            <w:tcBorders>
              <w:top w:val="single" w:sz="8" w:color="0563C1"/>
              <w:bottom w:val="single" w:sz="8" w:color="CCEEFF"/>
            </w:tcBorders>
          </w:tcPr>
          <w:p>
            <w:pPr>
              <w:spacing w:after="0" w:line="20" w:lineRule="exact"/>
              <w:rPr>
                <w:sz w:val="1"/>
                <w:szCs w:val="1"/>
                <w:color w:val="auto"/>
              </w:rPr>
            </w:pPr>
          </w:p>
        </w:tc>
        <w:tc>
          <w:tcPr>
            <w:tcW w:w="280" w:type="dxa"/>
            <w:vAlign w:val="bottom"/>
            <w:tcBorders>
              <w:top w:val="single" w:sz="8" w:color="0563C1"/>
              <w:bottom w:val="single" w:sz="8" w:color="CCEEFF"/>
            </w:tcBorders>
          </w:tcPr>
          <w:p>
            <w:pPr>
              <w:spacing w:after="0" w:line="20" w:lineRule="exact"/>
              <w:rPr>
                <w:sz w:val="1"/>
                <w:szCs w:val="1"/>
                <w:color w:val="auto"/>
              </w:rPr>
            </w:pPr>
          </w:p>
        </w:tc>
        <w:tc>
          <w:tcPr>
            <w:tcW w:w="260" w:type="dxa"/>
            <w:vAlign w:val="bottom"/>
            <w:tcBorders>
              <w:top w:val="single" w:sz="8" w:color="0563C1"/>
              <w:bottom w:val="single" w:sz="8" w:color="CCEEFF"/>
            </w:tcBorders>
          </w:tcPr>
          <w:p>
            <w:pPr>
              <w:spacing w:after="0" w:line="20" w:lineRule="exact"/>
              <w:rPr>
                <w:sz w:val="1"/>
                <w:szCs w:val="1"/>
                <w:color w:val="auto"/>
              </w:rPr>
            </w:pPr>
          </w:p>
        </w:tc>
        <w:tc>
          <w:tcPr>
            <w:tcW w:w="340" w:type="dxa"/>
            <w:vAlign w:val="bottom"/>
            <w:tcBorders>
              <w:top w:val="single" w:sz="8" w:color="0563C1"/>
              <w:bottom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Capitalization (unaudited) - March 31, 2025 and December 31,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Three Months Ended March 31, 2025</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Three Months Ended March 31,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Cash Flow (unaudited) – Three Months Ended March 31, 2025 and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Condensed Consolidated Financial Statements (unaudited)</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Management’s Discussion and Analysis of Financial Condition and Results of Operations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340" w:type="dxa"/>
            <w:vAlign w:val="bottom"/>
            <w:gridSpan w:val="11"/>
            <w:shd w:val="clear" w:color="auto" w:fill="CCEEFF"/>
          </w:tcPr>
          <w:p>
            <w:pPr>
              <w:jc w:val="center"/>
              <w:ind w:right="376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540" w:type="dxa"/>
            <w:vAlign w:val="bottom"/>
            <w:tcBorders>
              <w:top w:val="single" w:sz="8" w:color="0563C1"/>
            </w:tcBorders>
          </w:tcPr>
          <w:p>
            <w:pPr>
              <w:spacing w:after="0"/>
              <w:rPr>
                <w:sz w:val="22"/>
                <w:szCs w:val="22"/>
                <w:color w:val="auto"/>
              </w:rPr>
            </w:pPr>
          </w:p>
        </w:tc>
        <w:tc>
          <w:tcPr>
            <w:tcW w:w="540" w:type="dxa"/>
            <w:vAlign w:val="bottom"/>
            <w:tcBorders>
              <w:top w:val="single" w:sz="8" w:color="0563C1"/>
            </w:tcBorders>
          </w:tcPr>
          <w:p>
            <w:pPr>
              <w:spacing w:after="0"/>
              <w:rPr>
                <w:sz w:val="22"/>
                <w:szCs w:val="22"/>
                <w:color w:val="auto"/>
              </w:rPr>
            </w:pPr>
          </w:p>
        </w:tc>
        <w:tc>
          <w:tcPr>
            <w:tcW w:w="260" w:type="dxa"/>
            <w:vAlign w:val="bottom"/>
            <w:tcBorders>
              <w:top w:val="single" w:sz="8" w:color="0563C1"/>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640" w:type="dxa"/>
            <w:vAlign w:val="bottom"/>
            <w:gridSpan w:val="23"/>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5.</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Other Information</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9980" w:type="dxa"/>
            <w:vAlign w:val="bottom"/>
            <w:gridSpan w:val="22"/>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6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9720" w:type="dxa"/>
            <w:vAlign w:val="bottom"/>
            <w:tcBorders>
              <w:bottom w:val="single" w:sz="8" w:color="CCEEFF"/>
            </w:tcBorders>
            <w:gridSpan w:val="21"/>
            <w:shd w:val="clear" w:color="auto" w:fill="CCEEFF"/>
          </w:tcPr>
          <w:p>
            <w:pPr>
              <w:spacing w:after="0"/>
              <w:rPr>
                <w:sz w:val="18"/>
                <w:szCs w:val="18"/>
                <w:color w:val="auto"/>
              </w:rPr>
            </w:pPr>
          </w:p>
        </w:tc>
        <w:tc>
          <w:tcPr>
            <w:tcW w:w="60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606"/>
        </w:trPr>
        <w:tc>
          <w:tcPr>
            <w:tcW w:w="660" w:type="dxa"/>
            <w:vAlign w:val="bottom"/>
          </w:tcPr>
          <w:p>
            <w:pPr>
              <w:spacing w:after="0"/>
              <w:rPr>
                <w:sz w:val="24"/>
                <w:szCs w:val="24"/>
                <w:color w:val="auto"/>
              </w:rPr>
            </w:pPr>
          </w:p>
        </w:tc>
        <w:tc>
          <w:tcPr>
            <w:tcW w:w="5300" w:type="dxa"/>
            <w:vAlign w:val="bottom"/>
            <w:gridSpan w:val="13"/>
          </w:tcPr>
          <w:p>
            <w:pPr>
              <w:jc w:val="center"/>
              <w:ind w:left="4532"/>
              <w:spacing w:after="0"/>
              <w:rPr>
                <w:sz w:val="20"/>
                <w:szCs w:val="20"/>
                <w:color w:val="auto"/>
              </w:rPr>
            </w:pPr>
            <w:r>
              <w:rPr>
                <w:rFonts w:ascii="Times New Roman" w:cs="Times New Roman" w:eastAsia="Times New Roman" w:hAnsi="Times New Roman"/>
                <w:sz w:val="22"/>
                <w:szCs w:val="22"/>
                <w:color w:val="auto"/>
                <w:w w:val="90"/>
              </w:rPr>
              <w:t>1</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December 31,</w:t>
            </w:r>
          </w:p>
        </w:tc>
      </w:tr>
      <w:tr>
        <w:trPr>
          <w:trHeight w:val="252"/>
        </w:trPr>
        <w:tc>
          <w:tcPr>
            <w:tcW w:w="6100" w:type="dxa"/>
            <w:vAlign w:val="bottom"/>
            <w:tcBorders>
              <w:bottom w:val="single" w:sz="8" w:color="CCEEFF"/>
            </w:tcBorders>
          </w:tcPr>
          <w:p>
            <w:pPr>
              <w:ind w:left="3660"/>
              <w:spacing w:after="0"/>
              <w:rPr>
                <w:sz w:val="20"/>
                <w:szCs w:val="20"/>
                <w:color w:val="auto"/>
              </w:rPr>
            </w:pPr>
            <w:r>
              <w:rPr>
                <w:rFonts w:ascii="Times New Roman" w:cs="Times New Roman" w:eastAsia="Times New Roman" w:hAnsi="Times New Roman"/>
                <w:sz w:val="20"/>
                <w:szCs w:val="20"/>
                <w:color w:val="auto"/>
              </w:rPr>
              <w:t>Assets</w:t>
            </w:r>
          </w:p>
        </w:tc>
        <w:tc>
          <w:tcPr>
            <w:tcW w:w="1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2024</w:t>
            </w:r>
          </w:p>
        </w:tc>
      </w:tr>
      <w:tr>
        <w:trPr>
          <w:trHeight w:val="209"/>
        </w:trPr>
        <w:tc>
          <w:tcPr>
            <w:tcW w:w="61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Property, plant and equipment, at cost</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16,538,396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16,275,377</w:t>
            </w:r>
          </w:p>
        </w:tc>
      </w:tr>
      <w:tr>
        <w:trPr>
          <w:trHeight w:val="216"/>
        </w:trPr>
        <w:tc>
          <w:tcPr>
            <w:tcW w:w="610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Less: accumulated depreciation</w:t>
            </w: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3,218,022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3,131,901</w:t>
            </w:r>
          </w:p>
        </w:tc>
      </w:tr>
      <w:tr>
        <w:trPr>
          <w:trHeight w:val="209"/>
        </w:trPr>
        <w:tc>
          <w:tcPr>
            <w:tcW w:w="61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property, plant and equipment</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13,320,374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13,143,476</w:t>
            </w:r>
          </w:p>
        </w:tc>
      </w:tr>
      <w:tr>
        <w:trPr>
          <w:trHeight w:val="209"/>
        </w:trPr>
        <w:tc>
          <w:tcPr>
            <w:tcW w:w="6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Current assets: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1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Cash and cash equivalents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9,156</w:t>
            </w:r>
          </w:p>
        </w:tc>
      </w:tr>
      <w:tr>
        <w:trPr>
          <w:trHeight w:val="216"/>
        </w:trPr>
        <w:tc>
          <w:tcPr>
            <w:tcW w:w="61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Accounts receivable, net</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244,437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166,522</w:t>
            </w:r>
          </w:p>
        </w:tc>
      </w:tr>
      <w:tr>
        <w:trPr>
          <w:trHeight w:val="216"/>
        </w:trPr>
        <w:tc>
          <w:tcPr>
            <w:tcW w:w="61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Unbilled revenues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115,975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142,310</w:t>
            </w:r>
          </w:p>
        </w:tc>
      </w:tr>
      <w:tr>
        <w:trPr>
          <w:trHeight w:val="216"/>
        </w:trPr>
        <w:tc>
          <w:tcPr>
            <w:tcW w:w="61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Inventory - materials and supplies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49,318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48,619</w:t>
            </w:r>
          </w:p>
        </w:tc>
      </w:tr>
      <w:tr>
        <w:trPr>
          <w:trHeight w:val="216"/>
        </w:trPr>
        <w:tc>
          <w:tcPr>
            <w:tcW w:w="61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Inventory - gas stored</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11,676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45,311</w:t>
            </w:r>
          </w:p>
        </w:tc>
      </w:tr>
      <w:tr>
        <w:trPr>
          <w:trHeight w:val="216"/>
        </w:trPr>
        <w:tc>
          <w:tcPr>
            <w:tcW w:w="61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Prepayments and other current assets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34,844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41,139</w:t>
            </w:r>
          </w:p>
        </w:tc>
      </w:tr>
      <w:tr>
        <w:trPr>
          <w:trHeight w:val="216"/>
        </w:trPr>
        <w:tc>
          <w:tcPr>
            <w:tcW w:w="610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Regulatory assets</w:t>
            </w: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17,447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32,854</w:t>
            </w:r>
          </w:p>
        </w:tc>
      </w:tr>
      <w:tr>
        <w:trPr>
          <w:trHeight w:val="209"/>
        </w:trPr>
        <w:tc>
          <w:tcPr>
            <w:tcW w:w="61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current assets</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494,481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485,911</w:t>
            </w:r>
          </w:p>
        </w:tc>
      </w:tr>
      <w:tr>
        <w:trPr>
          <w:trHeight w:val="209"/>
        </w:trPr>
        <w:tc>
          <w:tcPr>
            <w:tcW w:w="6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Regulatory assets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2,024,947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1,907,786</w:t>
            </w: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Deferred charges and other assets, net</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111,981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112,712</w:t>
            </w:r>
          </w:p>
        </w:tc>
      </w:tr>
      <w:tr>
        <w:trPr>
          <w:trHeight w:val="216"/>
        </w:trPr>
        <w:tc>
          <w:tcPr>
            <w:tcW w:w="6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Funds restricted for construction activity</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1,420</w:t>
            </w: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Goodwill</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2,340,713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2,340,713</w:t>
            </w:r>
          </w:p>
        </w:tc>
      </w:tr>
      <w:tr>
        <w:trPr>
          <w:trHeight w:val="216"/>
        </w:trPr>
        <w:tc>
          <w:tcPr>
            <w:tcW w:w="6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30,045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31,263</w:t>
            </w:r>
          </w:p>
        </w:tc>
      </w:tr>
      <w:tr>
        <w:trPr>
          <w:trHeight w:val="216"/>
        </w:trPr>
        <w:tc>
          <w:tcPr>
            <w:tcW w:w="610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Intangible assets</w:t>
            </w: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3,194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3,273</w:t>
            </w:r>
          </w:p>
        </w:tc>
      </w:tr>
      <w:tr>
        <w:trPr>
          <w:trHeight w:val="210"/>
        </w:trPr>
        <w:tc>
          <w:tcPr>
            <w:tcW w:w="610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assets</w:t>
            </w:r>
          </w:p>
        </w:tc>
        <w:tc>
          <w:tcPr>
            <w:tcW w:w="1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18,327,161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18,026,554</w:t>
            </w:r>
          </w:p>
        </w:tc>
      </w:tr>
      <w:tr>
        <w:trPr>
          <w:trHeight w:val="20"/>
        </w:trPr>
        <w:tc>
          <w:tcPr>
            <w:tcW w:w="6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jc w:val="center"/>
        <w:ind w:right="-79"/>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March 31,</w:t>
            </w:r>
          </w:p>
        </w:tc>
        <w:tc>
          <w:tcPr>
            <w:tcW w:w="12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December 31,</w:t>
            </w:r>
          </w:p>
        </w:tc>
        <w:tc>
          <w:tcPr>
            <w:tcW w:w="0" w:type="dxa"/>
            <w:vAlign w:val="bottom"/>
          </w:tcPr>
          <w:p>
            <w:pPr>
              <w:spacing w:after="0"/>
              <w:rPr>
                <w:sz w:val="1"/>
                <w:szCs w:val="1"/>
                <w:color w:val="auto"/>
              </w:rPr>
            </w:pPr>
          </w:p>
        </w:tc>
      </w:tr>
      <w:tr>
        <w:trPr>
          <w:trHeight w:val="230"/>
        </w:trPr>
        <w:tc>
          <w:tcPr>
            <w:tcW w:w="7960" w:type="dxa"/>
            <w:vAlign w:val="bottom"/>
          </w:tcPr>
          <w:p>
            <w:pPr>
              <w:ind w:left="3140"/>
              <w:spacing w:after="0"/>
              <w:rPr>
                <w:sz w:val="20"/>
                <w:szCs w:val="20"/>
                <w:color w:val="auto"/>
              </w:rPr>
            </w:pPr>
            <w:r>
              <w:rPr>
                <w:rFonts w:ascii="Times New Roman" w:cs="Times New Roman" w:eastAsia="Times New Roman" w:hAnsi="Times New Roman"/>
                <w:sz w:val="20"/>
                <w:szCs w:val="20"/>
                <w:color w:val="auto"/>
              </w:rPr>
              <w:t>Liabilities and Equity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
        </w:trPr>
        <w:tc>
          <w:tcPr>
            <w:tcW w:w="7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60" w:type="dxa"/>
            <w:vAlign w:val="bottom"/>
            <w:shd w:val="clear" w:color="auto" w:fill="CCEEFF"/>
          </w:tcPr>
          <w:p>
            <w:pPr>
              <w:ind w:left="120"/>
              <w:spacing w:after="0" w:line="166" w:lineRule="exact"/>
              <w:rPr>
                <w:sz w:val="20"/>
                <w:szCs w:val="20"/>
                <w:color w:val="auto"/>
              </w:rPr>
            </w:pPr>
            <w:r>
              <w:rPr>
                <w:rFonts w:ascii="Times New Roman" w:cs="Times New Roman" w:eastAsia="Times New Roman" w:hAnsi="Times New Roman"/>
                <w:sz w:val="19"/>
                <w:szCs w:val="19"/>
                <w:color w:val="auto"/>
              </w:rPr>
              <w:t>Common stock at $0.50 par value, authorized 600,000,000 shares, issued 280,106,564 and</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278,209,660 as of March 31, 2025 and December 31, 2024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140,053</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139,105</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4,268,626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4,199,836</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Retained earnings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2,143,020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1,949,492</w:t>
            </w:r>
          </w:p>
        </w:tc>
        <w:tc>
          <w:tcPr>
            <w:tcW w:w="0" w:type="dxa"/>
            <w:vAlign w:val="bottom"/>
          </w:tcPr>
          <w:p>
            <w:pPr>
              <w:spacing w:after="0"/>
              <w:rPr>
                <w:sz w:val="1"/>
                <w:szCs w:val="1"/>
                <w:color w:val="auto"/>
              </w:rPr>
            </w:pPr>
          </w:p>
        </w:tc>
      </w:tr>
      <w:tr>
        <w:trPr>
          <w:trHeight w:val="166"/>
        </w:trPr>
        <w:tc>
          <w:tcPr>
            <w:tcW w:w="7960" w:type="dxa"/>
            <w:vAlign w:val="bottom"/>
          </w:tcPr>
          <w:p>
            <w:pPr>
              <w:ind w:left="120"/>
              <w:spacing w:after="0" w:line="166" w:lineRule="exact"/>
              <w:rPr>
                <w:sz w:val="20"/>
                <w:szCs w:val="20"/>
                <w:color w:val="auto"/>
              </w:rPr>
            </w:pPr>
            <w:r>
              <w:rPr>
                <w:rFonts w:ascii="Times New Roman" w:cs="Times New Roman" w:eastAsia="Times New Roman" w:hAnsi="Times New Roman"/>
                <w:sz w:val="19"/>
                <w:szCs w:val="19"/>
                <w:color w:val="auto"/>
              </w:rPr>
              <w:t>Treasury stock, at cost, 3,440,655 and 3,386,069 shares as of March 31, 2025 and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7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(91,608)</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(89,624)</w:t>
            </w: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6,460,091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6,198,809</w:t>
            </w:r>
          </w:p>
        </w:tc>
        <w:tc>
          <w:tcPr>
            <w:tcW w:w="0" w:type="dxa"/>
            <w:vAlign w:val="bottom"/>
          </w:tcPr>
          <w:p>
            <w:pPr>
              <w:spacing w:after="0"/>
              <w:rPr>
                <w:sz w:val="1"/>
                <w:szCs w:val="1"/>
                <w:color w:val="auto"/>
              </w:rPr>
            </w:pPr>
          </w:p>
        </w:tc>
      </w:tr>
      <w:tr>
        <w:trPr>
          <w:trHeight w:val="209"/>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7,571,796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7,416,289</w:t>
            </w: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20"/>
                <w:szCs w:val="20"/>
                <w:color w:val="auto"/>
              </w:rPr>
              <w:t>Less: debt issuance costs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46,811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47,908</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7,524,985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7,368,381</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(See Note 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142,523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142,807</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Loans payable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89,289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186,542</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182,914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258,615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Book overdraft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47,714</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Accrued interest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88,130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72,281</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Accrued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38,219</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Regulatory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1,770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Dividends payable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90,055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89,441</w:t>
            </w: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 accrued liabilities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119,882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137,279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756,608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974,668</w:t>
            </w:r>
          </w:p>
        </w:tc>
        <w:tc>
          <w:tcPr>
            <w:tcW w:w="0" w:type="dxa"/>
            <w:vAlign w:val="bottom"/>
          </w:tcPr>
          <w:p>
            <w:pPr>
              <w:spacing w:after="0"/>
              <w:rPr>
                <w:sz w:val="1"/>
                <w:szCs w:val="1"/>
                <w:color w:val="auto"/>
              </w:rPr>
            </w:pPr>
          </w:p>
        </w:tc>
      </w:tr>
      <w:tr>
        <w:trPr>
          <w:trHeight w:val="209"/>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Deferred credits and other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Deferred income taxes and investment tax credits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1,965,139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1,831,868</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Customers' advances for construction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113,861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113,323</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Regulatory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728,660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764,745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26,034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27,447</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Pension and other postretirement benefit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35,767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33,680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26,558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24,788</w:t>
            </w:r>
          </w:p>
        </w:tc>
        <w:tc>
          <w:tcPr>
            <w:tcW w:w="0" w:type="dxa"/>
            <w:vAlign w:val="bottom"/>
          </w:tcPr>
          <w:p>
            <w:pPr>
              <w:spacing w:after="0"/>
              <w:rPr>
                <w:sz w:val="1"/>
                <w:szCs w:val="1"/>
                <w:color w:val="auto"/>
              </w:rPr>
            </w:pPr>
          </w:p>
        </w:tc>
      </w:tr>
      <w:tr>
        <w:trPr>
          <w:trHeight w:val="210"/>
        </w:trPr>
        <w:tc>
          <w:tcPr>
            <w:tcW w:w="79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deferred credits and other liabilities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2,896,019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2,795,851</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Contributions in aid of construction</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689,458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688,845</w:t>
            </w:r>
          </w:p>
        </w:tc>
        <w:tc>
          <w:tcPr>
            <w:tcW w:w="0" w:type="dxa"/>
            <w:vAlign w:val="bottom"/>
          </w:tcPr>
          <w:p>
            <w:pPr>
              <w:spacing w:after="0"/>
              <w:rPr>
                <w:sz w:val="1"/>
                <w:szCs w:val="1"/>
                <w:color w:val="auto"/>
              </w:rPr>
            </w:pPr>
          </w:p>
        </w:tc>
      </w:tr>
      <w:tr>
        <w:trPr>
          <w:trHeight w:val="210"/>
        </w:trPr>
        <w:tc>
          <w:tcPr>
            <w:tcW w:w="79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18,327,161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18,026,554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4"/>
          </w:tcPr>
          <w:p>
            <w:pPr>
              <w:jc w:val="right"/>
              <w:ind w:right="841"/>
              <w:spacing w:after="0"/>
              <w:rPr>
                <w:sz w:val="20"/>
                <w:szCs w:val="20"/>
                <w:color w:val="auto"/>
              </w:rPr>
            </w:pPr>
            <w:r>
              <w:rPr>
                <w:rFonts w:ascii="Times New Roman" w:cs="Times New Roman" w:eastAsia="Times New Roman" w:hAnsi="Times New Roman"/>
                <w:sz w:val="20"/>
                <w:szCs w:val="20"/>
                <w:color w:val="auto"/>
              </w:rPr>
              <w:t>Three Months Ended</w:t>
            </w:r>
          </w:p>
        </w:tc>
        <w:tc>
          <w:tcPr>
            <w:tcW w:w="0" w:type="dxa"/>
            <w:vAlign w:val="bottom"/>
          </w:tcPr>
          <w:p>
            <w:pPr>
              <w:spacing w:after="0"/>
              <w:rPr>
                <w:sz w:val="1"/>
                <w:szCs w:val="1"/>
                <w:color w:val="auto"/>
              </w:rPr>
            </w:pPr>
          </w:p>
        </w:tc>
      </w:tr>
      <w:tr>
        <w:trPr>
          <w:trHeight w:val="252"/>
        </w:trPr>
        <w:tc>
          <w:tcPr>
            <w:tcW w:w="7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2025</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line="209"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Operating revenues</w:t>
            </w:r>
          </w:p>
        </w:tc>
        <w:tc>
          <w:tcPr>
            <w:tcW w:w="360" w:type="dxa"/>
            <w:vAlign w:val="bottom"/>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783,626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612,069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Operations and maintenance</w:t>
            </w:r>
          </w:p>
        </w:tc>
        <w:tc>
          <w:tcPr>
            <w:tcW w:w="36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137,824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136,900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Purchased gas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184,641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129,675</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Depreciation</w:t>
            </w:r>
          </w:p>
        </w:tc>
        <w:tc>
          <w:tcPr>
            <w:tcW w:w="36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96,764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88,716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Amortization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2,613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20"/>
                <w:szCs w:val="20"/>
                <w:color w:val="auto"/>
              </w:rPr>
              <w:t>Taxes other than income taxes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22,879</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25,024</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444,721</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381,403</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Operating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338,905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230,666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 expense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expense</w:t>
            </w:r>
          </w:p>
        </w:tc>
        <w:tc>
          <w:tcPr>
            <w:tcW w:w="36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82,065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73,273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Interest income</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(229)</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(989)</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360" w:type="dxa"/>
            <w:vAlign w:val="bottom"/>
          </w:tcPr>
          <w:p>
            <w:pPr>
              <w:spacing w:after="0"/>
              <w:rPr>
                <w:sz w:val="18"/>
                <w:szCs w:val="18"/>
                <w:color w:val="auto"/>
              </w:rPr>
            </w:pPr>
          </w:p>
        </w:tc>
        <w:tc>
          <w:tcPr>
            <w:tcW w:w="150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(5,832)</w:t>
            </w: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(4,681)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Gain on sale of other assets</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(237)</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(91,625)</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18"/>
                <w:szCs w:val="18"/>
                <w:color w:val="auto"/>
              </w:rPr>
            </w:pPr>
          </w:p>
        </w:tc>
        <w:tc>
          <w:tcPr>
            <w:tcW w:w="150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(56)</w:t>
            </w: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(442)</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Income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263,194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255,130</w:t>
            </w:r>
          </w:p>
        </w:tc>
        <w:tc>
          <w:tcPr>
            <w:tcW w:w="0" w:type="dxa"/>
            <w:vAlign w:val="bottom"/>
          </w:tcPr>
          <w:p>
            <w:pPr>
              <w:spacing w:after="0"/>
              <w:rPr>
                <w:sz w:val="1"/>
                <w:szCs w:val="1"/>
                <w:color w:val="auto"/>
              </w:rPr>
            </w:pPr>
          </w:p>
        </w:tc>
      </w:tr>
      <w:tr>
        <w:trPr>
          <w:trHeight w:val="216"/>
        </w:trPr>
        <w:tc>
          <w:tcPr>
            <w:tcW w:w="77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Income tax benefit</w:t>
            </w:r>
          </w:p>
        </w:tc>
        <w:tc>
          <w:tcPr>
            <w:tcW w:w="360" w:type="dxa"/>
            <w:vAlign w:val="bottom"/>
          </w:tcPr>
          <w:p>
            <w:pPr>
              <w:spacing w:after="0"/>
              <w:rPr>
                <w:sz w:val="18"/>
                <w:szCs w:val="18"/>
                <w:color w:val="auto"/>
              </w:rPr>
            </w:pPr>
          </w:p>
        </w:tc>
        <w:tc>
          <w:tcPr>
            <w:tcW w:w="150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auto"/>
              </w:rPr>
              <w:t>(20,595)</w:t>
            </w:r>
          </w:p>
        </w:tc>
        <w:tc>
          <w:tcPr>
            <w:tcW w:w="4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(10,642)</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Net income</w:t>
            </w:r>
          </w:p>
        </w:tc>
        <w:tc>
          <w:tcPr>
            <w:tcW w:w="360" w:type="dxa"/>
            <w:vAlign w:val="bottom"/>
            <w:tcBorders>
              <w:top w:val="single" w:sz="8" w:color="auto"/>
              <w:bottom w:val="single" w:sz="8" w:color="auto"/>
            </w:tcBorders>
            <w:shd w:val="clear" w:color="auto" w:fill="CCEEFF"/>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283,789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8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265,772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Comprehensive income</w:t>
            </w:r>
          </w:p>
        </w:tc>
        <w:tc>
          <w:tcPr>
            <w:tcW w:w="360" w:type="dxa"/>
            <w:vAlign w:val="bottom"/>
            <w:tcBorders>
              <w:bottom w:val="single" w:sz="8" w:color="auto"/>
            </w:tcBorders>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283,789</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265,772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360" w:type="dxa"/>
            <w:vAlign w:val="bottom"/>
            <w:tcBorders>
              <w:bottom w:val="single" w:sz="8" w:color="auto"/>
            </w:tcBorders>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0.97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61"/>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1.03</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ind w:right="281"/>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0.97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Basic</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275,194</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273,377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line="197" w:lineRule="exact"/>
              <w:rPr>
                <w:sz w:val="20"/>
                <w:szCs w:val="20"/>
                <w:color w:val="auto"/>
              </w:rPr>
            </w:pPr>
            <w:r>
              <w:rPr>
                <w:rFonts w:ascii="Times New Roman" w:cs="Times New Roman" w:eastAsia="Times New Roman" w:hAnsi="Times New Roman"/>
                <w:sz w:val="20"/>
                <w:szCs w:val="20"/>
                <w:color w:val="auto"/>
              </w:rPr>
              <w:t>275,687</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
              <w:spacing w:after="0" w:line="197" w:lineRule="exact"/>
              <w:rPr>
                <w:sz w:val="20"/>
                <w:szCs w:val="20"/>
                <w:color w:val="auto"/>
              </w:rPr>
            </w:pPr>
            <w:r>
              <w:rPr>
                <w:rFonts w:ascii="Times New Roman" w:cs="Times New Roman" w:eastAsia="Times New Roman" w:hAnsi="Times New Roman"/>
                <w:sz w:val="20"/>
                <w:szCs w:val="20"/>
                <w:color w:val="auto"/>
              </w:rPr>
              <w:t>273,738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CONDENSED 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March 31,</w:t>
            </w:r>
          </w:p>
        </w:tc>
        <w:tc>
          <w:tcPr>
            <w:tcW w:w="240" w:type="dxa"/>
            <w:vAlign w:val="bottom"/>
          </w:tcPr>
          <w:p>
            <w:pPr>
              <w:spacing w:after="0"/>
              <w:rPr>
                <w:sz w:val="19"/>
                <w:szCs w:val="19"/>
                <w:color w:val="auto"/>
              </w:rPr>
            </w:pPr>
          </w:p>
        </w:tc>
        <w:tc>
          <w:tcPr>
            <w:tcW w:w="16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52"/>
        </w:trPr>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5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9"/>
        </w:trPr>
        <w:tc>
          <w:tcPr>
            <w:tcW w:w="394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60"/>
              <w:spacing w:after="0" w:line="216" w:lineRule="exact"/>
              <w:rPr>
                <w:sz w:val="20"/>
                <w:szCs w:val="20"/>
                <w:color w:val="auto"/>
              </w:rPr>
            </w:pPr>
            <w:r>
              <w:rPr>
                <w:rFonts w:ascii="Times New Roman" w:cs="Times New Roman" w:eastAsia="Times New Roman" w:hAnsi="Times New Roman"/>
                <w:sz w:val="20"/>
                <w:szCs w:val="20"/>
                <w:color w:val="auto"/>
              </w:rPr>
              <w:t>Common stock, $0.50 par value</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140,053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139,105</w:t>
            </w:r>
          </w:p>
        </w:tc>
        <w:tc>
          <w:tcPr>
            <w:tcW w:w="0" w:type="dxa"/>
            <w:vAlign w:val="bottom"/>
          </w:tcPr>
          <w:p>
            <w:pPr>
              <w:spacing w:after="0"/>
              <w:rPr>
                <w:sz w:val="1"/>
                <w:szCs w:val="1"/>
                <w:color w:val="auto"/>
              </w:rPr>
            </w:pPr>
          </w:p>
        </w:tc>
      </w:tr>
      <w:tr>
        <w:trPr>
          <w:trHeight w:val="216"/>
        </w:trPr>
        <w:tc>
          <w:tcPr>
            <w:tcW w:w="39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4,268,626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4,199,836</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60"/>
              <w:spacing w:after="0" w:line="216" w:lineRule="exact"/>
              <w:rPr>
                <w:sz w:val="20"/>
                <w:szCs w:val="20"/>
                <w:color w:val="auto"/>
              </w:rPr>
            </w:pPr>
            <w:r>
              <w:rPr>
                <w:rFonts w:ascii="Times New Roman" w:cs="Times New Roman" w:eastAsia="Times New Roman" w:hAnsi="Times New Roman"/>
                <w:sz w:val="20"/>
                <w:szCs w:val="20"/>
                <w:color w:val="auto"/>
              </w:rPr>
              <w:t>Retained earnings</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2,143,020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1,949,492</w:t>
            </w:r>
          </w:p>
        </w:tc>
        <w:tc>
          <w:tcPr>
            <w:tcW w:w="0" w:type="dxa"/>
            <w:vAlign w:val="bottom"/>
          </w:tcPr>
          <w:p>
            <w:pPr>
              <w:spacing w:after="0"/>
              <w:rPr>
                <w:sz w:val="1"/>
                <w:szCs w:val="1"/>
                <w:color w:val="auto"/>
              </w:rPr>
            </w:pPr>
          </w:p>
        </w:tc>
      </w:tr>
      <w:tr>
        <w:trPr>
          <w:trHeight w:val="216"/>
        </w:trPr>
        <w:tc>
          <w:tcPr>
            <w:tcW w:w="394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20"/>
                <w:szCs w:val="20"/>
                <w:color w:val="auto"/>
              </w:rPr>
              <w:t>Treasury stock, at cost</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right"/>
              <w:ind w:right="240"/>
              <w:spacing w:after="0" w:line="216" w:lineRule="exact"/>
              <w:rPr>
                <w:sz w:val="20"/>
                <w:szCs w:val="20"/>
                <w:color w:val="auto"/>
              </w:rPr>
            </w:pPr>
            <w:r>
              <w:rPr>
                <w:rFonts w:ascii="Times New Roman" w:cs="Times New Roman" w:eastAsia="Times New Roman" w:hAnsi="Times New Roman"/>
                <w:sz w:val="20"/>
                <w:szCs w:val="20"/>
                <w:color w:val="auto"/>
              </w:rPr>
              <w:t>(91,608)</w:t>
            </w: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(89,624)</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gridSpan w:val="3"/>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stockholders' equity</w:t>
            </w:r>
          </w:p>
        </w:tc>
        <w:tc>
          <w:tcPr>
            <w:tcW w:w="5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6,460,091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6,198,809</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6"/>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Long-term debt of subsidiaries (substantially collateralized by utility plant):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20"/>
                <w:szCs w:val="20"/>
                <w:color w:val="auto"/>
                <w:w w:val="98"/>
              </w:rPr>
              <w:t>Interest Rate Range</w:t>
            </w:r>
          </w:p>
        </w:tc>
        <w:tc>
          <w:tcPr>
            <w:tcW w:w="306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20"/>
                <w:szCs w:val="20"/>
                <w:color w:val="auto"/>
                <w:w w:val="98"/>
              </w:rPr>
              <w:t>Maturity Date Range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0.00% to 0.99%</w:t>
            </w:r>
          </w:p>
        </w:tc>
        <w:tc>
          <w:tcPr>
            <w:tcW w:w="5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2028 to 2053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2,703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2,637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1.00% to 1.99%</w:t>
            </w:r>
          </w:p>
        </w:tc>
        <w:tc>
          <w:tcPr>
            <w:tcW w:w="580" w:type="dxa"/>
            <w:vAlign w:val="bottom"/>
          </w:tcPr>
          <w:p>
            <w:pPr>
              <w:spacing w:after="0"/>
              <w:rPr>
                <w:sz w:val="18"/>
                <w:szCs w:val="18"/>
                <w:color w:val="auto"/>
              </w:rPr>
            </w:pPr>
          </w:p>
        </w:tc>
        <w:tc>
          <w:tcPr>
            <w:tcW w:w="2480" w:type="dxa"/>
            <w:vAlign w:val="bottom"/>
            <w:gridSpan w:val="2"/>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2030 to 2046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12,663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11,732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2.00% to 2.99%</w:t>
            </w:r>
          </w:p>
        </w:tc>
        <w:tc>
          <w:tcPr>
            <w:tcW w:w="5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2025 to 2058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205,929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206,297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3.00% to 3.99%</w:t>
            </w:r>
          </w:p>
        </w:tc>
        <w:tc>
          <w:tcPr>
            <w:tcW w:w="580" w:type="dxa"/>
            <w:vAlign w:val="bottom"/>
          </w:tcPr>
          <w:p>
            <w:pPr>
              <w:spacing w:after="0"/>
              <w:rPr>
                <w:sz w:val="18"/>
                <w:szCs w:val="18"/>
                <w:color w:val="auto"/>
              </w:rPr>
            </w:pPr>
          </w:p>
        </w:tc>
        <w:tc>
          <w:tcPr>
            <w:tcW w:w="2480" w:type="dxa"/>
            <w:vAlign w:val="bottom"/>
            <w:gridSpan w:val="2"/>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2026 to 2056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1,256,609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1,258,003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4.00% to 4.99%</w:t>
            </w:r>
          </w:p>
        </w:tc>
        <w:tc>
          <w:tcPr>
            <w:tcW w:w="5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2025 to 2059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1,238,302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1,239,032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5.00% to 5.99%</w:t>
            </w:r>
          </w:p>
        </w:tc>
        <w:tc>
          <w:tcPr>
            <w:tcW w:w="580" w:type="dxa"/>
            <w:vAlign w:val="bottom"/>
          </w:tcPr>
          <w:p>
            <w:pPr>
              <w:spacing w:after="0"/>
              <w:rPr>
                <w:sz w:val="18"/>
                <w:szCs w:val="18"/>
                <w:color w:val="auto"/>
              </w:rPr>
            </w:pPr>
          </w:p>
        </w:tc>
        <w:tc>
          <w:tcPr>
            <w:tcW w:w="2480" w:type="dxa"/>
            <w:vAlign w:val="bottom"/>
            <w:gridSpan w:val="2"/>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2028 to 2061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312,260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312,260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6.00% to 6.99%</w:t>
            </w:r>
          </w:p>
        </w:tc>
        <w:tc>
          <w:tcPr>
            <w:tcW w:w="5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2026 to 2036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31,000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00" w:type="dxa"/>
            <w:vAlign w:val="bottom"/>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7.00% to 7.99%</w:t>
            </w:r>
          </w:p>
        </w:tc>
        <w:tc>
          <w:tcPr>
            <w:tcW w:w="580" w:type="dxa"/>
            <w:vAlign w:val="bottom"/>
          </w:tcPr>
          <w:p>
            <w:pPr>
              <w:spacing w:after="0"/>
              <w:rPr>
                <w:sz w:val="18"/>
                <w:szCs w:val="18"/>
                <w:color w:val="auto"/>
              </w:rPr>
            </w:pPr>
          </w:p>
        </w:tc>
        <w:tc>
          <w:tcPr>
            <w:tcW w:w="2480" w:type="dxa"/>
            <w:vAlign w:val="bottom"/>
            <w:gridSpan w:val="2"/>
          </w:tcPr>
          <w:p>
            <w:pPr>
              <w:jc w:val="center"/>
              <w:ind w:right="800"/>
              <w:spacing w:after="0" w:line="216" w:lineRule="exact"/>
              <w:rPr>
                <w:sz w:val="20"/>
                <w:szCs w:val="20"/>
                <w:color w:val="auto"/>
              </w:rPr>
            </w:pPr>
            <w:r>
              <w:rPr>
                <w:rFonts w:ascii="Times New Roman" w:cs="Times New Roman" w:eastAsia="Times New Roman" w:hAnsi="Times New Roman"/>
                <w:sz w:val="20"/>
                <w:szCs w:val="20"/>
                <w:color w:val="auto"/>
                <w:w w:val="98"/>
              </w:rPr>
              <w:t>2025 to 2027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27,829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27,888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8.00% to 8.99%</w:t>
            </w:r>
          </w:p>
        </w:tc>
        <w:tc>
          <w:tcPr>
            <w:tcW w:w="2240" w:type="dxa"/>
            <w:vAlign w:val="bottom"/>
            <w:gridSpan w:val="2"/>
            <w:shd w:val="clear" w:color="auto" w:fill="CCEEFF"/>
          </w:tcPr>
          <w:p>
            <w:pPr>
              <w:jc w:val="center"/>
              <w:ind w:left="501"/>
              <w:spacing w:after="0" w:line="216" w:lineRule="exact"/>
              <w:rPr>
                <w:sz w:val="20"/>
                <w:szCs w:val="20"/>
                <w:color w:val="auto"/>
              </w:rPr>
            </w:pPr>
            <w:r>
              <w:rPr>
                <w:rFonts w:ascii="Times New Roman" w:cs="Times New Roman" w:eastAsia="Times New Roman" w:hAnsi="Times New Roman"/>
                <w:sz w:val="20"/>
                <w:szCs w:val="20"/>
                <w:color w:val="auto"/>
                <w:w w:val="99"/>
              </w:rPr>
              <w:t>2025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447</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gridSpan w:val="2"/>
          </w:tcPr>
          <w:p>
            <w:pPr>
              <w:jc w:val="center"/>
              <w:ind w:right="1240"/>
              <w:spacing w:after="0" w:line="216" w:lineRule="exact"/>
              <w:rPr>
                <w:sz w:val="20"/>
                <w:szCs w:val="20"/>
                <w:color w:val="auto"/>
              </w:rPr>
            </w:pPr>
            <w:r>
              <w:rPr>
                <w:rFonts w:ascii="Times New Roman" w:cs="Times New Roman" w:eastAsia="Times New Roman" w:hAnsi="Times New Roman"/>
                <w:sz w:val="20"/>
                <w:szCs w:val="20"/>
                <w:color w:val="auto"/>
              </w:rPr>
              <w:t>9.00% to 9.99%</w:t>
            </w:r>
          </w:p>
        </w:tc>
        <w:tc>
          <w:tcPr>
            <w:tcW w:w="2240" w:type="dxa"/>
            <w:vAlign w:val="bottom"/>
            <w:tcBorders>
              <w:bottom w:val="single" w:sz="8" w:color="CCEEFF"/>
            </w:tcBorders>
            <w:gridSpan w:val="2"/>
          </w:tcPr>
          <w:p>
            <w:pPr>
              <w:jc w:val="center"/>
              <w:ind w:left="501"/>
              <w:spacing w:after="0" w:line="216" w:lineRule="exact"/>
              <w:rPr>
                <w:sz w:val="20"/>
                <w:szCs w:val="20"/>
                <w:color w:val="auto"/>
              </w:rPr>
            </w:pPr>
            <w:r>
              <w:rPr>
                <w:rFonts w:ascii="Times New Roman" w:cs="Times New Roman" w:eastAsia="Times New Roman" w:hAnsi="Times New Roman"/>
                <w:sz w:val="20"/>
                <w:szCs w:val="20"/>
                <w:color w:val="auto"/>
                <w:w w:val="99"/>
              </w:rPr>
              <w:t>2026</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11,800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11,800</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3,099,319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3,101,096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6"/>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Notes payable to bank under revolving credit agreement, variable rate, due 2027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570,000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413,000</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Unsecured notes payable:</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2.40% due 2031</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2.704% due 2030</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7000" w:type="dxa"/>
            <w:vAlign w:val="bottom"/>
            <w:gridSpan w:val="6"/>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ranging from 3.01% to 3.59% due 2029 through 2050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1,125,000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1,125,000</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4.276%, due 2049</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4.80%, due 2027</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5.30%, due 2052</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5.375%, due 2034</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20"/>
                <w:szCs w:val="20"/>
                <w:color w:val="auto"/>
              </w:rPr>
              <w:t>Notes at 5.95%, due 2033 through 2034</w:t>
            </w:r>
          </w:p>
        </w:tc>
        <w:tc>
          <w:tcPr>
            <w:tcW w:w="5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20,000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20,000</w:t>
            </w:r>
          </w:p>
        </w:tc>
        <w:tc>
          <w:tcPr>
            <w:tcW w:w="0" w:type="dxa"/>
            <w:vAlign w:val="bottom"/>
          </w:tcPr>
          <w:p>
            <w:pPr>
              <w:spacing w:after="0"/>
              <w:rPr>
                <w:sz w:val="1"/>
                <w:szCs w:val="1"/>
                <w:color w:val="auto"/>
              </w:rPr>
            </w:pPr>
          </w:p>
        </w:tc>
      </w:tr>
      <w:tr>
        <w:trPr>
          <w:trHeight w:val="210"/>
        </w:trPr>
        <w:tc>
          <w:tcPr>
            <w:tcW w:w="3940" w:type="dxa"/>
            <w:vAlign w:val="bottom"/>
            <w:gridSpan w:val="3"/>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Total long-term debt</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7,714,319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7,559,096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142,523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142,807</w:t>
            </w:r>
          </w:p>
        </w:tc>
        <w:tc>
          <w:tcPr>
            <w:tcW w:w="0" w:type="dxa"/>
            <w:vAlign w:val="bottom"/>
          </w:tcPr>
          <w:p>
            <w:pPr>
              <w:spacing w:after="0"/>
              <w:rPr>
                <w:sz w:val="1"/>
                <w:szCs w:val="1"/>
                <w:color w:val="auto"/>
              </w:rPr>
            </w:pPr>
          </w:p>
        </w:tc>
      </w:tr>
      <w:tr>
        <w:trPr>
          <w:trHeight w:val="210"/>
        </w:trPr>
        <w:tc>
          <w:tcPr>
            <w:tcW w:w="39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7,571,796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7,416,289</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Less: debt issuance costs</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46,811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47,908</w:t>
            </w: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7,524,985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7,368,381</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Total capitalization</w:t>
            </w:r>
          </w:p>
        </w:tc>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13,985,076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13,567,190</w:t>
            </w:r>
          </w:p>
        </w:tc>
        <w:tc>
          <w:tcPr>
            <w:tcW w:w="0" w:type="dxa"/>
            <w:vAlign w:val="bottom"/>
          </w:tcPr>
          <w:p>
            <w:pPr>
              <w:spacing w:after="0"/>
              <w:rPr>
                <w:sz w:val="1"/>
                <w:szCs w:val="1"/>
                <w:color w:val="auto"/>
              </w:rPr>
            </w:pPr>
          </w:p>
        </w:tc>
      </w:tr>
      <w:tr>
        <w:trPr>
          <w:trHeight w:val="20"/>
        </w:trPr>
        <w:tc>
          <w:tcPr>
            <w:tcW w:w="70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00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ind w:right="-119"/>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Capital in</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9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0"/>
                <w:szCs w:val="20"/>
                <w:color w:val="auto"/>
              </w:rPr>
              <w:t>Common</w:t>
            </w:r>
          </w:p>
        </w:tc>
        <w:tc>
          <w:tcPr>
            <w:tcW w:w="10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0"/>
                <w:szCs w:val="20"/>
                <w:color w:val="auto"/>
              </w:rPr>
              <w:t>Excess of</w:t>
            </w:r>
          </w:p>
        </w:tc>
        <w:tc>
          <w:tcPr>
            <w:tcW w:w="10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Retained</w:t>
            </w:r>
          </w:p>
        </w:tc>
        <w:tc>
          <w:tcPr>
            <w:tcW w:w="94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Treasury</w:t>
            </w:r>
          </w:p>
        </w:tc>
        <w:tc>
          <w:tcPr>
            <w:tcW w:w="1020" w:type="dxa"/>
            <w:vAlign w:val="bottom"/>
          </w:tcPr>
          <w:p>
            <w:pPr>
              <w:spacing w:after="0"/>
              <w:rPr>
                <w:sz w:val="18"/>
                <w:szCs w:val="18"/>
                <w:color w:val="auto"/>
              </w:rPr>
            </w:pPr>
          </w:p>
        </w:tc>
      </w:tr>
      <w:tr>
        <w:trPr>
          <w:trHeight w:val="252"/>
        </w:trPr>
        <w:tc>
          <w:tcPr>
            <w:tcW w:w="60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Stock</w:t>
            </w:r>
          </w:p>
        </w:tc>
        <w:tc>
          <w:tcPr>
            <w:tcW w:w="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Par Value</w:t>
            </w:r>
          </w:p>
        </w:tc>
        <w:tc>
          <w:tcPr>
            <w:tcW w:w="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Earnings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Stock</w:t>
            </w:r>
          </w:p>
        </w:tc>
        <w:tc>
          <w:tcPr>
            <w:tcW w:w="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Total</w:t>
            </w:r>
          </w:p>
        </w:tc>
      </w:tr>
      <w:tr>
        <w:trPr>
          <w:trHeight w:val="42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$ 139,105</w:t>
            </w:r>
          </w:p>
        </w:tc>
        <w:tc>
          <w:tcPr>
            <w:tcW w:w="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$ 4,199,836</w:t>
            </w:r>
          </w:p>
        </w:tc>
        <w:tc>
          <w:tcPr>
            <w:tcW w:w="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$ 1,949,492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(89,624)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$ 6,198,809</w:t>
            </w: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Net income</w:t>
            </w:r>
          </w:p>
        </w:tc>
        <w:tc>
          <w:tcPr>
            <w:tcW w:w="9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283,789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283,789</w:t>
            </w: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Dividends of March 1, 2025 ($0.3255 per share)</w:t>
            </w:r>
          </w:p>
        </w:tc>
        <w:tc>
          <w:tcPr>
            <w:tcW w:w="9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w:t>
            </w: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Dividends of June 2, 2025 declared ($0.3255 per share)</w:t>
            </w:r>
          </w:p>
        </w:tc>
        <w:tc>
          <w:tcPr>
            <w:tcW w:w="9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(90,054)</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(90,054)</w:t>
            </w:r>
          </w:p>
        </w:tc>
      </w:tr>
      <w:tr>
        <w:trPr>
          <w:trHeight w:val="180"/>
        </w:trPr>
        <w:tc>
          <w:tcPr>
            <w:tcW w:w="6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20"/>
                <w:szCs w:val="20"/>
                <w:color w:val="auto"/>
              </w:rPr>
              <w:t>Issuance of common stock under dividend reinvestment plan (104,369</w:t>
            </w: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5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3,760</w:t>
            </w: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3,812</w:t>
            </w:r>
          </w:p>
        </w:tc>
      </w:tr>
      <w:tr>
        <w:trPr>
          <w:trHeight w:val="180"/>
        </w:trPr>
        <w:tc>
          <w:tcPr>
            <w:tcW w:w="6060" w:type="dxa"/>
            <w:vAlign w:val="bottom"/>
          </w:tcPr>
          <w:p>
            <w:pPr>
              <w:spacing w:after="0" w:line="180" w:lineRule="exact"/>
              <w:rPr>
                <w:sz w:val="20"/>
                <w:szCs w:val="20"/>
                <w:color w:val="auto"/>
              </w:rPr>
            </w:pPr>
            <w:r>
              <w:rPr>
                <w:rFonts w:ascii="Times New Roman" w:cs="Times New Roman" w:eastAsia="Times New Roman" w:hAnsi="Times New Roman"/>
                <w:sz w:val="20"/>
                <w:szCs w:val="20"/>
                <w:color w:val="auto"/>
              </w:rPr>
              <w:t>Issuance of common stock from at-the-market sale agreements (1,627,009</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62,267</w:t>
            </w:r>
          </w:p>
        </w:tc>
        <w:tc>
          <w:tcPr>
            <w:tcW w:w="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63,080</w:t>
            </w: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Repurchase of stock (61,455 shares)</w:t>
            </w:r>
          </w:p>
        </w:tc>
        <w:tc>
          <w:tcPr>
            <w:tcW w:w="9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(2,234)</w:t>
            </w: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(2,234)</w:t>
            </w: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Equity compensation plan (155,823 shares)</w:t>
            </w: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18"/>
                <w:szCs w:val="18"/>
                <w:color w:val="auto"/>
              </w:rPr>
            </w:pP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(78)</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Exercise of stock options (9,703 shares)</w:t>
            </w:r>
          </w:p>
        </w:tc>
        <w:tc>
          <w:tcPr>
            <w:tcW w:w="8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337</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342</w:t>
            </w: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Stock-based compensation</w:t>
            </w:r>
          </w:p>
        </w:tc>
        <w:tc>
          <w:tcPr>
            <w:tcW w:w="9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2,592</w:t>
            </w:r>
          </w:p>
        </w:tc>
        <w:tc>
          <w:tcPr>
            <w:tcW w:w="60" w:type="dxa"/>
            <w:vAlign w:val="bottom"/>
          </w:tcPr>
          <w:p>
            <w:pPr>
              <w:spacing w:after="0"/>
              <w:rPr>
                <w:sz w:val="18"/>
                <w:szCs w:val="18"/>
                <w:color w:val="auto"/>
              </w:rPr>
            </w:pP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(185)</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2,407</w:t>
            </w: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88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(88)</w:t>
            </w: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250</w:t>
            </w: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162</w:t>
            </w:r>
          </w:p>
        </w:tc>
      </w:tr>
      <w:tr>
        <w:trPr>
          <w:trHeight w:val="426"/>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Balance at March 31, 2025</w:t>
            </w:r>
          </w:p>
        </w:tc>
        <w:tc>
          <w:tcPr>
            <w:tcW w:w="880" w:type="dxa"/>
            <w:vAlign w:val="bottom"/>
          </w:tcPr>
          <w:p>
            <w:pPr>
              <w:jc w:val="right"/>
              <w:spacing w:after="0" w:line="425" w:lineRule="exact"/>
              <w:rPr>
                <w:sz w:val="20"/>
                <w:szCs w:val="20"/>
                <w:color w:val="auto"/>
              </w:rPr>
            </w:pPr>
            <w:r>
              <w:rPr>
                <w:rFonts w:ascii="Times New Roman" w:cs="Times New Roman" w:eastAsia="Times New Roman" w:hAnsi="Times New Roman"/>
                <w:sz w:val="39"/>
                <w:szCs w:val="39"/>
                <w:color w:val="auto"/>
                <w:w w:val="96"/>
                <w:vertAlign w:val="superscript"/>
              </w:rPr>
              <w:t>$</w:t>
            </w:r>
            <w:r>
              <w:rPr>
                <w:rFonts w:ascii="Times New Roman" w:cs="Times New Roman" w:eastAsia="Times New Roman" w:hAnsi="Times New Roman"/>
                <w:sz w:val="20"/>
                <w:szCs w:val="20"/>
                <w:color w:val="auto"/>
                <w:w w:val="96"/>
              </w:rPr>
              <w:t xml:space="preserve"> 140,053</w:t>
            </w:r>
          </w:p>
        </w:tc>
        <w:tc>
          <w:tcPr>
            <w:tcW w:w="60" w:type="dxa"/>
            <w:vAlign w:val="bottom"/>
          </w:tcPr>
          <w:p>
            <w:pPr>
              <w:spacing w:after="0"/>
              <w:rPr>
                <w:sz w:val="24"/>
                <w:szCs w:val="24"/>
                <w:color w:val="auto"/>
              </w:rPr>
            </w:pPr>
          </w:p>
        </w:tc>
        <w:tc>
          <w:tcPr>
            <w:tcW w:w="1020" w:type="dxa"/>
            <w:vAlign w:val="bottom"/>
          </w:tcPr>
          <w:p>
            <w:pPr>
              <w:jc w:val="right"/>
              <w:spacing w:after="0" w:line="425" w:lineRule="exact"/>
              <w:rPr>
                <w:sz w:val="20"/>
                <w:szCs w:val="20"/>
                <w:color w:val="auto"/>
              </w:rPr>
            </w:pPr>
            <w:r>
              <w:rPr>
                <w:rFonts w:ascii="Times New Roman" w:cs="Times New Roman" w:eastAsia="Times New Roman" w:hAnsi="Times New Roman"/>
                <w:sz w:val="39"/>
                <w:szCs w:val="39"/>
                <w:color w:val="auto"/>
                <w:w w:val="95"/>
                <w:vertAlign w:val="superscript"/>
              </w:rPr>
              <w:t>$</w:t>
            </w:r>
            <w:r>
              <w:rPr>
                <w:rFonts w:ascii="Times New Roman" w:cs="Times New Roman" w:eastAsia="Times New Roman" w:hAnsi="Times New Roman"/>
                <w:sz w:val="20"/>
                <w:szCs w:val="20"/>
                <w:color w:val="auto"/>
                <w:w w:val="95"/>
              </w:rPr>
              <w:t xml:space="preserve"> 4,268,626</w:t>
            </w:r>
          </w:p>
        </w:tc>
        <w:tc>
          <w:tcPr>
            <w:tcW w:w="60" w:type="dxa"/>
            <w:vAlign w:val="bottom"/>
          </w:tcPr>
          <w:p>
            <w:pPr>
              <w:spacing w:after="0"/>
              <w:rPr>
                <w:sz w:val="24"/>
                <w:szCs w:val="24"/>
                <w:color w:val="auto"/>
              </w:rPr>
            </w:pPr>
          </w:p>
        </w:tc>
        <w:tc>
          <w:tcPr>
            <w:tcW w:w="1020" w:type="dxa"/>
            <w:vAlign w:val="bottom"/>
          </w:tcPr>
          <w:p>
            <w:pPr>
              <w:jc w:val="right"/>
              <w:spacing w:after="0" w:line="425" w:lineRule="exact"/>
              <w:rPr>
                <w:sz w:val="20"/>
                <w:szCs w:val="20"/>
                <w:color w:val="auto"/>
              </w:rPr>
            </w:pPr>
            <w:r>
              <w:rPr>
                <w:rFonts w:ascii="Times New Roman" w:cs="Times New Roman" w:eastAsia="Times New Roman" w:hAnsi="Times New Roman"/>
                <w:sz w:val="39"/>
                <w:szCs w:val="39"/>
                <w:color w:val="auto"/>
                <w:w w:val="95"/>
                <w:vertAlign w:val="superscript"/>
              </w:rPr>
              <w:t>$</w:t>
            </w:r>
            <w:r>
              <w:rPr>
                <w:rFonts w:ascii="Times New Roman" w:cs="Times New Roman" w:eastAsia="Times New Roman" w:hAnsi="Times New Roman"/>
                <w:sz w:val="20"/>
                <w:szCs w:val="20"/>
                <w:color w:val="auto"/>
                <w:w w:val="95"/>
              </w:rPr>
              <w:t xml:space="preserve"> 2,143,020</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(91,608)</w:t>
            </w:r>
          </w:p>
        </w:tc>
        <w:tc>
          <w:tcPr>
            <w:tcW w:w="1020" w:type="dxa"/>
            <w:vAlign w:val="bottom"/>
          </w:tcPr>
          <w:p>
            <w:pPr>
              <w:jc w:val="right"/>
              <w:spacing w:after="0" w:line="425" w:lineRule="exact"/>
              <w:rPr>
                <w:sz w:val="20"/>
                <w:szCs w:val="20"/>
                <w:color w:val="auto"/>
              </w:rPr>
            </w:pPr>
            <w:r>
              <w:rPr>
                <w:rFonts w:ascii="Times New Roman" w:cs="Times New Roman" w:eastAsia="Times New Roman" w:hAnsi="Times New Roman"/>
                <w:sz w:val="39"/>
                <w:szCs w:val="39"/>
                <w:color w:val="auto"/>
                <w:w w:val="95"/>
                <w:vertAlign w:val="superscript"/>
              </w:rPr>
              <w:t>$</w:t>
            </w:r>
            <w:r>
              <w:rPr>
                <w:rFonts w:ascii="Times New Roman" w:cs="Times New Roman" w:eastAsia="Times New Roman" w:hAnsi="Times New Roman"/>
                <w:sz w:val="20"/>
                <w:szCs w:val="20"/>
                <w:color w:val="auto"/>
                <w:w w:val="95"/>
              </w:rPr>
              <w:t xml:space="preserve"> 6,460,091</w:t>
            </w: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Capital in</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6280" w:type="dxa"/>
            <w:vAlign w:val="bottom"/>
          </w:tcPr>
          <w:p>
            <w:pPr>
              <w:spacing w:after="0"/>
              <w:rPr>
                <w:sz w:val="18"/>
                <w:szCs w:val="18"/>
                <w:color w:val="auto"/>
              </w:rPr>
            </w:pPr>
          </w:p>
        </w:tc>
        <w:tc>
          <w:tcPr>
            <w:tcW w:w="92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Common</w:t>
            </w:r>
          </w:p>
        </w:tc>
        <w:tc>
          <w:tcPr>
            <w:tcW w:w="106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Excess of</w:t>
            </w:r>
          </w:p>
        </w:tc>
        <w:tc>
          <w:tcPr>
            <w:tcW w:w="108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Retained</w:t>
            </w:r>
          </w:p>
        </w:tc>
        <w:tc>
          <w:tcPr>
            <w:tcW w:w="90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Treasury</w:t>
            </w:r>
          </w:p>
        </w:tc>
        <w:tc>
          <w:tcPr>
            <w:tcW w:w="1000" w:type="dxa"/>
            <w:vAlign w:val="bottom"/>
          </w:tcPr>
          <w:p>
            <w:pPr>
              <w:spacing w:after="0"/>
              <w:rPr>
                <w:sz w:val="18"/>
                <w:szCs w:val="18"/>
                <w:color w:val="auto"/>
              </w:rPr>
            </w:pPr>
          </w:p>
        </w:tc>
      </w:tr>
      <w:tr>
        <w:trPr>
          <w:trHeight w:val="252"/>
        </w:trPr>
        <w:tc>
          <w:tcPr>
            <w:tcW w:w="62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Stock</w:t>
            </w:r>
          </w:p>
        </w:tc>
        <w:tc>
          <w:tcPr>
            <w:tcW w:w="10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Par Value</w:t>
            </w: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Earnings</w:t>
            </w: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Stock</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Total</w:t>
            </w:r>
          </w:p>
        </w:tc>
      </w:tr>
      <w:tr>
        <w:trPr>
          <w:trHeight w:val="426"/>
        </w:trPr>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92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$ 138,297</w:t>
            </w:r>
          </w:p>
        </w:tc>
        <w:tc>
          <w:tcPr>
            <w:tcW w:w="10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8"/>
              </w:rPr>
              <w:t>$ 4,137,696</w:t>
            </w:r>
          </w:p>
        </w:tc>
        <w:tc>
          <w:tcPr>
            <w:tcW w:w="10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8"/>
              </w:rPr>
              <w:t>$ 1,706,675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(86,485)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$ 5,896,183</w:t>
            </w: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Net income</w:t>
            </w: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265,772</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265,772</w:t>
            </w:r>
          </w:p>
        </w:tc>
      </w:tr>
      <w:tr>
        <w:trPr>
          <w:trHeight w:val="216"/>
        </w:trPr>
        <w:tc>
          <w:tcPr>
            <w:tcW w:w="62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Dividends of March 1, 2024 ($0.3071 per share)</w:t>
            </w:r>
          </w:p>
        </w:tc>
        <w:tc>
          <w:tcPr>
            <w:tcW w:w="92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w:t>
            </w:r>
          </w:p>
        </w:tc>
        <w:tc>
          <w:tcPr>
            <w:tcW w:w="90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w:t>
            </w: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Dividends of June 1, 2024 declared ($0.3071 per share)</w:t>
            </w: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(83,998)</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(83,998)</w:t>
            </w:r>
          </w:p>
        </w:tc>
      </w:tr>
      <w:tr>
        <w:trPr>
          <w:trHeight w:val="216"/>
        </w:trPr>
        <w:tc>
          <w:tcPr>
            <w:tcW w:w="62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w w:val="99"/>
              </w:rPr>
              <w:t>Issuance of common stock under dividend reinvestment plan (117,210 shares)</w:t>
            </w:r>
          </w:p>
        </w:tc>
        <w:tc>
          <w:tcPr>
            <w:tcW w:w="920" w:type="dxa"/>
            <w:vAlign w:val="bottom"/>
            <w:tcBorders>
              <w:right w:val="single" w:sz="8" w:color="CCEEFF"/>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59</w:t>
            </w:r>
          </w:p>
        </w:tc>
        <w:tc>
          <w:tcPr>
            <w:tcW w:w="1060" w:type="dxa"/>
            <w:vAlign w:val="bottom"/>
            <w:tcBorders>
              <w:right w:val="single" w:sz="8" w:color="CCEEFF"/>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3,823</w:t>
            </w:r>
          </w:p>
        </w:tc>
        <w:tc>
          <w:tcPr>
            <w:tcW w:w="108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3,882</w:t>
            </w: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Repurchase of stock (62,872 shares)</w:t>
            </w: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(2,231)</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(2,231)</w:t>
            </w:r>
          </w:p>
        </w:tc>
      </w:tr>
      <w:tr>
        <w:trPr>
          <w:trHeight w:val="216"/>
        </w:trPr>
        <w:tc>
          <w:tcPr>
            <w:tcW w:w="62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Equity compensation plan (160,694 shares)</w:t>
            </w:r>
          </w:p>
        </w:tc>
        <w:tc>
          <w:tcPr>
            <w:tcW w:w="920" w:type="dxa"/>
            <w:vAlign w:val="bottom"/>
            <w:tcBorders>
              <w:right w:val="single" w:sz="8" w:color="CCEEFF"/>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80</w:t>
            </w:r>
          </w:p>
        </w:tc>
        <w:tc>
          <w:tcPr>
            <w:tcW w:w="106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(80)</w:t>
            </w:r>
          </w:p>
        </w:tc>
        <w:tc>
          <w:tcPr>
            <w:tcW w:w="108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Exercise of stock options (4,971 shares)</w:t>
            </w:r>
          </w:p>
        </w:tc>
        <w:tc>
          <w:tcPr>
            <w:tcW w:w="92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w:t>
            </w:r>
          </w:p>
        </w:tc>
        <w:tc>
          <w:tcPr>
            <w:tcW w:w="106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173</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175</w:t>
            </w:r>
          </w:p>
        </w:tc>
      </w:tr>
      <w:tr>
        <w:trPr>
          <w:trHeight w:val="216"/>
        </w:trPr>
        <w:tc>
          <w:tcPr>
            <w:tcW w:w="62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Stock-based compensation</w:t>
            </w:r>
          </w:p>
        </w:tc>
        <w:tc>
          <w:tcPr>
            <w:tcW w:w="92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1,049</w:t>
            </w:r>
          </w:p>
        </w:tc>
        <w:tc>
          <w:tcPr>
            <w:tcW w:w="1080" w:type="dxa"/>
            <w:vAlign w:val="bottom"/>
            <w:tcBorders>
              <w:right w:val="single" w:sz="8" w:color="CCEEFF"/>
            </w:tcBorders>
            <w:shd w:val="clear" w:color="auto" w:fill="CCEEFF"/>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73</w:t>
            </w:r>
          </w:p>
        </w:tc>
        <w:tc>
          <w:tcPr>
            <w:tcW w:w="900" w:type="dxa"/>
            <w:vAlign w:val="bottom"/>
            <w:tcBorders>
              <w:right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1,122</w:t>
            </w: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w:t>
            </w: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(51)</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274</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223</w:t>
            </w:r>
          </w:p>
        </w:tc>
      </w:tr>
      <w:tr>
        <w:trPr>
          <w:trHeight w:val="20"/>
        </w:trPr>
        <w:tc>
          <w:tcPr>
            <w:tcW w:w="62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426"/>
        </w:trPr>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March 31, 2024</w:t>
            </w:r>
          </w:p>
        </w:tc>
        <w:tc>
          <w:tcPr>
            <w:tcW w:w="92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7"/>
              </w:rPr>
              <w:t>$ 138,438</w:t>
            </w:r>
          </w:p>
        </w:tc>
        <w:tc>
          <w:tcPr>
            <w:tcW w:w="10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8"/>
              </w:rPr>
              <w:t>$ 4,142,610</w:t>
            </w:r>
          </w:p>
        </w:tc>
        <w:tc>
          <w:tcPr>
            <w:tcW w:w="10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8"/>
              </w:rPr>
              <w:t>$ 1,888,521</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(88,442)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$ 6,081,127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CONDENSED 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283,789</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99,377</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89,804</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(18,605)</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(12,323)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357</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7,756</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2,604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(237)</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(91,625)</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(9,126)</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(47,945)</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(18,212)</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(10,697)</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299,517</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240,713</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$1,891 and $1,807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(270,539)</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(252,998)</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(17,552)</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240</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166,563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(29)</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(287,880)</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(86,483)</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7,065</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(1,317)</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(97,252)</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(72,623)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708,150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618,008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(551,150)</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(586,649)</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(41,204)</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(2,420)</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3,812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63,080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(2,234)</w:t>
            </w:r>
          </w:p>
        </w:tc>
        <w:tc>
          <w:tcPr>
            <w:tcW w:w="3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(89,463)</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(83,930)</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162</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(123,642)</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11,628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30,588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9,156</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0" w:type="dxa"/>
            <w:vAlign w:val="bottom"/>
          </w:tcPr>
          <w:p>
            <w:pPr>
              <w:spacing w:after="0"/>
              <w:rPr>
                <w:sz w:val="1"/>
                <w:szCs w:val="1"/>
                <w:color w:val="auto"/>
              </w:rPr>
            </w:pPr>
          </w:p>
        </w:tc>
      </w:tr>
      <w:tr>
        <w:trPr>
          <w:trHeight w:val="169"/>
        </w:trPr>
        <w:tc>
          <w:tcPr>
            <w:tcW w:w="8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20,784</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7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35,200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109,976</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91,576</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26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accompanying unaudited condensed consolidated balance sheets and statements of capitalization of Essential Utilities, Inc. and subsidiaries (collectively, the “Company”, “we”, “us” or “our”) at March 31, 2025, and the unaudited condensed consolidated statements of operations and comprehensive income, cash flows and equity for the three months ended March 31, 2025 and 2024,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2024.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7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80"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2024</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Revenues</w:t>
            </w: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302,073</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35,594</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206,926</w:t>
            </w: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247,227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51,303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471,985</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2,891</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227,698</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48,743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323,180</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2,810</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246,922</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51,035</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470,797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14,872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228,354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48,730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324,331</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10,654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Water and Wastewater Utility Acquisitions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Completed Acquisitions</w:t>
      </w:r>
    </w:p>
    <w:p>
      <w:pPr>
        <w:spacing w:after="0" w:line="212" w:lineRule="exact"/>
        <w:rPr>
          <w:sz w:val="20"/>
          <w:szCs w:val="20"/>
          <w:color w:val="auto"/>
        </w:rPr>
      </w:pPr>
    </w:p>
    <w:p>
      <w:pPr>
        <w:ind w:right="880"/>
        <w:spacing w:after="0" w:line="245" w:lineRule="auto"/>
        <w:rPr>
          <w:sz w:val="20"/>
          <w:szCs w:val="20"/>
          <w:color w:val="auto"/>
        </w:rPr>
      </w:pPr>
      <w:r>
        <w:rPr>
          <w:rFonts w:ascii="Times New Roman" w:cs="Times New Roman" w:eastAsia="Times New Roman" w:hAnsi="Times New Roman"/>
          <w:sz w:val="22"/>
          <w:szCs w:val="22"/>
          <w:color w:val="auto"/>
        </w:rPr>
        <w:t>In April 2025, the Company acquired the Village of Midvale’s water system in Ohio, which serves approximately 1,000 customers for $2,950.</w:t>
      </w:r>
    </w:p>
    <w:p>
      <w:pPr>
        <w:spacing w:after="0" w:line="186"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In January 2025, the Company acquired Greenville Sanitary Authority’s wastewater utility assets, which serve approximately 2,300 customers in Greenville, Pennsylvania for $18,000.</w:t>
      </w:r>
    </w:p>
    <w:p>
      <w:pPr>
        <w:spacing w:after="0" w:line="186"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In October 2024, the Company acquired wastewater utility assets in Morgan County, Indiana, which serve approximately 100 customers for $500.</w:t>
      </w:r>
    </w:p>
    <w:p>
      <w:pPr>
        <w:spacing w:after="0" w:line="18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In May 2024, the Company acquired the wastewater utility assets of Westfield HOA, which serve approximately 200 customers within Westfield Homeowners Subdivision in Glenview, Illinois for a cash purchase price of $67.</w:t>
      </w:r>
    </w:p>
    <w:p>
      <w:pPr>
        <w:spacing w:after="0" w:line="118" w:lineRule="exact"/>
        <w:rPr>
          <w:sz w:val="20"/>
          <w:szCs w:val="20"/>
          <w:color w:val="auto"/>
        </w:rPr>
      </w:pPr>
    </w:p>
    <w:p>
      <w:pPr>
        <w:ind w:right="2140"/>
        <w:spacing w:after="0" w:line="441" w:lineRule="auto"/>
        <w:rPr>
          <w:sz w:val="20"/>
          <w:szCs w:val="20"/>
          <w:color w:val="auto"/>
        </w:rPr>
      </w:pPr>
      <w:r>
        <w:rPr>
          <w:rFonts w:ascii="Times New Roman" w:cs="Times New Roman" w:eastAsia="Times New Roman" w:hAnsi="Times New Roman"/>
          <w:sz w:val="22"/>
          <w:szCs w:val="22"/>
          <w:color w:val="auto"/>
        </w:rPr>
        <w:t xml:space="preserve">The purchase price allocation for these acquisitions consisted primarily of property, plant and equipment. </w:t>
      </w:r>
      <w:r>
        <w:rPr>
          <w:rFonts w:ascii="Times New Roman" w:cs="Times New Roman" w:eastAsia="Times New Roman" w:hAnsi="Times New Roman"/>
          <w:sz w:val="22"/>
          <w:szCs w:val="22"/>
          <w:b w:val="1"/>
          <w:bCs w:val="1"/>
          <w:i w:val="1"/>
          <w:iCs w:val="1"/>
          <w:color w:val="auto"/>
        </w:rPr>
        <w:t>Pending Acquisitions</w:t>
      </w:r>
    </w:p>
    <w:p>
      <w:pPr>
        <w:spacing w:after="0" w:line="2"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2"/>
          <w:szCs w:val="22"/>
          <w:color w:val="auto"/>
        </w:rPr>
        <w:t>In October 2024, the Company entered into a purchase agreement to acquire Integra Water Texas, LLC’s wastewater system assets in Bastrop County, Texas, which serve approximately 1,100 customers for $4,400.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In June 2024, the Company entered into a purchase agreement to acquire private water and wastewater utility assets in Harris County, Texas, which serve approximately 400 equivalent retail customers for $1,125.</w:t>
      </w:r>
    </w:p>
    <w:p>
      <w:pPr>
        <w:spacing w:after="0" w:line="186"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1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In October 2021, the Company entered into a purchase agreement to acquire the wastewater utility assets of the City of Beaver Falls, Pennsylvania which consist of approximately 7,600 equivalent retail customers for $37,750, as amended.</w:t>
      </w:r>
    </w:p>
    <w:p>
      <w:pPr>
        <w:spacing w:after="0" w:line="18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commercial paper program and revolving credit facility until permanent debt and common equity are secured. These pending acquisitions are expected to close in 2025. Closings for our utility acquisitions are subject to the timing of the respective regulatory approval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East Whiteland Purchase Agreement</w:t>
      </w:r>
    </w:p>
    <w:p>
      <w:pPr>
        <w:spacing w:after="0" w:line="21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 2024, the Pennsylvania Supreme Court granted the Petitions for Allowance of Appeal of the Pennsylvania Public Utility Commission, the Company, and East Whiteland Township. The Company, the Pennsylvania Public Utility Commission, East Whiteland Township, and several Amicus Curiae filed Initial Briefs on September 26, 2024. The OCA submitted its Brief on December 10, 2024 and the Company, the Pennsylvania Public Utility Commission, and East Whiteland Township submitted Reply Briefs. Arguments before the Pennsylvania Supreme Court are scheduled to occur in May 2025. Management believes the final resolution of this matter will not have a material adverse effect on the Company’s financial position, results of operations, or cash flows.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1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Dispositions</w:t>
      </w:r>
    </w:p>
    <w:p>
      <w:pPr>
        <w:spacing w:after="0" w:line="212" w:lineRule="exact"/>
        <w:rPr>
          <w:sz w:val="20"/>
          <w:szCs w:val="20"/>
          <w:color w:val="auto"/>
        </w:rPr>
      </w:pPr>
    </w:p>
    <w:p>
      <w:pPr>
        <w:jc w:val="both"/>
        <w:ind w:right="160"/>
        <w:spacing w:after="0" w:line="233" w:lineRule="auto"/>
        <w:rPr>
          <w:sz w:val="20"/>
          <w:szCs w:val="20"/>
          <w:color w:val="auto"/>
        </w:rPr>
      </w:pPr>
      <w:r>
        <w:rPr>
          <w:rFonts w:ascii="Times New Roman" w:cs="Times New Roman" w:eastAsia="Times New Roman" w:hAnsi="Times New Roman"/>
          <w:sz w:val="22"/>
          <w:szCs w:val="22"/>
          <w:color w:val="auto"/>
        </w:rPr>
        <w:t>In October 2023, the Company entered into an agreement to sell its interest in three non-utility local microgrid and distributed energy projects for $165,000. The sale was completed in January 2024, and the Company recognized a gain of $91,236 during the first quarter of 2024, which is included in other expense (income) in the accompanying condensed consolidated statement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Regulated Water</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58,425</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2,340,713</w:t>
            </w:r>
          </w:p>
        </w:tc>
      </w:tr>
      <w:tr>
        <w:trPr>
          <w:trHeight w:val="230"/>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March 31, 2025</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58,425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2,277,447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2,340,713</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33" w:lineRule="auto"/>
        <w:rPr>
          <w:sz w:val="20"/>
          <w:szCs w:val="20"/>
          <w:color w:val="auto"/>
        </w:rPr>
      </w:pPr>
      <w:r>
        <w:rPr>
          <w:rFonts w:ascii="Times New Roman" w:cs="Times New Roman" w:eastAsia="Times New Roman" w:hAnsi="Times New Roman"/>
          <w:sz w:val="22"/>
          <w:szCs w:val="22"/>
          <w:color w:val="auto"/>
        </w:rPr>
        <w:t>One of our subsidiaries in the Regulated Water segment has a mechanism that allows the reclassification of goodwill to utility plant acquisition adjustment. The mechanism provides for the transfer over time, and the recovery through customer rates, of goodwill associated with some acquisitions upon achieving specific objectives. There was no reclassification made during the first quarter of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26"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22"/>
          <w:szCs w:val="22"/>
          <w:color w:val="auto"/>
        </w:rPr>
        <w:t>On August 13, 2024, the Company established a new at-the-market equity sales program (“ATM”), under which it may issue and sell shares of its common stock up to an aggregate offering price of $1,000,000 (“2024 ATM”). During the three months ended March 31, 2025, we issued 1,627,009 shares of common stock for net proceeds of approximately $63,000 under the 2024 ATM. As of March 31, 2025, the 2024 ATM had approximately $900,000 of equity available for issuance. The Company used the net proceeds from the sales of shares through the 2024 ATM for working capital, capital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expenditures, water and wastewater utility acquisitions, and repaying a portion of outstanding indebtedness.</w:t>
      </w:r>
    </w:p>
    <w:p>
      <w:pPr>
        <w:spacing w:after="0" w:line="206"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2"/>
          <w:szCs w:val="22"/>
          <w:color w:val="auto"/>
        </w:rPr>
        <w:t>In April 2025, the Company issued 3,664,762 common shares under the 2024 ATM for a total net proceeds of approximately $145,500.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Commercial Paper Program</w:t>
      </w:r>
    </w:p>
    <w:p>
      <w:pPr>
        <w:spacing w:after="0" w:line="21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will rank equally with the Company’s present and future unsecured indebtedness. The Company intends to use the net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March 31, 2025, no CP Notes were issued and were outstanding under the CP Program.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and Short-Term Debt</w:t>
      </w:r>
    </w:p>
    <w:p>
      <w:pPr>
        <w:spacing w:after="0" w:line="22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The condensed consolidated statements of capitalization provide a summary of the Company’s long-term and short term debt as of March 31, 2025 and December 31 2024. There were no material changes in our debt instruments during the three months ended March 31, 2025.</w:t>
      </w:r>
    </w:p>
    <w:p>
      <w:pPr>
        <w:spacing w:after="0" w:line="192"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The Company was in compliance with its debt covenants under its loan and debt agreements as of March 31, 2025.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months ended March 31, 2025.</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March 31, 2025 and December 31, 2024, the carrying amount of the Company’s loans payable was $89,289 and $186,542, respectively, which equates to their estimated fair value. The fair value of cash and cash equivalents is determined based on Level 1 methods and assumptions. As of March 31, 2025 and December 31, 2024, the carrying amounts of the Company's cash and cash equivalents was $20,784 and $9,156,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2025 and December 31, 2024, the carrying amount of these securities was $31,253 and $31,324, respectively, which equates to their fair value, and is reported in the condensed consolidated balance sheet in deferred charges and other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7"/>
                <w:szCs w:val="17"/>
                <w:color w:val="auto"/>
              </w:rPr>
            </w:pPr>
          </w:p>
        </w:tc>
      </w:tr>
      <w:tr>
        <w:trPr>
          <w:trHeight w:val="221"/>
        </w:trPr>
        <w:tc>
          <w:tcPr>
            <w:tcW w:w="84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19"/>
                <w:szCs w:val="19"/>
                <w:color w:val="auto"/>
              </w:rPr>
            </w:pPr>
          </w:p>
        </w:tc>
      </w:tr>
      <w:tr>
        <w:trPr>
          <w:trHeight w:val="183"/>
        </w:trPr>
        <w:tc>
          <w:tcPr>
            <w:tcW w:w="84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5"/>
                <w:szCs w:val="15"/>
                <w:color w:val="auto"/>
              </w:rPr>
            </w:pPr>
          </w:p>
        </w:tc>
      </w:tr>
      <w:tr>
        <w:trPr>
          <w:trHeight w:val="182"/>
        </w:trPr>
        <w:tc>
          <w:tcPr>
            <w:tcW w:w="84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651</w:t>
            </w: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421</w:t>
            </w:r>
          </w:p>
        </w:tc>
      </w:tr>
      <w:tr>
        <w:trPr>
          <w:trHeight w:val="189"/>
        </w:trPr>
        <w:tc>
          <w:tcPr>
            <w:tcW w:w="84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4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Unrealized gain recognized during the reporting period on equity securities still held at the reporting date</w:t>
            </w:r>
          </w:p>
        </w:tc>
        <w:tc>
          <w:tcPr>
            <w:tcW w:w="920" w:type="dxa"/>
            <w:vAlign w:val="bottom"/>
            <w:tcBorders>
              <w:bottom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651</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421</w:t>
            </w:r>
          </w:p>
        </w:tc>
      </w:tr>
      <w:tr>
        <w:trPr>
          <w:trHeight w:val="20"/>
        </w:trPr>
        <w:tc>
          <w:tcPr>
            <w:tcW w:w="8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120"/>
        <w:spacing w:after="0" w:line="245" w:lineRule="auto"/>
        <w:rPr>
          <w:sz w:val="20"/>
          <w:szCs w:val="20"/>
          <w:color w:val="auto"/>
        </w:rPr>
      </w:pPr>
      <w:r>
        <w:rPr>
          <w:rFonts w:ascii="Times New Roman" w:cs="Times New Roman" w:eastAsia="Times New Roman" w:hAnsi="Times New Roman"/>
          <w:sz w:val="22"/>
          <w:szCs w:val="22"/>
          <w:color w:val="auto"/>
        </w:rPr>
        <w:t>The net gain recognized on equity securities is presented on the condensed consolidated statements of operations and comprehensive income on the line item “Other”.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2025</w:t>
            </w: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2024</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7,714,319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7,559,096</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206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6,688,157</w:t>
            </w:r>
          </w:p>
        </w:tc>
        <w:tc>
          <w:tcPr>
            <w:tcW w:w="7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6,431,777</w:t>
            </w:r>
          </w:p>
        </w:tc>
      </w:tr>
    </w:tbl>
    <w:p>
      <w:pPr>
        <w:spacing w:after="0" w:line="1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2"/>
                <w:szCs w:val="22"/>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7"/>
              </w:rPr>
              <w:t>Three Months Ended</w:t>
            </w:r>
          </w:p>
        </w:tc>
      </w:tr>
      <w:tr>
        <w:trPr>
          <w:trHeight w:val="257"/>
        </w:trPr>
        <w:tc>
          <w:tcPr>
            <w:tcW w:w="7900" w:type="dxa"/>
            <w:vAlign w:val="bottom"/>
          </w:tcPr>
          <w:p>
            <w:pPr>
              <w:spacing w:after="0"/>
              <w:rPr>
                <w:sz w:val="22"/>
                <w:szCs w:val="22"/>
                <w:color w:val="auto"/>
              </w:rPr>
            </w:pPr>
          </w:p>
        </w:tc>
        <w:tc>
          <w:tcPr>
            <w:tcW w:w="2200" w:type="dxa"/>
            <w:vAlign w:val="bottom"/>
            <w:tcBorders>
              <w:bottom w:val="single" w:sz="8" w:color="auto"/>
            </w:tcBorders>
            <w:gridSpan w:val="3"/>
          </w:tcPr>
          <w:p>
            <w:pPr>
              <w:jc w:val="center"/>
              <w:ind w:left="1032"/>
              <w:spacing w:after="0"/>
              <w:rPr>
                <w:sz w:val="20"/>
                <w:szCs w:val="20"/>
                <w:color w:val="auto"/>
              </w:rPr>
            </w:pPr>
            <w:r>
              <w:rPr>
                <w:rFonts w:ascii="Times New Roman" w:cs="Times New Roman" w:eastAsia="Times New Roman" w:hAnsi="Times New Roman"/>
                <w:sz w:val="22"/>
                <w:szCs w:val="22"/>
                <w:color w:val="auto"/>
                <w:w w:val="99"/>
              </w:rPr>
              <w:t>March 31,</w:t>
            </w:r>
          </w:p>
        </w:tc>
        <w:tc>
          <w:tcPr>
            <w:tcW w:w="114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2024</w:t>
            </w:r>
          </w:p>
        </w:tc>
      </w:tr>
      <w:tr>
        <w:trPr>
          <w:trHeight w:val="223"/>
        </w:trPr>
        <w:tc>
          <w:tcPr>
            <w:tcW w:w="7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275,194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273,377</w:t>
            </w:r>
          </w:p>
        </w:tc>
      </w:tr>
      <w:tr>
        <w:trPr>
          <w:trHeight w:val="230"/>
        </w:trPr>
        <w:tc>
          <w:tcPr>
            <w:tcW w:w="7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493</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361</w:t>
            </w:r>
          </w:p>
        </w:tc>
      </w:tr>
      <w:tr>
        <w:trPr>
          <w:trHeight w:val="223"/>
        </w:trPr>
        <w:tc>
          <w:tcPr>
            <w:tcW w:w="79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 computation</w:t>
            </w:r>
          </w:p>
        </w:tc>
        <w:tc>
          <w:tcPr>
            <w:tcW w:w="14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275,687</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273,738</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in thousands, that were not included in the diluted earnings per share calculation because the effect would have been anti-dilutive was: 441 and 268 for the three months ended March 31, 2025 and 2024, respectively. Additionally, the dilutive effect of performance share units and restricted share units granted are included in the Company’s calculation of diluted net income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Under the Company’s Amended and Restated Equity Compensation Plan (the “Plan”), stock options, stock units, stock awards, stock appreciation rights, dividend equivalents, and other stock-based awards may be granted to employees, non-employee directors, and consultants and advisors. At March 31, 2025, 715,687 shares were still available for issuance under the Plan.</w:t>
      </w:r>
    </w:p>
    <w:p>
      <w:pPr>
        <w:spacing w:after="0" w:line="15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Share Units </w:t>
      </w:r>
      <w:r>
        <w:rPr>
          <w:rFonts w:ascii="Times New Roman" w:cs="Times New Roman" w:eastAsia="Times New Roman" w:hAnsi="Times New Roman"/>
          <w:sz w:val="21"/>
          <w:szCs w:val="21"/>
          <w:color w:val="auto"/>
        </w:rPr>
        <w:t>– A performance share unit (“PSU”) represents the right to receive a share of the Company’s common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goals of the 2025 grants consisted of the following metrics: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5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22"/>
                <w:szCs w:val="22"/>
                <w:color w:val="auto"/>
              </w:rPr>
              <w:t>Metric 1 – Company’s total shareholder return (“TSR”) compared to the TSR for a specific peer group</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40.00%</w:t>
            </w:r>
          </w:p>
        </w:tc>
        <w:tc>
          <w:tcPr>
            <w:tcW w:w="0" w:type="dxa"/>
            <w:vAlign w:val="bottom"/>
          </w:tcPr>
          <w:p>
            <w:pPr>
              <w:spacing w:after="0"/>
              <w:rPr>
                <w:sz w:val="1"/>
                <w:szCs w:val="1"/>
                <w:color w:val="auto"/>
              </w:rPr>
            </w:pPr>
          </w:p>
        </w:tc>
      </w:tr>
      <w:tr>
        <w:trPr>
          <w:trHeight w:val="174"/>
        </w:trPr>
        <w:tc>
          <w:tcPr>
            <w:tcW w:w="6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rPr>
              <w:t>of investor-owned utilities (a market-based condition)</w:t>
            </w:r>
          </w:p>
        </w:tc>
        <w:tc>
          <w:tcPr>
            <w:tcW w:w="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6780" w:type="dxa"/>
            <w:vAlign w:val="bottom"/>
            <w:vMerge w:val="continue"/>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9560" w:type="dxa"/>
            <w:vAlign w:val="bottom"/>
            <w:gridSpan w:val="8"/>
          </w:tcPr>
          <w:p>
            <w:pPr>
              <w:spacing w:after="0" w:line="229" w:lineRule="exact"/>
              <w:rPr>
                <w:sz w:val="20"/>
                <w:szCs w:val="20"/>
                <w:color w:val="auto"/>
              </w:rPr>
            </w:pPr>
            <w:r>
              <w:rPr>
                <w:rFonts w:ascii="Times New Roman" w:cs="Times New Roman" w:eastAsia="Times New Roman" w:hAnsi="Times New Roman"/>
                <w:sz w:val="22"/>
                <w:szCs w:val="22"/>
                <w:color w:val="auto"/>
              </w:rPr>
              <w:t>Metric 2 – Achievement of a three-year average return on equity target (a performance-based condition)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202"/>
        </w:trPr>
        <w:tc>
          <w:tcPr>
            <w:tcW w:w="95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22"/>
                <w:szCs w:val="22"/>
                <w:color w:val="auto"/>
              </w:rPr>
              <w:t>Metric 3 – Achievement of a consolidated operations and maintenance expense target over a three-year</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30.00%</w:t>
            </w:r>
          </w:p>
        </w:tc>
        <w:tc>
          <w:tcPr>
            <w:tcW w:w="0" w:type="dxa"/>
            <w:vAlign w:val="bottom"/>
          </w:tcPr>
          <w:p>
            <w:pPr>
              <w:spacing w:after="0"/>
              <w:rPr>
                <w:sz w:val="1"/>
                <w:szCs w:val="1"/>
                <w:color w:val="auto"/>
              </w:rPr>
            </w:pPr>
          </w:p>
        </w:tc>
      </w:tr>
      <w:tr>
        <w:trPr>
          <w:trHeight w:val="174"/>
        </w:trPr>
        <w:tc>
          <w:tcPr>
            <w:tcW w:w="6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2"/>
                <w:szCs w:val="22"/>
                <w:color w:val="auto"/>
              </w:rPr>
              <w:t>measurement period (a performance-based condition)</w:t>
            </w:r>
          </w:p>
        </w:tc>
        <w:tc>
          <w:tcPr>
            <w:tcW w:w="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6780" w:type="dxa"/>
            <w:vAlign w:val="bottom"/>
            <w:vMerge w:val="continue"/>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7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following were the assumptions used in the pricing model for the 2025 grants: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7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2025</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9"/>
        </w:trPr>
        <w:tc>
          <w:tcPr>
            <w:tcW w:w="67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4.19%</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23.20%</w:t>
            </w:r>
          </w:p>
        </w:tc>
        <w:tc>
          <w:tcPr>
            <w:tcW w:w="0" w:type="dxa"/>
            <w:vAlign w:val="bottom"/>
          </w:tcPr>
          <w:p>
            <w:pPr>
              <w:spacing w:after="0"/>
              <w:rPr>
                <w:sz w:val="1"/>
                <w:szCs w:val="1"/>
                <w:color w:val="auto"/>
              </w:rPr>
            </w:pPr>
          </w:p>
        </w:tc>
      </w:tr>
      <w:tr>
        <w:trPr>
          <w:trHeight w:val="484"/>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table provides compensation expense for PSUs:</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Three Months Ended</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2"/>
              <w:spacing w:after="0" w:line="223" w:lineRule="exact"/>
              <w:rPr>
                <w:sz w:val="20"/>
                <w:szCs w:val="20"/>
                <w:color w:val="auto"/>
              </w:rPr>
            </w:pPr>
            <w:r>
              <w:rPr>
                <w:rFonts w:ascii="Times New Roman" w:cs="Times New Roman" w:eastAsia="Times New Roman" w:hAnsi="Times New Roman"/>
                <w:sz w:val="22"/>
                <w:szCs w:val="22"/>
                <w:color w:val="auto"/>
                <w:w w:val="99"/>
              </w:rPr>
              <w:t>2024</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600" w:type="dxa"/>
            <w:vAlign w:val="bottom"/>
            <w:shd w:val="clear" w:color="auto" w:fill="CCEEFF"/>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6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358</w:t>
            </w:r>
          </w:p>
        </w:tc>
        <w:tc>
          <w:tcPr>
            <w:tcW w:w="780" w:type="dxa"/>
            <w:vAlign w:val="bottom"/>
            <w:gridSpan w:val="3"/>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432"/>
        </w:trPr>
        <w:tc>
          <w:tcPr>
            <w:tcW w:w="87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three months ended March 31, 2025: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4"/>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5"/>
              </w:rPr>
              <w:t>563,656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38.61</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auto"/>
                <w:w w:val="95"/>
              </w:rPr>
              <w:t>195,300</w:t>
            </w:r>
          </w:p>
        </w:tc>
        <w:tc>
          <w:tcPr>
            <w:tcW w:w="3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34.25</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(59,974)</w:t>
            </w:r>
          </w:p>
        </w:tc>
        <w:tc>
          <w:tcPr>
            <w:tcW w:w="38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37.95</w:t>
            </w: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Actual vested</w:t>
            </w:r>
          </w:p>
        </w:tc>
        <w:tc>
          <w:tcPr>
            <w:tcW w:w="600" w:type="dxa"/>
            <w:vAlign w:val="bottom"/>
          </w:tcPr>
          <w:p>
            <w:pPr>
              <w:spacing w:after="0"/>
              <w:rPr>
                <w:sz w:val="19"/>
                <w:szCs w:val="19"/>
                <w:color w:val="auto"/>
              </w:rPr>
            </w:pPr>
          </w:p>
        </w:tc>
        <w:tc>
          <w:tcPr>
            <w:tcW w:w="2180" w:type="dxa"/>
            <w:vAlign w:val="bottom"/>
            <w:gridSpan w:val="6"/>
          </w:tcPr>
          <w:p>
            <w:pPr>
              <w:jc w:val="right"/>
              <w:spacing w:after="0" w:line="229" w:lineRule="exact"/>
              <w:rPr>
                <w:sz w:val="20"/>
                <w:szCs w:val="20"/>
                <w:color w:val="auto"/>
              </w:rPr>
            </w:pPr>
            <w:r>
              <w:rPr>
                <w:rFonts w:ascii="Times New Roman" w:cs="Times New Roman" w:eastAsia="Times New Roman" w:hAnsi="Times New Roman"/>
                <w:sz w:val="22"/>
                <w:szCs w:val="22"/>
                <w:color w:val="auto"/>
              </w:rPr>
              <w:t>(103,775)</w:t>
            </w:r>
          </w:p>
        </w:tc>
        <w:tc>
          <w:tcPr>
            <w:tcW w:w="3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42.77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(3,110)</w:t>
            </w:r>
          </w:p>
        </w:tc>
        <w:tc>
          <w:tcPr>
            <w:tcW w:w="38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37.73</w:t>
            </w:r>
          </w:p>
        </w:tc>
        <w:tc>
          <w:tcPr>
            <w:tcW w:w="0" w:type="dxa"/>
            <w:vAlign w:val="bottom"/>
          </w:tcPr>
          <w:p>
            <w:pPr>
              <w:spacing w:after="0"/>
              <w:rPr>
                <w:sz w:val="1"/>
                <w:szCs w:val="1"/>
                <w:color w:val="auto"/>
              </w:rPr>
            </w:pPr>
          </w:p>
        </w:tc>
      </w:tr>
      <w:tr>
        <w:trPr>
          <w:trHeight w:val="223"/>
        </w:trPr>
        <w:tc>
          <w:tcPr>
            <w:tcW w:w="67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w w:val="95"/>
              </w:rPr>
              <w:t>592,097</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36.51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PSUs granted during the three months ended March 31, 2025 and 2024 was $34.25 and $38.10,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prior years, RSUs were eligible to be earned at the end of a specified restricted period, which is generally three years, beginning on the date of grant. RSUs granted in 2025 vest 33% each year. The following table provides the compensation expense and income tax benefit for RSUs: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00" w:type="dxa"/>
            <w:vAlign w:val="bottom"/>
            <w:gridSpan w:val="7"/>
          </w:tcPr>
          <w:p>
            <w:pPr>
              <w:jc w:val="right"/>
              <w:ind w:right="1052"/>
              <w:spacing w:after="0"/>
              <w:rPr>
                <w:sz w:val="20"/>
                <w:szCs w:val="20"/>
                <w:color w:val="auto"/>
              </w:rPr>
            </w:pPr>
            <w:r>
              <w:rPr>
                <w:rFonts w:ascii="Times New Roman" w:cs="Times New Roman" w:eastAsia="Times New Roman" w:hAnsi="Times New Roman"/>
                <w:sz w:val="22"/>
                <w:szCs w:val="22"/>
                <w:color w:val="auto"/>
              </w:rPr>
              <w:t>Three Months Ended</w:t>
            </w:r>
          </w:p>
        </w:tc>
      </w:tr>
      <w:tr>
        <w:trPr>
          <w:trHeight w:val="257"/>
        </w:trPr>
        <w:tc>
          <w:tcPr>
            <w:tcW w:w="7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March 31,</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63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2024</w:t>
            </w:r>
          </w:p>
        </w:tc>
      </w:tr>
      <w:tr>
        <w:trPr>
          <w:trHeight w:val="223"/>
        </w:trPr>
        <w:tc>
          <w:tcPr>
            <w:tcW w:w="7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42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gridSpan w:val="2"/>
            <w:shd w:val="clear" w:color="auto" w:fill="CCEEFF"/>
          </w:tcPr>
          <w:p>
            <w:pPr>
              <w:ind w:left="1080"/>
              <w:spacing w:after="0" w:line="223" w:lineRule="exact"/>
              <w:rPr>
                <w:sz w:val="20"/>
                <w:szCs w:val="20"/>
                <w:color w:val="auto"/>
              </w:rPr>
            </w:pPr>
            <w:r>
              <w:rPr>
                <w:rFonts w:ascii="Times New Roman" w:cs="Times New Roman" w:eastAsia="Times New Roman" w:hAnsi="Times New Roman"/>
                <w:sz w:val="22"/>
                <w:szCs w:val="22"/>
                <w:color w:val="auto"/>
              </w:rPr>
              <w:t>907</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846</w:t>
            </w: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22"/>
                <w:szCs w:val="22"/>
                <w:color w:val="auto"/>
              </w:rPr>
              <w:t>229</w:t>
            </w:r>
          </w:p>
        </w:tc>
        <w:tc>
          <w:tcPr>
            <w:tcW w:w="2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w:t>
            </w:r>
          </w:p>
        </w:tc>
      </w:tr>
      <w:tr>
        <w:trPr>
          <w:trHeight w:val="459"/>
        </w:trPr>
        <w:tc>
          <w:tcPr>
            <w:tcW w:w="92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three months ended March 31,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3"/>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7"/>
              </w:rPr>
              <w:t>Number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ind w:left="640"/>
              <w:spacing w:after="0" w:line="229" w:lineRule="exact"/>
              <w:rPr>
                <w:sz w:val="20"/>
                <w:szCs w:val="20"/>
                <w:color w:val="auto"/>
              </w:rPr>
            </w:pPr>
            <w:r>
              <w:rPr>
                <w:rFonts w:ascii="Times New Roman" w:cs="Times New Roman" w:eastAsia="Times New Roman" w:hAnsi="Times New Roman"/>
                <w:sz w:val="22"/>
                <w:szCs w:val="22"/>
                <w:color w:val="auto"/>
              </w:rPr>
              <w:t>of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8"/>
              </w:rPr>
              <w:t>Stock Units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210,249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41.40</w:t>
            </w:r>
          </w:p>
        </w:tc>
      </w:tr>
      <w:tr>
        <w:trPr>
          <w:trHeight w:val="229"/>
        </w:trPr>
        <w:tc>
          <w:tcPr>
            <w:tcW w:w="70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20" w:type="dxa"/>
            <w:vAlign w:val="bottom"/>
          </w:tcPr>
          <w:p>
            <w:pPr>
              <w:spacing w:after="0"/>
              <w:rPr>
                <w:sz w:val="19"/>
                <w:szCs w:val="19"/>
                <w:color w:val="auto"/>
              </w:rPr>
            </w:pPr>
          </w:p>
        </w:tc>
        <w:tc>
          <w:tcPr>
            <w:tcW w:w="1900" w:type="dxa"/>
            <w:vAlign w:val="bottom"/>
            <w:gridSpan w:val="5"/>
          </w:tcPr>
          <w:p>
            <w:pPr>
              <w:jc w:val="right"/>
              <w:spacing w:after="0" w:line="229" w:lineRule="exact"/>
              <w:rPr>
                <w:sz w:val="20"/>
                <w:szCs w:val="20"/>
                <w:color w:val="auto"/>
              </w:rPr>
            </w:pPr>
            <w:r>
              <w:rPr>
                <w:rFonts w:ascii="Times New Roman" w:cs="Times New Roman" w:eastAsia="Times New Roman" w:hAnsi="Times New Roman"/>
                <w:sz w:val="22"/>
                <w:szCs w:val="22"/>
                <w:color w:val="auto"/>
              </w:rPr>
              <w:t>153,857</w:t>
            </w:r>
          </w:p>
        </w:tc>
        <w:tc>
          <w:tcPr>
            <w:tcW w:w="220" w:type="dxa"/>
            <w:vAlign w:val="bottom"/>
          </w:tcPr>
          <w:p>
            <w:pPr>
              <w:spacing w:after="0"/>
              <w:rPr>
                <w:sz w:val="19"/>
                <w:szCs w:val="19"/>
                <w:color w:val="auto"/>
              </w:rPr>
            </w:pPr>
          </w:p>
        </w:tc>
        <w:tc>
          <w:tcPr>
            <w:tcW w:w="240" w:type="dxa"/>
            <w:vAlign w:val="bottom"/>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35.54</w:t>
            </w:r>
          </w:p>
        </w:tc>
      </w:tr>
      <w:tr>
        <w:trPr>
          <w:trHeight w:val="230"/>
        </w:trPr>
        <w:tc>
          <w:tcPr>
            <w:tcW w:w="70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w:t>
            </w:r>
          </w:p>
        </w:tc>
        <w:tc>
          <w:tcPr>
            <w:tcW w:w="420" w:type="dxa"/>
            <w:vAlign w:val="bottom"/>
            <w:shd w:val="clear" w:color="auto" w:fill="CCEEFF"/>
          </w:tcPr>
          <w:p>
            <w:pPr>
              <w:spacing w:after="0"/>
              <w:rPr>
                <w:sz w:val="19"/>
                <w:szCs w:val="19"/>
                <w:color w:val="auto"/>
              </w:rPr>
            </w:pPr>
          </w:p>
        </w:tc>
        <w:tc>
          <w:tcPr>
            <w:tcW w:w="2120" w:type="dxa"/>
            <w:vAlign w:val="bottom"/>
            <w:gridSpan w:val="6"/>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(53,481)</w:t>
            </w:r>
          </w:p>
        </w:tc>
        <w:tc>
          <w:tcPr>
            <w:tcW w:w="240" w:type="dxa"/>
            <w:vAlign w:val="bottom"/>
            <w:shd w:val="clear" w:color="auto" w:fill="CCEEFF"/>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44.92</w:t>
            </w:r>
          </w:p>
        </w:tc>
      </w:tr>
      <w:tr>
        <w:trPr>
          <w:trHeight w:val="229"/>
        </w:trPr>
        <w:tc>
          <w:tcPr>
            <w:tcW w:w="70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20" w:type="dxa"/>
            <w:vAlign w:val="bottom"/>
          </w:tcPr>
          <w:p>
            <w:pPr>
              <w:spacing w:after="0"/>
              <w:rPr>
                <w:sz w:val="19"/>
                <w:szCs w:val="19"/>
                <w:color w:val="auto"/>
              </w:rPr>
            </w:pPr>
          </w:p>
        </w:tc>
        <w:tc>
          <w:tcPr>
            <w:tcW w:w="2120" w:type="dxa"/>
            <w:vAlign w:val="bottom"/>
            <w:gridSpan w:val="6"/>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(889)</w:t>
            </w:r>
          </w:p>
        </w:tc>
        <w:tc>
          <w:tcPr>
            <w:tcW w:w="240" w:type="dxa"/>
            <w:vAlign w:val="bottom"/>
          </w:tcPr>
          <w:p>
            <w:pPr>
              <w:jc w:val="right"/>
              <w:ind w:right="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38.34</w:t>
            </w:r>
          </w:p>
        </w:tc>
      </w:tr>
      <w:tr>
        <w:trPr>
          <w:trHeight w:val="223"/>
        </w:trPr>
        <w:tc>
          <w:tcPr>
            <w:tcW w:w="70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309,736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37.83</w:t>
            </w:r>
          </w:p>
        </w:tc>
      </w:tr>
      <w:tr>
        <w:trPr>
          <w:trHeight w:val="20"/>
        </w:trPr>
        <w:tc>
          <w:tcPr>
            <w:tcW w:w="7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three months ended March 31, 2025 and 2024 was $35.54 and $36.60, respectively.</w:t>
      </w:r>
    </w:p>
    <w:p>
      <w:pPr>
        <w:spacing w:after="0" w:line="180"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following table provides the compensation cost and income tax benefit for stock-based compensation related to stock options: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40" w:type="dxa"/>
            <w:vAlign w:val="bottom"/>
            <w:gridSpan w:val="4"/>
          </w:tcPr>
          <w:p>
            <w:pPr>
              <w:jc w:val="right"/>
              <w:ind w:right="952"/>
              <w:spacing w:after="0"/>
              <w:rPr>
                <w:sz w:val="20"/>
                <w:szCs w:val="20"/>
                <w:color w:val="auto"/>
              </w:rPr>
            </w:pPr>
            <w:r>
              <w:rPr>
                <w:rFonts w:ascii="Times New Roman" w:cs="Times New Roman" w:eastAsia="Times New Roman" w:hAnsi="Times New Roman"/>
                <w:sz w:val="22"/>
                <w:szCs w:val="22"/>
                <w:color w:val="auto"/>
              </w:rPr>
              <w:t>Three Months Ended</w:t>
            </w:r>
          </w:p>
        </w:tc>
      </w:tr>
      <w:tr>
        <w:trPr>
          <w:trHeight w:val="257"/>
        </w:trPr>
        <w:tc>
          <w:tcPr>
            <w:tcW w:w="7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22"/>
                <w:szCs w:val="22"/>
                <w:color w:val="auto"/>
              </w:rPr>
              <w:t>March 31,</w:t>
            </w:r>
          </w:p>
        </w:tc>
        <w:tc>
          <w:tcPr>
            <w:tcW w:w="1340" w:type="dxa"/>
            <w:vAlign w:val="bottom"/>
            <w:tcBorders>
              <w:bottom w:val="single" w:sz="8" w:color="auto"/>
            </w:tcBorders>
          </w:tcPr>
          <w:p>
            <w:pPr>
              <w:spacing w:after="0"/>
              <w:rPr>
                <w:sz w:val="22"/>
                <w:szCs w:val="22"/>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2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2"/>
              <w:spacing w:after="0" w:line="223" w:lineRule="exact"/>
              <w:rPr>
                <w:sz w:val="20"/>
                <w:szCs w:val="20"/>
                <w:color w:val="auto"/>
              </w:rPr>
            </w:pPr>
            <w:r>
              <w:rPr>
                <w:rFonts w:ascii="Times New Roman" w:cs="Times New Roman" w:eastAsia="Times New Roman" w:hAnsi="Times New Roman"/>
                <w:sz w:val="22"/>
                <w:szCs w:val="22"/>
                <w:color w:val="auto"/>
              </w:rPr>
              <w:t>2024</w:t>
            </w: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40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269</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131</w:t>
            </w: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280" w:type="dxa"/>
            <w:vAlign w:val="bottom"/>
          </w:tcPr>
          <w:p>
            <w:pPr>
              <w:spacing w:after="0"/>
              <w:rPr>
                <w:sz w:val="24"/>
                <w:szCs w:val="24"/>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32"/>
        </w:trPr>
        <w:tc>
          <w:tcPr>
            <w:tcW w:w="730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17</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7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9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 for the 2025 grant: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9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22"/>
                <w:szCs w:val="22"/>
                <w:color w:val="auto"/>
              </w:rPr>
              <w:t>2025</w:t>
            </w:r>
          </w:p>
        </w:tc>
      </w:tr>
      <w:tr>
        <w:trPr>
          <w:trHeight w:val="223"/>
        </w:trPr>
        <w:tc>
          <w:tcPr>
            <w:tcW w:w="8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5.54</w:t>
            </w:r>
          </w:p>
        </w:tc>
      </w:tr>
      <w:tr>
        <w:trPr>
          <w:trHeight w:val="229"/>
        </w:trPr>
        <w:tc>
          <w:tcPr>
            <w:tcW w:w="89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52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4.22%</w:t>
            </w:r>
          </w:p>
        </w:tc>
      </w:tr>
      <w:tr>
        <w:trPr>
          <w:trHeight w:val="230"/>
        </w:trPr>
        <w:tc>
          <w:tcPr>
            <w:tcW w:w="89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5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28.50%</w:t>
            </w:r>
          </w:p>
        </w:tc>
      </w:tr>
      <w:tr>
        <w:trPr>
          <w:trHeight w:val="229"/>
        </w:trPr>
        <w:tc>
          <w:tcPr>
            <w:tcW w:w="89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52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3.69%</w:t>
            </w:r>
          </w:p>
        </w:tc>
      </w:tr>
      <w:tr>
        <w:trPr>
          <w:trHeight w:val="229"/>
        </w:trPr>
        <w:tc>
          <w:tcPr>
            <w:tcW w:w="89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520" w:type="dxa"/>
            <w:vAlign w:val="bottom"/>
            <w:shd w:val="clear" w:color="auto" w:fill="CCEEFF"/>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8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7.95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three months ended March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3"/>
        </w:trPr>
        <w:tc>
          <w:tcPr>
            <w:tcW w:w="5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6"/>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Aggregate</w:t>
            </w:r>
          </w:p>
        </w:tc>
      </w:tr>
      <w:tr>
        <w:trPr>
          <w:trHeight w:val="284"/>
        </w:trPr>
        <w:tc>
          <w:tcPr>
            <w:tcW w:w="5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Exercise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8"/>
              </w:rPr>
              <w:t>Intrinsic</w:t>
            </w:r>
          </w:p>
        </w:tc>
      </w:tr>
      <w:tr>
        <w:trPr>
          <w:trHeight w:val="258"/>
        </w:trPr>
        <w:tc>
          <w:tcPr>
            <w:tcW w:w="50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Shares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7"/>
              </w:rPr>
              <w:t>Price</w:t>
            </w: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Life (years)</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6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Outstanding at beginning of period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906,902</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36.87</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84"/>
        </w:trPr>
        <w:tc>
          <w:tcPr>
            <w:tcW w:w="5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197,684</w:t>
            </w: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35.33</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Exercised</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(9,703)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35.28</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0"/>
        </w:trPr>
        <w:tc>
          <w:tcPr>
            <w:tcW w:w="50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1,094,883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36.61</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5.7</w:t>
            </w:r>
          </w:p>
        </w:tc>
        <w:tc>
          <w:tcPr>
            <w:tcW w:w="420" w:type="dxa"/>
            <w:vAlign w:val="bottom"/>
            <w:tcBorders>
              <w:bottom w:val="single" w:sz="8" w:color="auto"/>
            </w:tcBorders>
            <w:gridSpan w:val="2"/>
          </w:tcPr>
          <w:p>
            <w:pPr>
              <w:jc w:val="right"/>
              <w:ind w:right="14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3,978</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502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803,110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36.76</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w:t>
            </w:r>
          </w:p>
        </w:tc>
        <w:tc>
          <w:tcPr>
            <w:tcW w:w="420" w:type="dxa"/>
            <w:vAlign w:val="bottom"/>
            <w:tcBorders>
              <w:bottom w:val="single" w:sz="8" w:color="auto"/>
            </w:tcBorders>
            <w:gridSpan w:val="2"/>
            <w:shd w:val="clear" w:color="auto" w:fill="CCEEFF"/>
          </w:tcPr>
          <w:p>
            <w:pPr>
              <w:jc w:val="right"/>
              <w:ind w:right="1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2,877</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 </w:t>
      </w:r>
      <w:r>
        <w:rPr>
          <w:rFonts w:ascii="Times New Roman" w:cs="Times New Roman" w:eastAsia="Times New Roman" w:hAnsi="Times New Roman"/>
          <w:sz w:val="22"/>
          <w:szCs w:val="22"/>
          <w:color w:val="auto"/>
        </w:rPr>
        <w:t>Restricted stock awards provide the grantee with the rights of a shareholder, including the right to receive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dividends and to vote such shares, but not the right to sell or otherwise transfer the shares during the restriction period. Nonvested shares of restricted stock were 1,268 as of March 31, 2025 and December 31, 2024. There were no restricted stock awards granted and vested during the three months ended March 31, 2025. The following table provides the compensation cost and income tax benefit for stock-based compensation related to restricted stock:</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1220" w:type="dxa"/>
            <w:vAlign w:val="bottom"/>
          </w:tcPr>
          <w:p>
            <w:pPr>
              <w:spacing w:after="0"/>
              <w:rPr>
                <w:sz w:val="24"/>
                <w:szCs w:val="24"/>
                <w:color w:val="auto"/>
              </w:rPr>
            </w:pPr>
          </w:p>
        </w:tc>
      </w:tr>
      <w:tr>
        <w:trPr>
          <w:trHeight w:val="258"/>
        </w:trPr>
        <w:tc>
          <w:tcPr>
            <w:tcW w:w="694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22"/>
                <w:szCs w:val="22"/>
                <w:color w:val="auto"/>
              </w:rPr>
              <w:t>March 31,</w:t>
            </w:r>
          </w:p>
        </w:tc>
        <w:tc>
          <w:tcPr>
            <w:tcW w:w="1220" w:type="dxa"/>
            <w:vAlign w:val="bottom"/>
            <w:tcBorders>
              <w:bottom w:val="single" w:sz="8" w:color="auto"/>
            </w:tcBorders>
          </w:tcPr>
          <w:p>
            <w:pPr>
              <w:spacing w:after="0"/>
              <w:rPr>
                <w:sz w:val="22"/>
                <w:szCs w:val="22"/>
                <w:color w:val="auto"/>
              </w:rPr>
            </w:pPr>
          </w:p>
        </w:tc>
      </w:tr>
      <w:tr>
        <w:trPr>
          <w:trHeight w:val="263"/>
        </w:trPr>
        <w:tc>
          <w:tcPr>
            <w:tcW w:w="69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2025</w:t>
            </w: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w w:val="95"/>
              </w:rPr>
              <w:t>2024</w:t>
            </w:r>
          </w:p>
        </w:tc>
      </w:tr>
      <w:tr>
        <w:trPr>
          <w:trHeight w:val="223"/>
        </w:trPr>
        <w:tc>
          <w:tcPr>
            <w:tcW w:w="69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Stock-based compensation within operations and maintenance expenses</w:t>
            </w:r>
          </w:p>
        </w:tc>
        <w:tc>
          <w:tcPr>
            <w:tcW w:w="1220" w:type="dxa"/>
            <w:vAlign w:val="bottom"/>
            <w:shd w:val="clear" w:color="auto" w:fill="CCEEFF"/>
          </w:tcPr>
          <w:p>
            <w:pPr>
              <w:jc w:val="right"/>
              <w:ind w:right="912"/>
              <w:spacing w:after="0" w:line="22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309"/>
        </w:trPr>
        <w:tc>
          <w:tcPr>
            <w:tcW w:w="694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22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320" w:type="dxa"/>
            <w:vAlign w:val="bottom"/>
          </w:tcPr>
          <w:p>
            <w:pPr>
              <w:spacing w:after="0"/>
              <w:rPr>
                <w:sz w:val="24"/>
                <w:szCs w:val="24"/>
                <w:color w:val="auto"/>
              </w:rPr>
            </w:pP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Awards </w:t>
      </w:r>
      <w:r>
        <w:rPr>
          <w:rFonts w:ascii="Times New Roman" w:cs="Times New Roman" w:eastAsia="Times New Roman" w:hAnsi="Times New Roman"/>
          <w:sz w:val="21"/>
          <w:szCs w:val="21"/>
          <w:color w:val="auto"/>
        </w:rPr>
        <w:t>– Stock awards represent the issuance of the Company’s common stock, without restriction. The issuance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awards results in compensation expense that is equal to the fair market value of the stock on the grant date and is expensed immediately upon grant. There were no stock awards granted and vested during the three months ended March 31,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26"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tbl>
      <w:tblPr>
        <w:tblLayout w:type="fixed"/>
        <w:tblInd w:w="0" w:type="dxa"/>
        <w:tblCellMar>
          <w:top w:w="0" w:type="dxa"/>
          <w:left w:w="0" w:type="dxa"/>
          <w:bottom w:w="0" w:type="dxa"/>
          <w:right w:w="0" w:type="dxa"/>
        </w:tblCellMar>
      </w:tblPr>
      <w:tr>
        <w:trPr>
          <w:trHeight w:val="246"/>
        </w:trPr>
        <w:tc>
          <w:tcPr>
            <w:tcW w:w="4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center"/>
              <w:ind w:right="532"/>
              <w:spacing w:after="0" w:line="246" w:lineRule="exact"/>
              <w:rPr>
                <w:sz w:val="20"/>
                <w:szCs w:val="20"/>
                <w:color w:val="auto"/>
              </w:rPr>
            </w:pPr>
            <w:r>
              <w:rPr>
                <w:rFonts w:ascii="Times New Roman" w:cs="Times New Roman" w:eastAsia="Times New Roman" w:hAnsi="Times New Roman"/>
                <w:sz w:val="22"/>
                <w:szCs w:val="22"/>
                <w:color w:val="auto"/>
                <w:w w:val="98"/>
              </w:rPr>
              <w:t>Pension Benefits</w:t>
            </w:r>
          </w:p>
        </w:tc>
        <w:tc>
          <w:tcPr>
            <w:tcW w:w="700" w:type="dxa"/>
            <w:vAlign w:val="bottom"/>
            <w:tcBorders>
              <w:bottom w:val="single" w:sz="8" w:color="auto"/>
            </w:tcBorders>
          </w:tcPr>
          <w:p>
            <w:pPr>
              <w:spacing w:after="0"/>
              <w:rPr>
                <w:sz w:val="21"/>
                <w:szCs w:val="21"/>
                <w:color w:val="auto"/>
              </w:rPr>
            </w:pPr>
          </w:p>
        </w:tc>
      </w:tr>
      <w:tr>
        <w:trPr>
          <w:trHeight w:val="196"/>
        </w:trPr>
        <w:tc>
          <w:tcPr>
            <w:tcW w:w="4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center"/>
              <w:ind w:right="532"/>
              <w:spacing w:after="0" w:line="196" w:lineRule="exact"/>
              <w:rPr>
                <w:sz w:val="20"/>
                <w:szCs w:val="20"/>
                <w:color w:val="auto"/>
              </w:rPr>
            </w:pPr>
            <w:r>
              <w:rPr>
                <w:rFonts w:ascii="Times New Roman" w:cs="Times New Roman" w:eastAsia="Times New Roman" w:hAnsi="Times New Roman"/>
                <w:sz w:val="22"/>
                <w:szCs w:val="22"/>
                <w:color w:val="auto"/>
                <w:w w:val="97"/>
              </w:rPr>
              <w:t>Three Months Ended</w:t>
            </w:r>
          </w:p>
        </w:tc>
        <w:tc>
          <w:tcPr>
            <w:tcW w:w="700" w:type="dxa"/>
            <w:vAlign w:val="bottom"/>
          </w:tcPr>
          <w:p>
            <w:pPr>
              <w:spacing w:after="0"/>
              <w:rPr>
                <w:sz w:val="17"/>
                <w:szCs w:val="17"/>
                <w:color w:val="auto"/>
              </w:rPr>
            </w:pPr>
          </w:p>
        </w:tc>
      </w:tr>
      <w:tr>
        <w:trPr>
          <w:trHeight w:val="257"/>
        </w:trPr>
        <w:tc>
          <w:tcPr>
            <w:tcW w:w="48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center"/>
              <w:ind w:right="552"/>
              <w:spacing w:after="0"/>
              <w:rPr>
                <w:sz w:val="20"/>
                <w:szCs w:val="20"/>
                <w:color w:val="auto"/>
              </w:rPr>
            </w:pPr>
            <w:r>
              <w:rPr>
                <w:rFonts w:ascii="Times New Roman" w:cs="Times New Roman" w:eastAsia="Times New Roman" w:hAnsi="Times New Roman"/>
                <w:sz w:val="22"/>
                <w:szCs w:val="22"/>
                <w:color w:val="auto"/>
                <w:w w:val="97"/>
              </w:rPr>
              <w:t>March 31,</w:t>
            </w:r>
          </w:p>
        </w:tc>
        <w:tc>
          <w:tcPr>
            <w:tcW w:w="700" w:type="dxa"/>
            <w:vAlign w:val="bottom"/>
            <w:tcBorders>
              <w:bottom w:val="single" w:sz="8" w:color="auto"/>
            </w:tcBorders>
          </w:tcPr>
          <w:p>
            <w:pPr>
              <w:spacing w:after="0"/>
              <w:rPr>
                <w:sz w:val="22"/>
                <w:szCs w:val="22"/>
                <w:color w:val="auto"/>
              </w:rPr>
            </w:pPr>
          </w:p>
        </w:tc>
      </w:tr>
      <w:tr>
        <w:trPr>
          <w:trHeight w:val="223"/>
        </w:trPr>
        <w:tc>
          <w:tcPr>
            <w:tcW w:w="4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00" w:type="dxa"/>
            <w:vAlign w:val="bottom"/>
          </w:tcPr>
          <w:p>
            <w:pPr>
              <w:spacing w:after="0"/>
              <w:rPr>
                <w:sz w:val="19"/>
                <w:szCs w:val="19"/>
                <w:color w:val="auto"/>
              </w:rPr>
            </w:pPr>
          </w:p>
        </w:tc>
      </w:tr>
      <w:tr>
        <w:trPr>
          <w:trHeight w:val="223"/>
        </w:trPr>
        <w:tc>
          <w:tcPr>
            <w:tcW w:w="48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18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304</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357</w:t>
            </w:r>
          </w:p>
        </w:tc>
      </w:tr>
      <w:tr>
        <w:trPr>
          <w:trHeight w:val="229"/>
        </w:trPr>
        <w:tc>
          <w:tcPr>
            <w:tcW w:w="48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3,908</w:t>
            </w:r>
          </w:p>
        </w:tc>
      </w:tr>
      <w:tr>
        <w:trPr>
          <w:trHeight w:val="230"/>
        </w:trPr>
        <w:tc>
          <w:tcPr>
            <w:tcW w:w="48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(4,266)</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(4,696)</w:t>
            </w:r>
          </w:p>
        </w:tc>
      </w:tr>
      <w:tr>
        <w:trPr>
          <w:trHeight w:val="229"/>
        </w:trPr>
        <w:tc>
          <w:tcPr>
            <w:tcW w:w="48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81</w:t>
            </w:r>
          </w:p>
        </w:tc>
      </w:tr>
      <w:tr>
        <w:trPr>
          <w:trHeight w:val="230"/>
        </w:trPr>
        <w:tc>
          <w:tcPr>
            <w:tcW w:w="48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18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833</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751</w:t>
            </w:r>
          </w:p>
        </w:tc>
      </w:tr>
      <w:tr>
        <w:trPr>
          <w:trHeight w:val="223"/>
        </w:trPr>
        <w:tc>
          <w:tcPr>
            <w:tcW w:w="48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 (credit)</w:t>
            </w:r>
          </w:p>
        </w:tc>
        <w:tc>
          <w:tcPr>
            <w:tcW w:w="188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940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401</w:t>
            </w: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12"/>
        </w:trPr>
        <w:tc>
          <w:tcPr>
            <w:tcW w:w="4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color w:val="auto"/>
                <w:w w:val="99"/>
              </w:rPr>
              <w:t>Other</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7"/>
        </w:trPr>
        <w:tc>
          <w:tcPr>
            <w:tcW w:w="48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40" w:type="dxa"/>
            <w:vAlign w:val="bottom"/>
            <w:tcBorders>
              <w:bottom w:val="single" w:sz="8" w:color="auto"/>
            </w:tcBorders>
            <w:gridSpan w:val="5"/>
          </w:tcPr>
          <w:p>
            <w:pPr>
              <w:jc w:val="center"/>
              <w:ind w:left="572"/>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700" w:type="dxa"/>
            <w:vAlign w:val="bottom"/>
            <w:tcBorders>
              <w:bottom w:val="single" w:sz="8" w:color="auto"/>
            </w:tcBorders>
          </w:tcPr>
          <w:p>
            <w:pPr>
              <w:spacing w:after="0"/>
              <w:rPr>
                <w:sz w:val="22"/>
                <w:szCs w:val="22"/>
                <w:color w:val="auto"/>
              </w:rPr>
            </w:pPr>
          </w:p>
        </w:tc>
      </w:tr>
      <w:tr>
        <w:trPr>
          <w:trHeight w:val="196"/>
        </w:trPr>
        <w:tc>
          <w:tcPr>
            <w:tcW w:w="4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00" w:type="dxa"/>
            <w:vAlign w:val="bottom"/>
            <w:gridSpan w:val="4"/>
          </w:tcPr>
          <w:p>
            <w:pPr>
              <w:jc w:val="right"/>
              <w:ind w:right="37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700" w:type="dxa"/>
            <w:vAlign w:val="bottom"/>
          </w:tcPr>
          <w:p>
            <w:pPr>
              <w:spacing w:after="0"/>
              <w:rPr>
                <w:sz w:val="17"/>
                <w:szCs w:val="17"/>
                <w:color w:val="auto"/>
              </w:rPr>
            </w:pPr>
          </w:p>
        </w:tc>
      </w:tr>
      <w:tr>
        <w:trPr>
          <w:trHeight w:val="257"/>
        </w:trPr>
        <w:tc>
          <w:tcPr>
            <w:tcW w:w="48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22"/>
                <w:szCs w:val="22"/>
                <w:color w:val="auto"/>
              </w:rPr>
              <w:t>March 31,</w:t>
            </w:r>
          </w:p>
        </w:tc>
        <w:tc>
          <w:tcPr>
            <w:tcW w:w="700" w:type="dxa"/>
            <w:vAlign w:val="bottom"/>
            <w:tcBorders>
              <w:bottom w:val="single" w:sz="8" w:color="auto"/>
            </w:tcBorders>
          </w:tcPr>
          <w:p>
            <w:pPr>
              <w:spacing w:after="0"/>
              <w:rPr>
                <w:sz w:val="22"/>
                <w:szCs w:val="22"/>
                <w:color w:val="auto"/>
              </w:rPr>
            </w:pPr>
          </w:p>
        </w:tc>
      </w:tr>
      <w:tr>
        <w:trPr>
          <w:trHeight w:val="223"/>
        </w:trPr>
        <w:tc>
          <w:tcPr>
            <w:tcW w:w="4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2025</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700" w:type="dxa"/>
            <w:vAlign w:val="bottom"/>
          </w:tcPr>
          <w:p>
            <w:pPr>
              <w:spacing w:after="0"/>
              <w:rPr>
                <w:sz w:val="19"/>
                <w:szCs w:val="19"/>
                <w:color w:val="auto"/>
              </w:rPr>
            </w:pPr>
          </w:p>
        </w:tc>
      </w:tr>
      <w:tr>
        <w:trPr>
          <w:trHeight w:val="223"/>
        </w:trPr>
        <w:tc>
          <w:tcPr>
            <w:tcW w:w="48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18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372</w:t>
            </w: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363</w:t>
            </w:r>
          </w:p>
        </w:tc>
      </w:tr>
      <w:tr>
        <w:trPr>
          <w:trHeight w:val="230"/>
        </w:trPr>
        <w:tc>
          <w:tcPr>
            <w:tcW w:w="48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1,112</w:t>
            </w:r>
          </w:p>
        </w:tc>
      </w:tr>
      <w:tr>
        <w:trPr>
          <w:trHeight w:val="229"/>
        </w:trPr>
        <w:tc>
          <w:tcPr>
            <w:tcW w:w="48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(1,071)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(1,105)</w:t>
            </w:r>
          </w:p>
        </w:tc>
      </w:tr>
      <w:tr>
        <w:trPr>
          <w:trHeight w:val="230"/>
        </w:trPr>
        <w:tc>
          <w:tcPr>
            <w:tcW w:w="482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18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(401)</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(267)</w:t>
            </w:r>
          </w:p>
        </w:tc>
      </w:tr>
      <w:tr>
        <w:trPr>
          <w:trHeight w:val="223"/>
        </w:trPr>
        <w:tc>
          <w:tcPr>
            <w:tcW w:w="48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18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32</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103</w:t>
            </w: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w:t>
      </w:r>
    </w:p>
    <w:p>
      <w:pPr>
        <w:spacing w:after="0" w:line="192"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The Company did not make cash contributions to its Pension Plan during the first quarter of 2025 and intends to make cash contributions of $3,945 later in the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Rate Activity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General Rate Cases</w:t>
      </w:r>
    </w:p>
    <w:p>
      <w:pPr>
        <w:spacing w:after="0" w:line="21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2"/>
          <w:szCs w:val="22"/>
          <w:color w:val="auto"/>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2"/>
          <w:szCs w:val="22"/>
          <w:color w:val="auto"/>
        </w:rPr>
        <w:t>increase designed to increase total annual operating revenues by $73,000. New rates went into effect on February 22, 2025. At the time the rate order was received, the rates in effect also included $37,940 in Distribution System Improvement Charges (“DSIC”), which was 6.73% above prior base rates. Consequently, the aggregate annual base rates increased by $110,940 since the last base rate increase and DSIC was reset to zero.</w:t>
      </w:r>
    </w:p>
    <w:p>
      <w:pPr>
        <w:spacing w:after="0" w:line="19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During the first three months of 2025, two of the Company’s water utility operating divisions in Ohio and its water and wastewater utility operating divisions in North Carolina also implemented approved base rate increases designed to increase total operating revenues on an annual basis by $5,820. Further, during the first three months of 2025, the Company implemented infrastructure rehabilitation surcharges designed to increase total operating revenues on an annual basis by $10,808 in its water and wastewater utility operating divisions in Pennsylvania and Ohio, and by $466 in its natural gas operating division in Kentucky.</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On November 21, 2024, Aqua Illinois received an order from the Illinois Commerce Commission designed to provide an increase in revenues of $11,632 or 11.4% on an annual basis. New rates went into effect on December 5, 2024.</w:t>
      </w:r>
    </w:p>
    <w:p>
      <w:pPr>
        <w:spacing w:after="0" w:line="186" w:lineRule="exact"/>
        <w:rPr>
          <w:sz w:val="20"/>
          <w:szCs w:val="20"/>
          <w:color w:val="auto"/>
        </w:rPr>
      </w:pPr>
    </w:p>
    <w:p>
      <w:pPr>
        <w:jc w:val="both"/>
        <w:ind w:right="480"/>
        <w:spacing w:after="0" w:line="230" w:lineRule="auto"/>
        <w:rPr>
          <w:sz w:val="20"/>
          <w:szCs w:val="20"/>
          <w:color w:val="auto"/>
        </w:rPr>
      </w:pPr>
      <w:r>
        <w:rPr>
          <w:rFonts w:ascii="Times New Roman" w:cs="Times New Roman" w:eastAsia="Times New Roman" w:hAnsi="Times New Roman"/>
          <w:sz w:val="22"/>
          <w:szCs w:val="22"/>
          <w:color w:val="auto"/>
        </w:rPr>
        <w:t>On October 9, 2024, Aqua New Jersey received an order from the New Jersey Board of Public Utilities that was designed to provide an increase in water rates of $2,250 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w:t>
      </w:r>
    </w:p>
    <w:p>
      <w:pPr>
        <w:spacing w:after="0" w:line="19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On September 12, 2024, the PAPUC issued an order approving the settlement agreement to the general rate case filed by the Company’s regulated natural gas operating subsidiary, Peoples Natural Gas, that allowed base rate increases designed to increase total annual operating revenues by $93,000 or 11.1%. At the time the rate order was received, the rates in effect included various surcharges and credits, such as the DSIC and Tax Cuts and Jobs Act (“TCJA”) amortization credits totaling approximately $21,000 on an annual basis. The order also provided an annualized change in gathering and other operating revenues of approximately $3,000. Consequently, the aggregate annual base rates increased approximately $111,000 as the DSIC was reset to zero, and the TCJA amortization 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 decreases rates when the weather is colder than average, and increases rates when the weather is warmer than average. The Company expects the weather normalization adjustment mechanism to result in reduced earnings volatility during the heating season. On October 11, 2024, the Pennsylvania Office of Consumer Advocate appealed this rate case to the Commonwealth Court. On February 12, 2025, the Pennsylvania Office of Consumer Advocate discontinued its appeal on all but one non-revenue matter which can potentially be resolved through settlement.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On September 12, 2024, the Company’s regulated water and wastewater operating subsidiary in Virginia, Aqua Virginia, received an order from the State Corporation Commission approving an increase in revenues by $5,490 or 23.8% on an annual basis. The Company implemented interim rates in February 2024 and refunded to customers the difference between interim and final approved rates in December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Pending Base Rate Cases</w:t>
      </w:r>
    </w:p>
    <w:p>
      <w:pPr>
        <w:spacing w:after="0" w:line="22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On April 30, 2025, the Company’s regulated water and wastewater operating subsidiary in North Carolina, Aqua North Carolina, filed an application with the North Carolina Utilities Commission designed to increase rates by $32,847 in the first year of new rates being implemented, then an additional $5,915 and $6,000 in the second and third years, respectively.</w:t>
      </w:r>
    </w:p>
    <w:p>
      <w:pPr>
        <w:spacing w:after="0" w:line="179"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On November 25, 2024, the Company’s natural gas operating division in Kentucky filed an application with the Kentucky Public Service Commission for a rate case designed to increase rates by $10,910 or 19.0% on an annual basis. The Company anticipates a final order to be issued by June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Taxes Other than Income Taxes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274"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22"/>
          <w:szCs w:val="22"/>
          <w:color w:val="auto"/>
        </w:rPr>
        <w:t>Three Months Ended</w:t>
      </w:r>
    </w:p>
    <w:p>
      <w:pPr>
        <w:spacing w:after="0" w:line="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-12065</wp:posOffset>
            </wp:positionV>
            <wp:extent cx="2880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7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2025</w:t>
            </w:r>
          </w:p>
        </w:tc>
        <w:tc>
          <w:tcPr>
            <w:tcW w:w="7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2024</w:t>
            </w:r>
          </w:p>
        </w:tc>
      </w:tr>
      <w:tr>
        <w:trPr>
          <w:trHeight w:val="223"/>
        </w:trPr>
        <w:tc>
          <w:tcPr>
            <w:tcW w:w="6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1340" w:type="dxa"/>
            <w:vAlign w:val="bottom"/>
            <w:shd w:val="clear" w:color="auto" w:fill="CCEEFF"/>
          </w:tcPr>
          <w:p>
            <w:pPr>
              <w:jc w:val="right"/>
              <w:ind w:right="1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9,070</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8,877</w:t>
            </w:r>
          </w:p>
        </w:tc>
      </w:tr>
      <w:tr>
        <w:trPr>
          <w:trHeight w:val="229"/>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1340" w:type="dxa"/>
            <w:vAlign w:val="bottom"/>
          </w:tcPr>
          <w:p>
            <w:pPr>
              <w:spacing w:after="0"/>
              <w:rPr>
                <w:sz w:val="19"/>
                <w:szCs w:val="19"/>
                <w:color w:val="auto"/>
              </w:rPr>
            </w:pPr>
          </w:p>
        </w:tc>
        <w:tc>
          <w:tcPr>
            <w:tcW w:w="7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2,886</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4,155</w:t>
            </w:r>
          </w:p>
        </w:tc>
      </w:tr>
      <w:tr>
        <w:trPr>
          <w:trHeight w:val="230"/>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6,961</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7,658</w:t>
            </w:r>
          </w:p>
        </w:tc>
      </w:tr>
      <w:tr>
        <w:trPr>
          <w:trHeight w:val="230"/>
        </w:trPr>
        <w:tc>
          <w:tcPr>
            <w:tcW w:w="67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1340" w:type="dxa"/>
            <w:vAlign w:val="bottom"/>
          </w:tcPr>
          <w:p>
            <w:pPr>
              <w:spacing w:after="0"/>
              <w:rPr>
                <w:sz w:val="19"/>
                <w:szCs w:val="19"/>
                <w:color w:val="auto"/>
              </w:rPr>
            </w:pPr>
          </w:p>
        </w:tc>
        <w:tc>
          <w:tcPr>
            <w:tcW w:w="7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2,035</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1,900</w:t>
            </w:r>
          </w:p>
        </w:tc>
      </w:tr>
      <w:tr>
        <w:trPr>
          <w:trHeight w:val="230"/>
        </w:trPr>
        <w:tc>
          <w:tcPr>
            <w:tcW w:w="67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1,340</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1,496</w:t>
            </w:r>
          </w:p>
        </w:tc>
      </w:tr>
      <w:tr>
        <w:trPr>
          <w:trHeight w:val="229"/>
        </w:trPr>
        <w:tc>
          <w:tcPr>
            <w:tcW w:w="670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587</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938</w:t>
            </w:r>
          </w:p>
        </w:tc>
      </w:tr>
      <w:tr>
        <w:trPr>
          <w:trHeight w:val="250"/>
        </w:trPr>
        <w:tc>
          <w:tcPr>
            <w:tcW w:w="670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1340" w:type="dxa"/>
            <w:vAlign w:val="bottom"/>
            <w:tcBorders>
              <w:bottom w:val="single" w:sz="8" w:color="auto"/>
            </w:tcBorders>
            <w:shd w:val="clear" w:color="auto" w:fill="CCEEFF"/>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22,879</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25,024</w:t>
            </w:r>
          </w:p>
        </w:tc>
      </w:tr>
      <w:tr>
        <w:trPr>
          <w:trHeight w:val="20"/>
        </w:trPr>
        <w:tc>
          <w:tcPr>
            <w:tcW w:w="6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Segment Information</w:t>
      </w:r>
    </w:p>
    <w:p>
      <w:pPr>
        <w:spacing w:after="0" w:line="1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The Company identifies a business as an operating segment if: i) it engages in business activities from which it may earn revenues and incur expenses; ii) 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spacing w:after="0" w:line="180"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Company has eleven operating segments and two reportable segments. The Regulated Water segment is comprised of eight operating segments representing its water and wastewater regulated utility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00"/>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2"/>
          <w:szCs w:val="22"/>
          <w:color w:val="auto"/>
        </w:rPr>
        <w:t>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the Company’s natural gas utility companies, which provide natural gas distribution to retail, commercial, and industrial customers.</w:t>
      </w:r>
    </w:p>
    <w:p>
      <w:pPr>
        <w:spacing w:after="0" w:line="84"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22"/>
          <w:szCs w:val="22"/>
          <w:color w:val="auto"/>
        </w:rPr>
        <w:t>In addition to the Company’s two reportable segments, the Company includes two operating segments within the Other category below. These segments are not quantitatively significant and are comprised of its non-regulated natural gas operations and Aqua Resources.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84" w:lineRule="exact"/>
        <w:rPr>
          <w:sz w:val="20"/>
          <w:szCs w:val="20"/>
          <w:color w:val="auto"/>
        </w:rPr>
      </w:pPr>
    </w:p>
    <w:p>
      <w:pPr>
        <w:jc w:val="both"/>
        <w:ind w:right="220"/>
        <w:spacing w:after="0" w:line="238" w:lineRule="auto"/>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center"/>
              <w:ind w:left="608"/>
              <w:spacing w:after="0"/>
              <w:rPr>
                <w:sz w:val="20"/>
                <w:szCs w:val="20"/>
                <w:color w:val="auto"/>
              </w:rPr>
            </w:pPr>
            <w:r>
              <w:rPr>
                <w:rFonts w:ascii="Times New Roman" w:cs="Times New Roman" w:eastAsia="Times New Roman" w:hAnsi="Times New Roman"/>
                <w:sz w:val="14"/>
                <w:szCs w:val="14"/>
                <w:color w:val="auto"/>
              </w:rPr>
              <w:t>Three Months Ended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March 31, 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March 31, 2024</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Regulated</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Reportable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and</w:t>
            </w:r>
          </w:p>
        </w:tc>
        <w:tc>
          <w:tcPr>
            <w:tcW w:w="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Consolidated</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Regulated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Reportable</w:t>
            </w:r>
          </w:p>
        </w:tc>
        <w:tc>
          <w:tcPr>
            <w:tcW w:w="4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Other and</w:t>
            </w:r>
          </w:p>
        </w:tc>
        <w:tc>
          <w:tcPr>
            <w:tcW w:w="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Segments</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Elims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Natural Gas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Segments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Elims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Revenues from external</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300,848</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469,451</w:t>
            </w:r>
          </w:p>
        </w:tc>
        <w:tc>
          <w:tcPr>
            <w:tcW w:w="2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770,299</w:t>
            </w:r>
          </w:p>
        </w:tc>
        <w:tc>
          <w:tcPr>
            <w:tcW w:w="10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13,327</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783,626</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279,894</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323,333</w:t>
            </w:r>
          </w:p>
        </w:tc>
        <w:tc>
          <w:tcPr>
            <w:tcW w:w="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603,227</w:t>
            </w:r>
          </w:p>
        </w:tc>
        <w:tc>
          <w:tcPr>
            <w:tcW w:w="8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612,069</w:t>
            </w:r>
          </w:p>
        </w:tc>
        <w:tc>
          <w:tcPr>
            <w:tcW w:w="0" w:type="dxa"/>
            <w:vAlign w:val="bottom"/>
          </w:tcPr>
          <w:p>
            <w:pPr>
              <w:spacing w:after="0"/>
              <w:rPr>
                <w:sz w:val="1"/>
                <w:szCs w:val="1"/>
                <w:color w:val="auto"/>
              </w:rPr>
            </w:pPr>
          </w:p>
        </w:tc>
      </w:tr>
      <w:tr>
        <w:trPr>
          <w:trHeight w:val="18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customers</w:t>
            </w:r>
          </w:p>
        </w:tc>
        <w:tc>
          <w:tcPr>
            <w:tcW w:w="18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1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300,848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470,797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771,645</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783,626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279,894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324,331</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604,225</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7,844</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612,069</w:t>
            </w: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Operations and maintenance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89,418</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55,675</w:t>
            </w:r>
          </w:p>
        </w:tc>
        <w:tc>
          <w:tcPr>
            <w:tcW w:w="2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145,093</w:t>
            </w:r>
          </w:p>
        </w:tc>
        <w:tc>
          <w:tcPr>
            <w:tcW w:w="1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(7,269)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137,824</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90,683</w:t>
            </w:r>
          </w:p>
        </w:tc>
        <w:tc>
          <w:tcPr>
            <w:tcW w:w="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45,917</w:t>
            </w:r>
          </w:p>
        </w:tc>
        <w:tc>
          <w:tcPr>
            <w:tcW w:w="4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136,600</w:t>
            </w:r>
          </w:p>
        </w:tc>
        <w:tc>
          <w:tcPr>
            <w:tcW w:w="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136,900</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176,959</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176,959</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125,542</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125,542</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129,675</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38,339</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98,968</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99,377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57,194</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32,411</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89,605</w:t>
            </w:r>
          </w:p>
        </w:tc>
        <w:tc>
          <w:tcPr>
            <w:tcW w:w="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89,804</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21,346</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23,544</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25,024</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26,140</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62,703</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81,836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34,790</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25,356</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60,146</w:t>
            </w:r>
          </w:p>
        </w:tc>
        <w:tc>
          <w:tcPr>
            <w:tcW w:w="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72,284</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Allowance for funds used</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(4,732)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(5,832)</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(5,832)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(993)</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0" w:type="dxa"/>
            <w:vAlign w:val="bottom"/>
          </w:tcPr>
          <w:p>
            <w:pPr>
              <w:spacing w:after="0"/>
              <w:rPr>
                <w:sz w:val="1"/>
                <w:szCs w:val="1"/>
                <w:color w:val="auto"/>
              </w:rPr>
            </w:pPr>
          </w:p>
        </w:tc>
      </w:tr>
      <w:tr>
        <w:trPr>
          <w:trHeight w:val="18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during construction</w:t>
            </w:r>
          </w:p>
        </w:tc>
        <w:tc>
          <w:tcPr>
            <w:tcW w:w="1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Gain on sale of other assets </w:t>
            </w:r>
            <w:r>
              <w:rPr>
                <w:rFonts w:ascii="Times New Roman" w:cs="Times New Roman" w:eastAsia="Times New Roman" w:hAnsi="Times New Roman"/>
                <w:sz w:val="23"/>
                <w:szCs w:val="23"/>
                <w:color w:val="auto"/>
                <w:vertAlign w:val="superscript"/>
              </w:rPr>
              <w: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(91,581)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(91,625)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(91,625)</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23"/>
                <w:szCs w:val="23"/>
                <w:color w:val="auto"/>
                <w:vertAlign w:val="superscript"/>
              </w:rPr>
              <w:t>(b)</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(4,571)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(20,348)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(24,919)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(20,595)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(29,150)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(8,340)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(benefit)</w:t>
            </w:r>
          </w:p>
        </w:tc>
        <w:tc>
          <w:tcPr>
            <w:tcW w:w="1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189,505</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297,427</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209,940</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273,845</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265,772</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155,688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114,851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270,539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152,231</w:t>
            </w: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100,767</w:t>
            </w:r>
          </w:p>
        </w:tc>
        <w:tc>
          <w:tcPr>
            <w:tcW w:w="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252,998</w:t>
            </w: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252,998</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30"/>
          <w:szCs w:val="30"/>
          <w:color w:val="auto"/>
          <w:vertAlign w:val="superscript"/>
        </w:rPr>
      </w:pPr>
      <w:r>
        <w:rPr>
          <w:rFonts w:ascii="Times New Roman" w:cs="Times New Roman" w:eastAsia="Times New Roman" w:hAnsi="Times New Roman"/>
          <w:sz w:val="16"/>
          <w:szCs w:val="16"/>
          <w:color w:val="auto"/>
        </w:rPr>
        <w:t xml:space="preserve">Refer to Note 4 – </w:t>
      </w:r>
      <w:r>
        <w:rPr>
          <w:rFonts w:ascii="Times New Roman" w:cs="Times New Roman" w:eastAsia="Times New Roman" w:hAnsi="Times New Roman"/>
          <w:sz w:val="16"/>
          <w:szCs w:val="16"/>
          <w:i w:val="1"/>
          <w:iCs w:val="1"/>
          <w:color w:val="auto"/>
        </w:rPr>
        <w:t>Dispositions</w:t>
      </w:r>
      <w:r>
        <w:rPr>
          <w:rFonts w:ascii="Times New Roman" w:cs="Times New Roman" w:eastAsia="Times New Roman" w:hAnsi="Times New Roman"/>
          <w:sz w:val="16"/>
          <w:szCs w:val="16"/>
          <w:color w:val="auto"/>
        </w:rPr>
        <w:t xml:space="preserve"> for additional information.</w:t>
      </w:r>
    </w:p>
    <w:p>
      <w:pPr>
        <w:spacing w:after="0" w:line="50" w:lineRule="exact"/>
        <w:rPr>
          <w:rFonts w:ascii="Arial" w:cs="Arial" w:eastAsia="Arial" w:hAnsi="Arial"/>
          <w:sz w:val="30"/>
          <w:szCs w:val="30"/>
          <w:color w:val="auto"/>
          <w:vertAlign w:val="superscript"/>
        </w:rPr>
      </w:pPr>
    </w:p>
    <w:p>
      <w:pPr>
        <w:ind w:left="260" w:hanging="252"/>
        <w:spacing w:after="0" w:line="182" w:lineRule="auto"/>
        <w:tabs>
          <w:tab w:leader="none" w:pos="260" w:val="left"/>
        </w:tabs>
        <w:numPr>
          <w:ilvl w:val="0"/>
          <w:numId w:val="2"/>
        </w:numPr>
        <w:rPr>
          <w:rFonts w:ascii="Arial" w:cs="Arial" w:eastAsia="Arial" w:hAnsi="Arial"/>
          <w:sz w:val="22"/>
          <w:szCs w:val="22"/>
          <w:color w:val="auto"/>
          <w:vertAlign w:val="superscript"/>
        </w:rPr>
      </w:pPr>
      <w:r>
        <w:rPr>
          <w:rFonts w:ascii="Times New Roman" w:cs="Times New Roman" w:eastAsia="Times New Roman" w:hAnsi="Times New Roman"/>
          <w:sz w:val="13"/>
          <w:szCs w:val="13"/>
          <w:color w:val="auto"/>
        </w:rPr>
        <w:t>Other segment items mainly consists of the non-service cost component of pension and other postretirement benefits for our regulated segments.</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2025, the aggregate amount of $24,060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March 31, 2025, estimates that approximately $769 of the amount accrued for these matters are probable of recovery through insurance, which amount is also reported in the Company’s condensed consolidated balance sheet as deferred charges and other assets, net.</w:t>
      </w:r>
    </w:p>
    <w:p>
      <w:pPr>
        <w:spacing w:after="0" w:line="18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In addition, plaintiffs commenced similar actions in federal court and in front of two state agencies.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 the Company submitted a claim for the expenses incurred to its insurance carrier for potential recovery of a portion of these costs and is currently in litigation with one of its carriers seeking to enforce its claims, and recently prevailed in the Third Circuit Court of Appeals which held that the insurance carrier possessed a duty to defend. In February 2025, the Company received $5,602 in related insurance proceeds for a portion of expenses incurred by the Company. The Company continues to assess the potential loss contingency on this matter.</w:t>
      </w:r>
    </w:p>
    <w:p>
      <w:pPr>
        <w:spacing w:after="0" w:line="20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color w:val="auto"/>
        </w:rPr>
        <w:t>A number of the Company’s subsidiaries are parties to several lawsuits against manufacturers of certain per- and polyfluoroalkyl substances or compounds (“PFAS”) for damages, contribution and</w:t>
      </w: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2024, the MDL court granted approval of the DuPont, 3M, Tyco Fire Products LP, and BASF Corp class action settlements. The Company submitted the phase one public water system claims requirements pursuant to the Dupont and 3M settlement agreements in 2024, and will submit other requirements within the time period provided by the MDL court. The amount of recovery, if any, by the Company is uncertain.</w:t>
      </w:r>
    </w:p>
    <w:p>
      <w:pPr>
        <w:spacing w:after="0" w:line="19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6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$7,232 at March 31, 2025 and represents a reserve for unpaid claim costs, including an estimate for the cost of incurred but not reported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2"/>
          <w:szCs w:val="22"/>
          <w:color w:val="auto"/>
        </w:rPr>
        <w:t>The Company’s effective tax rate was a benefit of 7.8% and 4.2% for the three months ended March 31, 2025 and 2024, respectively. The increase in the income tax benefit in the first quarter of 2025 is primarily attributed to the release of $22,575 of income tax reserve regulatory liability in the Regulated Water segment based on the rate order received by Aqua Pennsylvania in February 2025, while the remaining portion is refunded to customers through base rates over a two-year period. These increases are offset by the decreases in both the state tax benefit and amortization of tax repairs surcredit in the Regulated Natural Gas segment based on its rate order received in September 2024.</w:t>
      </w:r>
    </w:p>
    <w:p>
      <w:pPr>
        <w:spacing w:after="0" w:line="192"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22"/>
          <w:szCs w:val="22"/>
          <w:color w:val="auto"/>
        </w:rPr>
        <w:t>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spacing w:after="0" w:line="192"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2"/>
          <w:szCs w:val="22"/>
          <w:color w:val="auto"/>
        </w:rPr>
        <w:t>The statutory Federal tax rate is 21.0% for the three months ended March 31, 2025 and 2024. For states with a corporate net income tax, the state corporate net income tax rates range from 2.25% to 9.50% for all periods presented. Our effective tax rate differs from the federal statutory tax rate primarily due to flow-through tax, the amortization of deferred benefit from repair method changes, state income taxes and other permanent book-to-tax differences.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7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3" w:lineRule="exact"/>
        <w:rPr>
          <w:sz w:val="20"/>
          <w:szCs w:val="20"/>
          <w:color w:val="auto"/>
        </w:rPr>
      </w:pPr>
    </w:p>
    <w:p>
      <w:pPr>
        <w:ind w:right="5040"/>
        <w:spacing w:after="0" w:line="442"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Note 16 – Recent Accounting Pronouncements and Disclosure Rules </w:t>
      </w:r>
      <w:r>
        <w:rPr>
          <w:rFonts w:ascii="Times New Roman" w:cs="Times New Roman" w:eastAsia="Times New Roman" w:hAnsi="Times New Roman"/>
          <w:sz w:val="22"/>
          <w:szCs w:val="22"/>
          <w:color w:val="auto"/>
        </w:rPr>
        <w:t>Pronouncements to be adopted upon the effective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November 2024, the FASB issued ASU 2024-03, “</w:t>
      </w:r>
      <w:r>
        <w:rPr>
          <w:rFonts w:ascii="Times New Roman" w:cs="Times New Roman" w:eastAsia="Times New Roman" w:hAnsi="Times New Roman"/>
          <w:sz w:val="22"/>
          <w:szCs w:val="22"/>
          <w:i w:val="1"/>
          <w:iCs w:val="1"/>
          <w:color w:val="auto"/>
        </w:rPr>
        <w:t>Income Statement Reporting–Comprehensive Income–Expense</w:t>
      </w:r>
    </w:p>
    <w:p>
      <w:pPr>
        <w:spacing w:after="0" w:line="18"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22"/>
          <w:szCs w:val="22"/>
          <w:i w:val="1"/>
          <w:iCs w:val="1"/>
          <w:color w:val="auto"/>
        </w:rPr>
        <w:t>Disaggregation Disclosures (Subtopic 220-40), Disaggregation of Income Statement Expenses”</w:t>
      </w:r>
      <w:r>
        <w:rPr>
          <w:rFonts w:ascii="Times New Roman" w:cs="Times New Roman" w:eastAsia="Times New Roman" w:hAnsi="Times New Roman"/>
          <w:sz w:val="22"/>
          <w:szCs w:val="22"/>
          <w:color w:val="auto"/>
        </w:rPr>
        <w:t>. The standard update improves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spacing w:after="0" w:line="19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 xml:space="preserve">In December 2023, the FASB issued ASU 2023-09, </w:t>
      </w:r>
      <w:r>
        <w:rPr>
          <w:rFonts w:ascii="Times New Roman" w:cs="Times New Roman" w:eastAsia="Times New Roman" w:hAnsi="Times New Roman"/>
          <w:sz w:val="22"/>
          <w:szCs w:val="22"/>
          <w:i w:val="1"/>
          <w:iCs w:val="1"/>
          <w:color w:val="auto"/>
        </w:rPr>
        <w:t>“Income Taxes (Topic 740): Improvements to Income Tax Disclosures”</w:t>
      </w:r>
      <w:r>
        <w:rPr>
          <w:rFonts w:ascii="Times New Roman" w:cs="Times New Roman" w:eastAsia="Times New Roman" w:hAnsi="Times New Roman"/>
          <w:sz w:val="22"/>
          <w:szCs w:val="22"/>
          <w:color w:val="auto"/>
        </w:rPr>
        <w:t>. The ASU enhances the transparency and decision usefulness of income tax disclosures and is effective for annual periods beginning after December 15, 2024 on a prospective basis. Early adoption is permitted. The Company plans to adopt the standard in its annual report on Form 10-K for the year ending December 31, 2025. The Company does not expect this ASU to have a significant impact to its current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Pronouncements adopted during the period:</w:t>
      </w:r>
    </w:p>
    <w:p>
      <w:pPr>
        <w:spacing w:after="0" w:line="21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 xml:space="preserve">In November 2023, the FASB issued ASU 2023-07, </w:t>
      </w:r>
      <w:r>
        <w:rPr>
          <w:rFonts w:ascii="Times New Roman" w:cs="Times New Roman" w:eastAsia="Times New Roman" w:hAnsi="Times New Roman"/>
          <w:sz w:val="22"/>
          <w:szCs w:val="22"/>
          <w:i w:val="1"/>
          <w:iCs w:val="1"/>
          <w:color w:val="auto"/>
        </w:rPr>
        <w:t>“Segment Reporting - Improving Reportable Segment Disclosures (Topic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280)”. </w:t>
      </w:r>
      <w:r>
        <w:rPr>
          <w:rFonts w:ascii="Times New Roman" w:cs="Times New Roman" w:eastAsia="Times New Roman" w:hAnsi="Times New Roman"/>
          <w:sz w:val="22"/>
          <w:szCs w:val="22"/>
          <w:color w:val="auto"/>
        </w:rPr>
        <w:t>The update is intended to improve reportable segment disclosure requirements, primarily through enhanced disclosures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about significant expenses. The ASU requires disclosures to include significant segment expenses that are regularly provided to the chief operating decision maker (CODM) and a description of other segment items by reportable segment. The ASU also requires certain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Company adopted the updated provisions in its annual report on Form 10-K for the year ended December 31, 2024, and in this March 31, 2025 quarterly report on Form 10-Q.</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2680"/>
        <w:spacing w:after="0" w:line="439" w:lineRule="auto"/>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 Forward-looking Statements</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impact of public health threats, and our ability to assimilate acquired operations, as well as those risks, uncertainties and other factors discussed in our Annual Report on Form 10-K for the fiscal year ended December 31, 2024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Information</w:t>
      </w:r>
    </w:p>
    <w:p>
      <w:pPr>
        <w:spacing w:after="0" w:line="206"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2"/>
          <w:szCs w:val="22"/>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1020"/>
        <w:spacing w:after="0" w:line="245" w:lineRule="auto"/>
        <w:rPr>
          <w:sz w:val="20"/>
          <w:szCs w:val="20"/>
          <w:color w:val="auto"/>
        </w:rPr>
      </w:pPr>
      <w:r>
        <w:rPr>
          <w:rFonts w:ascii="Times New Roman" w:cs="Times New Roman" w:eastAsia="Times New Roman" w:hAnsi="Times New Roman"/>
          <w:sz w:val="22"/>
          <w:szCs w:val="22"/>
          <w:color w:val="auto"/>
        </w:rPr>
        <w:t>opportunistically pursue growth ventures in select market-based activities, such as infrastructure opportunities that are supplementary and complementary to our regulated water utility businesses.</w:t>
      </w:r>
    </w:p>
    <w:p>
      <w:pPr>
        <w:spacing w:after="0" w:line="186"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In January 2024, the Company completed the sale of its interest in three non-utility local microgrid and distributed energy projects for $165,000, which resulted in a gain on sale of $91,236. The sale is consistent with the Company’s long-term strategy of focusing on its core business and will allow the Company to prioritize the growth of its utilities in states where it has scale. The Company used the proceeds from the sale to finance its capital expenditures and water and wastewater acquisitions, in place of external funding from equity and debt issuances.</w:t>
      </w:r>
    </w:p>
    <w:p>
      <w:pPr>
        <w:spacing w:after="0" w:line="188"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condensed consolidated financial statements and related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1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Our business is subject to various economic factors that affect our customers and our industry. The recent changes in government fiscal policies and regulations introduced by the new administration have resulted in heightened uncertainty for businesses and consumers, as well as volatility in financial markets. We will continue to evaluate the evolving macroeconomic environment, including those impacts resulting from the recent imposition, or proposed imposition, of tariffs and potential changes to environmental regulations,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Developments</w:t>
      </w:r>
    </w:p>
    <w:p>
      <w:pPr>
        <w:spacing w:after="0" w:line="224"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During the first three months of 2025, we implemented, or received approval to implement, base rate increases that result in a $78,820 increase in annual revenues as summarized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State</w:t>
            </w:r>
          </w:p>
        </w:tc>
        <w:tc>
          <w:tcPr>
            <w:tcW w:w="26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Segment</w:t>
            </w:r>
          </w:p>
        </w:tc>
        <w:tc>
          <w:tcPr>
            <w:tcW w:w="27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4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Annualized Revenue Increase</w:t>
            </w:r>
          </w:p>
        </w:tc>
      </w:tr>
      <w:tr>
        <w:trPr>
          <w:trHeight w:val="210"/>
        </w:trPr>
        <w:tc>
          <w:tcPr>
            <w:tcW w:w="23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Pennsylvania</w:t>
            </w:r>
          </w:p>
        </w:tc>
        <w:tc>
          <w:tcPr>
            <w:tcW w:w="2620" w:type="dxa"/>
            <w:vAlign w:val="bottom"/>
            <w:shd w:val="clear" w:color="auto" w:fill="CCEEFF"/>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2/22/2025</w:t>
            </w:r>
          </w:p>
        </w:tc>
        <w:tc>
          <w:tcPr>
            <w:tcW w:w="460" w:type="dxa"/>
            <w:vAlign w:val="bottom"/>
            <w:shd w:val="clear" w:color="auto" w:fill="CCEEFF"/>
          </w:tcPr>
          <w:p>
            <w:pPr>
              <w:jc w:val="right"/>
              <w:ind w:right="26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31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58,400</w:t>
            </w:r>
          </w:p>
        </w:tc>
      </w:tr>
      <w:tr>
        <w:trPr>
          <w:trHeight w:val="216"/>
        </w:trPr>
        <w:tc>
          <w:tcPr>
            <w:tcW w:w="2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ind w:left="1"/>
              <w:spacing w:after="0" w:line="216" w:lineRule="exact"/>
              <w:rPr>
                <w:sz w:val="20"/>
                <w:szCs w:val="20"/>
                <w:color w:val="auto"/>
              </w:rPr>
            </w:pPr>
            <w:r>
              <w:rPr>
                <w:rFonts w:ascii="Times New Roman" w:cs="Times New Roman" w:eastAsia="Times New Roman" w:hAnsi="Times New Roman"/>
                <w:sz w:val="20"/>
                <w:szCs w:val="20"/>
                <w:color w:val="auto"/>
                <w:w w:val="97"/>
              </w:rPr>
              <w:t>Wastewater</w:t>
            </w:r>
          </w:p>
        </w:tc>
        <w:tc>
          <w:tcPr>
            <w:tcW w:w="2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2/22/2025</w:t>
            </w:r>
          </w:p>
        </w:tc>
        <w:tc>
          <w:tcPr>
            <w:tcW w:w="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14,600</w:t>
            </w:r>
          </w:p>
        </w:tc>
      </w:tr>
      <w:tr>
        <w:trPr>
          <w:trHeight w:val="210"/>
        </w:trPr>
        <w:tc>
          <w:tcPr>
            <w:tcW w:w="230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North Carolina*</w:t>
            </w:r>
          </w:p>
        </w:tc>
        <w:tc>
          <w:tcPr>
            <w:tcW w:w="2620" w:type="dxa"/>
            <w:vAlign w:val="bottom"/>
            <w:shd w:val="clear" w:color="auto" w:fill="CCEEFF"/>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rPr>
              <w:t>1/1/2025</w:t>
            </w:r>
          </w:p>
        </w:tc>
        <w:tc>
          <w:tcPr>
            <w:tcW w:w="46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2,820</w:t>
            </w:r>
          </w:p>
        </w:tc>
      </w:tr>
      <w:tr>
        <w:trPr>
          <w:trHeight w:val="216"/>
        </w:trPr>
        <w:tc>
          <w:tcPr>
            <w:tcW w:w="2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ind w:left="1"/>
              <w:spacing w:after="0" w:line="216" w:lineRule="exact"/>
              <w:rPr>
                <w:sz w:val="20"/>
                <w:szCs w:val="20"/>
                <w:color w:val="auto"/>
              </w:rPr>
            </w:pPr>
            <w:r>
              <w:rPr>
                <w:rFonts w:ascii="Times New Roman" w:cs="Times New Roman" w:eastAsia="Times New Roman" w:hAnsi="Times New Roman"/>
                <w:sz w:val="20"/>
                <w:szCs w:val="20"/>
                <w:color w:val="auto"/>
                <w:w w:val="97"/>
              </w:rPr>
              <w:t>Wastewater</w:t>
            </w:r>
          </w:p>
        </w:tc>
        <w:tc>
          <w:tcPr>
            <w:tcW w:w="2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rPr>
              <w:t>1/1/2025</w:t>
            </w:r>
          </w:p>
        </w:tc>
        <w:tc>
          <w:tcPr>
            <w:tcW w:w="4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1,310</w:t>
            </w:r>
          </w:p>
        </w:tc>
      </w:tr>
      <w:tr>
        <w:trPr>
          <w:trHeight w:val="210"/>
        </w:trPr>
        <w:tc>
          <w:tcPr>
            <w:tcW w:w="2300" w:type="dxa"/>
            <w:vAlign w:val="bottom"/>
            <w:tcBorders>
              <w:bottom w:val="single" w:sz="8" w:color="auto"/>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Ohio</w:t>
            </w:r>
          </w:p>
        </w:tc>
        <w:tc>
          <w:tcPr>
            <w:tcW w:w="2620" w:type="dxa"/>
            <w:vAlign w:val="bottom"/>
            <w:tcBorders>
              <w:bottom w:val="single" w:sz="8" w:color="auto"/>
            </w:tcBorders>
            <w:shd w:val="clear" w:color="auto" w:fill="CCEEFF"/>
          </w:tcPr>
          <w:p>
            <w:pPr>
              <w:jc w:val="center"/>
              <w:ind w:left="1"/>
              <w:spacing w:after="0" w:line="209" w:lineRule="exact"/>
              <w:rPr>
                <w:sz w:val="20"/>
                <w:szCs w:val="20"/>
                <w:color w:val="auto"/>
              </w:rPr>
            </w:pPr>
            <w:r>
              <w:rPr>
                <w:rFonts w:ascii="Times New Roman" w:cs="Times New Roman" w:eastAsia="Times New Roman" w:hAnsi="Times New Roman"/>
                <w:sz w:val="20"/>
                <w:szCs w:val="20"/>
                <w:color w:val="auto"/>
                <w:w w:val="98"/>
              </w:rPr>
              <w:t>Water</w:t>
            </w:r>
          </w:p>
        </w:tc>
        <w:tc>
          <w:tcPr>
            <w:tcW w:w="2760" w:type="dxa"/>
            <w:vAlign w:val="bottom"/>
            <w:tcBorders>
              <w:bottom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rPr>
              <w:t>1/1/2025</w:t>
            </w:r>
          </w:p>
        </w:tc>
        <w:tc>
          <w:tcPr>
            <w:tcW w:w="46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1,690</w:t>
            </w:r>
          </w:p>
        </w:tc>
      </w:tr>
      <w:tr>
        <w:trPr>
          <w:trHeight w:val="210"/>
        </w:trPr>
        <w:tc>
          <w:tcPr>
            <w:tcW w:w="49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Total Base Rate Case Authorizations in 2025</w:t>
            </w:r>
          </w:p>
        </w:tc>
        <w:tc>
          <w:tcPr>
            <w:tcW w:w="2760" w:type="dxa"/>
            <w:vAlign w:val="bottom"/>
          </w:tcPr>
          <w:p>
            <w:pPr>
              <w:spacing w:after="0"/>
              <w:rPr>
                <w:sz w:val="18"/>
                <w:szCs w:val="18"/>
                <w:color w:val="auto"/>
              </w:rPr>
            </w:pPr>
          </w:p>
        </w:tc>
        <w:tc>
          <w:tcPr>
            <w:tcW w:w="460" w:type="dxa"/>
            <w:vAlign w:val="bottom"/>
            <w:tcBorders>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3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78,820</w:t>
            </w:r>
          </w:p>
        </w:tc>
      </w:tr>
      <w:tr>
        <w:trPr>
          <w:trHeight w:val="20"/>
        </w:trPr>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Base rate case - step increase for Year 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22"/>
          <w:szCs w:val="22"/>
          <w:color w:val="auto"/>
        </w:rPr>
        <w:t>As of March 31, 2025, we have a pending base rate case with the Kentucky Public Service Commission designed to increase rates by $10,910 or 19.0% on an annual basis. The Company anticipates a final order to be issued by June 2025. On April 30, 2025, the Company’s regulated water and wastewater operating subsidiary in North Carolina, Aqua North Carolina, filed an application with the North Carolina Utilities Commission designed to increase rates by $29,857 in the first year of new rates being implemented, then an additional $5,956 and $6,025 in the second and third years,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Growth Through Acquisitions and Capital Investment</w:t>
      </w:r>
    </w:p>
    <w:p>
      <w:pPr>
        <w:spacing w:after="0" w:line="224"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1"/>
          <w:szCs w:val="21"/>
          <w:color w:val="auto"/>
        </w:rPr>
        <w:t>In January 2025, the Company acquired Greenville Sanitary Authority’s wastewater utility assets, which serves approximately 2,300 customers in Greenville, Pennsylvania for $18,000. As of March 31, 2025, the Company has six signed purchase agreements for additional water and wastewater systems that are expected to serve approximately 211,000 equivalent retail customers or equivalent dwelling units and total approximately $340,000 in purchase price in three of our existing states. This includes the Company’s agreement to acquire the Delaware County Regional Water Quality Control Authority (DELCORA) for $276,000. DELCORA, a Pennsylvania sewer authority, serves approximately 198,000 equivalent dwelling units in</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 xml:space="preserve">the Philadelphia suburbs. In April 2025, the Company closed on its acquisition of the Village of Midvale’s water system in Ohio, which serves approximately 1,000 customers for $2,950. Refer to Note 3 – </w:t>
      </w:r>
      <w:r>
        <w:rPr>
          <w:rFonts w:ascii="Times New Roman" w:cs="Times New Roman" w:eastAsia="Times New Roman" w:hAnsi="Times New Roman"/>
          <w:sz w:val="22"/>
          <w:szCs w:val="22"/>
          <w:i w:val="1"/>
          <w:iCs w:val="1"/>
          <w:color w:val="auto"/>
        </w:rPr>
        <w:t>Water and Wastewater Acquisitions</w:t>
      </w:r>
      <w:r>
        <w:rPr>
          <w:rFonts w:ascii="Times New Roman" w:cs="Times New Roman" w:eastAsia="Times New Roman" w:hAnsi="Times New Roman"/>
          <w:sz w:val="22"/>
          <w:szCs w:val="22"/>
          <w:color w:val="auto"/>
        </w:rPr>
        <w:t xml:space="preserve"> for further discussion.</w:t>
      </w:r>
    </w:p>
    <w:p>
      <w:pPr>
        <w:spacing w:after="0" w:line="177"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For the three months ended March 31, 2025, we invested $270,539 to improve our regulated water and natural gas infrastructure system and to enhance customer service. From 2025 through 2029, the Company plans to invest approximately $7,800,000 to improve water and natural gas systems and better serve customers through improved information technology. The capital investments made to rehabilitate and expand the infrastructure of the communities the Company serves are critical to its mission of safely and reliably delivering Earth’s most essential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06"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commercial paper notes, long-term debt and equity will be adequate to provide sufficient working capital to maintain normal operations and to meet our financing requirements for at least the next twelve months.</w:t>
      </w:r>
    </w:p>
    <w:p>
      <w:pPr>
        <w:spacing w:after="0" w:line="181"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Net cash flows from operating activities were $299,517 for the first three months of 2025, compared to $240,713 for the first three months of 2024. Operating cash flow increased by $58,804 primarily due to an increase in operating income in 2025 resulting from additional revenues from regulatory recoveries, and an increase in gas volumes delivered due to colder weather conditions during the first quarter of 2025 as compared to 2024.</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During the first three months of 2025, we incurred $270,539 of capital expenditures, obtained $706,906 of proceeds from borrowings and made $550,000 of repayments to our long-term revolving credit facility, obtained proceeds of $1,244 and repaid $1,150 of long-term subsidiary debt, and made short-term debt net repayments of $97,252. The capital expenditures were related to new and replacement water, wastewater, and natural gas mains, improvements to treatment plants, tanks, hydrants, and service lines, well and booster improvements, information technology improvements, and other enhancements and improvements. Net cash flows used in financing activities decreased by $123,633 during the first three months of 2025 as compared to 2024. The decrease is primarily due to higher financing activity cash inflow resulting from the issuance of common stock from the Company’s at-the-market equity sales program (“ATM”) and increase in borrowings from the Company’s revolving credit facility as compared to the prior period.</w:t>
      </w:r>
    </w:p>
    <w:p>
      <w:pPr>
        <w:spacing w:after="0" w:line="19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On August 13, 2024, the Company established an ATM, under which we may issue and sell shares of our common stock up to an aggregate offering price of $1,000,000 (“2024 ATM”). During the three months ended March 31, 2025, we issued 1,627,009 shares of common stock for net proceeds of approximately $63,000 under the 2024 ATM. As of March 31, 2025, the 2024 ATM had approximately $900,000 of equity available for issuance. The Company used the net proceeds from the sales of shares through the 2024 ATM for working capital, capital expenditures, water and wastewater utility acquisitions, and repaying a portion of outstanding indebtedness. In April 2025, the Company issued 3,664,762 common shares under the 2024 ATM for a total net proceeds of approximately $145,500.</w:t>
      </w:r>
    </w:p>
    <w:p>
      <w:pPr>
        <w:spacing w:after="0" w:line="195"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22"/>
          <w:szCs w:val="22"/>
          <w:color w:val="auto"/>
        </w:rPr>
        <w:t>At March 31, 2025, we had $20,784 of cash and cash equivalents compared to $9,156 at December 31, 2024. During the first three months of 2025, we used the proceeds from long-term debt and the proceeds from issuance of common stock, as well as internally generated funds, for capital expenditures, repayment of existing indebtedness, payment of dividends, and general corporate purposes.</w:t>
      </w:r>
    </w:p>
    <w:p>
      <w:pPr>
        <w:spacing w:after="0" w:line="17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At March 31, 2025 our $1,000,000 unsecured revolving credit facility, which expires in December 2027, had $417,368 available for borrowing. Additionally, at March 31, 2025, we had short-term lines of credit of $400,000, primarily used for working capital, of which $310,711 was available for borrowing. Although we believe we will be able to renew these facilities, there is no assurance that they will be renewed, or what the terms of any such renewal will be.</w:t>
      </w:r>
    </w:p>
    <w:p>
      <w:pPr>
        <w:spacing w:after="0" w:line="19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2"/>
          <w:szCs w:val="22"/>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will rank equally with the Company’s present and future unsecured indebtedness. The Company intends to use the net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March 31, 2025, no CP Notes were issued and were outstanding under the CP Program.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00"/>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00"/>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22"/>
          <w:szCs w:val="22"/>
          <w:color w:val="auto"/>
        </w:rPr>
        <w:t>As of March 31, 2025, our credit ratings remained at investment grade levels. On March 19, 2024, S&amp;P lowered its credit rating for the Company, Aqua Pennsylvania, and Peoples Natural Gas Companies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October 3, 2024, Moody’s Investors Service (“Moody’s”) affirmed the Company’s senior unsecured notes rating of Baa2 and changed its outlook from stable to negative; and, changed Peoples Natural Gas Companies’ senior secured notes rating from Baa1 to Baa2 and maintained a negative outlook.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Results of Operations</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Consolidated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March 31, 2025 and 2024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19"/>
                <w:szCs w:val="19"/>
                <w:color w:val="auto"/>
              </w:rPr>
            </w:pPr>
          </w:p>
        </w:tc>
        <w:tc>
          <w:tcPr>
            <w:tcW w:w="13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color w:val="auto"/>
                <w:w w:val="99"/>
              </w:rPr>
              <w:t>Increase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5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(Decrease)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83"/>
        </w:trPr>
        <w:tc>
          <w:tcPr>
            <w:tcW w:w="57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783,626</w:t>
            </w:r>
          </w:p>
        </w:tc>
        <w:tc>
          <w:tcPr>
            <w:tcW w:w="36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612,069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171,557</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137,824</w:t>
            </w:r>
          </w:p>
        </w:tc>
        <w:tc>
          <w:tcPr>
            <w:tcW w:w="36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136,900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924</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0"/>
        </w:trPr>
        <w:tc>
          <w:tcPr>
            <w:tcW w:w="574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184,641</w:t>
            </w:r>
          </w:p>
        </w:tc>
        <w:tc>
          <w:tcPr>
            <w:tcW w:w="36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129,675</w:t>
            </w: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54,966</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283,789</w:t>
            </w:r>
          </w:p>
        </w:tc>
        <w:tc>
          <w:tcPr>
            <w:tcW w:w="36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265,772</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18,017</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958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5820" cy="13716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800" w:type="dxa"/>
            <w:vAlign w:val="bottom"/>
          </w:tcPr>
          <w:p>
            <w:pPr>
              <w:spacing w:after="0"/>
              <w:rPr>
                <w:sz w:val="19"/>
                <w:szCs w:val="19"/>
                <w:color w:val="auto"/>
              </w:rPr>
            </w:pPr>
          </w:p>
        </w:tc>
        <w:tc>
          <w:tcPr>
            <w:tcW w:w="4060" w:type="dxa"/>
            <w:vAlign w:val="bottom"/>
          </w:tcPr>
          <w:p>
            <w:pPr>
              <w:spacing w:after="0"/>
              <w:rPr>
                <w:sz w:val="19"/>
                <w:szCs w:val="19"/>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8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r>
      <w:tr>
        <w:trPr>
          <w:trHeight w:val="189"/>
        </w:trPr>
        <w:tc>
          <w:tcPr>
            <w:tcW w:w="54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80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8"/>
              </w:rPr>
              <w:t>17.6%</w:t>
            </w:r>
          </w:p>
        </w:tc>
        <w:tc>
          <w:tcPr>
            <w:tcW w:w="406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22.4%</w:t>
            </w: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800" w:type="dxa"/>
            <w:vAlign w:val="bottom"/>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8"/>
              </w:rPr>
              <w:t>23.6%</w:t>
            </w:r>
          </w:p>
        </w:tc>
        <w:tc>
          <w:tcPr>
            <w:tcW w:w="406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21.2%</w:t>
            </w:r>
          </w:p>
        </w:tc>
      </w:tr>
      <w:tr>
        <w:trPr>
          <w:trHeight w:val="189"/>
        </w:trPr>
        <w:tc>
          <w:tcPr>
            <w:tcW w:w="54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8"/>
              </w:rPr>
              <w:t>12.7%</w:t>
            </w:r>
          </w:p>
        </w:tc>
        <w:tc>
          <w:tcPr>
            <w:tcW w:w="406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14.7%</w:t>
            </w: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800" w:type="dxa"/>
            <w:vAlign w:val="bottom"/>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406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rPr>
              <w:t>4.1%</w:t>
            </w:r>
          </w:p>
        </w:tc>
      </w:tr>
      <w:tr>
        <w:trPr>
          <w:trHeight w:val="189"/>
        </w:trPr>
        <w:tc>
          <w:tcPr>
            <w:tcW w:w="54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80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8"/>
              </w:rPr>
              <w:t>10.4%</w:t>
            </w:r>
          </w:p>
        </w:tc>
        <w:tc>
          <w:tcPr>
            <w:tcW w:w="4060" w:type="dxa"/>
            <w:vAlign w:val="bottom"/>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11.8%</w:t>
            </w: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8"/>
              </w:rPr>
              <w:t>36.2%</w:t>
            </w:r>
          </w:p>
        </w:tc>
        <w:tc>
          <w:tcPr>
            <w:tcW w:w="4060" w:type="dxa"/>
            <w:vAlign w:val="bottom"/>
            <w:shd w:val="clear" w:color="auto" w:fill="CCEEFF"/>
          </w:tcPr>
          <w:p>
            <w:pPr>
              <w:jc w:val="center"/>
              <w:ind w:right="2470"/>
              <w:spacing w:after="0" w:line="189" w:lineRule="exact"/>
              <w:rPr>
                <w:sz w:val="20"/>
                <w:szCs w:val="20"/>
                <w:color w:val="auto"/>
              </w:rPr>
            </w:pPr>
            <w:r>
              <w:rPr>
                <w:rFonts w:ascii="Times New Roman" w:cs="Times New Roman" w:eastAsia="Times New Roman" w:hAnsi="Times New Roman"/>
                <w:sz w:val="18"/>
                <w:szCs w:val="18"/>
                <w:color w:val="auto"/>
                <w:w w:val="98"/>
              </w:rPr>
              <w:t>43.4%</w:t>
            </w:r>
          </w:p>
        </w:tc>
      </w:tr>
      <w:tr>
        <w:trPr>
          <w:trHeight w:val="189"/>
        </w:trPr>
        <w:tc>
          <w:tcPr>
            <w:tcW w:w="5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800" w:type="dxa"/>
            <w:vAlign w:val="bottom"/>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4060" w:type="dxa"/>
            <w:vAlign w:val="bottom"/>
            <w:shd w:val="clear" w:color="auto" w:fill="CCEEFF"/>
          </w:tcPr>
          <w:p>
            <w:pPr>
              <w:jc w:val="center"/>
              <w:ind w:right="2490"/>
              <w:spacing w:after="0" w:line="189" w:lineRule="exact"/>
              <w:rPr>
                <w:sz w:val="20"/>
                <w:szCs w:val="20"/>
                <w:color w:val="auto"/>
              </w:rPr>
            </w:pPr>
            <w:r>
              <w:rPr>
                <w:rFonts w:ascii="Times New Roman" w:cs="Times New Roman" w:eastAsia="Times New Roman" w:hAnsi="Times New Roman"/>
                <w:sz w:val="18"/>
                <w:szCs w:val="18"/>
                <w:color w:val="auto"/>
              </w:rPr>
              <w:t>-4.2%</w:t>
            </w:r>
          </w:p>
        </w:tc>
      </w:tr>
    </w:tbl>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2025 compared with three months ended March 31, 2024</w:t>
      </w:r>
    </w:p>
    <w:p>
      <w:pPr>
        <w:spacing w:after="0" w:line="224"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2"/>
          <w:szCs w:val="22"/>
          <w:color w:val="auto"/>
        </w:rPr>
        <w:t>Consolidated operating revenues increased by $171,557 or 28.0% as compared to the same period in 2024. Revenues from our Regulated Water, Regulated Natural Gas, and Other segments increased by $20,954, $146,466, and $4,137, respectively. A detailed discussion of the factors contributing to the changes in segment revenue is included below under the section, Segment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$924 or 0.7%, primarily due to:</w:t>
      </w:r>
    </w:p>
    <w:p>
      <w:pPr>
        <w:spacing w:after="0" w:line="220" w:lineRule="exact"/>
        <w:rPr>
          <w:sz w:val="20"/>
          <w:szCs w:val="20"/>
          <w:color w:val="auto"/>
        </w:rPr>
      </w:pPr>
    </w:p>
    <w:p>
      <w:pPr>
        <w:ind w:left="340" w:right="160"/>
        <w:spacing w:after="0" w:line="229" w:lineRule="auto"/>
        <w:rPr>
          <w:sz w:val="20"/>
          <w:szCs w:val="20"/>
          <w:color w:val="auto"/>
        </w:rPr>
      </w:pPr>
      <w:r>
        <w:rPr>
          <w:rFonts w:ascii="Times New Roman" w:cs="Times New Roman" w:eastAsia="Times New Roman" w:hAnsi="Times New Roman"/>
          <w:sz w:val="22"/>
          <w:szCs w:val="22"/>
          <w:color w:val="auto"/>
        </w:rPr>
        <w:t>an increase in customer assistance surcharge costs of $8,464 in our Regulated Natural Gas segment, which has an equivalent offsetting amount in revenues;</w:t>
      </w:r>
    </w:p>
    <w:p>
      <w:pPr>
        <w:ind w:left="340" w:right="300"/>
        <w:spacing w:after="0" w:line="221" w:lineRule="auto"/>
        <w:rPr>
          <w:sz w:val="20"/>
          <w:szCs w:val="20"/>
          <w:color w:val="auto"/>
        </w:rPr>
      </w:pPr>
      <w:r>
        <w:rPr>
          <w:rFonts w:ascii="Times New Roman" w:cs="Times New Roman" w:eastAsia="Times New Roman" w:hAnsi="Times New Roman"/>
          <w:sz w:val="22"/>
          <w:szCs w:val="22"/>
          <w:color w:val="auto"/>
        </w:rPr>
        <w:t>an increase in employee-related costs of $4,882, primarily resulting from annual merit increases, increases in overtime pay due to outages from extreme cold weather conditions during the first quarter of 2025, increases in employee medical costs, and higher performance-based compensation expense compared to prior period;</w:t>
      </w:r>
    </w:p>
    <w:p>
      <w:pPr>
        <w:spacing w:after="0" w:line="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$2,684; and</w:t>
      </w:r>
    </w:p>
    <w:p>
      <w:pPr>
        <w:spacing w:after="0" w:line="230" w:lineRule="auto"/>
        <w:rPr>
          <w:sz w:val="20"/>
          <w:szCs w:val="20"/>
          <w:color w:val="auto"/>
        </w:rPr>
      </w:pPr>
      <w:r>
        <w:rPr>
          <w:rFonts w:ascii="Times New Roman" w:cs="Times New Roman" w:eastAsia="Times New Roman" w:hAnsi="Times New Roman"/>
          <w:sz w:val="22"/>
          <w:szCs w:val="22"/>
          <w:color w:val="auto"/>
        </w:rPr>
        <w:t>an increase in legal expense of $2,138 in our Regulated Natural Gas segment; offset by</w:t>
      </w:r>
    </w:p>
    <w:p>
      <w:pPr>
        <w:ind w:left="340" w:right="160"/>
        <w:spacing w:after="0" w:line="217" w:lineRule="auto"/>
        <w:rPr>
          <w:sz w:val="20"/>
          <w:szCs w:val="20"/>
          <w:color w:val="auto"/>
        </w:rPr>
      </w:pPr>
      <w:r>
        <w:rPr>
          <w:rFonts w:ascii="Times New Roman" w:cs="Times New Roman" w:eastAsia="Times New Roman" w:hAnsi="Times New Roman"/>
          <w:sz w:val="22"/>
          <w:szCs w:val="22"/>
          <w:color w:val="auto"/>
        </w:rPr>
        <w:t>an insurance recovery of $5,602 for a portion of expenses incurred by the Company associated with remediating an advisory for some of our Illinois water utility customers;</w:t>
      </w:r>
    </w:p>
    <w:p>
      <w:pPr>
        <w:spacing w:after="0" w:line="1" w:lineRule="exact"/>
        <w:rPr>
          <w:sz w:val="20"/>
          <w:szCs w:val="20"/>
          <w:color w:val="auto"/>
        </w:rPr>
      </w:pPr>
    </w:p>
    <w:p>
      <w:pPr>
        <w:ind w:left="340" w:right="80"/>
        <w:spacing w:after="0" w:line="224" w:lineRule="auto"/>
        <w:rPr>
          <w:sz w:val="20"/>
          <w:szCs w:val="20"/>
          <w:color w:val="auto"/>
        </w:rPr>
      </w:pPr>
      <w:r>
        <w:rPr>
          <w:rFonts w:ascii="Times New Roman" w:cs="Times New Roman" w:eastAsia="Times New Roman" w:hAnsi="Times New Roman"/>
          <w:sz w:val="22"/>
          <w:szCs w:val="22"/>
          <w:color w:val="auto"/>
        </w:rPr>
        <w:t>a decrease in bad debt expense of $7,399, of which $5,889 relates to a favorable regulatory asset adjustment in our Regulated Water segment;</w:t>
      </w:r>
    </w:p>
    <w:p>
      <w:pPr>
        <w:spacing w:after="0" w:line="217" w:lineRule="auto"/>
        <w:rPr>
          <w:sz w:val="20"/>
          <w:szCs w:val="20"/>
          <w:color w:val="auto"/>
        </w:rPr>
      </w:pPr>
      <w:r>
        <w:rPr>
          <w:rFonts w:ascii="Times New Roman" w:cs="Times New Roman" w:eastAsia="Times New Roman" w:hAnsi="Times New Roman"/>
          <w:sz w:val="22"/>
          <w:szCs w:val="22"/>
          <w:color w:val="auto"/>
        </w:rPr>
        <w:t>a decrease in materials and supplies in our Regulated Natural Gas segment of $2,030; and</w:t>
      </w:r>
    </w:p>
    <w:p>
      <w:pPr>
        <w:ind w:left="340" w:right="360"/>
        <w:spacing w:after="0" w:line="231" w:lineRule="auto"/>
        <w:rPr>
          <w:sz w:val="20"/>
          <w:szCs w:val="20"/>
          <w:color w:val="auto"/>
        </w:rPr>
      </w:pPr>
      <w:r>
        <w:rPr>
          <w:rFonts w:ascii="Times New Roman" w:cs="Times New Roman" w:eastAsia="Times New Roman" w:hAnsi="Times New Roman"/>
          <w:sz w:val="22"/>
          <w:szCs w:val="22"/>
          <w:color w:val="auto"/>
        </w:rPr>
        <w:t>a decrease in outside services and other expenses in our Regulated Natural Gas segment due to higher capitalization in the current period compared to the prior period.</w:t>
      </w:r>
    </w:p>
    <w:p>
      <w:pPr>
        <w:spacing w:after="0" w:line="19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Purchased gas increased by $54,966 or 42.4%. Purchased gas represents the cost of gas sold by the Company, which for the regulated natural gas business has a corresponding offset in revenue. The increase is the result of an increase in the average cost of gas of $27,025 and higher gas usage of $28,327 during the first quarter of 2025, offset by a decrease of $386 from the sale of our interest in three non-utility local microgrid and distributed energy projects in January 2024.</w:t>
      </w:r>
    </w:p>
    <w:p>
      <w:pPr>
        <w:spacing w:after="0" w:line="17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Depreciation and amortization expense increased by $9,573 or 10.7% principally due to continued capital expenditures to expand and improve our utility facilities, our acquisitions of new water and wastewater utility systems, and the implementation of new depreciation rates in our Regulated Natural Gas segment.</w:t>
      </w:r>
    </w:p>
    <w:p>
      <w:pPr>
        <w:spacing w:after="0" w:line="1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Taxes other than income taxes decreased by $2,145 or 8.6% during the three months ended March 31, 2025 as compared to the prior period largely due to a decrease in our Illinois subsidiary’s invested capital tax and lower sales and use tax and property taxes in our Regulated Natural Gas segment.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Interest expense, net of interest income, increased by $9,552 or 13.2%. Interest expense, net of interest income, increased by $1,773 in our Regulated Water segment and by $784 in our Regulated Natural Gas segment. Interest expense, net of interest income, in Other relates to our corporate operations, and this increased by $6,995 primarily due to increased borrowings from the Company’s revolving credit facility during the first quarter of 2025 as compared to the prior period.</w:t>
      </w:r>
    </w:p>
    <w:p>
      <w:pPr>
        <w:spacing w:after="0" w:line="1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Allowance for funds used during construction (“AFUDC”) increased by $1,151 or by 24.6% primarily due to the increase in the average balance of utility plant construction work in progress, to which AFUDC is applied, in our Regulated Water segment.</w:t>
      </w:r>
    </w:p>
    <w:p>
      <w:pPr>
        <w:spacing w:after="0" w:line="16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ended March 31, 2025 and 2024, gain on sale of other assets totaled $237 and $91,625, respectively. During the first quarter of 2024, the Company completed the sale of its interest in three non-utility local microgrid and distributed energy projects and recognized a gain of $91,236 in its Regulated Natural Gas segment.</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Our effective income tax rate was a benefit of 7.8% and 4.2% in the first quarter of 2025 and 2024, respectively. The increase in the income tax benefit is primarily attributed to the release of $22,575 of income tax reserve regulatory liability in the Regulated Water segment based on the rate order received by Aqua Pennsylvania in February 2025, while the remaining portion is refunded to customers through base rates over a two-year period. This is offset by decreases in both the state tax benefit and the amortization of the tax repair surcredit in the Regulated Natural Gas segment based on its rate order received in September 2024.</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31, 2025 and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Increase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(Decrease)</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300,848</w:t>
            </w:r>
          </w:p>
        </w:tc>
        <w:tc>
          <w:tcPr>
            <w:tcW w:w="3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279,894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89,418</w:t>
            </w:r>
          </w:p>
        </w:tc>
        <w:tc>
          <w:tcPr>
            <w:tcW w:w="36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90,683</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(1,265)</w:t>
            </w:r>
          </w:p>
        </w:tc>
        <w:tc>
          <w:tcPr>
            <w:tcW w:w="1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107,922</w:t>
            </w:r>
          </w:p>
        </w:tc>
        <w:tc>
          <w:tcPr>
            <w:tcW w:w="3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63,905</w:t>
            </w: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44,017</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2025 compared with three months ended March 31, 2024</w:t>
      </w:r>
    </w:p>
    <w:p>
      <w:pPr>
        <w:spacing w:after="0" w:line="21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$20,954 or 7.5% for the first quarter of 2025 as compared to the same period in 2024,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$22,336;</w:t>
      </w:r>
    </w:p>
    <w:p>
      <w:pPr>
        <w:ind w:left="340" w:right="44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$1,498 associated with a larger customer base due to utility acquisitions and organic growth; offset by</w:t>
      </w:r>
    </w:p>
    <w:p>
      <w:pPr>
        <w:spacing w:after="0"/>
        <w:rPr>
          <w:sz w:val="20"/>
          <w:szCs w:val="20"/>
          <w:color w:val="auto"/>
        </w:rPr>
      </w:pPr>
      <w:r>
        <w:rPr>
          <w:rFonts w:ascii="Times New Roman" w:cs="Times New Roman" w:eastAsia="Times New Roman" w:hAnsi="Times New Roman"/>
          <w:sz w:val="22"/>
          <w:szCs w:val="22"/>
          <w:color w:val="auto"/>
        </w:rPr>
        <w:t>a decrease in volume consumption of $2,994.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decreased by $1,265 or 1.4% primarily due to the following:</w:t>
      </w:r>
    </w:p>
    <w:p>
      <w:pPr>
        <w:spacing w:after="0" w:line="220" w:lineRule="exact"/>
        <w:rPr>
          <w:sz w:val="20"/>
          <w:szCs w:val="20"/>
          <w:color w:val="auto"/>
        </w:rPr>
      </w:pPr>
    </w:p>
    <w:p>
      <w:pPr>
        <w:ind w:left="340" w:right="700"/>
        <w:spacing w:after="0" w:line="229" w:lineRule="auto"/>
        <w:rPr>
          <w:sz w:val="20"/>
          <w:szCs w:val="20"/>
          <w:color w:val="auto"/>
        </w:rPr>
      </w:pPr>
      <w:r>
        <w:rPr>
          <w:rFonts w:ascii="Times New Roman" w:cs="Times New Roman" w:eastAsia="Times New Roman" w:hAnsi="Times New Roman"/>
          <w:sz w:val="22"/>
          <w:szCs w:val="22"/>
          <w:color w:val="auto"/>
        </w:rPr>
        <w:t>a decrease in bad debt expense of $6,366, of which $5,889 relates to a favorable regulatory asset adjustment; offset by an increase in production costs for water and wastewater operations of $2,684; and</w:t>
      </w:r>
    </w:p>
    <w:p>
      <w:pPr>
        <w:spacing w:after="0"/>
        <w:rPr>
          <w:sz w:val="20"/>
          <w:szCs w:val="20"/>
          <w:color w:val="auto"/>
        </w:rPr>
      </w:pPr>
      <w:r>
        <w:rPr>
          <w:rFonts w:ascii="Times New Roman" w:cs="Times New Roman" w:eastAsia="Times New Roman" w:hAnsi="Times New Roman"/>
          <w:sz w:val="22"/>
          <w:szCs w:val="22"/>
          <w:color w:val="auto"/>
        </w:rPr>
        <w:t>an increase in employee related costs of $887.</w:t>
      </w:r>
    </w:p>
    <w:p>
      <w:pPr>
        <w:spacing w:after="0" w:line="19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$3,435 or 6.0% primarily due to continued capital investment to expand and improve our utility facilities and our acquisitions of new utility systems.</w:t>
      </w:r>
    </w:p>
    <w:p>
      <w:pPr>
        <w:spacing w:after="0" w:line="186"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$1,773 or 5.1% for the quarter primarily due to higher push down debt borrowings and operating company debt issuances for the Regulated Water segment.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$1,044 or by 28.3% primarily due to the increase in the average balance of utility plant construction work in progress, to which AFUDC is applied.</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 benefit of 4.4% in the first quarter of 2025, compared to an expense of 24.6% in the first quarter of 2024. The decrease in the effective tax rate is attributed to the release of $22,575 of income tax reserve regulatory liability based on the rate order received by Aqua Pennsylvania in February 2025, while the remaining portion is refunded to customers through base rates over a two-year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10"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 A weather normalization adjustment (“WNA”) mechanism is in place for our natural gas customers served in Kentucky, and, beginning in October 2024, for our natural gas customers in Pennsylvania. The WNA mechanism serves to minimize the effects of weather on the Company’s ability to collect revenues to cover operating expenses for its residential and small and medium commercial natural gas customers. The WNA mechanism adjust revenues earned for the variance between actual and normal weather and can have either positive (warmer than normal) or negative (colder than normal) effects on revenues.</w:t>
      </w:r>
    </w:p>
    <w:p>
      <w:pPr>
        <w:spacing w:after="0" w:line="192"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March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9"/>
                <w:szCs w:val="19"/>
                <w:color w:val="auto"/>
              </w:rPr>
            </w:pP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470,797</w:t>
            </w: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324,331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146,466</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55,675</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45,917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9,758</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70"/>
        </w:trPr>
        <w:tc>
          <w:tcPr>
            <w:tcW w:w="55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176,959</w:t>
            </w:r>
          </w:p>
        </w:tc>
        <w:tc>
          <w:tcPr>
            <w:tcW w:w="340" w:type="dxa"/>
            <w:vAlign w:val="bottom"/>
            <w:tcBorders>
              <w:bottom w:val="single" w:sz="8" w:color="auto"/>
            </w:tcBorders>
            <w:shd w:val="clear" w:color="auto" w:fill="CCEEFF"/>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125,542</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51,417</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189,505</w:t>
            </w: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209,940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(20,435)</w:t>
            </w:r>
          </w:p>
        </w:tc>
        <w:tc>
          <w:tcPr>
            <w:tcW w:w="26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37.6%</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March 31, 2025 compared with three months ended March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$146,466 or by 45.2% due to:</w:t>
      </w:r>
    </w:p>
    <w:p>
      <w:pPr>
        <w:spacing w:after="0" w:line="206" w:lineRule="exact"/>
        <w:rPr>
          <w:sz w:val="20"/>
          <w:szCs w:val="20"/>
          <w:color w:val="auto"/>
        </w:rPr>
      </w:pPr>
    </w:p>
    <w:p>
      <w:pPr>
        <w:ind w:left="340" w:right="840"/>
        <w:spacing w:after="0" w:line="235" w:lineRule="auto"/>
        <w:rPr>
          <w:sz w:val="20"/>
          <w:szCs w:val="20"/>
          <w:color w:val="auto"/>
        </w:rPr>
      </w:pPr>
      <w:r>
        <w:rPr>
          <w:rFonts w:ascii="Times New Roman" w:cs="Times New Roman" w:eastAsia="Times New Roman" w:hAnsi="Times New Roman"/>
          <w:sz w:val="22"/>
          <w:szCs w:val="22"/>
          <w:color w:val="auto"/>
        </w:rPr>
        <w:t>an increase in purchased gas costs of $51,417; refer to purchased gas costs discussion below for further information; an increase of $44,679 due to higher rates and other surcharges;</w:t>
      </w:r>
    </w:p>
    <w:p>
      <w:pPr>
        <w:spacing w:after="0" w:line="1" w:lineRule="exact"/>
        <w:rPr>
          <w:sz w:val="20"/>
          <w:szCs w:val="20"/>
          <w:color w:val="auto"/>
        </w:rPr>
      </w:pPr>
    </w:p>
    <w:p>
      <w:pPr>
        <w:ind w:left="340" w:right="80"/>
        <w:spacing w:after="0" w:line="224" w:lineRule="auto"/>
        <w:rPr>
          <w:sz w:val="20"/>
          <w:szCs w:val="20"/>
          <w:color w:val="auto"/>
        </w:rPr>
      </w:pPr>
      <w:r>
        <w:rPr>
          <w:rFonts w:ascii="Times New Roman" w:cs="Times New Roman" w:eastAsia="Times New Roman" w:hAnsi="Times New Roman"/>
          <w:sz w:val="22"/>
          <w:szCs w:val="22"/>
          <w:color w:val="auto"/>
        </w:rPr>
        <w:t>impact of higher volumes delivered of $29,521 due to colder weather conditions during the first quarter of 2025 as compared to 2024;</w:t>
      </w:r>
    </w:p>
    <w:p>
      <w:pPr>
        <w:spacing w:after="0" w:line="217" w:lineRule="auto"/>
        <w:rPr>
          <w:sz w:val="20"/>
          <w:szCs w:val="20"/>
          <w:color w:val="auto"/>
        </w:rPr>
      </w:pPr>
      <w:r>
        <w:rPr>
          <w:rFonts w:ascii="Times New Roman" w:cs="Times New Roman" w:eastAsia="Times New Roman" w:hAnsi="Times New Roman"/>
          <w:sz w:val="22"/>
          <w:szCs w:val="22"/>
          <w:color w:val="auto"/>
        </w:rPr>
        <w:t>an increase of $11,005 due to lower tax repair surcredit; and</w:t>
      </w:r>
    </w:p>
    <w:p>
      <w:pPr>
        <w:ind w:left="340" w:right="860"/>
        <w:spacing w:after="0" w:line="217" w:lineRule="auto"/>
        <w:rPr>
          <w:sz w:val="20"/>
          <w:szCs w:val="20"/>
          <w:color w:val="auto"/>
        </w:rPr>
      </w:pPr>
      <w:r>
        <w:rPr>
          <w:rFonts w:ascii="Times New Roman" w:cs="Times New Roman" w:eastAsia="Times New Roman" w:hAnsi="Times New Roman"/>
          <w:sz w:val="22"/>
          <w:szCs w:val="22"/>
          <w:color w:val="auto"/>
        </w:rPr>
        <w:t>an increase in customer assistance surcharge of $8,464, which has an equivalent offsetting amount in operations and maintenance expense; offset by</w:t>
      </w:r>
    </w:p>
    <w:p>
      <w:pPr>
        <w:spacing w:after="0" w:line="1" w:lineRule="exact"/>
        <w:rPr>
          <w:sz w:val="20"/>
          <w:szCs w:val="20"/>
          <w:color w:val="auto"/>
        </w:rPr>
      </w:pPr>
    </w:p>
    <w:p>
      <w:pPr>
        <w:ind w:left="340" w:right="240"/>
        <w:spacing w:after="0" w:line="237" w:lineRule="auto"/>
        <w:rPr>
          <w:sz w:val="20"/>
          <w:szCs w:val="20"/>
          <w:color w:val="auto"/>
        </w:rPr>
      </w:pPr>
      <w:r>
        <w:rPr>
          <w:rFonts w:ascii="Times New Roman" w:cs="Times New Roman" w:eastAsia="Times New Roman" w:hAnsi="Times New Roman"/>
          <w:sz w:val="22"/>
          <w:szCs w:val="22"/>
          <w:color w:val="auto"/>
        </w:rPr>
        <w:t>a weather normalization adjustment of $1,989 in Peoples Pennsylvania, which had the effect of decreasing revenues for the quarter ended March 31, 2025.</w:t>
      </w:r>
    </w:p>
    <w:p>
      <w:pPr>
        <w:spacing w:after="0" w:line="17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March 31, 2025 increased by $9,758 or 21.3% primarily due to the following:</w:t>
      </w:r>
    </w:p>
    <w:p>
      <w:pPr>
        <w:spacing w:after="0" w:line="186" w:lineRule="exact"/>
        <w:rPr>
          <w:sz w:val="20"/>
          <w:szCs w:val="20"/>
          <w:color w:val="auto"/>
        </w:rPr>
      </w:pPr>
    </w:p>
    <w:p>
      <w:pPr>
        <w:ind w:left="340" w:right="800"/>
        <w:spacing w:after="0" w:line="229" w:lineRule="auto"/>
        <w:rPr>
          <w:sz w:val="20"/>
          <w:szCs w:val="20"/>
          <w:color w:val="auto"/>
        </w:rPr>
      </w:pPr>
      <w:r>
        <w:rPr>
          <w:rFonts w:ascii="Times New Roman" w:cs="Times New Roman" w:eastAsia="Times New Roman" w:hAnsi="Times New Roman"/>
          <w:sz w:val="22"/>
          <w:szCs w:val="22"/>
          <w:color w:val="auto"/>
        </w:rPr>
        <w:t>an increase in customer assistance surcharge costs of $8,464, which has an equivalent offsetting amount in revenues; an increase in labor and employee benefits of $2,702;</w:t>
      </w:r>
    </w:p>
    <w:p>
      <w:pPr>
        <w:ind w:left="340" w:right="6640"/>
        <w:spacing w:after="0" w:line="232" w:lineRule="auto"/>
        <w:rPr>
          <w:sz w:val="20"/>
          <w:szCs w:val="20"/>
          <w:color w:val="auto"/>
        </w:rPr>
      </w:pPr>
      <w:r>
        <w:rPr>
          <w:rFonts w:ascii="Times New Roman" w:cs="Times New Roman" w:eastAsia="Times New Roman" w:hAnsi="Times New Roman"/>
          <w:sz w:val="21"/>
          <w:szCs w:val="21"/>
          <w:color w:val="auto"/>
        </w:rPr>
        <w:t>an increase in legal expenses of $2,138; offset by a decrease in materials and supplies of $2,030; a decrease in bad debt expense of $1,006; and</w:t>
      </w:r>
    </w:p>
    <w:p>
      <w:pPr>
        <w:spacing w:after="0" w:line="1" w:lineRule="exact"/>
        <w:rPr>
          <w:sz w:val="20"/>
          <w:szCs w:val="20"/>
          <w:color w:val="auto"/>
        </w:rPr>
      </w:pPr>
    </w:p>
    <w:p>
      <w:pPr>
        <w:ind w:left="340" w:right="100"/>
        <w:spacing w:after="0" w:line="237" w:lineRule="auto"/>
        <w:rPr>
          <w:sz w:val="20"/>
          <w:szCs w:val="20"/>
          <w:color w:val="auto"/>
        </w:rPr>
      </w:pPr>
      <w:r>
        <w:rPr>
          <w:rFonts w:ascii="Times New Roman" w:cs="Times New Roman" w:eastAsia="Times New Roman" w:hAnsi="Times New Roman"/>
          <w:sz w:val="22"/>
          <w:szCs w:val="22"/>
          <w:color w:val="auto"/>
        </w:rPr>
        <w:t>a decrease in outside services and other expenses due to higher capitalization as a result of greater capital expenditures in the current period compared to the prior period.</w:t>
      </w:r>
    </w:p>
    <w:p>
      <w:pPr>
        <w:spacing w:after="0" w:line="17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$51,417 or 41.0% due to an increase in the average cost of gas of $26,868 and higher gas usage of $24,935 due to colder weather conditions during the first quarter of 2025, offset by a decrease of $386 from the sale of our interest in three non-utility local microgrid and distributed energy projects in January 2024. During the quarter ended March 31, 2025, we experienced 2,730 actual heating degree days (HDDs), which was colder by 20% than prior year’s 2,280 HDDs for Pittsburgh, Pennsylvania, which we use as a proxy for our western Pennsylvania service territory. HDDs are used in the natural gas industry to measure the relative coldness of weather and to estimate the demand for natural gas.</w:t>
      </w:r>
    </w:p>
    <w:p>
      <w:pPr>
        <w:spacing w:after="0" w:line="193" w:lineRule="exact"/>
        <w:rPr>
          <w:sz w:val="20"/>
          <w:szCs w:val="20"/>
          <w:color w:val="auto"/>
        </w:rPr>
      </w:pPr>
    </w:p>
    <w:p>
      <w:pPr>
        <w:ind w:right="122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$5,928 or 18.3% primarily due to continued capital investment, and the implementation of new depreciation rates following a recently completed rate case.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9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9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Taxes other than income taxes decreased by $1,466 or 20.3% largely due to lower sales and use tax and property taxes during the period.</w:t>
      </w:r>
    </w:p>
    <w:p>
      <w:pPr>
        <w:spacing w:after="0" w:line="15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Gain on sale of assets was $0 and $91,581 for the three-month period ended March 31, 2025 and 2024, respectively. During the first quarter of 2024, the Company completed the sale of its interest in three non-utility local microgrid and distributed energy projects and recognized a gain of $91,236.</w:t>
      </w:r>
    </w:p>
    <w:p>
      <w:pPr>
        <w:spacing w:after="0" w:line="179"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22"/>
          <w:szCs w:val="22"/>
          <w:color w:val="auto"/>
        </w:rPr>
        <w:t>Our effective income tax rate for our Regulated Natural Gas segment was a benefit of 12.0% and 16.1% in the first quarter of 2025 and 2024, respectively. The decrease in the income tax benefit is primarily attributed to decreases in both the state tax benefit and the amortization of the tax repair surcredit based on the rate order received in September 2024.</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16,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condensed consolidated financial statements in this report.</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32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2024, filed February 27, 2025,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March 31, 2025 that has materially affected, or is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14 to the Company’s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2024, under “Part 1, Item 1A – Risk Factors”.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Security Trading Plans of Directors and Executive Officers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During the quarter ended March 31,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except for as follows: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Shares</w:t>
            </w:r>
          </w:p>
        </w:tc>
        <w:tc>
          <w:tcPr>
            <w:tcW w:w="2120" w:type="dxa"/>
            <w:vAlign w:val="bottom"/>
          </w:tcPr>
          <w:p>
            <w:pPr>
              <w:spacing w:after="0"/>
              <w:rPr>
                <w:sz w:val="16"/>
                <w:szCs w:val="16"/>
                <w:color w:val="auto"/>
              </w:rPr>
            </w:pPr>
          </w:p>
        </w:tc>
      </w:tr>
      <w:tr>
        <w:trPr>
          <w:trHeight w:val="173"/>
        </w:trPr>
        <w:tc>
          <w:tcPr>
            <w:tcW w:w="2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20" w:type="dxa"/>
            <w:vAlign w:val="bottom"/>
          </w:tcPr>
          <w:p>
            <w:pPr>
              <w:jc w:val="center"/>
              <w:ind w:left="15"/>
              <w:spacing w:after="0" w:line="173" w:lineRule="exact"/>
              <w:rPr>
                <w:sz w:val="20"/>
                <w:szCs w:val="20"/>
                <w:color w:val="auto"/>
              </w:rPr>
            </w:pPr>
            <w:r>
              <w:rPr>
                <w:rFonts w:ascii="Times New Roman" w:cs="Times New Roman" w:eastAsia="Times New Roman" w:hAnsi="Times New Roman"/>
                <w:sz w:val="16"/>
                <w:szCs w:val="16"/>
                <w:b w:val="1"/>
                <w:bCs w:val="1"/>
                <w:color w:val="auto"/>
              </w:rPr>
              <w:t>of Common Stock to be</w:t>
            </w:r>
          </w:p>
        </w:tc>
        <w:tc>
          <w:tcPr>
            <w:tcW w:w="2120" w:type="dxa"/>
            <w:vAlign w:val="bottom"/>
          </w:tcPr>
          <w:p>
            <w:pPr>
              <w:spacing w:after="0"/>
              <w:rPr>
                <w:sz w:val="15"/>
                <w:szCs w:val="15"/>
                <w:color w:val="auto"/>
              </w:rPr>
            </w:pPr>
          </w:p>
        </w:tc>
      </w:tr>
      <w:tr>
        <w:trPr>
          <w:trHeight w:val="178"/>
        </w:trPr>
        <w:tc>
          <w:tcPr>
            <w:tcW w:w="2440" w:type="dxa"/>
            <w:vAlign w:val="bottom"/>
          </w:tcPr>
          <w:p>
            <w:pPr>
              <w:spacing w:after="0"/>
              <w:rPr>
                <w:sz w:val="15"/>
                <w:szCs w:val="15"/>
                <w:color w:val="auto"/>
              </w:rPr>
            </w:pPr>
          </w:p>
        </w:tc>
        <w:tc>
          <w:tcPr>
            <w:tcW w:w="2640" w:type="dxa"/>
            <w:vAlign w:val="bottom"/>
          </w:tcPr>
          <w:p>
            <w:pPr>
              <w:jc w:val="center"/>
              <w:ind w:left="297"/>
              <w:spacing w:after="0" w:line="178" w:lineRule="exact"/>
              <w:rPr>
                <w:sz w:val="20"/>
                <w:szCs w:val="20"/>
                <w:color w:val="auto"/>
              </w:rPr>
            </w:pPr>
            <w:r>
              <w:rPr>
                <w:rFonts w:ascii="Times New Roman" w:cs="Times New Roman" w:eastAsia="Times New Roman" w:hAnsi="Times New Roman"/>
                <w:sz w:val="16"/>
                <w:szCs w:val="16"/>
                <w:b w:val="1"/>
                <w:bCs w:val="1"/>
                <w:color w:val="auto"/>
              </w:rPr>
              <w:t>Character of Trading</w:t>
            </w:r>
          </w:p>
        </w:tc>
        <w:tc>
          <w:tcPr>
            <w:tcW w:w="172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Date of Adoption/</w:t>
            </w:r>
          </w:p>
        </w:tc>
        <w:tc>
          <w:tcPr>
            <w:tcW w:w="2320" w:type="dxa"/>
            <w:vAlign w:val="bottom"/>
          </w:tcPr>
          <w:p>
            <w:pPr>
              <w:jc w:val="center"/>
              <w:ind w:left="15"/>
              <w:spacing w:after="0" w:line="178" w:lineRule="exact"/>
              <w:rPr>
                <w:sz w:val="20"/>
                <w:szCs w:val="20"/>
                <w:color w:val="auto"/>
              </w:rPr>
            </w:pPr>
            <w:r>
              <w:rPr>
                <w:rFonts w:ascii="Times New Roman" w:cs="Times New Roman" w:eastAsia="Times New Roman" w:hAnsi="Times New Roman"/>
                <w:sz w:val="16"/>
                <w:szCs w:val="16"/>
                <w:b w:val="1"/>
                <w:bCs w:val="1"/>
                <w:color w:val="auto"/>
              </w:rPr>
              <w:t>Purchased/Sold Pursuant to</w:t>
            </w:r>
          </w:p>
        </w:tc>
        <w:tc>
          <w:tcPr>
            <w:tcW w:w="2120" w:type="dxa"/>
            <w:vAlign w:val="bottom"/>
          </w:tcPr>
          <w:p>
            <w:pPr>
              <w:spacing w:after="0"/>
              <w:rPr>
                <w:sz w:val="15"/>
                <w:szCs w:val="15"/>
                <w:color w:val="auto"/>
              </w:rPr>
            </w:pPr>
          </w:p>
        </w:tc>
      </w:tr>
      <w:tr>
        <w:trPr>
          <w:trHeight w:val="216"/>
        </w:trPr>
        <w:tc>
          <w:tcPr>
            <w:tcW w:w="24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Name &amp; Title</w:t>
            </w:r>
          </w:p>
        </w:tc>
        <w:tc>
          <w:tcPr>
            <w:tcW w:w="26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72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3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Duration of Plan</w:t>
            </w:r>
          </w:p>
        </w:tc>
      </w:tr>
      <w:tr>
        <w:trPr>
          <w:trHeight w:val="160"/>
        </w:trPr>
        <w:tc>
          <w:tcPr>
            <w:tcW w:w="24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8"/>
                <w:szCs w:val="18"/>
                <w:color w:val="auto"/>
              </w:rPr>
              <w:t>Christopher Luning,</w:t>
            </w:r>
          </w:p>
        </w:tc>
        <w:tc>
          <w:tcPr>
            <w:tcW w:w="2640" w:type="dxa"/>
            <w:vAlign w:val="bottom"/>
            <w:shd w:val="clear" w:color="auto" w:fill="CCEEFF"/>
          </w:tcPr>
          <w:p>
            <w:pPr>
              <w:ind w:left="480"/>
              <w:spacing w:after="0" w:line="160" w:lineRule="exact"/>
              <w:rPr>
                <w:sz w:val="20"/>
                <w:szCs w:val="20"/>
                <w:color w:val="auto"/>
              </w:rPr>
            </w:pPr>
            <w:r>
              <w:rPr>
                <w:rFonts w:ascii="Times New Roman" w:cs="Times New Roman" w:eastAsia="Times New Roman" w:hAnsi="Times New Roman"/>
                <w:sz w:val="18"/>
                <w:szCs w:val="18"/>
                <w:color w:val="auto"/>
              </w:rPr>
              <w:t>Rule 10b5-1(c) Trading</w:t>
            </w:r>
          </w:p>
        </w:tc>
        <w:tc>
          <w:tcPr>
            <w:tcW w:w="1720" w:type="dxa"/>
            <w:vAlign w:val="bottom"/>
            <w:gridSpan w:val="2"/>
            <w:shd w:val="clear" w:color="auto" w:fill="CCEEFF"/>
          </w:tcPr>
          <w:p>
            <w:pPr>
              <w:jc w:val="center"/>
              <w:spacing w:after="0" w:line="160" w:lineRule="exact"/>
              <w:rPr>
                <w:sz w:val="20"/>
                <w:szCs w:val="20"/>
                <w:color w:val="auto"/>
              </w:rPr>
            </w:pPr>
            <w:r>
              <w:rPr>
                <w:rFonts w:ascii="Times New Roman" w:cs="Times New Roman" w:eastAsia="Times New Roman" w:hAnsi="Times New Roman"/>
                <w:sz w:val="18"/>
                <w:szCs w:val="18"/>
                <w:color w:val="auto"/>
              </w:rPr>
              <w:t>Adopted -</w:t>
            </w:r>
          </w:p>
        </w:tc>
        <w:tc>
          <w:tcPr>
            <w:tcW w:w="232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8"/>
                <w:szCs w:val="18"/>
                <w:color w:val="auto"/>
              </w:rPr>
              <w:t>Up to 24,224 shares to be</w:t>
            </w:r>
          </w:p>
        </w:tc>
        <w:tc>
          <w:tcPr>
            <w:tcW w:w="2120" w:type="dxa"/>
            <w:vAlign w:val="bottom"/>
            <w:shd w:val="clear" w:color="auto" w:fill="CCEEFF"/>
          </w:tcPr>
          <w:p>
            <w:pPr>
              <w:jc w:val="right"/>
              <w:ind w:right="56"/>
              <w:spacing w:after="0" w:line="160" w:lineRule="exact"/>
              <w:rPr>
                <w:sz w:val="20"/>
                <w:szCs w:val="20"/>
                <w:color w:val="auto"/>
              </w:rPr>
            </w:pPr>
            <w:r>
              <w:rPr>
                <w:rFonts w:ascii="Times New Roman" w:cs="Times New Roman" w:eastAsia="Times New Roman" w:hAnsi="Times New Roman"/>
                <w:sz w:val="18"/>
                <w:szCs w:val="18"/>
                <w:color w:val="auto"/>
              </w:rPr>
              <w:t>6/13/2025 - 12/15/2025</w:t>
            </w:r>
          </w:p>
        </w:tc>
      </w:tr>
      <w:tr>
        <w:trPr>
          <w:trHeight w:val="216"/>
        </w:trPr>
        <w:tc>
          <w:tcPr>
            <w:tcW w:w="5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auto"/>
              </w:rPr>
              <w:t>Executive Vice President &amp; General Arrangement</w:t>
            </w:r>
          </w:p>
        </w:tc>
        <w:tc>
          <w:tcPr>
            <w:tcW w:w="820" w:type="dxa"/>
            <w:vAlign w:val="bottom"/>
            <w:shd w:val="clear" w:color="auto" w:fill="CCEEFF"/>
          </w:tcPr>
          <w:p>
            <w:pPr>
              <w:ind w:left="280"/>
              <w:spacing w:after="0" w:line="216" w:lineRule="exact"/>
              <w:rPr>
                <w:sz w:val="20"/>
                <w:szCs w:val="20"/>
                <w:color w:val="auto"/>
              </w:rPr>
            </w:pPr>
            <w:r>
              <w:rPr>
                <w:rFonts w:ascii="Times New Roman" w:cs="Times New Roman" w:eastAsia="Times New Roman" w:hAnsi="Times New Roman"/>
                <w:sz w:val="20"/>
                <w:szCs w:val="20"/>
                <w:color w:val="auto"/>
                <w:w w:val="99"/>
              </w:rPr>
              <w:t>March‎</w:t>
            </w:r>
          </w:p>
        </w:tc>
        <w:tc>
          <w:tcPr>
            <w:tcW w:w="900" w:type="dxa"/>
            <w:vAlign w:val="bottom"/>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w w:val="99"/>
              </w:rPr>
              <w:t>14, 2025</w:t>
            </w:r>
          </w:p>
        </w:tc>
        <w:tc>
          <w:tcPr>
            <w:tcW w:w="2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20"/>
                <w:szCs w:val="20"/>
                <w:color w:val="auto"/>
              </w:rPr>
              <w:t>sold</w:t>
            </w:r>
          </w:p>
        </w:tc>
        <w:tc>
          <w:tcPr>
            <w:tcW w:w="2120" w:type="dxa"/>
            <w:vAlign w:val="bottom"/>
            <w:shd w:val="clear" w:color="auto" w:fill="CCEEFF"/>
          </w:tcPr>
          <w:p>
            <w:pPr>
              <w:spacing w:after="0"/>
              <w:rPr>
                <w:sz w:val="18"/>
                <w:szCs w:val="18"/>
                <w:color w:val="auto"/>
              </w:rPr>
            </w:pPr>
          </w:p>
        </w:tc>
      </w:tr>
      <w:tr>
        <w:trPr>
          <w:trHeight w:val="25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Counsel</w:t>
            </w:r>
          </w:p>
        </w:tc>
        <w:tc>
          <w:tcPr>
            <w:tcW w:w="26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16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r>
      <w:tr>
        <w:trPr>
          <w:trHeight w:val="230"/>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08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61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2025, formatted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Inline XBRL (included in Exhibit 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12, 2025</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100"/>
          </w:cols>
          <w:pgMar w:left="320" w:top="112" w:right="479" w:bottom="1440" w:gutter="0" w:footer="0" w:header="0"/>
        </w:sectPr>
      </w:pPr>
    </w:p>
    <w:bookmarkStart w:id="41" w:name="page42"/>
    <w:bookmarkEnd w:id="41"/>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May 12, 2025</w:t>
      </w:r>
    </w:p>
    <w:p>
      <w:pPr>
        <w:sectPr>
          <w:pgSz w:w="11900" w:h="16838" w:orient="portrait"/>
          <w:cols w:equalWidth="0" w:num="1">
            <w:col w:w="9924"/>
          </w:cols>
          <w:pgMar w:left="976" w:top="76"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43" w:name="page44"/>
    <w:bookmarkEnd w:id="43"/>
    <w:p>
      <w:pPr>
        <w:ind w:left="8824"/>
        <w:spacing w:after="0"/>
        <w:rPr>
          <w:sz w:val="20"/>
          <w:szCs w:val="20"/>
          <w:color w:val="auto"/>
        </w:rPr>
      </w:pPr>
      <w:r>
        <w:rPr>
          <w:rFonts w:ascii="Times New Roman" w:cs="Times New Roman" w:eastAsia="Times New Roman" w:hAnsi="Times New Roman"/>
          <w:sz w:val="21"/>
          <w:szCs w:val="21"/>
          <w:color w:val="auto"/>
        </w:rPr>
        <w:t>Exhibit 32.1</w:t>
      </w:r>
    </w:p>
    <w:p>
      <w:pPr>
        <w:spacing w:after="0" w:line="3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16"/>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spacing w:after="0" w:line="197"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March 31, 2025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40" w:hanging="324"/>
        <w:spacing w:after="0" w:line="217" w:lineRule="auto"/>
        <w:tabs>
          <w:tab w:leader="none" w:pos="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40" w:hanging="324"/>
        <w:spacing w:after="0" w:line="210" w:lineRule="auto"/>
        <w:tabs>
          <w:tab w:leader="none" w:pos="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4"/>
          </w:cols>
          <w:pgMar w:left="976" w:top="72" w:right="1019" w:bottom="1440" w:gutter="0" w:footer="0" w:header="0"/>
        </w:sectPr>
      </w:pPr>
    </w:p>
    <w:bookmarkStart w:id="44" w:name="page45"/>
    <w:bookmarkEnd w:id="44"/>
    <w:p>
      <w:pPr>
        <w:ind w:left="8824"/>
        <w:spacing w:after="0"/>
        <w:rPr>
          <w:sz w:val="20"/>
          <w:szCs w:val="20"/>
          <w:color w:val="auto"/>
        </w:rPr>
      </w:pPr>
      <w:r>
        <w:rPr>
          <w:rFonts w:ascii="Times New Roman" w:cs="Times New Roman" w:eastAsia="Times New Roman" w:hAnsi="Times New Roman"/>
          <w:sz w:val="21"/>
          <w:szCs w:val="21"/>
          <w:color w:val="auto"/>
        </w:rPr>
        <w:t>Exhibit 32.2</w:t>
      </w:r>
    </w:p>
    <w:p>
      <w:pPr>
        <w:spacing w:after="0" w:line="3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16"/>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spacing w:after="0" w:line="188"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March 31, 2025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40" w:hanging="324"/>
        <w:spacing w:after="0" w:line="217" w:lineRule="auto"/>
        <w:tabs>
          <w:tab w:leader="none" w:pos="32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40" w:hanging="324"/>
        <w:spacing w:after="0" w:line="210" w:lineRule="auto"/>
        <w:tabs>
          <w:tab w:leader="none" w:pos="32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904"/>
      </w:cols>
      <w:pgMar w:left="976" w:top="72"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
      <w:numFmt w:val="bullet"/>
      <w:start w:val="1"/>
    </w:lvl>
  </w:abstractNum>
  <w:abstractNum w:abstractNumId="3">
    <w:nsid w:val="515F007C"/>
    <w:multiLevelType w:val="hybridMultilevel"/>
    <w:lvl w:ilvl="0">
      <w:lvlJc w:val="left"/>
      <w:lvlText w:val=" "/>
      <w:numFmt w:val="bullet"/>
      <w:start w:val="1"/>
    </w:lvl>
  </w:abstractNum>
  <w:abstractNum w:abstractNumId="4">
    <w:nsid w:val="5BD062C2"/>
    <w:multiLevelType w:val="hybridMultilevel"/>
    <w:lvl w:ilvl="0">
      <w:lvlJc w:val="left"/>
      <w:lvlText w:val=" "/>
      <w:numFmt w:val="bullet"/>
      <w:start w:val="1"/>
    </w:lvl>
  </w:abstractNum>
  <w:abstractNum w:abstractNumId="5">
    <w:nsid w:val="12200854"/>
    <w:multiLevelType w:val="hybridMultilevel"/>
    <w:lvl w:ilvl="0">
      <w:lvlJc w:val="left"/>
      <w:lvlText w:val=" "/>
      <w:numFmt w:val="bullet"/>
      <w:start w:val="1"/>
    </w:lvl>
  </w:abstractNum>
  <w:abstractNum w:abstractNumId="6">
    <w:nsid w:val="4DB127F8"/>
    <w:multiLevelType w:val="hybridMultilevel"/>
    <w:lvl w:ilvl="0">
      <w:lvlJc w:val="left"/>
      <w:lvlText w:val=" "/>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2025-05-12T15:34:14Z</dcterms:created>
  <dcterms:modified xsi:type="dcterms:W3CDTF">2025-05-12T15:34:14Z</dcterms:modified>
</cp:coreProperties>
</file>