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9"/>
          <w:szCs w:val="19"/>
          <w:b w:val="1"/>
          <w:bCs w:val="1"/>
          <w:color w:val="auto"/>
        </w:rPr>
        <w:t>UNITED STATES</w:t>
      </w:r>
    </w:p>
    <w:p>
      <w:pPr>
        <w:jc w:val="center"/>
        <w:spacing w:after="0" w:line="220"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0"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920" w:right="2060" w:hanging="3908"/>
        <w:spacing w:after="0" w:line="232"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June 30, 2020</w:t>
      </w:r>
    </w:p>
    <w:p>
      <w:pPr>
        <w:spacing w:after="0" w:line="70" w:lineRule="exact"/>
        <w:rPr>
          <w:sz w:val="24"/>
          <w:szCs w:val="24"/>
          <w:color w:val="auto"/>
        </w:rPr>
      </w:pPr>
    </w:p>
    <w:p>
      <w:pPr>
        <w:ind w:left="2980" w:right="2000" w:hanging="2973"/>
        <w:spacing w:after="0" w:line="269" w:lineRule="auto"/>
        <w:tabs>
          <w:tab w:leader="none" w:pos="137"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9"/>
          <w:szCs w:val="19"/>
          <w:color w:val="auto"/>
        </w:rPr>
        <w:t>Commission File Number 1-6659</w:t>
      </w:r>
    </w:p>
    <w:p>
      <w:pPr>
        <w:spacing w:after="0" w:line="165" w:lineRule="exact"/>
        <w:rPr>
          <w:sz w:val="24"/>
          <w:szCs w:val="24"/>
          <w:color w:val="auto"/>
        </w:rPr>
      </w:pPr>
    </w:p>
    <w:p>
      <w:pPr>
        <w:ind w:left="434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76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3960" w:type="dxa"/>
            <w:vAlign w:val="bottom"/>
            <w:gridSpan w:val="3"/>
          </w:tcPr>
          <w:p>
            <w:pPr>
              <w:jc w:val="center"/>
              <w:ind w:right="2960"/>
              <w:spacing w:after="0"/>
              <w:rPr>
                <w:sz w:val="20"/>
                <w:szCs w:val="20"/>
                <w:color w:val="auto"/>
              </w:rPr>
            </w:pPr>
            <w:r>
              <w:rPr>
                <w:rFonts w:ascii="Arial" w:cs="Arial" w:eastAsia="Arial" w:hAnsi="Arial"/>
                <w:sz w:val="19"/>
                <w:szCs w:val="19"/>
                <w:color w:val="auto"/>
                <w:w w:val="88"/>
              </w:rPr>
              <w:t>Pennsylvania</w:t>
            </w:r>
          </w:p>
        </w:tc>
        <w:tc>
          <w:tcPr>
            <w:tcW w:w="2640" w:type="dxa"/>
            <w:vAlign w:val="bottom"/>
            <w:gridSpan w:val="4"/>
          </w:tcPr>
          <w:p>
            <w:pPr>
              <w:jc w:val="right"/>
              <w:ind w:right="2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5"/>
        </w:trPr>
        <w:tc>
          <w:tcPr>
            <w:tcW w:w="5440" w:type="dxa"/>
            <w:vAlign w:val="bottom"/>
            <w:gridSpan w:val="4"/>
          </w:tcPr>
          <w:p>
            <w:pPr>
              <w:jc w:val="center"/>
              <w:ind w:right="1460"/>
              <w:spacing w:after="0" w:line="185" w:lineRule="exact"/>
              <w:rPr>
                <w:sz w:val="20"/>
                <w:szCs w:val="20"/>
                <w:color w:val="auto"/>
              </w:rPr>
            </w:pPr>
            <w:r>
              <w:rPr>
                <w:rFonts w:ascii="Arial" w:cs="Arial" w:eastAsia="Arial" w:hAnsi="Arial"/>
                <w:sz w:val="19"/>
                <w:szCs w:val="19"/>
                <w:color w:val="auto"/>
                <w:w w:val="91"/>
              </w:rPr>
              <w:t>(State or other jurisdiction of</w:t>
            </w:r>
          </w:p>
        </w:tc>
        <w:tc>
          <w:tcPr>
            <w:tcW w:w="2860" w:type="dxa"/>
            <w:vAlign w:val="bottom"/>
            <w:gridSpan w:val="5"/>
          </w:tcPr>
          <w:p>
            <w:pPr>
              <w:jc w:val="center"/>
              <w:ind w:left="1366"/>
              <w:spacing w:after="0" w:line="185" w:lineRule="exact"/>
              <w:rPr>
                <w:sz w:val="20"/>
                <w:szCs w:val="20"/>
                <w:color w:val="auto"/>
              </w:rPr>
            </w:pPr>
            <w:r>
              <w:rPr>
                <w:rFonts w:ascii="Arial" w:cs="Arial" w:eastAsia="Arial" w:hAnsi="Arial"/>
                <w:sz w:val="19"/>
                <w:szCs w:val="19"/>
                <w:color w:val="auto"/>
                <w:w w:val="91"/>
              </w:rPr>
              <w:t>(I.R.S. Employer</w:t>
            </w:r>
          </w:p>
        </w:tc>
      </w:tr>
      <w:tr>
        <w:trPr>
          <w:trHeight w:val="239"/>
        </w:trPr>
        <w:tc>
          <w:tcPr>
            <w:tcW w:w="5440" w:type="dxa"/>
            <w:vAlign w:val="bottom"/>
            <w:gridSpan w:val="4"/>
          </w:tcPr>
          <w:p>
            <w:pPr>
              <w:jc w:val="center"/>
              <w:ind w:right="1460"/>
              <w:spacing w:after="0"/>
              <w:rPr>
                <w:sz w:val="20"/>
                <w:szCs w:val="20"/>
                <w:color w:val="auto"/>
              </w:rPr>
            </w:pPr>
            <w:r>
              <w:rPr>
                <w:rFonts w:ascii="Arial" w:cs="Arial" w:eastAsia="Arial" w:hAnsi="Arial"/>
                <w:sz w:val="19"/>
                <w:szCs w:val="19"/>
                <w:color w:val="auto"/>
                <w:w w:val="91"/>
              </w:rPr>
              <w:t>incorporation or organization)</w:t>
            </w:r>
          </w:p>
        </w:tc>
        <w:tc>
          <w:tcPr>
            <w:tcW w:w="2860" w:type="dxa"/>
            <w:vAlign w:val="bottom"/>
            <w:gridSpan w:val="5"/>
          </w:tcPr>
          <w:p>
            <w:pPr>
              <w:jc w:val="center"/>
              <w:ind w:left="1366"/>
              <w:spacing w:after="0"/>
              <w:rPr>
                <w:sz w:val="20"/>
                <w:szCs w:val="20"/>
                <w:color w:val="auto"/>
              </w:rPr>
            </w:pPr>
            <w:r>
              <w:rPr>
                <w:rFonts w:ascii="Arial" w:cs="Arial" w:eastAsia="Arial" w:hAnsi="Arial"/>
                <w:sz w:val="19"/>
                <w:szCs w:val="19"/>
                <w:color w:val="auto"/>
                <w:w w:val="94"/>
              </w:rPr>
              <w:t>Identification No.)</w:t>
            </w:r>
          </w:p>
        </w:tc>
      </w:tr>
      <w:tr>
        <w:trPr>
          <w:trHeight w:val="359"/>
        </w:trPr>
        <w:tc>
          <w:tcPr>
            <w:tcW w:w="5440" w:type="dxa"/>
            <w:vAlign w:val="bottom"/>
            <w:gridSpan w:val="4"/>
          </w:tcPr>
          <w:p>
            <w:pPr>
              <w:jc w:val="center"/>
              <w:ind w:right="1460"/>
              <w:spacing w:after="0"/>
              <w:rPr>
                <w:sz w:val="20"/>
                <w:szCs w:val="20"/>
                <w:color w:val="auto"/>
              </w:rPr>
            </w:pPr>
            <w:r>
              <w:rPr>
                <w:rFonts w:ascii="Arial" w:cs="Arial" w:eastAsia="Arial" w:hAnsi="Arial"/>
                <w:sz w:val="19"/>
                <w:szCs w:val="19"/>
                <w:color w:val="auto"/>
                <w:w w:val="89"/>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2"/>
        </w:trPr>
        <w:tc>
          <w:tcPr>
            <w:tcW w:w="398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1"/>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20"/>
                <w:szCs w:val="20"/>
                <w:color w:val="auto"/>
              </w:rPr>
            </w:pPr>
          </w:p>
        </w:tc>
      </w:tr>
    </w:tbl>
    <w:p>
      <w:pPr>
        <w:spacing w:after="0" w:line="152"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ind w:right="-19"/>
        <w:spacing w:after="0" w:line="220"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0"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67" w:lineRule="exact"/>
        <w:rPr>
          <w:sz w:val="24"/>
          <w:szCs w:val="24"/>
          <w:color w:val="auto"/>
        </w:rPr>
      </w:pPr>
    </w:p>
    <w:p>
      <w:pPr>
        <w:ind w:right="60"/>
        <w:spacing w:after="0" w:line="234"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3" w:lineRule="exact"/>
        <w:rPr>
          <w:sz w:val="24"/>
          <w:szCs w:val="24"/>
          <w:color w:val="auto"/>
        </w:rPr>
      </w:pPr>
    </w:p>
    <w:p>
      <w:pPr>
        <w:ind w:right="120"/>
        <w:spacing w:after="0" w:line="234"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3" w:lineRule="exact"/>
        <w:rPr>
          <w:sz w:val="24"/>
          <w:szCs w:val="24"/>
          <w:color w:val="auto"/>
        </w:rPr>
      </w:pPr>
    </w:p>
    <w:p>
      <w:pPr>
        <w:jc w:val="both"/>
        <w:spacing w:after="0" w:line="234"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2"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0" w:lineRule="exact"/>
        <w:rPr>
          <w:sz w:val="24"/>
          <w:szCs w:val="24"/>
          <w:color w:val="auto"/>
        </w:rPr>
      </w:pPr>
    </w:p>
    <w:p>
      <w:pPr>
        <w:sectPr>
          <w:pgSz w:w="11900" w:h="16838" w:orient="portrait"/>
          <w:cols w:equalWidth="0" w:num="2">
            <w:col w:w="6740" w:space="720"/>
            <w:col w:w="3780"/>
          </w:cols>
          <w:pgMar w:left="320" w:top="225" w:right="339" w:bottom="1440" w:gutter="0" w:footer="0" w:header="0"/>
          <w:type w:val="continuous"/>
        </w:sectPr>
      </w:pPr>
    </w:p>
    <w:p>
      <w:pPr>
        <w:ind w:right="80"/>
        <w:spacing w:after="0" w:line="242"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7860" w:type="dxa"/>
            <w:vAlign w:val="bottom"/>
            <w:gridSpan w:val="5"/>
          </w:tcPr>
          <w:p>
            <w:pPr>
              <w:ind w:left="8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3"/>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9"/>
                <w:szCs w:val="19"/>
                <w:color w:val="auto"/>
                <w:w w:val="91"/>
              </w:rPr>
              <w:t>Trading Symbol(s)</w:t>
            </w:r>
          </w:p>
        </w:tc>
        <w:tc>
          <w:tcPr>
            <w:tcW w:w="4520" w:type="dxa"/>
            <w:vAlign w:val="bottom"/>
          </w:tcPr>
          <w:p>
            <w:pPr>
              <w:jc w:val="center"/>
              <w:spacing w:after="0"/>
              <w:rPr>
                <w:sz w:val="20"/>
                <w:szCs w:val="20"/>
                <w:color w:val="auto"/>
              </w:rPr>
            </w:pPr>
            <w:r>
              <w:rPr>
                <w:rFonts w:ascii="Arial" w:cs="Arial" w:eastAsia="Arial" w:hAnsi="Arial"/>
                <w:sz w:val="19"/>
                <w:szCs w:val="19"/>
                <w:color w:val="auto"/>
                <w:w w:val="88"/>
              </w:rPr>
              <w:t>Name of each exchange on which registered</w:t>
            </w:r>
          </w:p>
        </w:tc>
      </w:tr>
      <w:tr>
        <w:trPr>
          <w:trHeight w:val="172"/>
        </w:trPr>
        <w:tc>
          <w:tcPr>
            <w:tcW w:w="3380" w:type="dxa"/>
            <w:vAlign w:val="bottom"/>
            <w:tcBorders>
              <w:top w:val="single" w:sz="8" w:color="auto"/>
            </w:tcBorders>
          </w:tcPr>
          <w:p>
            <w:pPr>
              <w:jc w:val="center"/>
              <w:ind w:left="686"/>
              <w:spacing w:after="0" w:line="172" w:lineRule="exact"/>
              <w:rPr>
                <w:sz w:val="20"/>
                <w:szCs w:val="20"/>
                <w:color w:val="auto"/>
              </w:rPr>
            </w:pPr>
            <w:r>
              <w:rPr>
                <w:rFonts w:ascii="Arial" w:cs="Arial" w:eastAsia="Arial" w:hAnsi="Arial"/>
                <w:sz w:val="19"/>
                <w:szCs w:val="19"/>
                <w:color w:val="auto"/>
                <w:w w:val="89"/>
              </w:rPr>
              <w:t>Common stock, $0.50 par value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14"/>
                <w:szCs w:val="14"/>
                <w:color w:val="auto"/>
              </w:rPr>
            </w:pPr>
          </w:p>
        </w:tc>
        <w:tc>
          <w:tcPr>
            <w:tcW w:w="452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9"/>
                <w:szCs w:val="19"/>
                <w:color w:val="auto"/>
                <w:w w:val="90"/>
              </w:rPr>
              <w:t>New York Stock Exchange</w:t>
            </w:r>
          </w:p>
        </w:tc>
      </w:tr>
      <w:tr>
        <w:trPr>
          <w:trHeight w:val="239"/>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92"/>
              </w:rPr>
              <w:t>6.00% Tangible Equity Units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8"/>
              </w:rPr>
              <w:t>WTRU</w:t>
            </w:r>
          </w:p>
        </w:tc>
        <w:tc>
          <w:tcPr>
            <w:tcW w:w="452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162"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July 27, 2020: 245,151,093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639445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0" w:type="dxa"/>
            <w:vAlign w:val="bottom"/>
            <w:gridSpan w:val="11"/>
          </w:tcPr>
          <w:p>
            <w:pPr>
              <w:jc w:val="center"/>
              <w:ind w:right="840"/>
              <w:spacing w:after="0"/>
              <w:rPr>
                <w:sz w:val="20"/>
                <w:szCs w:val="20"/>
                <w:color w:val="auto"/>
              </w:rPr>
            </w:pPr>
            <w:r>
              <w:rPr>
                <w:rFonts w:ascii="Arial" w:cs="Arial" w:eastAsia="Arial" w:hAnsi="Arial"/>
                <w:sz w:val="21"/>
                <w:szCs w:val="21"/>
                <w:color w:val="auto"/>
                <w:w w:val="99"/>
              </w:rPr>
              <w:t>ESSENTIAL UTILITIES, INC. AND SUBSIDIARIES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7"/>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80" w:type="dxa"/>
            <w:vAlign w:val="bottom"/>
            <w:gridSpan w:val="7"/>
          </w:tcPr>
          <w:p>
            <w:pPr>
              <w:jc w:val="center"/>
              <w:ind w:right="4060"/>
              <w:spacing w:after="0"/>
              <w:rPr>
                <w:sz w:val="20"/>
                <w:szCs w:val="20"/>
                <w:color w:val="auto"/>
              </w:rPr>
            </w:pPr>
            <w:r>
              <w:rPr>
                <w:rFonts w:ascii="Arial" w:cs="Arial" w:eastAsia="Arial" w:hAnsi="Arial"/>
                <w:sz w:val="21"/>
                <w:szCs w:val="21"/>
                <w:color w:val="auto"/>
                <w:w w:val="96"/>
              </w:rPr>
              <w:t>TABLE OF CONTENTS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21"/>
                <w:szCs w:val="21"/>
                <w:color w:val="auto"/>
                <w:w w:val="74"/>
              </w:rPr>
              <w:t>Pag</w:t>
            </w: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780" w:type="dxa"/>
            <w:vAlign w:val="bottom"/>
            <w:gridSpan w:val="7"/>
            <w:shd w:val="clear" w:color="auto" w:fill="CCEEFF"/>
          </w:tcPr>
          <w:p>
            <w:pPr>
              <w:jc w:val="center"/>
              <w:ind w:right="3840"/>
              <w:spacing w:after="0" w:line="227" w:lineRule="exact"/>
              <w:rPr>
                <w:rFonts w:ascii="Arial" w:cs="Arial" w:eastAsia="Arial" w:hAnsi="Arial"/>
                <w:sz w:val="21"/>
                <w:szCs w:val="21"/>
                <w:u w:val="single" w:color="auto"/>
                <w:color w:val="0563C1"/>
                <w:w w:val="94"/>
              </w:rPr>
            </w:pPr>
            <w:hyperlink w:anchor="page3">
              <w:r>
                <w:rPr>
                  <w:rFonts w:ascii="Arial" w:cs="Arial" w:eastAsia="Arial" w:hAnsi="Arial"/>
                  <w:sz w:val="21"/>
                  <w:szCs w:val="21"/>
                  <w:u w:val="single" w:color="auto"/>
                  <w:color w:val="0563C1"/>
                  <w:w w:val="94"/>
                </w:rPr>
                <w:t>Part I – Financial Information</w:t>
              </w:r>
            </w:hyperlink>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line="227" w:lineRule="exact"/>
              <w:rPr>
                <w:rFonts w:ascii="Arial" w:cs="Arial" w:eastAsia="Arial" w:hAnsi="Arial"/>
                <w:sz w:val="21"/>
                <w:szCs w:val="21"/>
                <w:u w:val="single" w:color="auto"/>
                <w:color w:val="0563C1"/>
                <w:w w:val="93"/>
              </w:rPr>
            </w:pPr>
            <w:hyperlink w:anchor="page3">
              <w:r>
                <w:rPr>
                  <w:rFonts w:ascii="Arial" w:cs="Arial" w:eastAsia="Arial" w:hAnsi="Arial"/>
                  <w:sz w:val="21"/>
                  <w:szCs w:val="21"/>
                  <w:u w:val="single" w:color="auto"/>
                  <w:color w:val="0563C1"/>
                  <w:w w:val="93"/>
                </w:rPr>
                <w:t>Item 1.</w:t>
              </w:r>
            </w:hyperlink>
          </w:p>
        </w:tc>
        <w:tc>
          <w:tcPr>
            <w:tcW w:w="20" w:type="dxa"/>
            <w:vAlign w:val="bottom"/>
            <w:shd w:val="clear" w:color="auto" w:fill="CCEEFF"/>
          </w:tcPr>
          <w:p>
            <w:pPr>
              <w:spacing w:after="0"/>
              <w:rPr>
                <w:sz w:val="19"/>
                <w:szCs w:val="19"/>
                <w:color w:val="auto"/>
              </w:rPr>
            </w:pPr>
          </w:p>
        </w:tc>
        <w:tc>
          <w:tcPr>
            <w:tcW w:w="10400" w:type="dxa"/>
            <w:vAlign w:val="bottom"/>
            <w:gridSpan w:val="13"/>
            <w:shd w:val="clear" w:color="auto" w:fill="CCEEFF"/>
          </w:tcPr>
          <w:p>
            <w:pPr>
              <w:ind w:left="80"/>
              <w:spacing w:after="0" w:line="227" w:lineRule="exact"/>
              <w:rPr>
                <w:rFonts w:ascii="Arial" w:cs="Arial" w:eastAsia="Arial" w:hAnsi="Arial"/>
                <w:sz w:val="21"/>
                <w:szCs w:val="21"/>
                <w:u w:val="single" w:color="auto"/>
                <w:color w:val="0563C1"/>
              </w:rPr>
            </w:pPr>
            <w:hyperlink w:anchor="page3">
              <w:r>
                <w:rPr>
                  <w:rFonts w:ascii="Arial" w:cs="Arial" w:eastAsia="Arial" w:hAnsi="Arial"/>
                  <w:sz w:val="21"/>
                  <w:szCs w:val="21"/>
                  <w:u w:val="single" w:color="auto"/>
                  <w:color w:val="0563C1"/>
                </w:rPr>
                <w:t>Financial Statements:</w:t>
              </w:r>
            </w:hyperlink>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0" w:type="dxa"/>
            <w:vAlign w:val="bottom"/>
            <w:gridSpan w:val="13"/>
            <w:shd w:val="clear" w:color="auto" w:fill="CCEEFF"/>
          </w:tcPr>
          <w:p>
            <w:pPr>
              <w:spacing w:after="0" w:line="227" w:lineRule="exact"/>
              <w:rPr>
                <w:rFonts w:ascii="Arial" w:cs="Arial" w:eastAsia="Arial" w:hAnsi="Arial"/>
                <w:sz w:val="21"/>
                <w:szCs w:val="21"/>
                <w:u w:val="single" w:color="auto"/>
                <w:color w:val="0563C1"/>
              </w:rPr>
            </w:pPr>
            <w:hyperlink w:anchor="page3">
              <w:r>
                <w:rPr>
                  <w:rFonts w:ascii="Arial" w:cs="Arial" w:eastAsia="Arial" w:hAnsi="Arial"/>
                  <w:sz w:val="21"/>
                  <w:szCs w:val="21"/>
                  <w:u w:val="single" w:color="auto"/>
                  <w:color w:val="0563C1"/>
                </w:rPr>
                <w:t>Consolidated Balance Sheets (unaudited) – June 30, 2020 and December 31, 2019</w:t>
              </w:r>
            </w:hyperlink>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13"/>
            <w:shd w:val="clear" w:color="auto" w:fill="CCEEFF"/>
          </w:tcPr>
          <w:p>
            <w:pPr>
              <w:spacing w:after="0" w:line="201" w:lineRule="exact"/>
              <w:rPr>
                <w:rFonts w:ascii="Arial" w:cs="Arial" w:eastAsia="Arial" w:hAnsi="Arial"/>
                <w:sz w:val="21"/>
                <w:szCs w:val="21"/>
                <w:color w:val="0563C1"/>
              </w:rPr>
            </w:pPr>
            <w:hyperlink w:anchor="page5">
              <w:r>
                <w:rPr>
                  <w:rFonts w:ascii="Arial" w:cs="Arial" w:eastAsia="Arial" w:hAnsi="Arial"/>
                  <w:sz w:val="21"/>
                  <w:szCs w:val="21"/>
                  <w:color w:val="0563C1"/>
                </w:rPr>
                <w:t>Consolidated Statements of Operations and Comprehensive Income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6680" w:type="dxa"/>
            <w:vAlign w:val="bottom"/>
            <w:tcBorders>
              <w:top w:val="single" w:sz="8" w:color="0563C1"/>
            </w:tcBorders>
            <w:gridSpan w:val="11"/>
            <w:shd w:val="clear" w:color="auto" w:fill="CCEEFF"/>
          </w:tcPr>
          <w:p>
            <w:pPr>
              <w:ind w:left="20"/>
              <w:spacing w:after="0" w:line="208" w:lineRule="exact"/>
              <w:rPr>
                <w:rFonts w:ascii="Arial" w:cs="Arial" w:eastAsia="Arial" w:hAnsi="Arial"/>
                <w:sz w:val="21"/>
                <w:szCs w:val="21"/>
                <w:color w:val="0563C1"/>
              </w:rPr>
            </w:pPr>
            <w:hyperlink w:anchor="page5">
              <w:r>
                <w:rPr>
                  <w:rFonts w:ascii="Arial" w:cs="Arial" w:eastAsia="Arial" w:hAnsi="Arial"/>
                  <w:sz w:val="21"/>
                  <w:szCs w:val="21"/>
                  <w:color w:val="0563C1"/>
                </w:rPr>
                <w:t>Three Months Ended June 30, 2020 and 2019</w:t>
              </w:r>
            </w:hyperlink>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7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3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shd w:val="clear" w:color="auto" w:fill="CCEEFF"/>
          </w:tcPr>
          <w:p>
            <w:pPr>
              <w:spacing w:after="0"/>
              <w:rPr>
                <w:sz w:val="17"/>
                <w:szCs w:val="17"/>
                <w:color w:val="auto"/>
              </w:rPr>
            </w:pPr>
          </w:p>
        </w:tc>
        <w:tc>
          <w:tcPr>
            <w:tcW w:w="10420" w:type="dxa"/>
            <w:vAlign w:val="bottom"/>
            <w:gridSpan w:val="14"/>
            <w:shd w:val="clear" w:color="auto" w:fill="CCEEFF"/>
          </w:tcPr>
          <w:p>
            <w:pPr>
              <w:ind w:left="20"/>
              <w:spacing w:after="0" w:line="206" w:lineRule="exact"/>
              <w:rPr>
                <w:rFonts w:ascii="Arial" w:cs="Arial" w:eastAsia="Arial" w:hAnsi="Arial"/>
                <w:sz w:val="21"/>
                <w:szCs w:val="21"/>
                <w:u w:val="single" w:color="auto"/>
                <w:color w:val="0563C1"/>
              </w:rPr>
            </w:pPr>
            <w:hyperlink w:anchor="page6">
              <w:r>
                <w:rPr>
                  <w:rFonts w:ascii="Arial" w:cs="Arial" w:eastAsia="Arial" w:hAnsi="Arial"/>
                  <w:sz w:val="21"/>
                  <w:szCs w:val="21"/>
                  <w:u w:val="single" w:color="auto"/>
                  <w:color w:val="0563C1"/>
                </w:rPr>
                <w:t>Consolidated Statements of Operations and Comprehensive Income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0" w:type="dxa"/>
            <w:vAlign w:val="bottom"/>
            <w:gridSpan w:val="13"/>
            <w:shd w:val="clear" w:color="auto" w:fill="CCEEFF"/>
          </w:tcPr>
          <w:p>
            <w:pPr>
              <w:ind w:left="320"/>
              <w:spacing w:after="0"/>
              <w:rPr>
                <w:rFonts w:ascii="Arial" w:cs="Arial" w:eastAsia="Arial" w:hAnsi="Arial"/>
                <w:sz w:val="21"/>
                <w:szCs w:val="21"/>
                <w:u w:val="single" w:color="auto"/>
                <w:color w:val="0563C1"/>
              </w:rPr>
            </w:pPr>
            <w:hyperlink w:anchor="page6">
              <w:r>
                <w:rPr>
                  <w:rFonts w:ascii="Arial" w:cs="Arial" w:eastAsia="Arial" w:hAnsi="Arial"/>
                  <w:sz w:val="21"/>
                  <w:szCs w:val="21"/>
                  <w:u w:val="single" w:color="auto"/>
                  <w:color w:val="0563C1"/>
                </w:rPr>
                <w:t>Six Months Ended June 30, 2020 and 2019</w:t>
              </w:r>
            </w:hyperlink>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13"/>
            <w:shd w:val="clear" w:color="auto" w:fill="CCEEFF"/>
          </w:tcPr>
          <w:p>
            <w:pPr>
              <w:spacing w:after="0" w:line="201" w:lineRule="exact"/>
              <w:rPr>
                <w:rFonts w:ascii="Arial" w:cs="Arial" w:eastAsia="Arial" w:hAnsi="Arial"/>
                <w:sz w:val="21"/>
                <w:szCs w:val="21"/>
                <w:color w:val="0563C1"/>
              </w:rPr>
            </w:pPr>
            <w:hyperlink w:anchor="page7">
              <w:r>
                <w:rPr>
                  <w:rFonts w:ascii="Arial" w:cs="Arial" w:eastAsia="Arial" w:hAnsi="Arial"/>
                  <w:sz w:val="21"/>
                  <w:szCs w:val="21"/>
                  <w:color w:val="0563C1"/>
                </w:rPr>
                <w:t>Consolidated Statements of Capitalization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4500" w:type="dxa"/>
            <w:vAlign w:val="bottom"/>
            <w:tcBorders>
              <w:top w:val="single" w:sz="8" w:color="0563C1"/>
            </w:tcBorders>
            <w:gridSpan w:val="10"/>
            <w:shd w:val="clear" w:color="auto" w:fill="CCEEFF"/>
          </w:tcPr>
          <w:p>
            <w:pPr>
              <w:ind w:left="20"/>
              <w:spacing w:after="0" w:line="208" w:lineRule="exact"/>
              <w:rPr>
                <w:rFonts w:ascii="Arial" w:cs="Arial" w:eastAsia="Arial" w:hAnsi="Arial"/>
                <w:sz w:val="21"/>
                <w:szCs w:val="21"/>
                <w:color w:val="0563C1"/>
              </w:rPr>
            </w:pPr>
            <w:hyperlink w:anchor="page7">
              <w:r>
                <w:rPr>
                  <w:rFonts w:ascii="Arial" w:cs="Arial" w:eastAsia="Arial" w:hAnsi="Arial"/>
                  <w:sz w:val="21"/>
                  <w:szCs w:val="21"/>
                  <w:color w:val="0563C1"/>
                </w:rPr>
                <w:t>June 30, 2020 and December 31, 2019</w:t>
              </w:r>
            </w:hyperlink>
          </w:p>
        </w:tc>
        <w:tc>
          <w:tcPr>
            <w:tcW w:w="55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7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3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13"/>
            <w:shd w:val="clear" w:color="auto" w:fill="CCEEFF"/>
          </w:tcPr>
          <w:p>
            <w:pPr>
              <w:spacing w:after="0" w:line="201" w:lineRule="exact"/>
              <w:rPr>
                <w:rFonts w:ascii="Arial" w:cs="Arial" w:eastAsia="Arial" w:hAnsi="Arial"/>
                <w:sz w:val="21"/>
                <w:szCs w:val="21"/>
                <w:color w:val="0563C1"/>
              </w:rPr>
            </w:pPr>
            <w:hyperlink w:anchor="page8">
              <w:r>
                <w:rPr>
                  <w:rFonts w:ascii="Arial" w:cs="Arial" w:eastAsia="Arial" w:hAnsi="Arial"/>
                  <w:sz w:val="21"/>
                  <w:szCs w:val="21"/>
                  <w:color w:val="0563C1"/>
                </w:rPr>
                <w:t>Consolidated Statements of Equity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3860" w:type="dxa"/>
            <w:vAlign w:val="bottom"/>
            <w:tcBorders>
              <w:top w:val="single" w:sz="8" w:color="0563C1"/>
            </w:tcBorders>
            <w:gridSpan w:val="6"/>
            <w:shd w:val="clear" w:color="auto" w:fill="CCEEFF"/>
          </w:tcPr>
          <w:p>
            <w:pPr>
              <w:ind w:left="20"/>
              <w:spacing w:after="0" w:line="208" w:lineRule="exact"/>
              <w:rPr>
                <w:rFonts w:ascii="Arial" w:cs="Arial" w:eastAsia="Arial" w:hAnsi="Arial"/>
                <w:sz w:val="21"/>
                <w:szCs w:val="21"/>
                <w:color w:val="0563C1"/>
              </w:rPr>
            </w:pPr>
            <w:hyperlink w:anchor="page8">
              <w:r>
                <w:rPr>
                  <w:rFonts w:ascii="Arial" w:cs="Arial" w:eastAsia="Arial" w:hAnsi="Arial"/>
                  <w:sz w:val="21"/>
                  <w:szCs w:val="21"/>
                  <w:color w:val="0563C1"/>
                </w:rPr>
                <w:t>Six Months Ended June 30, 2020</w:t>
              </w:r>
            </w:hyperlink>
          </w:p>
        </w:tc>
        <w:tc>
          <w:tcPr>
            <w:tcW w:w="3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CCEEFF"/>
            </w:tcBorders>
            <w:gridSpan w:val="3"/>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7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3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13"/>
            <w:shd w:val="clear" w:color="auto" w:fill="CCEEFF"/>
          </w:tcPr>
          <w:p>
            <w:pPr>
              <w:spacing w:after="0" w:line="201" w:lineRule="exact"/>
              <w:rPr>
                <w:rFonts w:ascii="Arial" w:cs="Arial" w:eastAsia="Arial" w:hAnsi="Arial"/>
                <w:sz w:val="21"/>
                <w:szCs w:val="21"/>
                <w:color w:val="0563C1"/>
              </w:rPr>
            </w:pPr>
            <w:hyperlink w:anchor="page9">
              <w:r>
                <w:rPr>
                  <w:rFonts w:ascii="Arial" w:cs="Arial" w:eastAsia="Arial" w:hAnsi="Arial"/>
                  <w:sz w:val="21"/>
                  <w:szCs w:val="21"/>
                  <w:color w:val="0563C1"/>
                </w:rPr>
                <w:t>Consolidated Statements of Equity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3860" w:type="dxa"/>
            <w:vAlign w:val="bottom"/>
            <w:tcBorders>
              <w:top w:val="single" w:sz="8" w:color="0563C1"/>
            </w:tcBorders>
            <w:gridSpan w:val="6"/>
            <w:shd w:val="clear" w:color="auto" w:fill="CCEEFF"/>
          </w:tcPr>
          <w:p>
            <w:pPr>
              <w:ind w:left="80"/>
              <w:spacing w:after="0" w:line="208" w:lineRule="exact"/>
              <w:rPr>
                <w:rFonts w:ascii="Arial" w:cs="Arial" w:eastAsia="Arial" w:hAnsi="Arial"/>
                <w:sz w:val="21"/>
                <w:szCs w:val="21"/>
                <w:color w:val="0563C1"/>
              </w:rPr>
            </w:pPr>
            <w:hyperlink w:anchor="page9">
              <w:r>
                <w:rPr>
                  <w:rFonts w:ascii="Arial" w:cs="Arial" w:eastAsia="Arial" w:hAnsi="Arial"/>
                  <w:sz w:val="21"/>
                  <w:szCs w:val="21"/>
                  <w:color w:val="0563C1"/>
                </w:rPr>
                <w:t>Six Months Ended June 30, 2019</w:t>
              </w:r>
            </w:hyperlink>
          </w:p>
        </w:tc>
        <w:tc>
          <w:tcPr>
            <w:tcW w:w="3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CCEEFF"/>
            </w:tcBorders>
            <w:gridSpan w:val="3"/>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7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3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0" w:type="dxa"/>
            <w:vAlign w:val="bottom"/>
            <w:gridSpan w:val="13"/>
            <w:shd w:val="clear" w:color="auto" w:fill="CCEEFF"/>
          </w:tcPr>
          <w:p>
            <w:pPr>
              <w:spacing w:after="0" w:line="201" w:lineRule="exact"/>
              <w:rPr>
                <w:rFonts w:ascii="Arial" w:cs="Arial" w:eastAsia="Arial" w:hAnsi="Arial"/>
                <w:sz w:val="21"/>
                <w:szCs w:val="21"/>
                <w:color w:val="0563C1"/>
              </w:rPr>
            </w:pPr>
            <w:hyperlink w:anchor="page10">
              <w:r>
                <w:rPr>
                  <w:rFonts w:ascii="Arial" w:cs="Arial" w:eastAsia="Arial" w:hAnsi="Arial"/>
                  <w:sz w:val="21"/>
                  <w:szCs w:val="21"/>
                  <w:color w:val="0563C1"/>
                </w:rPr>
                <w:t>Consolidated Statements of Cash Flow (unaudited) –</w:t>
              </w:r>
            </w:hyperlink>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4220" w:type="dxa"/>
            <w:vAlign w:val="bottom"/>
            <w:tcBorders>
              <w:top w:val="single" w:sz="8" w:color="0563C1"/>
            </w:tcBorders>
            <w:gridSpan w:val="8"/>
            <w:shd w:val="clear" w:color="auto" w:fill="CCEEFF"/>
          </w:tcPr>
          <w:p>
            <w:pPr>
              <w:ind w:left="20"/>
              <w:spacing w:after="0" w:line="234" w:lineRule="exact"/>
              <w:rPr>
                <w:rFonts w:ascii="Arial" w:cs="Arial" w:eastAsia="Arial" w:hAnsi="Arial"/>
                <w:sz w:val="21"/>
                <w:szCs w:val="21"/>
                <w:u w:val="single" w:color="auto"/>
                <w:color w:val="0563C1"/>
              </w:rPr>
            </w:pPr>
            <w:hyperlink w:anchor="page10">
              <w:r>
                <w:rPr>
                  <w:rFonts w:ascii="Arial" w:cs="Arial" w:eastAsia="Arial" w:hAnsi="Arial"/>
                  <w:sz w:val="21"/>
                  <w:szCs w:val="21"/>
                  <w:u w:val="single" w:color="auto"/>
                  <w:color w:val="0563C1"/>
                </w:rPr>
                <w:t>Six Months Ended June 30, 2020 and 2019</w:t>
              </w:r>
            </w:hyperlink>
          </w:p>
        </w:tc>
        <w:tc>
          <w:tcPr>
            <w:tcW w:w="40" w:type="dxa"/>
            <w:vAlign w:val="bottom"/>
            <w:tcBorders>
              <w:top w:val="single" w:sz="8" w:color="CCEEFF"/>
            </w:tcBorders>
            <w:shd w:val="clear" w:color="auto" w:fill="CCEEFF"/>
          </w:tcPr>
          <w:p>
            <w:pPr>
              <w:spacing w:after="0"/>
              <w:rPr>
                <w:sz w:val="20"/>
                <w:szCs w:val="20"/>
                <w:color w:val="auto"/>
              </w:rPr>
            </w:pPr>
          </w:p>
        </w:tc>
        <w:tc>
          <w:tcPr>
            <w:tcW w:w="5820" w:type="dxa"/>
            <w:vAlign w:val="bottom"/>
            <w:tcBorders>
              <w:top w:val="single" w:sz="8" w:color="CCEEFF"/>
            </w:tcBorders>
            <w:gridSpan w:val="3"/>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0" w:type="dxa"/>
            <w:vAlign w:val="bottom"/>
            <w:gridSpan w:val="13"/>
            <w:shd w:val="clear" w:color="auto" w:fill="CCEEFF"/>
          </w:tcPr>
          <w:p>
            <w:pPr>
              <w:spacing w:after="0" w:line="227" w:lineRule="exact"/>
              <w:rPr>
                <w:rFonts w:ascii="Arial" w:cs="Arial" w:eastAsia="Arial" w:hAnsi="Arial"/>
                <w:sz w:val="21"/>
                <w:szCs w:val="21"/>
                <w:u w:val="single" w:color="auto"/>
                <w:color w:val="0563C1"/>
              </w:rPr>
            </w:pPr>
            <w:hyperlink w:anchor="page11">
              <w:r>
                <w:rPr>
                  <w:rFonts w:ascii="Arial" w:cs="Arial" w:eastAsia="Arial" w:hAnsi="Arial"/>
                  <w:sz w:val="21"/>
                  <w:szCs w:val="21"/>
                  <w:u w:val="single" w:color="auto"/>
                  <w:color w:val="0563C1"/>
                </w:rPr>
                <w:t>Notes to Consolidated Financial Statements (unaudited)</w:t>
              </w:r>
            </w:hyperlink>
          </w:p>
        </w:tc>
        <w:tc>
          <w:tcPr>
            <w:tcW w:w="30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21"/>
                <w:szCs w:val="21"/>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040" w:type="dxa"/>
            <w:vAlign w:val="bottom"/>
            <w:gridSpan w:val="15"/>
            <w:shd w:val="clear" w:color="auto" w:fill="CCEEFF"/>
          </w:tcPr>
          <w:p>
            <w:pPr>
              <w:spacing w:after="0" w:line="201" w:lineRule="exact"/>
              <w:rPr>
                <w:rFonts w:ascii="Arial" w:cs="Arial" w:eastAsia="Arial" w:hAnsi="Arial"/>
                <w:sz w:val="21"/>
                <w:szCs w:val="21"/>
                <w:color w:val="0563C1"/>
              </w:rPr>
            </w:pPr>
            <w:hyperlink w:anchor="page40">
              <w:r>
                <w:rPr>
                  <w:rFonts w:ascii="Arial" w:cs="Arial" w:eastAsia="Arial" w:hAnsi="Arial"/>
                  <w:sz w:val="21"/>
                  <w:szCs w:val="21"/>
                  <w:color w:val="0563C1"/>
                </w:rPr>
                <w:t>Item 2. Management’s Discussion and Analysis of Financial</w:t>
              </w:r>
            </w:hyperlink>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21"/>
                <w:szCs w:val="21"/>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 w:type="dxa"/>
            <w:vAlign w:val="bottom"/>
            <w:tcBorders>
              <w:top w:val="single" w:sz="8" w:color="0563C1"/>
              <w:bottom w:val="single" w:sz="8" w:color="CCEEFF"/>
            </w:tcBorders>
            <w:shd w:val="clear" w:color="auto" w:fill="CCEEFF"/>
          </w:tcPr>
          <w:p>
            <w:pPr>
              <w:spacing w:after="0"/>
              <w:rPr>
                <w:sz w:val="18"/>
                <w:szCs w:val="18"/>
                <w:color w:val="auto"/>
              </w:rPr>
            </w:pPr>
          </w:p>
        </w:tc>
        <w:tc>
          <w:tcPr>
            <w:tcW w:w="20" w:type="dxa"/>
            <w:vAlign w:val="bottom"/>
            <w:tcBorders>
              <w:top w:val="single" w:sz="8" w:color="0563C1"/>
              <w:bottom w:val="single" w:sz="8" w:color="CCEEFF"/>
            </w:tcBorders>
            <w:shd w:val="clear" w:color="auto" w:fill="CCEEFF"/>
          </w:tcPr>
          <w:p>
            <w:pPr>
              <w:spacing w:after="0"/>
              <w:rPr>
                <w:sz w:val="18"/>
                <w:szCs w:val="18"/>
                <w:color w:val="auto"/>
              </w:rPr>
            </w:pPr>
          </w:p>
        </w:tc>
        <w:tc>
          <w:tcPr>
            <w:tcW w:w="3140" w:type="dxa"/>
            <w:vAlign w:val="bottom"/>
            <w:tcBorders>
              <w:top w:val="single" w:sz="8" w:color="0563C1"/>
              <w:bottom w:val="single" w:sz="8" w:color="0563C1"/>
            </w:tcBorders>
            <w:gridSpan w:val="3"/>
            <w:shd w:val="clear" w:color="auto" w:fill="CCEEFF"/>
          </w:tcPr>
          <w:p>
            <w:pPr>
              <w:spacing w:after="0" w:line="208" w:lineRule="exact"/>
              <w:rPr>
                <w:rFonts w:ascii="Arial" w:cs="Arial" w:eastAsia="Arial" w:hAnsi="Arial"/>
                <w:sz w:val="21"/>
                <w:szCs w:val="21"/>
                <w:color w:val="0563C1"/>
                <w:w w:val="92"/>
              </w:rPr>
            </w:pPr>
            <w:hyperlink w:anchor="page40">
              <w:r>
                <w:rPr>
                  <w:rFonts w:ascii="Arial" w:cs="Arial" w:eastAsia="Arial" w:hAnsi="Arial"/>
                  <w:sz w:val="21"/>
                  <w:szCs w:val="21"/>
                  <w:color w:val="0563C1"/>
                  <w:w w:val="92"/>
                </w:rPr>
                <w:t>Condition and Results of Operations</w:t>
              </w:r>
            </w:hyperlink>
          </w:p>
        </w:tc>
        <w:tc>
          <w:tcPr>
            <w:tcW w:w="1440" w:type="dxa"/>
            <w:vAlign w:val="bottom"/>
            <w:tcBorders>
              <w:top w:val="single" w:sz="8" w:color="0563C1"/>
              <w:bottom w:val="single" w:sz="8" w:color="CCEEFF"/>
            </w:tcBorders>
            <w:gridSpan w:val="7"/>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20" w:type="dxa"/>
            <w:vAlign w:val="bottom"/>
            <w:shd w:val="clear" w:color="auto" w:fill="CCEEFF"/>
          </w:tcPr>
          <w:p>
            <w:pPr>
              <w:spacing w:after="0"/>
              <w:rPr>
                <w:rFonts w:ascii="Arial" w:cs="Arial" w:eastAsia="Arial" w:hAnsi="Arial"/>
                <w:sz w:val="21"/>
                <w:szCs w:val="21"/>
                <w:u w:val="single" w:color="auto"/>
                <w:color w:val="0563C1"/>
                <w:w w:val="93"/>
              </w:rPr>
            </w:pPr>
            <w:hyperlink w:anchor="page53">
              <w:r>
                <w:rPr>
                  <w:rFonts w:ascii="Arial" w:cs="Arial" w:eastAsia="Arial" w:hAnsi="Arial"/>
                  <w:sz w:val="21"/>
                  <w:szCs w:val="21"/>
                  <w:u w:val="single" w:color="auto"/>
                  <w:color w:val="0563C1"/>
                  <w:w w:val="93"/>
                </w:rPr>
                <w:t>Item 3.</w:t>
              </w:r>
            </w:hyperlink>
          </w:p>
        </w:tc>
        <w:tc>
          <w:tcPr>
            <w:tcW w:w="20" w:type="dxa"/>
            <w:vAlign w:val="bottom"/>
            <w:shd w:val="clear" w:color="auto" w:fill="CCEEFF"/>
          </w:tcPr>
          <w:p>
            <w:pPr>
              <w:spacing w:after="0"/>
              <w:rPr>
                <w:sz w:val="23"/>
                <w:szCs w:val="23"/>
                <w:color w:val="auto"/>
              </w:rPr>
            </w:pPr>
          </w:p>
        </w:tc>
        <w:tc>
          <w:tcPr>
            <w:tcW w:w="10400" w:type="dxa"/>
            <w:vAlign w:val="bottom"/>
            <w:gridSpan w:val="13"/>
            <w:shd w:val="clear" w:color="auto" w:fill="CCEEFF"/>
          </w:tcPr>
          <w:p>
            <w:pPr>
              <w:ind w:left="80"/>
              <w:spacing w:after="0"/>
              <w:rPr>
                <w:rFonts w:ascii="Arial" w:cs="Arial" w:eastAsia="Arial" w:hAnsi="Arial"/>
                <w:sz w:val="21"/>
                <w:szCs w:val="21"/>
                <w:u w:val="single" w:color="auto"/>
                <w:color w:val="0563C1"/>
              </w:rPr>
            </w:pPr>
            <w:hyperlink w:anchor="page53">
              <w:r>
                <w:rPr>
                  <w:rFonts w:ascii="Arial" w:cs="Arial" w:eastAsia="Arial" w:hAnsi="Arial"/>
                  <w:sz w:val="21"/>
                  <w:szCs w:val="21"/>
                  <w:u w:val="single" w:color="auto"/>
                  <w:color w:val="0563C1"/>
                </w:rPr>
                <w:t>Quantitative and Qualitative Disclosures About Market Risk</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20" w:type="dxa"/>
            <w:vAlign w:val="bottom"/>
            <w:shd w:val="clear" w:color="auto" w:fill="CCEEFF"/>
          </w:tcPr>
          <w:p>
            <w:pPr>
              <w:spacing w:after="0"/>
              <w:rPr>
                <w:rFonts w:ascii="Arial" w:cs="Arial" w:eastAsia="Arial" w:hAnsi="Arial"/>
                <w:sz w:val="21"/>
                <w:szCs w:val="21"/>
                <w:u w:val="single" w:color="auto"/>
                <w:color w:val="0563C1"/>
                <w:w w:val="93"/>
              </w:rPr>
            </w:pPr>
            <w:hyperlink w:anchor="page53">
              <w:r>
                <w:rPr>
                  <w:rFonts w:ascii="Arial" w:cs="Arial" w:eastAsia="Arial" w:hAnsi="Arial"/>
                  <w:sz w:val="21"/>
                  <w:szCs w:val="21"/>
                  <w:u w:val="single" w:color="auto"/>
                  <w:color w:val="0563C1"/>
                  <w:w w:val="93"/>
                </w:rPr>
                <w:t>Item 4.</w:t>
              </w:r>
            </w:hyperlink>
          </w:p>
        </w:tc>
        <w:tc>
          <w:tcPr>
            <w:tcW w:w="20" w:type="dxa"/>
            <w:vAlign w:val="bottom"/>
            <w:shd w:val="clear" w:color="auto" w:fill="CCEEFF"/>
          </w:tcPr>
          <w:p>
            <w:pPr>
              <w:spacing w:after="0"/>
              <w:rPr>
                <w:sz w:val="23"/>
                <w:szCs w:val="23"/>
                <w:color w:val="auto"/>
              </w:rPr>
            </w:pPr>
          </w:p>
        </w:tc>
        <w:tc>
          <w:tcPr>
            <w:tcW w:w="10400" w:type="dxa"/>
            <w:vAlign w:val="bottom"/>
            <w:gridSpan w:val="13"/>
            <w:shd w:val="clear" w:color="auto" w:fill="CCEEFF"/>
          </w:tcPr>
          <w:p>
            <w:pPr>
              <w:ind w:left="80"/>
              <w:spacing w:after="0"/>
              <w:rPr>
                <w:rFonts w:ascii="Arial" w:cs="Arial" w:eastAsia="Arial" w:hAnsi="Arial"/>
                <w:sz w:val="21"/>
                <w:szCs w:val="21"/>
                <w:u w:val="single" w:color="auto"/>
                <w:color w:val="0563C1"/>
              </w:rPr>
            </w:pPr>
            <w:hyperlink w:anchor="page53">
              <w:r>
                <w:rPr>
                  <w:rFonts w:ascii="Arial" w:cs="Arial" w:eastAsia="Arial" w:hAnsi="Arial"/>
                  <w:sz w:val="21"/>
                  <w:szCs w:val="21"/>
                  <w:u w:val="single" w:color="auto"/>
                  <w:color w:val="0563C1"/>
                </w:rPr>
                <w:t>Controls and Procedures</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780" w:type="dxa"/>
            <w:vAlign w:val="bottom"/>
            <w:gridSpan w:val="7"/>
            <w:shd w:val="clear" w:color="auto" w:fill="CCEEFF"/>
          </w:tcPr>
          <w:p>
            <w:pPr>
              <w:jc w:val="center"/>
              <w:ind w:right="3820"/>
              <w:spacing w:after="0" w:line="227" w:lineRule="exact"/>
              <w:rPr>
                <w:rFonts w:ascii="Arial" w:cs="Arial" w:eastAsia="Arial" w:hAnsi="Arial"/>
                <w:sz w:val="21"/>
                <w:szCs w:val="21"/>
                <w:u w:val="single" w:color="auto"/>
                <w:color w:val="0563C1"/>
                <w:w w:val="95"/>
              </w:rPr>
            </w:pPr>
            <w:hyperlink w:anchor="page53">
              <w:r>
                <w:rPr>
                  <w:rFonts w:ascii="Arial" w:cs="Arial" w:eastAsia="Arial" w:hAnsi="Arial"/>
                  <w:sz w:val="21"/>
                  <w:szCs w:val="21"/>
                  <w:u w:val="single" w:color="auto"/>
                  <w:color w:val="0563C1"/>
                  <w:w w:val="95"/>
                </w:rPr>
                <w:t>Part II – Other Information</w:t>
              </w:r>
            </w:hyperlink>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20" w:type="dxa"/>
            <w:vAlign w:val="bottom"/>
            <w:shd w:val="clear" w:color="auto" w:fill="CCEEFF"/>
          </w:tcPr>
          <w:p>
            <w:pPr>
              <w:spacing w:after="0"/>
              <w:rPr>
                <w:rFonts w:ascii="Arial" w:cs="Arial" w:eastAsia="Arial" w:hAnsi="Arial"/>
                <w:sz w:val="21"/>
                <w:szCs w:val="21"/>
                <w:u w:val="single" w:color="auto"/>
                <w:color w:val="0563C1"/>
                <w:w w:val="93"/>
              </w:rPr>
            </w:pPr>
            <w:hyperlink w:anchor="page53">
              <w:r>
                <w:rPr>
                  <w:rFonts w:ascii="Arial" w:cs="Arial" w:eastAsia="Arial" w:hAnsi="Arial"/>
                  <w:sz w:val="21"/>
                  <w:szCs w:val="21"/>
                  <w:u w:val="single" w:color="auto"/>
                  <w:color w:val="0563C1"/>
                  <w:w w:val="93"/>
                </w:rPr>
                <w:t>Item 1.</w:t>
              </w:r>
            </w:hyperlink>
          </w:p>
        </w:tc>
        <w:tc>
          <w:tcPr>
            <w:tcW w:w="20" w:type="dxa"/>
            <w:vAlign w:val="bottom"/>
            <w:shd w:val="clear" w:color="auto" w:fill="CCEEFF"/>
          </w:tcPr>
          <w:p>
            <w:pPr>
              <w:spacing w:after="0"/>
              <w:rPr>
                <w:sz w:val="23"/>
                <w:szCs w:val="23"/>
                <w:color w:val="auto"/>
              </w:rPr>
            </w:pPr>
          </w:p>
        </w:tc>
        <w:tc>
          <w:tcPr>
            <w:tcW w:w="10400" w:type="dxa"/>
            <w:vAlign w:val="bottom"/>
            <w:gridSpan w:val="13"/>
            <w:shd w:val="clear" w:color="auto" w:fill="CCEEFF"/>
          </w:tcPr>
          <w:p>
            <w:pPr>
              <w:ind w:left="80"/>
              <w:spacing w:after="0"/>
              <w:rPr>
                <w:rFonts w:ascii="Arial" w:cs="Arial" w:eastAsia="Arial" w:hAnsi="Arial"/>
                <w:sz w:val="21"/>
                <w:szCs w:val="21"/>
                <w:u w:val="single" w:color="auto"/>
                <w:color w:val="0563C1"/>
              </w:rPr>
            </w:pPr>
            <w:hyperlink w:anchor="page53">
              <w:r>
                <w:rPr>
                  <w:rFonts w:ascii="Arial" w:cs="Arial" w:eastAsia="Arial" w:hAnsi="Arial"/>
                  <w:sz w:val="21"/>
                  <w:szCs w:val="21"/>
                  <w:u w:val="single" w:color="auto"/>
                  <w:color w:val="0563C1"/>
                </w:rPr>
                <w:t>Legal Proceedings</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1040" w:type="dxa"/>
            <w:vAlign w:val="bottom"/>
            <w:gridSpan w:val="15"/>
            <w:shd w:val="clear" w:color="auto" w:fill="CCEEFF"/>
          </w:tcPr>
          <w:p>
            <w:pPr>
              <w:spacing w:after="0"/>
              <w:rPr>
                <w:rFonts w:ascii="Arial" w:cs="Arial" w:eastAsia="Arial" w:hAnsi="Arial"/>
                <w:sz w:val="21"/>
                <w:szCs w:val="21"/>
                <w:u w:val="single" w:color="auto"/>
                <w:color w:val="0563C1"/>
              </w:rPr>
            </w:pPr>
            <w:hyperlink w:anchor="page54">
              <w:r>
                <w:rPr>
                  <w:rFonts w:ascii="Arial" w:cs="Arial" w:eastAsia="Arial" w:hAnsi="Arial"/>
                  <w:sz w:val="21"/>
                  <w:szCs w:val="21"/>
                  <w:u w:val="single" w:color="auto"/>
                  <w:color w:val="0563C1"/>
                </w:rPr>
                <w:t>Item 1A. Risk Factors</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20" w:type="dxa"/>
            <w:vAlign w:val="bottom"/>
            <w:shd w:val="clear" w:color="auto" w:fill="CCEEFF"/>
          </w:tcPr>
          <w:p>
            <w:pPr>
              <w:spacing w:after="0"/>
              <w:rPr>
                <w:rFonts w:ascii="Arial" w:cs="Arial" w:eastAsia="Arial" w:hAnsi="Arial"/>
                <w:sz w:val="21"/>
                <w:szCs w:val="21"/>
                <w:u w:val="single" w:color="auto"/>
                <w:color w:val="0563C1"/>
                <w:w w:val="93"/>
              </w:rPr>
            </w:pPr>
            <w:hyperlink w:anchor="page56">
              <w:r>
                <w:rPr>
                  <w:rFonts w:ascii="Arial" w:cs="Arial" w:eastAsia="Arial" w:hAnsi="Arial"/>
                  <w:sz w:val="21"/>
                  <w:szCs w:val="21"/>
                  <w:u w:val="single" w:color="auto"/>
                  <w:color w:val="0563C1"/>
                  <w:w w:val="93"/>
                </w:rPr>
                <w:t>Item 2.</w:t>
              </w:r>
            </w:hyperlink>
          </w:p>
        </w:tc>
        <w:tc>
          <w:tcPr>
            <w:tcW w:w="20" w:type="dxa"/>
            <w:vAlign w:val="bottom"/>
            <w:shd w:val="clear" w:color="auto" w:fill="CCEEFF"/>
          </w:tcPr>
          <w:p>
            <w:pPr>
              <w:spacing w:after="0"/>
              <w:rPr>
                <w:sz w:val="23"/>
                <w:szCs w:val="23"/>
                <w:color w:val="auto"/>
              </w:rPr>
            </w:pPr>
          </w:p>
        </w:tc>
        <w:tc>
          <w:tcPr>
            <w:tcW w:w="10400" w:type="dxa"/>
            <w:vAlign w:val="bottom"/>
            <w:gridSpan w:val="13"/>
            <w:shd w:val="clear" w:color="auto" w:fill="CCEEFF"/>
          </w:tcPr>
          <w:p>
            <w:pPr>
              <w:ind w:left="80"/>
              <w:spacing w:after="0"/>
              <w:rPr>
                <w:rFonts w:ascii="Arial" w:cs="Arial" w:eastAsia="Arial" w:hAnsi="Arial"/>
                <w:sz w:val="21"/>
                <w:szCs w:val="21"/>
                <w:u w:val="single" w:color="auto"/>
                <w:color w:val="0563C1"/>
              </w:rPr>
            </w:pPr>
            <w:hyperlink w:anchor="page56">
              <w:r>
                <w:rPr>
                  <w:rFonts w:ascii="Arial" w:cs="Arial" w:eastAsia="Arial" w:hAnsi="Arial"/>
                  <w:sz w:val="21"/>
                  <w:szCs w:val="21"/>
                  <w:u w:val="single" w:color="auto"/>
                  <w:color w:val="0563C1"/>
                </w:rPr>
                <w:t>Unregistered Sales of Equity Securities and Use of Proceeds</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20" w:type="dxa"/>
            <w:vAlign w:val="bottom"/>
            <w:shd w:val="clear" w:color="auto" w:fill="CCEEFF"/>
          </w:tcPr>
          <w:p>
            <w:pPr>
              <w:spacing w:after="0"/>
              <w:rPr>
                <w:rFonts w:ascii="Arial" w:cs="Arial" w:eastAsia="Arial" w:hAnsi="Arial"/>
                <w:sz w:val="21"/>
                <w:szCs w:val="21"/>
                <w:u w:val="single" w:color="auto"/>
                <w:color w:val="0563C1"/>
                <w:w w:val="93"/>
              </w:rPr>
            </w:pPr>
            <w:hyperlink w:anchor="page57">
              <w:r>
                <w:rPr>
                  <w:rFonts w:ascii="Arial" w:cs="Arial" w:eastAsia="Arial" w:hAnsi="Arial"/>
                  <w:sz w:val="21"/>
                  <w:szCs w:val="21"/>
                  <w:u w:val="single" w:color="auto"/>
                  <w:color w:val="0563C1"/>
                  <w:w w:val="93"/>
                </w:rPr>
                <w:t>Item 6.</w:t>
              </w:r>
            </w:hyperlink>
          </w:p>
        </w:tc>
        <w:tc>
          <w:tcPr>
            <w:tcW w:w="20" w:type="dxa"/>
            <w:vAlign w:val="bottom"/>
            <w:shd w:val="clear" w:color="auto" w:fill="CCEEFF"/>
          </w:tcPr>
          <w:p>
            <w:pPr>
              <w:spacing w:after="0"/>
              <w:rPr>
                <w:sz w:val="23"/>
                <w:szCs w:val="23"/>
                <w:color w:val="auto"/>
              </w:rPr>
            </w:pPr>
          </w:p>
        </w:tc>
        <w:tc>
          <w:tcPr>
            <w:tcW w:w="10400" w:type="dxa"/>
            <w:vAlign w:val="bottom"/>
            <w:gridSpan w:val="13"/>
            <w:shd w:val="clear" w:color="auto" w:fill="CCEEFF"/>
          </w:tcPr>
          <w:p>
            <w:pPr>
              <w:ind w:left="80"/>
              <w:spacing w:after="0"/>
              <w:rPr>
                <w:rFonts w:ascii="Arial" w:cs="Arial" w:eastAsia="Arial" w:hAnsi="Arial"/>
                <w:sz w:val="21"/>
                <w:szCs w:val="21"/>
                <w:u w:val="single" w:color="auto"/>
                <w:color w:val="0563C1"/>
              </w:rPr>
            </w:pPr>
            <w:hyperlink w:anchor="page57">
              <w:r>
                <w:rPr>
                  <w:rFonts w:ascii="Arial" w:cs="Arial" w:eastAsia="Arial" w:hAnsi="Arial"/>
                  <w:sz w:val="21"/>
                  <w:szCs w:val="21"/>
                  <w:u w:val="single" w:color="auto"/>
                  <w:color w:val="0563C1"/>
                </w:rPr>
                <w:t>Exhibits</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1040" w:type="dxa"/>
            <w:vAlign w:val="bottom"/>
            <w:gridSpan w:val="15"/>
            <w:shd w:val="clear" w:color="auto" w:fill="CCEEFF"/>
          </w:tcPr>
          <w:p>
            <w:pPr>
              <w:spacing w:after="0"/>
              <w:rPr>
                <w:rFonts w:ascii="Arial" w:cs="Arial" w:eastAsia="Arial" w:hAnsi="Arial"/>
                <w:sz w:val="21"/>
                <w:szCs w:val="21"/>
                <w:u w:val="single" w:color="auto"/>
                <w:color w:val="0563C1"/>
              </w:rPr>
            </w:pPr>
            <w:hyperlink w:anchor="page58">
              <w:r>
                <w:rPr>
                  <w:rFonts w:ascii="Arial" w:cs="Arial" w:eastAsia="Arial" w:hAnsi="Arial"/>
                  <w:sz w:val="21"/>
                  <w:szCs w:val="21"/>
                  <w:u w:val="single" w:color="auto"/>
                  <w:color w:val="0563C1"/>
                </w:rPr>
                <w:t>Signatures</w:t>
              </w:r>
            </w:hyperlink>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0"/>
        </w:trPr>
        <w:tc>
          <w:tcPr>
            <w:tcW w:w="620" w:type="dxa"/>
            <w:vAlign w:val="bottom"/>
          </w:tcPr>
          <w:p>
            <w:pPr>
              <w:spacing w:after="0"/>
              <w:rPr>
                <w:sz w:val="24"/>
                <w:szCs w:val="24"/>
                <w:color w:val="auto"/>
              </w:rPr>
            </w:pPr>
          </w:p>
        </w:tc>
        <w:tc>
          <w:tcPr>
            <w:tcW w:w="7020" w:type="dxa"/>
            <w:vAlign w:val="bottom"/>
            <w:gridSpan w:val="13"/>
          </w:tcPr>
          <w:p>
            <w:pPr>
              <w:jc w:val="center"/>
              <w:ind w:left="2893"/>
              <w:spacing w:after="0"/>
              <w:rPr>
                <w:sz w:val="20"/>
                <w:szCs w:val="20"/>
                <w:color w:val="auto"/>
              </w:rPr>
            </w:pPr>
            <w:r>
              <w:rPr>
                <w:rFonts w:ascii="Arial" w:cs="Arial" w:eastAsia="Arial" w:hAnsi="Arial"/>
                <w:sz w:val="21"/>
                <w:szCs w:val="21"/>
                <w:color w:val="auto"/>
                <w:w w:val="85"/>
              </w:rPr>
              <w:t>1</w:t>
            </w: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2" w:name="page3"/>
    <w:bookmarkEnd w:id="2"/>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92"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CONSOLIDATED BALANCE SHEETS</w:t>
      </w:r>
    </w:p>
    <w:p>
      <w:pPr>
        <w:jc w:val="center"/>
        <w:ind w:right="40"/>
        <w:spacing w:after="0" w:line="199" w:lineRule="auto"/>
        <w:rPr>
          <w:sz w:val="20"/>
          <w:szCs w:val="20"/>
          <w:color w:val="auto"/>
        </w:rPr>
      </w:pPr>
      <w:r>
        <w:rPr>
          <w:rFonts w:ascii="Arial" w:cs="Arial" w:eastAsia="Arial" w:hAnsi="Arial"/>
          <w:sz w:val="21"/>
          <w:szCs w:val="21"/>
          <w:color w:val="auto"/>
        </w:rPr>
        <w:t>(In thousands of dollars, except per share amounts)</w:t>
      </w:r>
    </w:p>
    <w:p>
      <w:pPr>
        <w:jc w:val="center"/>
        <w:spacing w:after="0"/>
        <w:rPr>
          <w:sz w:val="20"/>
          <w:szCs w:val="20"/>
          <w:color w:val="auto"/>
        </w:rPr>
      </w:pPr>
      <w:r>
        <w:rPr>
          <w:rFonts w:ascii="Arial" w:cs="Arial" w:eastAsia="Arial" w:hAnsi="Arial"/>
          <w:sz w:val="21"/>
          <w:szCs w:val="21"/>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vMerge w:val="restart"/>
          </w:tcPr>
          <w:p>
            <w:pPr>
              <w:ind w:left="3880"/>
              <w:spacing w:after="0"/>
              <w:rPr>
                <w:sz w:val="20"/>
                <w:szCs w:val="20"/>
                <w:color w:val="auto"/>
              </w:rPr>
            </w:pPr>
            <w:r>
              <w:rPr>
                <w:rFonts w:ascii="Arial" w:cs="Arial" w:eastAsia="Arial" w:hAnsi="Arial"/>
                <w:sz w:val="16"/>
                <w:szCs w:val="16"/>
                <w:color w:val="auto"/>
              </w:rPr>
              <w:t>Assets</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color w:val="auto"/>
              </w:rPr>
              <w:t>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4"/>
        </w:trPr>
        <w:tc>
          <w:tcPr>
            <w:tcW w:w="6960" w:type="dxa"/>
            <w:vAlign w:val="bottom"/>
            <w:tcBorders>
              <w:bottom w:val="single" w:sz="8" w:color="CCEEFF"/>
            </w:tcBorders>
            <w:vMerge w:val="continue"/>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4"/>
        </w:trPr>
        <w:tc>
          <w:tcPr>
            <w:tcW w:w="696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Property, plant and equipment, at cost</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5"/>
              <w:spacing w:after="0" w:line="154"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11,012,300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8,201,936</w:t>
            </w:r>
          </w:p>
        </w:tc>
        <w:tc>
          <w:tcPr>
            <w:tcW w:w="0" w:type="dxa"/>
            <w:vAlign w:val="bottom"/>
          </w:tcPr>
          <w:p>
            <w:pPr>
              <w:spacing w:after="0"/>
              <w:rPr>
                <w:sz w:val="1"/>
                <w:szCs w:val="1"/>
                <w:color w:val="auto"/>
              </w:rPr>
            </w:pPr>
          </w:p>
        </w:tc>
      </w:tr>
      <w:tr>
        <w:trPr>
          <w:trHeight w:val="160"/>
        </w:trPr>
        <w:tc>
          <w:tcPr>
            <w:tcW w:w="6960" w:type="dxa"/>
            <w:vAlign w:val="bottom"/>
            <w:tcBorders>
              <w:bottom w:val="single" w:sz="8" w:color="CCEEFF"/>
            </w:tcBorders>
          </w:tcPr>
          <w:p>
            <w:pPr>
              <w:spacing w:after="0" w:line="161" w:lineRule="exact"/>
              <w:rPr>
                <w:sz w:val="20"/>
                <w:szCs w:val="20"/>
                <w:color w:val="auto"/>
              </w:rPr>
            </w:pPr>
            <w:r>
              <w:rPr>
                <w:rFonts w:ascii="Arial" w:cs="Arial" w:eastAsia="Arial" w:hAnsi="Arial"/>
                <w:sz w:val="16"/>
                <w:szCs w:val="16"/>
                <w:color w:val="auto"/>
              </w:rPr>
              <w:t>Less: accumulated depreciation</w:t>
            </w:r>
          </w:p>
        </w:tc>
        <w:tc>
          <w:tcPr>
            <w:tcW w:w="14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1,961,540</w:t>
            </w:r>
          </w:p>
        </w:tc>
        <w:tc>
          <w:tcPr>
            <w:tcW w:w="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1,856,146</w:t>
            </w:r>
          </w:p>
        </w:tc>
        <w:tc>
          <w:tcPr>
            <w:tcW w:w="0" w:type="dxa"/>
            <w:vAlign w:val="bottom"/>
          </w:tcPr>
          <w:p>
            <w:pPr>
              <w:spacing w:after="0"/>
              <w:rPr>
                <w:sz w:val="1"/>
                <w:szCs w:val="1"/>
                <w:color w:val="auto"/>
              </w:rPr>
            </w:pPr>
          </w:p>
        </w:tc>
      </w:tr>
      <w:tr>
        <w:trPr>
          <w:trHeight w:val="154"/>
        </w:trPr>
        <w:tc>
          <w:tcPr>
            <w:tcW w:w="696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Net property, plant and equipment</w:t>
            </w:r>
          </w:p>
        </w:tc>
        <w:tc>
          <w:tcPr>
            <w:tcW w:w="14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9,050,760</w:t>
            </w:r>
          </w:p>
        </w:tc>
        <w:tc>
          <w:tcPr>
            <w:tcW w:w="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6,345,790</w:t>
            </w:r>
          </w:p>
        </w:tc>
        <w:tc>
          <w:tcPr>
            <w:tcW w:w="0" w:type="dxa"/>
            <w:vAlign w:val="bottom"/>
          </w:tcPr>
          <w:p>
            <w:pPr>
              <w:spacing w:after="0"/>
              <w:rPr>
                <w:sz w:val="1"/>
                <w:szCs w:val="1"/>
                <w:color w:val="auto"/>
              </w:rPr>
            </w:pPr>
          </w:p>
        </w:tc>
      </w:tr>
      <w:tr>
        <w:trPr>
          <w:trHeight w:val="154"/>
        </w:trPr>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Current assets:</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Arial" w:cs="Arial" w:eastAsia="Arial" w:hAnsi="Arial"/>
                <w:sz w:val="16"/>
                <w:szCs w:val="16"/>
                <w:color w:val="auto"/>
              </w:rPr>
              <w:t>Cash and cash equivalents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7,227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1,868,922</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Accounts receivable, net</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152,902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67,137</w:t>
            </w: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Arial" w:cs="Arial" w:eastAsia="Arial" w:hAnsi="Arial"/>
                <w:sz w:val="16"/>
                <w:szCs w:val="16"/>
                <w:color w:val="auto"/>
              </w:rPr>
              <w:t>Unbilled revenues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60,835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40,483</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Inventory - materials and supplies</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22,660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18,379</w:t>
            </w: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Arial" w:cs="Arial" w:eastAsia="Arial" w:hAnsi="Arial"/>
                <w:sz w:val="16"/>
                <w:szCs w:val="16"/>
                <w:color w:val="auto"/>
              </w:rPr>
              <w:t>Inventory - gas stored</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27,424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Prepayments and other current assets</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34,194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16,259</w:t>
            </w:r>
          </w:p>
        </w:tc>
        <w:tc>
          <w:tcPr>
            <w:tcW w:w="0" w:type="dxa"/>
            <w:vAlign w:val="bottom"/>
          </w:tcPr>
          <w:p>
            <w:pPr>
              <w:spacing w:after="0"/>
              <w:rPr>
                <w:sz w:val="1"/>
                <w:szCs w:val="1"/>
                <w:color w:val="auto"/>
              </w:rPr>
            </w:pPr>
          </w:p>
        </w:tc>
      </w:tr>
      <w:tr>
        <w:trPr>
          <w:trHeight w:val="160"/>
        </w:trPr>
        <w:tc>
          <w:tcPr>
            <w:tcW w:w="6960" w:type="dxa"/>
            <w:vAlign w:val="bottom"/>
          </w:tcPr>
          <w:p>
            <w:pPr>
              <w:ind w:left="100"/>
              <w:spacing w:after="0" w:line="161" w:lineRule="exact"/>
              <w:rPr>
                <w:sz w:val="20"/>
                <w:szCs w:val="20"/>
                <w:color w:val="auto"/>
              </w:rPr>
            </w:pPr>
            <w:r>
              <w:rPr>
                <w:rFonts w:ascii="Arial" w:cs="Arial" w:eastAsia="Arial" w:hAnsi="Arial"/>
                <w:sz w:val="16"/>
                <w:szCs w:val="16"/>
                <w:color w:val="auto"/>
              </w:rPr>
              <w:t>Regulatory assets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5,654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2,389</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Assets held for sale</w:t>
            </w:r>
          </w:p>
        </w:tc>
        <w:tc>
          <w:tcPr>
            <w:tcW w:w="14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1,558</w:t>
            </w:r>
          </w:p>
        </w:tc>
        <w:tc>
          <w:tcPr>
            <w:tcW w:w="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154"/>
        </w:trPr>
        <w:tc>
          <w:tcPr>
            <w:tcW w:w="6960" w:type="dxa"/>
            <w:vAlign w:val="bottom"/>
          </w:tcPr>
          <w:p>
            <w:pPr>
              <w:spacing w:after="0" w:line="154" w:lineRule="exact"/>
              <w:rPr>
                <w:sz w:val="20"/>
                <w:szCs w:val="20"/>
                <w:color w:val="auto"/>
              </w:rPr>
            </w:pPr>
            <w:r>
              <w:rPr>
                <w:rFonts w:ascii="Arial" w:cs="Arial" w:eastAsia="Arial" w:hAnsi="Arial"/>
                <w:sz w:val="16"/>
                <w:szCs w:val="16"/>
                <w:color w:val="auto"/>
              </w:rPr>
              <w:t>Total current assets</w:t>
            </w:r>
          </w:p>
        </w:tc>
        <w:tc>
          <w:tcPr>
            <w:tcW w:w="1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312,454</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2,015,127</w:t>
            </w:r>
          </w:p>
        </w:tc>
        <w:tc>
          <w:tcPr>
            <w:tcW w:w="0" w:type="dxa"/>
            <w:vAlign w:val="bottom"/>
          </w:tcPr>
          <w:p>
            <w:pPr>
              <w:spacing w:after="0"/>
              <w:rPr>
                <w:sz w:val="1"/>
                <w:szCs w:val="1"/>
                <w:color w:val="auto"/>
              </w:rPr>
            </w:pPr>
          </w:p>
        </w:tc>
      </w:tr>
      <w:tr>
        <w:trPr>
          <w:trHeight w:val="154"/>
        </w:trPr>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Regulatory assets</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1,198,340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875,743</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Arial" w:cs="Arial" w:eastAsia="Arial" w:hAnsi="Arial"/>
                <w:sz w:val="16"/>
                <w:szCs w:val="16"/>
                <w:color w:val="auto"/>
              </w:rPr>
              <w:t>Deferred charges and other assets, net</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53,636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42,652</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Investment in joint venture</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5,943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Arial" w:cs="Arial" w:eastAsia="Arial" w:hAnsi="Arial"/>
                <w:sz w:val="16"/>
                <w:szCs w:val="16"/>
                <w:color w:val="auto"/>
              </w:rPr>
              <w:t>Funds restricted for construction activity</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1,223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Goodwill</w:t>
            </w: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2,333,535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63,822</w:t>
            </w:r>
          </w:p>
        </w:tc>
        <w:tc>
          <w:tcPr>
            <w:tcW w:w="0" w:type="dxa"/>
            <w:vAlign w:val="bottom"/>
          </w:tcPr>
          <w:p>
            <w:pPr>
              <w:spacing w:after="0"/>
              <w:rPr>
                <w:sz w:val="1"/>
                <w:szCs w:val="1"/>
                <w:color w:val="auto"/>
              </w:rPr>
            </w:pPr>
          </w:p>
        </w:tc>
      </w:tr>
      <w:tr>
        <w:trPr>
          <w:trHeight w:val="160"/>
        </w:trPr>
        <w:tc>
          <w:tcPr>
            <w:tcW w:w="6960" w:type="dxa"/>
            <w:vAlign w:val="bottom"/>
          </w:tcPr>
          <w:p>
            <w:pPr>
              <w:spacing w:after="0" w:line="161" w:lineRule="exact"/>
              <w:rPr>
                <w:sz w:val="20"/>
                <w:szCs w:val="20"/>
                <w:color w:val="auto"/>
              </w:rPr>
            </w:pPr>
            <w:r>
              <w:rPr>
                <w:rFonts w:ascii="Arial" w:cs="Arial" w:eastAsia="Arial" w:hAnsi="Arial"/>
                <w:sz w:val="16"/>
                <w:szCs w:val="16"/>
                <w:color w:val="auto"/>
              </w:rPr>
              <w:t>Operating lease right-of-use assets</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6"/>
                <w:szCs w:val="16"/>
                <w:color w:val="auto"/>
              </w:rPr>
              <w:t>63,697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61" w:lineRule="exact"/>
              <w:rPr>
                <w:sz w:val="20"/>
                <w:szCs w:val="20"/>
                <w:color w:val="auto"/>
              </w:rPr>
            </w:pPr>
            <w:r>
              <w:rPr>
                <w:rFonts w:ascii="Arial" w:cs="Arial" w:eastAsia="Arial" w:hAnsi="Arial"/>
                <w:sz w:val="16"/>
                <w:szCs w:val="16"/>
                <w:color w:val="auto"/>
              </w:rPr>
              <w:t>12,867</w:t>
            </w:r>
          </w:p>
        </w:tc>
        <w:tc>
          <w:tcPr>
            <w:tcW w:w="0" w:type="dxa"/>
            <w:vAlign w:val="bottom"/>
          </w:tcPr>
          <w:p>
            <w:pPr>
              <w:spacing w:after="0"/>
              <w:rPr>
                <w:sz w:val="1"/>
                <w:szCs w:val="1"/>
                <w:color w:val="auto"/>
              </w:rPr>
            </w:pPr>
          </w:p>
        </w:tc>
      </w:tr>
      <w:tr>
        <w:trPr>
          <w:trHeight w:val="160"/>
        </w:trPr>
        <w:tc>
          <w:tcPr>
            <w:tcW w:w="69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Intangible assets</w:t>
            </w:r>
          </w:p>
        </w:tc>
        <w:tc>
          <w:tcPr>
            <w:tcW w:w="14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8,820</w:t>
            </w:r>
          </w:p>
        </w:tc>
        <w:tc>
          <w:tcPr>
            <w:tcW w:w="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
        </w:trPr>
        <w:tc>
          <w:tcPr>
            <w:tcW w:w="6960" w:type="dxa"/>
            <w:vAlign w:val="bottom"/>
          </w:tcPr>
          <w:p>
            <w:pPr>
              <w:spacing w:after="0" w:line="154" w:lineRule="exact"/>
              <w:rPr>
                <w:sz w:val="20"/>
                <w:szCs w:val="20"/>
                <w:color w:val="auto"/>
              </w:rPr>
            </w:pPr>
            <w:r>
              <w:rPr>
                <w:rFonts w:ascii="Arial" w:cs="Arial" w:eastAsia="Arial" w:hAnsi="Arial"/>
                <w:sz w:val="16"/>
                <w:szCs w:val="16"/>
                <w:color w:val="auto"/>
              </w:rPr>
              <w:t>Total assets</w:t>
            </w:r>
          </w:p>
        </w:tc>
        <w:tc>
          <w:tcPr>
            <w:tcW w:w="1400" w:type="dxa"/>
            <w:vAlign w:val="bottom"/>
          </w:tcPr>
          <w:p>
            <w:pPr>
              <w:spacing w:after="0"/>
              <w:rPr>
                <w:sz w:val="13"/>
                <w:szCs w:val="13"/>
                <w:color w:val="auto"/>
              </w:rPr>
            </w:pPr>
          </w:p>
        </w:tc>
        <w:tc>
          <w:tcPr>
            <w:tcW w:w="240" w:type="dxa"/>
            <w:vAlign w:val="bottom"/>
            <w:tcBorders>
              <w:bottom w:val="single" w:sz="8" w:color="auto"/>
            </w:tcBorders>
          </w:tcPr>
          <w:p>
            <w:pPr>
              <w:jc w:val="right"/>
              <w:ind w:right="85"/>
              <w:spacing w:after="0" w:line="154"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13,028,408</w:t>
            </w:r>
          </w:p>
        </w:tc>
        <w:tc>
          <w:tcPr>
            <w:tcW w:w="3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9,361,985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9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92"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CONSOLIDATED BALANCE SHEETS (continued)</w:t>
      </w:r>
    </w:p>
    <w:p>
      <w:pPr>
        <w:ind w:left="3420"/>
        <w:spacing w:after="0" w:line="199" w:lineRule="auto"/>
        <w:rPr>
          <w:sz w:val="20"/>
          <w:szCs w:val="20"/>
          <w:color w:val="auto"/>
        </w:rPr>
      </w:pPr>
      <w:r>
        <w:rPr>
          <w:rFonts w:ascii="Arial" w:cs="Arial" w:eastAsia="Arial" w:hAnsi="Arial"/>
          <w:sz w:val="21"/>
          <w:szCs w:val="21"/>
          <w:color w:val="auto"/>
        </w:rPr>
        <w:t>(In thousands of dollars, except per share amounts)</w:t>
      </w:r>
    </w:p>
    <w:p>
      <w:pPr>
        <w:jc w:val="center"/>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vMerge w:val="restart"/>
          </w:tcPr>
          <w:p>
            <w:pPr>
              <w:ind w:left="348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color w:val="auto"/>
              </w:rPr>
              <w:t>June 30,</w:t>
            </w:r>
          </w:p>
        </w:tc>
        <w:tc>
          <w:tcPr>
            <w:tcW w:w="12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184"/>
        </w:trPr>
        <w:tc>
          <w:tcPr>
            <w:tcW w:w="8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4"/>
        </w:trPr>
        <w:tc>
          <w:tcPr>
            <w:tcW w:w="8440" w:type="dxa"/>
            <w:vAlign w:val="bottom"/>
          </w:tcPr>
          <w:p>
            <w:pPr>
              <w:spacing w:after="0" w:line="154" w:lineRule="exact"/>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440" w:type="dxa"/>
            <w:vAlign w:val="bottom"/>
            <w:shd w:val="clear" w:color="auto" w:fill="CCEEFF"/>
          </w:tcPr>
          <w:p>
            <w:pPr>
              <w:ind w:left="100"/>
              <w:spacing w:after="0" w:line="137" w:lineRule="exact"/>
              <w:rPr>
                <w:sz w:val="20"/>
                <w:szCs w:val="20"/>
                <w:color w:val="auto"/>
              </w:rPr>
            </w:pPr>
            <w:r>
              <w:rPr>
                <w:rFonts w:ascii="Arial" w:cs="Arial" w:eastAsia="Arial" w:hAnsi="Arial"/>
                <w:sz w:val="15"/>
                <w:szCs w:val="15"/>
                <w:color w:val="auto"/>
                <w:w w:val="96"/>
              </w:rPr>
              <w:t>Common stock at $0.50 par value, authorized 600,000,000 shares, issued 248,342,756 and 223,871,284 as of June 30, 2020 and</w:t>
            </w:r>
          </w:p>
        </w:tc>
        <w:tc>
          <w:tcPr>
            <w:tcW w:w="380" w:type="dxa"/>
            <w:vAlign w:val="bottom"/>
            <w:gridSpan w:val="2"/>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124,171</w:t>
            </w:r>
          </w:p>
        </w:tc>
        <w:tc>
          <w:tcPr>
            <w:tcW w:w="1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111,935</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2019</w:t>
            </w:r>
          </w:p>
        </w:tc>
        <w:tc>
          <w:tcPr>
            <w:tcW w:w="380" w:type="dxa"/>
            <w:vAlign w:val="bottom"/>
            <w:gridSpan w:val="2"/>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Capital in excess of par value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3,366,695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2,636,555</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1,226,622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1,210,072</w:t>
            </w: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Treasury stock, at cost, 3,192,646 and 3,112,565 shares as of June 30, 2020 and December 31, 2019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60"/>
              <w:spacing w:after="0" w:line="161" w:lineRule="exact"/>
              <w:rPr>
                <w:sz w:val="20"/>
                <w:szCs w:val="20"/>
                <w:color w:val="auto"/>
              </w:rPr>
            </w:pPr>
            <w:r>
              <w:rPr>
                <w:rFonts w:ascii="Arial" w:cs="Arial" w:eastAsia="Arial" w:hAnsi="Arial"/>
                <w:sz w:val="16"/>
                <w:szCs w:val="16"/>
                <w:color w:val="auto"/>
              </w:rPr>
              <w:t>(81,954)</w:t>
            </w: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(77,702)</w:t>
            </w:r>
          </w:p>
        </w:tc>
        <w:tc>
          <w:tcPr>
            <w:tcW w:w="0" w:type="dxa"/>
            <w:vAlign w:val="bottom"/>
          </w:tcPr>
          <w:p>
            <w:pPr>
              <w:spacing w:after="0"/>
              <w:rPr>
                <w:sz w:val="1"/>
                <w:szCs w:val="1"/>
                <w:color w:val="auto"/>
              </w:rPr>
            </w:pPr>
          </w:p>
        </w:tc>
      </w:tr>
      <w:tr>
        <w:trPr>
          <w:trHeight w:val="154"/>
        </w:trPr>
        <w:tc>
          <w:tcPr>
            <w:tcW w:w="844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4,635,534</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54"/>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Long-term debt, excluding current portion</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5,213,370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2,972,349</w:t>
            </w:r>
          </w:p>
        </w:tc>
        <w:tc>
          <w:tcPr>
            <w:tcW w:w="0" w:type="dxa"/>
            <w:vAlign w:val="bottom"/>
          </w:tcPr>
          <w:p>
            <w:pPr>
              <w:spacing w:after="0"/>
              <w:rPr>
                <w:sz w:val="1"/>
                <w:szCs w:val="1"/>
                <w:color w:val="auto"/>
              </w:rPr>
            </w:pPr>
          </w:p>
        </w:tc>
      </w:tr>
      <w:tr>
        <w:trPr>
          <w:trHeight w:val="160"/>
        </w:trPr>
        <w:tc>
          <w:tcPr>
            <w:tcW w:w="8440" w:type="dxa"/>
            <w:vAlign w:val="bottom"/>
            <w:tcBorders>
              <w:bottom w:val="single" w:sz="8" w:color="CCEEFF"/>
            </w:tcBorders>
          </w:tcPr>
          <w:p>
            <w:pPr>
              <w:spacing w:after="0" w:line="161" w:lineRule="exact"/>
              <w:rPr>
                <w:sz w:val="20"/>
                <w:szCs w:val="20"/>
                <w:color w:val="auto"/>
              </w:rPr>
            </w:pPr>
            <w:r>
              <w:rPr>
                <w:rFonts w:ascii="Arial" w:cs="Arial" w:eastAsia="Arial" w:hAnsi="Arial"/>
                <w:sz w:val="16"/>
                <w:szCs w:val="16"/>
                <w:color w:val="auto"/>
              </w:rPr>
              <w:t>Less: debt issuance costs</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38,769</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29,022</w:t>
            </w:r>
          </w:p>
        </w:tc>
        <w:tc>
          <w:tcPr>
            <w:tcW w:w="0" w:type="dxa"/>
            <w:vAlign w:val="bottom"/>
          </w:tcPr>
          <w:p>
            <w:pPr>
              <w:spacing w:after="0"/>
              <w:rPr>
                <w:sz w:val="1"/>
                <w:szCs w:val="1"/>
                <w:color w:val="auto"/>
              </w:rPr>
            </w:pPr>
          </w:p>
        </w:tc>
      </w:tr>
      <w:tr>
        <w:trPr>
          <w:trHeight w:val="154"/>
        </w:trPr>
        <w:tc>
          <w:tcPr>
            <w:tcW w:w="844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Long-term debt, excluding current portion, net of debt issuance costs</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5,174,601</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2,943,327</w:t>
            </w:r>
          </w:p>
        </w:tc>
        <w:tc>
          <w:tcPr>
            <w:tcW w:w="0" w:type="dxa"/>
            <w:vAlign w:val="bottom"/>
          </w:tcPr>
          <w:p>
            <w:pPr>
              <w:spacing w:after="0"/>
              <w:rPr>
                <w:sz w:val="1"/>
                <w:szCs w:val="1"/>
                <w:color w:val="auto"/>
              </w:rPr>
            </w:pPr>
          </w:p>
        </w:tc>
      </w:tr>
      <w:tr>
        <w:trPr>
          <w:trHeight w:val="242"/>
        </w:trPr>
        <w:tc>
          <w:tcPr>
            <w:tcW w:w="8440" w:type="dxa"/>
            <w:vAlign w:val="bottom"/>
          </w:tcPr>
          <w:p>
            <w:pPr>
              <w:spacing w:after="0"/>
              <w:rPr>
                <w:sz w:val="20"/>
                <w:szCs w:val="20"/>
                <w:color w:val="auto"/>
              </w:rPr>
            </w:pPr>
            <w:r>
              <w:rPr>
                <w:rFonts w:ascii="Arial" w:cs="Arial" w:eastAsia="Arial" w:hAnsi="Arial"/>
                <w:sz w:val="16"/>
                <w:szCs w:val="16"/>
                <w:color w:val="auto"/>
              </w:rPr>
              <w:t>Commitments and contingencies (See Note 15)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87,839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105,051</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Loans payable</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15,000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25,724</w:t>
            </w: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60"/>
              <w:spacing w:after="0" w:line="161" w:lineRule="exact"/>
              <w:rPr>
                <w:sz w:val="20"/>
                <w:szCs w:val="20"/>
                <w:color w:val="auto"/>
              </w:rPr>
            </w:pPr>
            <w:r>
              <w:rPr>
                <w:rFonts w:ascii="Arial" w:cs="Arial" w:eastAsia="Arial" w:hAnsi="Arial"/>
                <w:sz w:val="16"/>
                <w:szCs w:val="16"/>
                <w:color w:val="auto"/>
              </w:rPr>
              <w:t>124,117</w:t>
            </w: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74,919</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Book overdraft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19,534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10,944</w:t>
            </w: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42,430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Accrued taxes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30,735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22,775</w:t>
            </w: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Regulatory liabilities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28,046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4,612</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Other accrued liabilities</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100,478</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49,618</w:t>
            </w:r>
          </w:p>
        </w:tc>
        <w:tc>
          <w:tcPr>
            <w:tcW w:w="0" w:type="dxa"/>
            <w:vAlign w:val="bottom"/>
          </w:tcPr>
          <w:p>
            <w:pPr>
              <w:spacing w:after="0"/>
              <w:rPr>
                <w:sz w:val="1"/>
                <w:szCs w:val="1"/>
                <w:color w:val="auto"/>
              </w:rPr>
            </w:pPr>
          </w:p>
        </w:tc>
      </w:tr>
      <w:tr>
        <w:trPr>
          <w:trHeight w:val="154"/>
        </w:trPr>
        <w:tc>
          <w:tcPr>
            <w:tcW w:w="8440" w:type="dxa"/>
            <w:vAlign w:val="bottom"/>
          </w:tcPr>
          <w:p>
            <w:pPr>
              <w:spacing w:after="0" w:line="154"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448,179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323,461</w:t>
            </w:r>
          </w:p>
        </w:tc>
        <w:tc>
          <w:tcPr>
            <w:tcW w:w="0" w:type="dxa"/>
            <w:vAlign w:val="bottom"/>
          </w:tcPr>
          <w:p>
            <w:pPr>
              <w:spacing w:after="0"/>
              <w:rPr>
                <w:sz w:val="1"/>
                <w:szCs w:val="1"/>
                <w:color w:val="auto"/>
              </w:rPr>
            </w:pPr>
          </w:p>
        </w:tc>
      </w:tr>
      <w:tr>
        <w:trPr>
          <w:trHeight w:val="154"/>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Deferred credits and other liabilities: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Deferred income taxes and investment tax credits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1,215,898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936,158</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Customers' advances for construction</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100,584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95,556</w:t>
            </w: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Regulatory liabilities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622,567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512,987</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Asset retirement obligations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50,125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8440" w:type="dxa"/>
            <w:vAlign w:val="bottom"/>
          </w:tcPr>
          <w:p>
            <w:pPr>
              <w:ind w:left="100"/>
              <w:spacing w:after="0" w:line="161" w:lineRule="exact"/>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line="161" w:lineRule="exact"/>
              <w:rPr>
                <w:sz w:val="20"/>
                <w:szCs w:val="20"/>
                <w:color w:val="auto"/>
              </w:rPr>
            </w:pPr>
            <w:r>
              <w:rPr>
                <w:rFonts w:ascii="Arial" w:cs="Arial" w:eastAsia="Arial" w:hAnsi="Arial"/>
                <w:sz w:val="16"/>
                <w:szCs w:val="16"/>
                <w:color w:val="auto"/>
              </w:rPr>
              <w:t>59,338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61" w:lineRule="exact"/>
              <w:rPr>
                <w:sz w:val="20"/>
                <w:szCs w:val="20"/>
                <w:color w:val="auto"/>
              </w:rPr>
            </w:pPr>
            <w:r>
              <w:rPr>
                <w:rFonts w:ascii="Arial" w:cs="Arial" w:eastAsia="Arial" w:hAnsi="Arial"/>
                <w:sz w:val="16"/>
                <w:szCs w:val="16"/>
                <w:color w:val="auto"/>
              </w:rPr>
              <w:t>11,645</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Pension and other postretirement benefit liabilities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107,899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69,406</w:t>
            </w:r>
          </w:p>
        </w:tc>
        <w:tc>
          <w:tcPr>
            <w:tcW w:w="0" w:type="dxa"/>
            <w:vAlign w:val="bottom"/>
          </w:tcPr>
          <w:p>
            <w:pPr>
              <w:spacing w:after="0"/>
              <w:rPr>
                <w:sz w:val="1"/>
                <w:szCs w:val="1"/>
                <w:color w:val="auto"/>
              </w:rPr>
            </w:pPr>
          </w:p>
        </w:tc>
      </w:tr>
      <w:tr>
        <w:trPr>
          <w:trHeight w:val="160"/>
        </w:trPr>
        <w:tc>
          <w:tcPr>
            <w:tcW w:w="8440" w:type="dxa"/>
            <w:vAlign w:val="bottom"/>
            <w:tcBorders>
              <w:bottom w:val="single" w:sz="8" w:color="CCEEFF"/>
            </w:tcBorders>
          </w:tcPr>
          <w:p>
            <w:pPr>
              <w:ind w:left="100"/>
              <w:spacing w:after="0" w:line="161" w:lineRule="exact"/>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50,405</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33,059</w:t>
            </w:r>
          </w:p>
        </w:tc>
        <w:tc>
          <w:tcPr>
            <w:tcW w:w="0" w:type="dxa"/>
            <w:vAlign w:val="bottom"/>
          </w:tcPr>
          <w:p>
            <w:pPr>
              <w:spacing w:after="0"/>
              <w:rPr>
                <w:sz w:val="1"/>
                <w:szCs w:val="1"/>
                <w:color w:val="auto"/>
              </w:rPr>
            </w:pPr>
          </w:p>
        </w:tc>
      </w:tr>
      <w:tr>
        <w:trPr>
          <w:trHeight w:val="154"/>
        </w:trPr>
        <w:tc>
          <w:tcPr>
            <w:tcW w:w="844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Total deferred credits and other liabilities</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2,206,816</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1,658,811</w:t>
            </w:r>
          </w:p>
        </w:tc>
        <w:tc>
          <w:tcPr>
            <w:tcW w:w="0" w:type="dxa"/>
            <w:vAlign w:val="bottom"/>
          </w:tcPr>
          <w:p>
            <w:pPr>
              <w:spacing w:after="0"/>
              <w:rPr>
                <w:sz w:val="1"/>
                <w:szCs w:val="1"/>
                <w:color w:val="auto"/>
              </w:rPr>
            </w:pPr>
          </w:p>
        </w:tc>
      </w:tr>
      <w:tr>
        <w:trPr>
          <w:trHeight w:val="154"/>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Contributions in aid of construction</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563,278</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555,526</w:t>
            </w:r>
          </w:p>
        </w:tc>
        <w:tc>
          <w:tcPr>
            <w:tcW w:w="0" w:type="dxa"/>
            <w:vAlign w:val="bottom"/>
          </w:tcPr>
          <w:p>
            <w:pPr>
              <w:spacing w:after="0"/>
              <w:rPr>
                <w:sz w:val="1"/>
                <w:szCs w:val="1"/>
                <w:color w:val="auto"/>
              </w:rPr>
            </w:pPr>
          </w:p>
        </w:tc>
      </w:tr>
      <w:tr>
        <w:trPr>
          <w:trHeight w:val="154"/>
        </w:trPr>
        <w:tc>
          <w:tcPr>
            <w:tcW w:w="8440" w:type="dxa"/>
            <w:vAlign w:val="bottom"/>
          </w:tcPr>
          <w:p>
            <w:pPr>
              <w:spacing w:after="0" w:line="154" w:lineRule="exact"/>
              <w:rPr>
                <w:sz w:val="20"/>
                <w:szCs w:val="20"/>
                <w:color w:val="auto"/>
              </w:rPr>
            </w:pPr>
            <w:r>
              <w:rPr>
                <w:rFonts w:ascii="Arial" w:cs="Arial" w:eastAsia="Arial" w:hAnsi="Arial"/>
                <w:sz w:val="16"/>
                <w:szCs w:val="16"/>
                <w:color w:val="auto"/>
              </w:rPr>
              <w:t>Total liabilities and equity</w:t>
            </w: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85"/>
              <w:spacing w:after="0" w:line="154"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13,028,408</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9,361,985</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CONSOLIDATED STATEMENTS OF OPERATIONS AND COMPREHENSIVE INCOME</w:t>
      </w:r>
    </w:p>
    <w:p>
      <w:pPr>
        <w:ind w:left="4000"/>
        <w:spacing w:after="0" w:line="229" w:lineRule="auto"/>
        <w:rPr>
          <w:sz w:val="20"/>
          <w:szCs w:val="20"/>
          <w:color w:val="auto"/>
        </w:rPr>
      </w:pPr>
      <w:r>
        <w:rPr>
          <w:rFonts w:ascii="Arial" w:cs="Arial" w:eastAsia="Arial" w:hAnsi="Arial"/>
          <w:sz w:val="21"/>
          <w:szCs w:val="21"/>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793"/>
              <w:spacing w:after="0"/>
              <w:rPr>
                <w:sz w:val="20"/>
                <w:szCs w:val="20"/>
                <w:color w:val="auto"/>
              </w:rPr>
            </w:pPr>
            <w:r>
              <w:rPr>
                <w:rFonts w:ascii="Arial" w:cs="Arial" w:eastAsia="Arial" w:hAnsi="Arial"/>
                <w:sz w:val="21"/>
                <w:szCs w:val="21"/>
                <w:color w:val="auto"/>
              </w:rPr>
              <w:t>Three Months Ended</w:t>
            </w:r>
          </w:p>
        </w:tc>
        <w:tc>
          <w:tcPr>
            <w:tcW w:w="0" w:type="dxa"/>
            <w:vAlign w:val="bottom"/>
          </w:tcPr>
          <w:p>
            <w:pPr>
              <w:spacing w:after="0"/>
              <w:rPr>
                <w:sz w:val="1"/>
                <w:szCs w:val="1"/>
                <w:color w:val="auto"/>
              </w:rPr>
            </w:pPr>
          </w:p>
        </w:tc>
      </w:tr>
      <w:tr>
        <w:trPr>
          <w:trHeight w:val="249"/>
        </w:trPr>
        <w:tc>
          <w:tcPr>
            <w:tcW w:w="6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21"/>
                <w:szCs w:val="21"/>
                <w:color w:val="auto"/>
              </w:rPr>
              <w:t>June 30,</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3"/>
              <w:spacing w:after="0" w:line="221" w:lineRule="exact"/>
              <w:rPr>
                <w:sz w:val="20"/>
                <w:szCs w:val="20"/>
                <w:color w:val="auto"/>
              </w:rPr>
            </w:pPr>
            <w:r>
              <w:rPr>
                <w:rFonts w:ascii="Arial" w:cs="Arial" w:eastAsia="Arial" w:hAnsi="Arial"/>
                <w:sz w:val="21"/>
                <w:szCs w:val="21"/>
                <w:color w:val="auto"/>
              </w:rPr>
              <w:t>2020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3"/>
              <w:spacing w:after="0" w:line="221" w:lineRule="exact"/>
              <w:rPr>
                <w:sz w:val="20"/>
                <w:szCs w:val="20"/>
                <w:color w:val="auto"/>
              </w:rPr>
            </w:pPr>
            <w:r>
              <w:rPr>
                <w:rFonts w:ascii="Arial" w:cs="Arial" w:eastAsia="Arial" w:hAnsi="Arial"/>
                <w:sz w:val="21"/>
                <w:szCs w:val="21"/>
                <w:color w:val="auto"/>
              </w:rPr>
              <w:t>2019</w:t>
            </w:r>
          </w:p>
        </w:tc>
        <w:tc>
          <w:tcPr>
            <w:tcW w:w="0" w:type="dxa"/>
            <w:vAlign w:val="bottom"/>
          </w:tcPr>
          <w:p>
            <w:pPr>
              <w:spacing w:after="0"/>
              <w:rPr>
                <w:sz w:val="1"/>
                <w:szCs w:val="1"/>
                <w:color w:val="auto"/>
              </w:rPr>
            </w:pPr>
          </w:p>
        </w:tc>
      </w:tr>
      <w:tr>
        <w:trPr>
          <w:trHeight w:val="221"/>
        </w:trPr>
        <w:tc>
          <w:tcPr>
            <w:tcW w:w="616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Operating revenues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3"/>
              <w:spacing w:after="0" w:line="221" w:lineRule="exact"/>
              <w:rPr>
                <w:sz w:val="20"/>
                <w:szCs w:val="20"/>
                <w:color w:val="auto"/>
              </w:rPr>
            </w:pPr>
            <w:r>
              <w:rPr>
                <w:rFonts w:ascii="Arial" w:cs="Arial" w:eastAsia="Arial" w:hAnsi="Arial"/>
                <w:sz w:val="21"/>
                <w:szCs w:val="21"/>
                <w:color w:val="auto"/>
                <w:w w:val="85"/>
              </w:rPr>
              <w:t>$</w:t>
            </w:r>
          </w:p>
        </w:tc>
        <w:tc>
          <w:tcPr>
            <w:tcW w:w="134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384,468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218,892</w:t>
            </w:r>
          </w:p>
        </w:tc>
        <w:tc>
          <w:tcPr>
            <w:tcW w:w="0" w:type="dxa"/>
            <w:vAlign w:val="bottom"/>
          </w:tcPr>
          <w:p>
            <w:pPr>
              <w:spacing w:after="0"/>
              <w:rPr>
                <w:sz w:val="1"/>
                <w:szCs w:val="1"/>
                <w:color w:val="auto"/>
              </w:rPr>
            </w:pPr>
          </w:p>
        </w:tc>
      </w:tr>
      <w:tr>
        <w:trPr>
          <w:trHeight w:val="227"/>
        </w:trPr>
        <w:tc>
          <w:tcPr>
            <w:tcW w:w="6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Operating expenses: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100"/>
              <w:spacing w:after="0" w:line="227" w:lineRule="exact"/>
              <w:rPr>
                <w:sz w:val="20"/>
                <w:szCs w:val="20"/>
                <w:color w:val="auto"/>
              </w:rPr>
            </w:pPr>
            <w:r>
              <w:rPr>
                <w:rFonts w:ascii="Arial" w:cs="Arial" w:eastAsia="Arial" w:hAnsi="Arial"/>
                <w:sz w:val="21"/>
                <w:szCs w:val="21"/>
                <w:color w:val="auto"/>
              </w:rPr>
              <w:t>Operations and maintenance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1"/>
                <w:szCs w:val="21"/>
                <w:color w:val="auto"/>
              </w:rPr>
              <w:t>128,604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Arial" w:cs="Arial" w:eastAsia="Arial" w:hAnsi="Arial"/>
                <w:sz w:val="21"/>
                <w:szCs w:val="21"/>
                <w:color w:val="auto"/>
              </w:rPr>
              <w:t>86,445</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Purchased gas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43,420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7"/>
        </w:trPr>
        <w:tc>
          <w:tcPr>
            <w:tcW w:w="6160" w:type="dxa"/>
            <w:vAlign w:val="bottom"/>
          </w:tcPr>
          <w:p>
            <w:pPr>
              <w:ind w:left="100"/>
              <w:spacing w:after="0" w:line="227" w:lineRule="exact"/>
              <w:rPr>
                <w:sz w:val="20"/>
                <w:szCs w:val="20"/>
                <w:color w:val="auto"/>
              </w:rPr>
            </w:pPr>
            <w:r>
              <w:rPr>
                <w:rFonts w:ascii="Arial" w:cs="Arial" w:eastAsia="Arial" w:hAnsi="Arial"/>
                <w:sz w:val="21"/>
                <w:szCs w:val="21"/>
                <w:color w:val="auto"/>
              </w:rPr>
              <w:t>Depreciation</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1"/>
                <w:szCs w:val="21"/>
                <w:color w:val="auto"/>
              </w:rPr>
              <w:t>67,925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Arial" w:cs="Arial" w:eastAsia="Arial" w:hAnsi="Arial"/>
                <w:sz w:val="21"/>
                <w:szCs w:val="21"/>
                <w:color w:val="auto"/>
              </w:rPr>
              <w:t>39,550</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Amortization</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1,967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(2,920)</w:t>
            </w:r>
          </w:p>
        </w:tc>
        <w:tc>
          <w:tcPr>
            <w:tcW w:w="0" w:type="dxa"/>
            <w:vAlign w:val="bottom"/>
          </w:tcPr>
          <w:p>
            <w:pPr>
              <w:spacing w:after="0"/>
              <w:rPr>
                <w:sz w:val="1"/>
                <w:szCs w:val="1"/>
                <w:color w:val="auto"/>
              </w:rPr>
            </w:pPr>
          </w:p>
        </w:tc>
      </w:tr>
      <w:tr>
        <w:trPr>
          <w:trHeight w:val="227"/>
        </w:trPr>
        <w:tc>
          <w:tcPr>
            <w:tcW w:w="6160" w:type="dxa"/>
            <w:vAlign w:val="bottom"/>
            <w:tcBorders>
              <w:bottom w:val="single" w:sz="8" w:color="CCEEFF"/>
            </w:tcBorders>
          </w:tcPr>
          <w:p>
            <w:pPr>
              <w:ind w:left="100"/>
              <w:spacing w:after="0" w:line="227" w:lineRule="exact"/>
              <w:rPr>
                <w:sz w:val="20"/>
                <w:szCs w:val="20"/>
                <w:color w:val="auto"/>
              </w:rPr>
            </w:pPr>
            <w:r>
              <w:rPr>
                <w:rFonts w:ascii="Arial" w:cs="Arial" w:eastAsia="Arial" w:hAnsi="Arial"/>
                <w:sz w:val="21"/>
                <w:szCs w:val="21"/>
                <w:color w:val="auto"/>
              </w:rPr>
              <w:t>Taxes other than income taxes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19,433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14,868</w:t>
            </w:r>
          </w:p>
        </w:tc>
        <w:tc>
          <w:tcPr>
            <w:tcW w:w="0" w:type="dxa"/>
            <w:vAlign w:val="bottom"/>
          </w:tcPr>
          <w:p>
            <w:pPr>
              <w:spacing w:after="0"/>
              <w:rPr>
                <w:sz w:val="1"/>
                <w:szCs w:val="1"/>
                <w:color w:val="auto"/>
              </w:rPr>
            </w:pPr>
          </w:p>
        </w:tc>
      </w:tr>
      <w:tr>
        <w:trPr>
          <w:trHeight w:val="221"/>
        </w:trPr>
        <w:tc>
          <w:tcPr>
            <w:tcW w:w="6160" w:type="dxa"/>
            <w:vAlign w:val="bottom"/>
            <w:shd w:val="clear" w:color="auto" w:fill="CCEEFF"/>
          </w:tcPr>
          <w:p>
            <w:pPr>
              <w:ind w:left="100"/>
              <w:spacing w:after="0" w:line="221" w:lineRule="exact"/>
              <w:rPr>
                <w:sz w:val="20"/>
                <w:szCs w:val="20"/>
                <w:color w:val="auto"/>
              </w:rPr>
            </w:pPr>
            <w:r>
              <w:rPr>
                <w:rFonts w:ascii="Arial" w:cs="Arial" w:eastAsia="Arial" w:hAnsi="Arial"/>
                <w:sz w:val="21"/>
                <w:szCs w:val="21"/>
                <w:color w:val="auto"/>
              </w:rPr>
              <w:t>Total operating expenses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261,349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137,943</w:t>
            </w: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Operating income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123,119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80,949</w:t>
            </w:r>
          </w:p>
        </w:tc>
        <w:tc>
          <w:tcPr>
            <w:tcW w:w="0" w:type="dxa"/>
            <w:vAlign w:val="bottom"/>
          </w:tcPr>
          <w:p>
            <w:pPr>
              <w:spacing w:after="0"/>
              <w:rPr>
                <w:sz w:val="1"/>
                <w:szCs w:val="1"/>
                <w:color w:val="auto"/>
              </w:rPr>
            </w:pPr>
          </w:p>
        </w:tc>
      </w:tr>
      <w:tr>
        <w:trPr>
          <w:trHeight w:val="227"/>
        </w:trPr>
        <w:tc>
          <w:tcPr>
            <w:tcW w:w="6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Other expense (income):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100"/>
              <w:spacing w:after="0" w:line="227" w:lineRule="exact"/>
              <w:rPr>
                <w:sz w:val="20"/>
                <w:szCs w:val="20"/>
                <w:color w:val="auto"/>
              </w:rPr>
            </w:pPr>
            <w:r>
              <w:rPr>
                <w:rFonts w:ascii="Arial" w:cs="Arial" w:eastAsia="Arial" w:hAnsi="Arial"/>
                <w:sz w:val="21"/>
                <w:szCs w:val="21"/>
                <w:color w:val="auto"/>
              </w:rPr>
              <w:t>Interest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1"/>
                <w:szCs w:val="21"/>
                <w:color w:val="auto"/>
              </w:rPr>
              <w:t>51,666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Arial" w:cs="Arial" w:eastAsia="Arial" w:hAnsi="Arial"/>
                <w:sz w:val="21"/>
                <w:szCs w:val="21"/>
                <w:color w:val="auto"/>
              </w:rPr>
              <w:t>31,727</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Interest income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(196)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(8,418)</w:t>
            </w:r>
          </w:p>
        </w:tc>
        <w:tc>
          <w:tcPr>
            <w:tcW w:w="0" w:type="dxa"/>
            <w:vAlign w:val="bottom"/>
          </w:tcPr>
          <w:p>
            <w:pPr>
              <w:spacing w:after="0"/>
              <w:rPr>
                <w:sz w:val="1"/>
                <w:szCs w:val="1"/>
                <w:color w:val="auto"/>
              </w:rPr>
            </w:pPr>
          </w:p>
        </w:tc>
      </w:tr>
      <w:tr>
        <w:trPr>
          <w:trHeight w:val="227"/>
        </w:trPr>
        <w:tc>
          <w:tcPr>
            <w:tcW w:w="6160" w:type="dxa"/>
            <w:vAlign w:val="bottom"/>
          </w:tcPr>
          <w:p>
            <w:pPr>
              <w:ind w:left="100"/>
              <w:spacing w:after="0" w:line="227" w:lineRule="exact"/>
              <w:rPr>
                <w:sz w:val="20"/>
                <w:szCs w:val="20"/>
                <w:color w:val="auto"/>
              </w:rPr>
            </w:pPr>
            <w:r>
              <w:rPr>
                <w:rFonts w:ascii="Arial" w:cs="Arial" w:eastAsia="Arial" w:hAnsi="Arial"/>
                <w:sz w:val="21"/>
                <w:szCs w:val="21"/>
                <w:color w:val="auto"/>
              </w:rPr>
              <w:t>Allowance for funds used during construction</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1"/>
                <w:szCs w:val="21"/>
                <w:color w:val="auto"/>
              </w:rPr>
              <w:t>(2,230)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Arial" w:cs="Arial" w:eastAsia="Arial" w:hAnsi="Arial"/>
                <w:sz w:val="21"/>
                <w:szCs w:val="21"/>
                <w:color w:val="auto"/>
              </w:rPr>
              <w:t>(3,611)</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Change in fair value of interest rate swap agreements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(11,040)</w:t>
            </w:r>
          </w:p>
        </w:tc>
        <w:tc>
          <w:tcPr>
            <w:tcW w:w="0" w:type="dxa"/>
            <w:vAlign w:val="bottom"/>
          </w:tcPr>
          <w:p>
            <w:pPr>
              <w:spacing w:after="0"/>
              <w:rPr>
                <w:sz w:val="1"/>
                <w:szCs w:val="1"/>
                <w:color w:val="auto"/>
              </w:rPr>
            </w:pPr>
          </w:p>
        </w:tc>
      </w:tr>
      <w:tr>
        <w:trPr>
          <w:trHeight w:val="227"/>
        </w:trPr>
        <w:tc>
          <w:tcPr>
            <w:tcW w:w="6160" w:type="dxa"/>
            <w:vAlign w:val="bottom"/>
          </w:tcPr>
          <w:p>
            <w:pPr>
              <w:ind w:left="100"/>
              <w:spacing w:after="0" w:line="227" w:lineRule="exact"/>
              <w:rPr>
                <w:sz w:val="20"/>
                <w:szCs w:val="20"/>
                <w:color w:val="auto"/>
              </w:rPr>
            </w:pPr>
            <w:r>
              <w:rPr>
                <w:rFonts w:ascii="Arial" w:cs="Arial" w:eastAsia="Arial" w:hAnsi="Arial"/>
                <w:sz w:val="21"/>
                <w:szCs w:val="21"/>
                <w:color w:val="auto"/>
              </w:rPr>
              <w:t>Loss on debt extinguishment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Arial" w:cs="Arial" w:eastAsia="Arial" w:hAnsi="Arial"/>
                <w:sz w:val="21"/>
                <w:szCs w:val="21"/>
                <w:color w:val="auto"/>
              </w:rPr>
              <w:t>18,935</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Gain on sale of other assets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(48)</w:t>
            </w:r>
          </w:p>
        </w:tc>
        <w:tc>
          <w:tcPr>
            <w:tcW w:w="0" w:type="dxa"/>
            <w:vAlign w:val="bottom"/>
          </w:tcPr>
          <w:p>
            <w:pPr>
              <w:spacing w:after="0"/>
              <w:rPr>
                <w:sz w:val="1"/>
                <w:szCs w:val="1"/>
                <w:color w:val="auto"/>
              </w:rPr>
            </w:pPr>
          </w:p>
        </w:tc>
      </w:tr>
      <w:tr>
        <w:trPr>
          <w:trHeight w:val="227"/>
        </w:trPr>
        <w:tc>
          <w:tcPr>
            <w:tcW w:w="6160" w:type="dxa"/>
            <w:vAlign w:val="bottom"/>
          </w:tcPr>
          <w:p>
            <w:pPr>
              <w:ind w:left="100"/>
              <w:spacing w:after="0" w:line="227" w:lineRule="exact"/>
              <w:rPr>
                <w:sz w:val="20"/>
                <w:szCs w:val="20"/>
                <w:color w:val="auto"/>
              </w:rPr>
            </w:pPr>
            <w:r>
              <w:rPr>
                <w:rFonts w:ascii="Arial" w:cs="Arial" w:eastAsia="Arial" w:hAnsi="Arial"/>
                <w:sz w:val="21"/>
                <w:szCs w:val="21"/>
                <w:color w:val="auto"/>
              </w:rPr>
              <w:t>Equity earnings in joint venture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1"/>
                <w:szCs w:val="21"/>
                <w:color w:val="auto"/>
              </w:rPr>
              <w:t>(470)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7" w:lineRule="exact"/>
              <w:rPr>
                <w:sz w:val="20"/>
                <w:szCs w:val="20"/>
                <w:color w:val="auto"/>
              </w:rPr>
            </w:pPr>
            <w:r>
              <w:rPr>
                <w:rFonts w:ascii="Arial" w:cs="Arial" w:eastAsia="Arial" w:hAnsi="Arial"/>
                <w:sz w:val="21"/>
                <w:szCs w:val="21"/>
                <w:color w:val="auto"/>
              </w:rPr>
              <w:t>(1,240)</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Other</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(722)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1,912</w:t>
            </w:r>
          </w:p>
        </w:tc>
        <w:tc>
          <w:tcPr>
            <w:tcW w:w="0" w:type="dxa"/>
            <w:vAlign w:val="bottom"/>
          </w:tcPr>
          <w:p>
            <w:pPr>
              <w:spacing w:after="0"/>
              <w:rPr>
                <w:sz w:val="1"/>
                <w:szCs w:val="1"/>
                <w:color w:val="auto"/>
              </w:rPr>
            </w:pPr>
          </w:p>
        </w:tc>
      </w:tr>
      <w:tr>
        <w:trPr>
          <w:trHeight w:val="221"/>
        </w:trPr>
        <w:tc>
          <w:tcPr>
            <w:tcW w:w="6160" w:type="dxa"/>
            <w:vAlign w:val="bottom"/>
          </w:tcPr>
          <w:p>
            <w:pPr>
              <w:spacing w:after="0" w:line="221" w:lineRule="exact"/>
              <w:rPr>
                <w:sz w:val="20"/>
                <w:szCs w:val="20"/>
                <w:color w:val="auto"/>
              </w:rPr>
            </w:pPr>
            <w:r>
              <w:rPr>
                <w:rFonts w:ascii="Arial" w:cs="Arial" w:eastAsia="Arial" w:hAnsi="Arial"/>
                <w:sz w:val="21"/>
                <w:szCs w:val="21"/>
                <w:color w:val="auto"/>
              </w:rPr>
              <w:t>Income before income taxes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1" w:lineRule="exact"/>
              <w:rPr>
                <w:sz w:val="20"/>
                <w:szCs w:val="20"/>
                <w:color w:val="auto"/>
              </w:rPr>
            </w:pPr>
            <w:r>
              <w:rPr>
                <w:rFonts w:ascii="Arial" w:cs="Arial" w:eastAsia="Arial" w:hAnsi="Arial"/>
                <w:sz w:val="21"/>
                <w:szCs w:val="21"/>
                <w:color w:val="auto"/>
              </w:rPr>
              <w:t>75,091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1" w:lineRule="exact"/>
              <w:rPr>
                <w:sz w:val="20"/>
                <w:szCs w:val="20"/>
                <w:color w:val="auto"/>
              </w:rPr>
            </w:pPr>
            <w:r>
              <w:rPr>
                <w:rFonts w:ascii="Arial" w:cs="Arial" w:eastAsia="Arial" w:hAnsi="Arial"/>
                <w:sz w:val="21"/>
                <w:szCs w:val="21"/>
                <w:color w:val="auto"/>
              </w:rPr>
              <w:t>52,732</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Provision for income taxes (benefit)</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462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(2,171)</w:t>
            </w:r>
          </w:p>
        </w:tc>
        <w:tc>
          <w:tcPr>
            <w:tcW w:w="0" w:type="dxa"/>
            <w:vAlign w:val="bottom"/>
          </w:tcPr>
          <w:p>
            <w:pPr>
              <w:spacing w:after="0"/>
              <w:rPr>
                <w:sz w:val="1"/>
                <w:szCs w:val="1"/>
                <w:color w:val="auto"/>
              </w:rPr>
            </w:pPr>
          </w:p>
        </w:tc>
      </w:tr>
      <w:tr>
        <w:trPr>
          <w:trHeight w:val="221"/>
        </w:trPr>
        <w:tc>
          <w:tcPr>
            <w:tcW w:w="6160" w:type="dxa"/>
            <w:vAlign w:val="bottom"/>
          </w:tcPr>
          <w:p>
            <w:pPr>
              <w:spacing w:after="0" w:line="221" w:lineRule="exact"/>
              <w:rPr>
                <w:sz w:val="20"/>
                <w:szCs w:val="20"/>
                <w:color w:val="auto"/>
              </w:rPr>
            </w:pPr>
            <w:r>
              <w:rPr>
                <w:rFonts w:ascii="Arial" w:cs="Arial" w:eastAsia="Arial" w:hAnsi="Arial"/>
                <w:sz w:val="21"/>
                <w:szCs w:val="21"/>
                <w:color w:val="auto"/>
              </w:rPr>
              <w:t>Net income</w:t>
            </w:r>
          </w:p>
        </w:tc>
        <w:tc>
          <w:tcPr>
            <w:tcW w:w="1480" w:type="dxa"/>
            <w:vAlign w:val="bottom"/>
          </w:tcPr>
          <w:p>
            <w:pPr>
              <w:spacing w:after="0"/>
              <w:rPr>
                <w:sz w:val="19"/>
                <w:szCs w:val="19"/>
                <w:color w:val="auto"/>
              </w:rPr>
            </w:pPr>
          </w:p>
        </w:tc>
        <w:tc>
          <w:tcPr>
            <w:tcW w:w="380" w:type="dxa"/>
            <w:vAlign w:val="bottom"/>
            <w:tcBorders>
              <w:bottom w:val="single" w:sz="8" w:color="auto"/>
            </w:tcBorders>
          </w:tcPr>
          <w:p>
            <w:pPr>
              <w:jc w:val="right"/>
              <w:ind w:right="153"/>
              <w:spacing w:after="0" w:line="221" w:lineRule="exact"/>
              <w:rPr>
                <w:sz w:val="20"/>
                <w:szCs w:val="20"/>
                <w:color w:val="auto"/>
              </w:rPr>
            </w:pPr>
            <w:r>
              <w:rPr>
                <w:rFonts w:ascii="Arial" w:cs="Arial" w:eastAsia="Arial" w:hAnsi="Arial"/>
                <w:sz w:val="21"/>
                <w:szCs w:val="21"/>
                <w:color w:val="auto"/>
                <w:w w:val="85"/>
              </w:rPr>
              <w:t>$</w:t>
            </w:r>
          </w:p>
        </w:tc>
        <w:tc>
          <w:tcPr>
            <w:tcW w:w="13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74,629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54,903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Comprehensive income</w:t>
            </w:r>
          </w:p>
        </w:tc>
        <w:tc>
          <w:tcPr>
            <w:tcW w:w="1860" w:type="dxa"/>
            <w:vAlign w:val="bottom"/>
            <w:gridSpan w:val="2"/>
            <w:shd w:val="clear" w:color="auto" w:fill="CCEEFF"/>
          </w:tcPr>
          <w:p>
            <w:pPr>
              <w:jc w:val="right"/>
              <w:ind w:right="153"/>
              <w:spacing w:after="0" w:line="227" w:lineRule="exact"/>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74,629</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5"/>
              <w:spacing w:after="0" w:line="228"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54,903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1"/>
                <w:szCs w:val="21"/>
                <w:color w:val="auto"/>
              </w:rPr>
              <w:t>Net income per common share:</w:t>
            </w:r>
          </w:p>
        </w:tc>
        <w:tc>
          <w:tcPr>
            <w:tcW w:w="1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1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Basic</w:t>
            </w:r>
          </w:p>
        </w:tc>
        <w:tc>
          <w:tcPr>
            <w:tcW w:w="1860" w:type="dxa"/>
            <w:vAlign w:val="bottom"/>
            <w:gridSpan w:val="2"/>
            <w:shd w:val="clear" w:color="auto" w:fill="CCEEFF"/>
          </w:tcPr>
          <w:p>
            <w:pPr>
              <w:jc w:val="right"/>
              <w:ind w:right="153"/>
              <w:spacing w:after="0" w:line="227" w:lineRule="exact"/>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0.29</w:t>
            </w:r>
          </w:p>
        </w:tc>
        <w:tc>
          <w:tcPr>
            <w:tcW w:w="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5"/>
              <w:spacing w:after="0" w:line="228"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0.25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21"/>
                <w:szCs w:val="21"/>
                <w:color w:val="auto"/>
              </w:rPr>
              <w:t>Diluted</w:t>
            </w:r>
          </w:p>
        </w:tc>
        <w:tc>
          <w:tcPr>
            <w:tcW w:w="14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53"/>
              <w:spacing w:after="0" w:line="208" w:lineRule="exact"/>
              <w:rPr>
                <w:sz w:val="20"/>
                <w:szCs w:val="20"/>
                <w:color w:val="auto"/>
              </w:rPr>
            </w:pPr>
            <w:r>
              <w:rPr>
                <w:rFonts w:ascii="Arial" w:cs="Arial" w:eastAsia="Arial" w:hAnsi="Arial"/>
                <w:sz w:val="21"/>
                <w:szCs w:val="21"/>
                <w:color w:val="auto"/>
                <w:w w:val="85"/>
              </w:rPr>
              <w:t>$</w:t>
            </w:r>
          </w:p>
        </w:tc>
        <w:tc>
          <w:tcPr>
            <w:tcW w:w="134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0.29</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0.25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640" w:type="dxa"/>
            <w:vAlign w:val="bottom"/>
          </w:tcPr>
          <w:p>
            <w:pPr>
              <w:spacing w:after="0"/>
              <w:rPr>
                <w:sz w:val="20"/>
                <w:szCs w:val="20"/>
                <w:color w:val="auto"/>
              </w:rPr>
            </w:pPr>
            <w:r>
              <w:rPr>
                <w:rFonts w:ascii="Arial" w:cs="Arial" w:eastAsia="Arial" w:hAnsi="Arial"/>
                <w:sz w:val="21"/>
                <w:szCs w:val="21"/>
                <w:color w:val="auto"/>
              </w:rPr>
              <w:t>Average common shares outstanding during the period:</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40" w:type="dxa"/>
            <w:vAlign w:val="bottom"/>
            <w:tcBorders>
              <w:bottom w:val="single" w:sz="8" w:color="CCEEFF"/>
            </w:tcBorders>
            <w:shd w:val="clear" w:color="auto" w:fill="CCEEFF"/>
          </w:tcPr>
          <w:p>
            <w:pPr>
              <w:ind w:left="100"/>
              <w:spacing w:after="0" w:line="227" w:lineRule="exact"/>
              <w:rPr>
                <w:sz w:val="20"/>
                <w:szCs w:val="20"/>
                <w:color w:val="auto"/>
              </w:rPr>
            </w:pPr>
            <w:r>
              <w:rPr>
                <w:rFonts w:ascii="Arial" w:cs="Arial" w:eastAsia="Arial" w:hAnsi="Arial"/>
                <w:sz w:val="21"/>
                <w:szCs w:val="21"/>
                <w:color w:val="auto"/>
              </w:rPr>
              <w:t>Basic</w:t>
            </w:r>
          </w:p>
        </w:tc>
        <w:tc>
          <w:tcPr>
            <w:tcW w:w="172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254,167</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
              <w:spacing w:after="0" w:line="227" w:lineRule="exact"/>
              <w:rPr>
                <w:sz w:val="20"/>
                <w:szCs w:val="20"/>
                <w:color w:val="auto"/>
              </w:rPr>
            </w:pPr>
            <w:r>
              <w:rPr>
                <w:rFonts w:ascii="Arial" w:cs="Arial" w:eastAsia="Arial" w:hAnsi="Arial"/>
                <w:sz w:val="21"/>
                <w:szCs w:val="21"/>
                <w:color w:val="auto"/>
              </w:rPr>
              <w:t>219,055</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00"/>
              <w:spacing w:after="0"/>
              <w:rPr>
                <w:sz w:val="20"/>
                <w:szCs w:val="20"/>
                <w:color w:val="auto"/>
              </w:rPr>
            </w:pPr>
            <w:r>
              <w:rPr>
                <w:rFonts w:ascii="Arial" w:cs="Arial" w:eastAsia="Arial" w:hAnsi="Arial"/>
                <w:sz w:val="21"/>
                <w:szCs w:val="21"/>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254,434</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3"/>
              <w:spacing w:after="0" w:line="208" w:lineRule="exact"/>
              <w:rPr>
                <w:sz w:val="20"/>
                <w:szCs w:val="20"/>
                <w:color w:val="auto"/>
              </w:rPr>
            </w:pPr>
            <w:r>
              <w:rPr>
                <w:rFonts w:ascii="Arial" w:cs="Arial" w:eastAsia="Arial" w:hAnsi="Arial"/>
                <w:sz w:val="21"/>
                <w:szCs w:val="21"/>
                <w:color w:val="auto"/>
              </w:rPr>
              <w:t>219,790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CONSOLIDATED STATEMENTS OF OPERATIONS AND COMPREHENSIVE INCOME</w:t>
      </w:r>
    </w:p>
    <w:p>
      <w:pPr>
        <w:ind w:left="4000"/>
        <w:spacing w:after="0" w:line="229" w:lineRule="auto"/>
        <w:rPr>
          <w:sz w:val="20"/>
          <w:szCs w:val="20"/>
          <w:color w:val="auto"/>
        </w:rPr>
      </w:pPr>
      <w:r>
        <w:rPr>
          <w:rFonts w:ascii="Arial" w:cs="Arial" w:eastAsia="Arial" w:hAnsi="Arial"/>
          <w:sz w:val="21"/>
          <w:szCs w:val="21"/>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0" w:type="dxa"/>
            <w:vAlign w:val="bottom"/>
            <w:gridSpan w:val="4"/>
          </w:tcPr>
          <w:p>
            <w:pPr>
              <w:jc w:val="right"/>
              <w:ind w:right="753"/>
              <w:spacing w:after="0"/>
              <w:rPr>
                <w:sz w:val="20"/>
                <w:szCs w:val="20"/>
                <w:color w:val="auto"/>
              </w:rPr>
            </w:pPr>
            <w:r>
              <w:rPr>
                <w:rFonts w:ascii="Arial" w:cs="Arial" w:eastAsia="Arial" w:hAnsi="Arial"/>
                <w:sz w:val="21"/>
                <w:szCs w:val="21"/>
                <w:color w:val="auto"/>
              </w:rPr>
              <w:t>Six Months Ended</w:t>
            </w:r>
          </w:p>
        </w:tc>
        <w:tc>
          <w:tcPr>
            <w:tcW w:w="0" w:type="dxa"/>
            <w:vAlign w:val="bottom"/>
          </w:tcPr>
          <w:p>
            <w:pPr>
              <w:spacing w:after="0"/>
              <w:rPr>
                <w:sz w:val="1"/>
                <w:szCs w:val="1"/>
                <w:color w:val="auto"/>
              </w:rPr>
            </w:pPr>
          </w:p>
        </w:tc>
      </w:tr>
      <w:tr>
        <w:trPr>
          <w:trHeight w:val="249"/>
        </w:trPr>
        <w:tc>
          <w:tcPr>
            <w:tcW w:w="7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21"/>
                <w:szCs w:val="21"/>
                <w:color w:val="auto"/>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3"/>
              <w:spacing w:after="0" w:line="221" w:lineRule="exact"/>
              <w:rPr>
                <w:sz w:val="20"/>
                <w:szCs w:val="20"/>
                <w:color w:val="auto"/>
              </w:rPr>
            </w:pPr>
            <w:r>
              <w:rPr>
                <w:rFonts w:ascii="Arial" w:cs="Arial" w:eastAsia="Arial" w:hAnsi="Arial"/>
                <w:sz w:val="21"/>
                <w:szCs w:val="21"/>
                <w:color w:val="auto"/>
              </w:rPr>
              <w:t>2019</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Operating revenues</w:t>
            </w:r>
          </w:p>
        </w:tc>
        <w:tc>
          <w:tcPr>
            <w:tcW w:w="320" w:type="dxa"/>
            <w:vAlign w:val="bottom"/>
            <w:shd w:val="clear" w:color="auto" w:fill="CCEEFF"/>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640,053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8"/>
              <w:spacing w:after="0" w:line="221"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420,024</w:t>
            </w:r>
          </w:p>
        </w:tc>
        <w:tc>
          <w:tcPr>
            <w:tcW w:w="0" w:type="dxa"/>
            <w:vAlign w:val="bottom"/>
          </w:tcPr>
          <w:p>
            <w:pPr>
              <w:spacing w:after="0"/>
              <w:rPr>
                <w:sz w:val="1"/>
                <w:szCs w:val="1"/>
                <w:color w:val="auto"/>
              </w:rPr>
            </w:pPr>
          </w:p>
        </w:tc>
      </w:tr>
      <w:tr>
        <w:trPr>
          <w:trHeight w:val="227"/>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Operating expenses: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Arial" w:cs="Arial" w:eastAsia="Arial" w:hAnsi="Arial"/>
                <w:sz w:val="21"/>
                <w:szCs w:val="21"/>
                <w:color w:val="auto"/>
              </w:rPr>
              <w:t>Operations and maintenance</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Arial" w:cs="Arial" w:eastAsia="Arial" w:hAnsi="Arial"/>
                <w:sz w:val="21"/>
                <w:szCs w:val="21"/>
                <w:color w:val="auto"/>
              </w:rPr>
              <w:t>235,241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Arial" w:cs="Arial" w:eastAsia="Arial" w:hAnsi="Arial"/>
                <w:sz w:val="21"/>
                <w:szCs w:val="21"/>
                <w:color w:val="auto"/>
              </w:rPr>
              <w:t>165,759</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Purchased gas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56,190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Arial" w:cs="Arial" w:eastAsia="Arial" w:hAnsi="Arial"/>
                <w:sz w:val="21"/>
                <w:szCs w:val="21"/>
                <w:color w:val="auto"/>
              </w:rPr>
              <w:t>Depreciation</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Arial" w:cs="Arial" w:eastAsia="Arial" w:hAnsi="Arial"/>
                <w:sz w:val="21"/>
                <w:szCs w:val="21"/>
                <w:color w:val="auto"/>
              </w:rPr>
              <w:t>113,491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Arial" w:cs="Arial" w:eastAsia="Arial" w:hAnsi="Arial"/>
                <w:sz w:val="21"/>
                <w:szCs w:val="21"/>
                <w:color w:val="auto"/>
              </w:rPr>
              <w:t>78,624</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Amortization</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2,646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(2,584)</w:t>
            </w:r>
          </w:p>
        </w:tc>
        <w:tc>
          <w:tcPr>
            <w:tcW w:w="0" w:type="dxa"/>
            <w:vAlign w:val="bottom"/>
          </w:tcPr>
          <w:p>
            <w:pPr>
              <w:spacing w:after="0"/>
              <w:rPr>
                <w:sz w:val="1"/>
                <w:szCs w:val="1"/>
                <w:color w:val="auto"/>
              </w:rPr>
            </w:pPr>
          </w:p>
        </w:tc>
      </w:tr>
      <w:tr>
        <w:trPr>
          <w:trHeight w:val="227"/>
        </w:trPr>
        <w:tc>
          <w:tcPr>
            <w:tcW w:w="7920" w:type="dxa"/>
            <w:vAlign w:val="bottom"/>
            <w:tcBorders>
              <w:bottom w:val="single" w:sz="8" w:color="CCEEFF"/>
            </w:tcBorders>
          </w:tcPr>
          <w:p>
            <w:pPr>
              <w:ind w:left="100"/>
              <w:spacing w:after="0" w:line="227" w:lineRule="exact"/>
              <w:rPr>
                <w:sz w:val="20"/>
                <w:szCs w:val="20"/>
                <w:color w:val="auto"/>
              </w:rPr>
            </w:pPr>
            <w:r>
              <w:rPr>
                <w:rFonts w:ascii="Arial" w:cs="Arial" w:eastAsia="Arial" w:hAnsi="Arial"/>
                <w:sz w:val="21"/>
                <w:szCs w:val="21"/>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35,869</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29,837</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443,437</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271,636</w:t>
            </w:r>
          </w:p>
        </w:tc>
        <w:tc>
          <w:tcPr>
            <w:tcW w:w="0" w:type="dxa"/>
            <w:vAlign w:val="bottom"/>
          </w:tcPr>
          <w:p>
            <w:pPr>
              <w:spacing w:after="0"/>
              <w:rPr>
                <w:sz w:val="1"/>
                <w:szCs w:val="1"/>
                <w:color w:val="auto"/>
              </w:rPr>
            </w:pPr>
          </w:p>
        </w:tc>
      </w:tr>
      <w:tr>
        <w:trPr>
          <w:trHeight w:val="221"/>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Operating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196,616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148,388</w:t>
            </w:r>
          </w:p>
        </w:tc>
        <w:tc>
          <w:tcPr>
            <w:tcW w:w="0" w:type="dxa"/>
            <w:vAlign w:val="bottom"/>
          </w:tcPr>
          <w:p>
            <w:pPr>
              <w:spacing w:after="0"/>
              <w:rPr>
                <w:sz w:val="1"/>
                <w:szCs w:val="1"/>
                <w:color w:val="auto"/>
              </w:rPr>
            </w:pPr>
          </w:p>
        </w:tc>
      </w:tr>
      <w:tr>
        <w:trPr>
          <w:trHeight w:val="227"/>
        </w:trPr>
        <w:tc>
          <w:tcPr>
            <w:tcW w:w="7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Other expense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Arial" w:cs="Arial" w:eastAsia="Arial" w:hAnsi="Arial"/>
                <w:sz w:val="21"/>
                <w:szCs w:val="21"/>
                <w:color w:val="auto"/>
              </w:rPr>
              <w:t>Interest expense</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Arial" w:cs="Arial" w:eastAsia="Arial" w:hAnsi="Arial"/>
                <w:sz w:val="21"/>
                <w:szCs w:val="21"/>
                <w:color w:val="auto"/>
              </w:rPr>
              <w:t>86,788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Arial" w:cs="Arial" w:eastAsia="Arial" w:hAnsi="Arial"/>
                <w:sz w:val="21"/>
                <w:szCs w:val="21"/>
                <w:color w:val="auto"/>
              </w:rPr>
              <w:t>59,596</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Interest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(5,231)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(8,437)</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Arial" w:cs="Arial" w:eastAsia="Arial" w:hAnsi="Arial"/>
                <w:sz w:val="21"/>
                <w:szCs w:val="21"/>
                <w:color w:val="auto"/>
              </w:rPr>
              <w:t>Allowance for funds used during construction</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Arial" w:cs="Arial" w:eastAsia="Arial" w:hAnsi="Arial"/>
                <w:sz w:val="21"/>
                <w:szCs w:val="21"/>
                <w:color w:val="auto"/>
              </w:rPr>
              <w:t>(5,178)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Arial" w:cs="Arial" w:eastAsia="Arial" w:hAnsi="Arial"/>
                <w:sz w:val="21"/>
                <w:szCs w:val="21"/>
                <w:color w:val="auto"/>
              </w:rPr>
              <w:t>(7,667)</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Change in fair value of interest rate swap agreements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23,742</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Arial" w:cs="Arial" w:eastAsia="Arial" w:hAnsi="Arial"/>
                <w:sz w:val="21"/>
                <w:szCs w:val="21"/>
                <w:color w:val="auto"/>
              </w:rPr>
              <w:t>Loss on debt extinguishment</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Arial" w:cs="Arial" w:eastAsia="Arial" w:hAnsi="Arial"/>
                <w:sz w:val="21"/>
                <w:szCs w:val="21"/>
                <w:color w:val="auto"/>
              </w:rPr>
              <w:t>18,935</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Gain on sale of other assets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(125)</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(268)</w:t>
            </w:r>
          </w:p>
        </w:tc>
        <w:tc>
          <w:tcPr>
            <w:tcW w:w="0" w:type="dxa"/>
            <w:vAlign w:val="bottom"/>
          </w:tcPr>
          <w:p>
            <w:pPr>
              <w:spacing w:after="0"/>
              <w:rPr>
                <w:sz w:val="1"/>
                <w:szCs w:val="1"/>
                <w:color w:val="auto"/>
              </w:rPr>
            </w:pPr>
          </w:p>
        </w:tc>
      </w:tr>
      <w:tr>
        <w:trPr>
          <w:trHeight w:val="227"/>
        </w:trPr>
        <w:tc>
          <w:tcPr>
            <w:tcW w:w="7920" w:type="dxa"/>
            <w:vAlign w:val="bottom"/>
          </w:tcPr>
          <w:p>
            <w:pPr>
              <w:ind w:left="100"/>
              <w:spacing w:after="0" w:line="227" w:lineRule="exact"/>
              <w:rPr>
                <w:sz w:val="20"/>
                <w:szCs w:val="20"/>
                <w:color w:val="auto"/>
              </w:rPr>
            </w:pPr>
            <w:r>
              <w:rPr>
                <w:rFonts w:ascii="Arial" w:cs="Arial" w:eastAsia="Arial" w:hAnsi="Arial"/>
                <w:sz w:val="21"/>
                <w:szCs w:val="21"/>
                <w:color w:val="auto"/>
              </w:rPr>
              <w:t>Equity earnings in joint venture</w:t>
            </w:r>
          </w:p>
        </w:tc>
        <w:tc>
          <w:tcPr>
            <w:tcW w:w="320" w:type="dxa"/>
            <w:vAlign w:val="bottom"/>
          </w:tcPr>
          <w:p>
            <w:pPr>
              <w:spacing w:after="0"/>
              <w:rPr>
                <w:sz w:val="19"/>
                <w:szCs w:val="19"/>
                <w:color w:val="auto"/>
              </w:rPr>
            </w:pPr>
          </w:p>
        </w:tc>
        <w:tc>
          <w:tcPr>
            <w:tcW w:w="1220" w:type="dxa"/>
            <w:vAlign w:val="bottom"/>
          </w:tcPr>
          <w:p>
            <w:pPr>
              <w:jc w:val="right"/>
              <w:spacing w:after="0" w:line="227" w:lineRule="exact"/>
              <w:rPr>
                <w:sz w:val="20"/>
                <w:szCs w:val="20"/>
                <w:color w:val="auto"/>
              </w:rPr>
            </w:pPr>
            <w:r>
              <w:rPr>
                <w:rFonts w:ascii="Arial" w:cs="Arial" w:eastAsia="Arial" w:hAnsi="Arial"/>
                <w:sz w:val="21"/>
                <w:szCs w:val="21"/>
                <w:color w:val="auto"/>
              </w:rPr>
              <w:t>(343)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7" w:lineRule="exact"/>
              <w:rPr>
                <w:sz w:val="20"/>
                <w:szCs w:val="20"/>
                <w:color w:val="auto"/>
              </w:rPr>
            </w:pPr>
            <w:r>
              <w:rPr>
                <w:rFonts w:ascii="Arial" w:cs="Arial" w:eastAsia="Arial" w:hAnsi="Arial"/>
                <w:sz w:val="21"/>
                <w:szCs w:val="21"/>
                <w:color w:val="auto"/>
              </w:rPr>
              <w:t>(1,783)</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957</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2,784</w:t>
            </w:r>
          </w:p>
        </w:tc>
        <w:tc>
          <w:tcPr>
            <w:tcW w:w="0" w:type="dxa"/>
            <w:vAlign w:val="bottom"/>
          </w:tcPr>
          <w:p>
            <w:pPr>
              <w:spacing w:after="0"/>
              <w:rPr>
                <w:sz w:val="1"/>
                <w:szCs w:val="1"/>
                <w:color w:val="auto"/>
              </w:rPr>
            </w:pPr>
          </w:p>
        </w:tc>
      </w:tr>
      <w:tr>
        <w:trPr>
          <w:trHeight w:val="221"/>
        </w:trPr>
        <w:tc>
          <w:tcPr>
            <w:tcW w:w="7920" w:type="dxa"/>
            <w:vAlign w:val="bottom"/>
          </w:tcPr>
          <w:p>
            <w:pPr>
              <w:spacing w:after="0" w:line="221" w:lineRule="exact"/>
              <w:rPr>
                <w:sz w:val="20"/>
                <w:szCs w:val="20"/>
                <w:color w:val="auto"/>
              </w:rPr>
            </w:pPr>
            <w:r>
              <w:rPr>
                <w:rFonts w:ascii="Arial" w:cs="Arial" w:eastAsia="Arial" w:hAnsi="Arial"/>
                <w:sz w:val="21"/>
                <w:szCs w:val="21"/>
                <w:color w:val="auto"/>
              </w:rPr>
              <w:t>Income before income taxes</w:t>
            </w:r>
          </w:p>
        </w:tc>
        <w:tc>
          <w:tcPr>
            <w:tcW w:w="320" w:type="dxa"/>
            <w:vAlign w:val="bottom"/>
          </w:tcPr>
          <w:p>
            <w:pPr>
              <w:spacing w:after="0"/>
              <w:rPr>
                <w:sz w:val="19"/>
                <w:szCs w:val="19"/>
                <w:color w:val="auto"/>
              </w:rPr>
            </w:pPr>
          </w:p>
        </w:tc>
        <w:tc>
          <w:tcPr>
            <w:tcW w:w="1220" w:type="dxa"/>
            <w:vAlign w:val="bottom"/>
          </w:tcPr>
          <w:p>
            <w:pPr>
              <w:jc w:val="right"/>
              <w:spacing w:after="0" w:line="221" w:lineRule="exact"/>
              <w:rPr>
                <w:sz w:val="20"/>
                <w:szCs w:val="20"/>
                <w:color w:val="auto"/>
              </w:rPr>
            </w:pPr>
            <w:r>
              <w:rPr>
                <w:rFonts w:ascii="Arial" w:cs="Arial" w:eastAsia="Arial" w:hAnsi="Arial"/>
                <w:sz w:val="21"/>
                <w:szCs w:val="21"/>
                <w:color w:val="auto"/>
              </w:rPr>
              <w:t>119,748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line="221" w:lineRule="exact"/>
              <w:rPr>
                <w:sz w:val="20"/>
                <w:szCs w:val="20"/>
                <w:color w:val="auto"/>
              </w:rPr>
            </w:pPr>
            <w:r>
              <w:rPr>
                <w:rFonts w:ascii="Arial" w:cs="Arial" w:eastAsia="Arial" w:hAnsi="Arial"/>
                <w:sz w:val="21"/>
                <w:szCs w:val="21"/>
                <w:color w:val="auto"/>
              </w:rPr>
              <w:t>61,486</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Provision for income taxes (benefit)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(6,662)</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(10,341)</w:t>
            </w:r>
          </w:p>
        </w:tc>
        <w:tc>
          <w:tcPr>
            <w:tcW w:w="0" w:type="dxa"/>
            <w:vAlign w:val="bottom"/>
          </w:tcPr>
          <w:p>
            <w:pPr>
              <w:spacing w:after="0"/>
              <w:rPr>
                <w:sz w:val="1"/>
                <w:szCs w:val="1"/>
                <w:color w:val="auto"/>
              </w:rPr>
            </w:pPr>
          </w:p>
        </w:tc>
      </w:tr>
      <w:tr>
        <w:trPr>
          <w:trHeight w:val="221"/>
        </w:trPr>
        <w:tc>
          <w:tcPr>
            <w:tcW w:w="7920" w:type="dxa"/>
            <w:vAlign w:val="bottom"/>
          </w:tcPr>
          <w:p>
            <w:pPr>
              <w:spacing w:after="0" w:line="221" w:lineRule="exact"/>
              <w:rPr>
                <w:sz w:val="20"/>
                <w:szCs w:val="20"/>
                <w:color w:val="auto"/>
              </w:rPr>
            </w:pPr>
            <w:r>
              <w:rPr>
                <w:rFonts w:ascii="Arial" w:cs="Arial" w:eastAsia="Arial" w:hAnsi="Arial"/>
                <w:sz w:val="21"/>
                <w:szCs w:val="21"/>
                <w:color w:val="auto"/>
              </w:rPr>
              <w:t>Net income</w:t>
            </w:r>
          </w:p>
        </w:tc>
        <w:tc>
          <w:tcPr>
            <w:tcW w:w="320" w:type="dxa"/>
            <w:vAlign w:val="bottom"/>
            <w:tcBorders>
              <w:bottom w:val="single" w:sz="8" w:color="auto"/>
            </w:tcBorders>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126,410</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18"/>
              <w:spacing w:after="0" w:line="221"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71,827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Comprehensive income</w:t>
            </w:r>
          </w:p>
        </w:tc>
        <w:tc>
          <w:tcPr>
            <w:tcW w:w="320" w:type="dxa"/>
            <w:vAlign w:val="bottom"/>
            <w:shd w:val="clear" w:color="auto" w:fill="CCEEFF"/>
          </w:tcPr>
          <w:p>
            <w:pPr>
              <w:jc w:val="right"/>
              <w:ind w:right="118"/>
              <w:spacing w:after="0" w:line="228"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126,410</w:t>
            </w:r>
          </w:p>
        </w:tc>
        <w:tc>
          <w:tcPr>
            <w:tcW w:w="620" w:type="dxa"/>
            <w:vAlign w:val="bottom"/>
            <w:gridSpan w:val="2"/>
            <w:shd w:val="clear" w:color="auto" w:fill="CCEEFF"/>
          </w:tcPr>
          <w:p>
            <w:pPr>
              <w:jc w:val="right"/>
              <w:ind w:right="218"/>
              <w:spacing w:after="0" w:line="227"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71,827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1"/>
                <w:szCs w:val="21"/>
                <w:color w:val="auto"/>
              </w:rPr>
              <w:t>Net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Basic</w:t>
            </w:r>
          </w:p>
        </w:tc>
        <w:tc>
          <w:tcPr>
            <w:tcW w:w="320" w:type="dxa"/>
            <w:vAlign w:val="bottom"/>
            <w:shd w:val="clear" w:color="auto" w:fill="CCEEFF"/>
          </w:tcPr>
          <w:p>
            <w:pPr>
              <w:jc w:val="right"/>
              <w:ind w:right="118"/>
              <w:spacing w:after="0" w:line="228"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0.52</w:t>
            </w:r>
          </w:p>
        </w:tc>
        <w:tc>
          <w:tcPr>
            <w:tcW w:w="620" w:type="dxa"/>
            <w:vAlign w:val="bottom"/>
            <w:gridSpan w:val="2"/>
            <w:shd w:val="clear" w:color="auto" w:fill="CCEEFF"/>
          </w:tcPr>
          <w:p>
            <w:pPr>
              <w:jc w:val="right"/>
              <w:ind w:right="218"/>
              <w:spacing w:after="0" w:line="227"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0.36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21"/>
                <w:szCs w:val="21"/>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8"/>
              <w:spacing w:after="0" w:line="207"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0.50</w:t>
            </w:r>
          </w:p>
        </w:tc>
        <w:tc>
          <w:tcPr>
            <w:tcW w:w="200" w:type="dxa"/>
            <w:vAlign w:val="bottom"/>
            <w:vMerge w:val="continue"/>
          </w:tcPr>
          <w:p>
            <w:pPr>
              <w:spacing w:after="0"/>
              <w:rPr>
                <w:sz w:val="18"/>
                <w:szCs w:val="18"/>
                <w:color w:val="auto"/>
              </w:rPr>
            </w:pPr>
          </w:p>
        </w:tc>
        <w:tc>
          <w:tcPr>
            <w:tcW w:w="420" w:type="dxa"/>
            <w:vAlign w:val="bottom"/>
            <w:tcBorders>
              <w:bottom w:val="single" w:sz="8" w:color="auto"/>
            </w:tcBorders>
          </w:tcPr>
          <w:p>
            <w:pPr>
              <w:jc w:val="right"/>
              <w:ind w:right="218"/>
              <w:spacing w:after="0" w:line="207"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0.36</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21"/>
                <w:szCs w:val="21"/>
                <w:color w:val="auto"/>
              </w:rPr>
              <w:t>Average common shares outstanding during the period: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920" w:type="dxa"/>
            <w:vAlign w:val="bottom"/>
            <w:tcBorders>
              <w:bottom w:val="single" w:sz="8" w:color="CCEEFF"/>
            </w:tcBorders>
            <w:shd w:val="clear" w:color="auto" w:fill="CCEEFF"/>
          </w:tcPr>
          <w:p>
            <w:pPr>
              <w:ind w:left="100"/>
              <w:spacing w:after="0" w:line="227" w:lineRule="exact"/>
              <w:rPr>
                <w:sz w:val="20"/>
                <w:szCs w:val="20"/>
                <w:color w:val="auto"/>
              </w:rPr>
            </w:pPr>
            <w:r>
              <w:rPr>
                <w:rFonts w:ascii="Arial" w:cs="Arial" w:eastAsia="Arial" w:hAnsi="Arial"/>
                <w:sz w:val="21"/>
                <w:szCs w:val="21"/>
                <w:color w:val="auto"/>
              </w:rPr>
              <w:t>Basic</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245,144</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198,747</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100"/>
              <w:spacing w:after="0"/>
              <w:rPr>
                <w:sz w:val="20"/>
                <w:szCs w:val="20"/>
                <w:color w:val="auto"/>
              </w:rPr>
            </w:pPr>
            <w:r>
              <w:rPr>
                <w:rFonts w:ascii="Arial" w:cs="Arial" w:eastAsia="Arial" w:hAnsi="Arial"/>
                <w:sz w:val="21"/>
                <w:szCs w:val="21"/>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254,452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1"/>
                <w:szCs w:val="21"/>
                <w:color w:val="auto"/>
              </w:rPr>
              <w:t>199,303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92"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CONSOLIDATED STATEMENTS OF CAPITALIZATION</w:t>
      </w:r>
    </w:p>
    <w:p>
      <w:pPr>
        <w:jc w:val="center"/>
        <w:ind w:right="40"/>
        <w:spacing w:after="0" w:line="186" w:lineRule="auto"/>
        <w:rPr>
          <w:sz w:val="20"/>
          <w:szCs w:val="20"/>
          <w:color w:val="auto"/>
        </w:rPr>
      </w:pPr>
      <w:r>
        <w:rPr>
          <w:rFonts w:ascii="Arial" w:cs="Arial" w:eastAsia="Arial" w:hAnsi="Arial"/>
          <w:sz w:val="18"/>
          <w:szCs w:val="18"/>
          <w:color w:val="auto"/>
        </w:rPr>
        <w:t>(In thousands of dollars, except per share amounts)</w:t>
      </w:r>
    </w:p>
    <w:p>
      <w:pPr>
        <w:jc w:val="center"/>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right"/>
              <w:ind w:right="631"/>
              <w:spacing w:after="0"/>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332"/>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4"/>
        </w:trPr>
        <w:tc>
          <w:tcPr>
            <w:tcW w:w="488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1"/>
        </w:trPr>
        <w:tc>
          <w:tcPr>
            <w:tcW w:w="488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ind w:left="220"/>
              <w:spacing w:after="0" w:line="188" w:lineRule="exact"/>
              <w:rPr>
                <w:sz w:val="20"/>
                <w:szCs w:val="20"/>
                <w:color w:val="auto"/>
              </w:rPr>
            </w:pPr>
            <w:r>
              <w:rPr>
                <w:rFonts w:ascii="Arial" w:cs="Arial" w:eastAsia="Arial" w:hAnsi="Arial"/>
                <w:sz w:val="18"/>
                <w:szCs w:val="18"/>
                <w:color w:val="auto"/>
              </w:rPr>
              <w:t>Common stock, $0.50 par value</w:t>
            </w:r>
          </w:p>
        </w:tc>
        <w:tc>
          <w:tcPr>
            <w:tcW w:w="2760" w:type="dxa"/>
            <w:vAlign w:val="bottom"/>
            <w:gridSpan w:val="2"/>
            <w:shd w:val="clear" w:color="auto" w:fill="CCEEFF"/>
          </w:tcPr>
          <w:p>
            <w:pPr>
              <w:jc w:val="right"/>
              <w:ind w:right="300"/>
              <w:spacing w:after="0" w:line="188"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124,171</w:t>
            </w:r>
          </w:p>
        </w:tc>
        <w:tc>
          <w:tcPr>
            <w:tcW w:w="480" w:type="dxa"/>
            <w:vAlign w:val="bottom"/>
            <w:gridSpan w:val="2"/>
            <w:shd w:val="clear" w:color="auto" w:fill="CCEEFF"/>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111,935</w:t>
            </w:r>
          </w:p>
        </w:tc>
        <w:tc>
          <w:tcPr>
            <w:tcW w:w="0" w:type="dxa"/>
            <w:vAlign w:val="bottom"/>
          </w:tcPr>
          <w:p>
            <w:pPr>
              <w:spacing w:after="0"/>
              <w:rPr>
                <w:sz w:val="1"/>
                <w:szCs w:val="1"/>
                <w:color w:val="auto"/>
              </w:rPr>
            </w:pPr>
          </w:p>
        </w:tc>
      </w:tr>
      <w:tr>
        <w:trPr>
          <w:trHeight w:val="187"/>
        </w:trPr>
        <w:tc>
          <w:tcPr>
            <w:tcW w:w="4880" w:type="dxa"/>
            <w:vAlign w:val="bottom"/>
          </w:tcPr>
          <w:p>
            <w:pPr>
              <w:ind w:left="220"/>
              <w:spacing w:after="0" w:line="188" w:lineRule="exact"/>
              <w:rPr>
                <w:sz w:val="20"/>
                <w:szCs w:val="20"/>
                <w:color w:val="auto"/>
              </w:rPr>
            </w:pPr>
            <w:r>
              <w:rPr>
                <w:rFonts w:ascii="Arial" w:cs="Arial" w:eastAsia="Arial" w:hAnsi="Arial"/>
                <w:sz w:val="18"/>
                <w:szCs w:val="18"/>
                <w:color w:val="auto"/>
              </w:rPr>
              <w:t>Capital in excess of par value</w:t>
            </w:r>
          </w:p>
        </w:tc>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jc w:val="right"/>
              <w:spacing w:after="0" w:line="188" w:lineRule="exact"/>
              <w:rPr>
                <w:sz w:val="20"/>
                <w:szCs w:val="20"/>
                <w:color w:val="auto"/>
              </w:rPr>
            </w:pPr>
            <w:r>
              <w:rPr>
                <w:rFonts w:ascii="Arial" w:cs="Arial" w:eastAsia="Arial" w:hAnsi="Arial"/>
                <w:sz w:val="18"/>
                <w:szCs w:val="18"/>
                <w:color w:val="auto"/>
              </w:rPr>
              <w:t>3,366,695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Arial" w:cs="Arial" w:eastAsia="Arial" w:hAnsi="Arial"/>
                <w:sz w:val="18"/>
                <w:szCs w:val="18"/>
                <w:color w:val="auto"/>
              </w:rPr>
              <w:t>2,636,555</w:t>
            </w: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ind w:left="220"/>
              <w:spacing w:after="0" w:line="188" w:lineRule="exact"/>
              <w:rPr>
                <w:sz w:val="20"/>
                <w:szCs w:val="20"/>
                <w:color w:val="auto"/>
              </w:rPr>
            </w:pPr>
            <w:r>
              <w:rPr>
                <w:rFonts w:ascii="Arial" w:cs="Arial" w:eastAsia="Arial" w:hAnsi="Arial"/>
                <w:sz w:val="18"/>
                <w:szCs w:val="18"/>
                <w:color w:val="auto"/>
              </w:rPr>
              <w:t>Retained earnings</w:t>
            </w:r>
          </w:p>
        </w:tc>
        <w:tc>
          <w:tcPr>
            <w:tcW w:w="2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1,226,622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1,210,072</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CCEEFF"/>
            </w:tcBorders>
          </w:tcPr>
          <w:p>
            <w:pPr>
              <w:ind w:left="220"/>
              <w:spacing w:after="0" w:line="188" w:lineRule="exact"/>
              <w:rPr>
                <w:sz w:val="20"/>
                <w:szCs w:val="20"/>
                <w:color w:val="auto"/>
              </w:rPr>
            </w:pPr>
            <w:r>
              <w:rPr>
                <w:rFonts w:ascii="Arial" w:cs="Arial" w:eastAsia="Arial" w:hAnsi="Arial"/>
                <w:sz w:val="18"/>
                <w:szCs w:val="18"/>
                <w:color w:val="auto"/>
              </w:rPr>
              <w:t>Treasury stock, at cost</w:t>
            </w:r>
          </w:p>
        </w:tc>
        <w:tc>
          <w:tcPr>
            <w:tcW w:w="2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(81,954)</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(77,702)</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Total stockholders' equity</w:t>
            </w:r>
          </w:p>
        </w:tc>
        <w:tc>
          <w:tcPr>
            <w:tcW w:w="23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4,635,534</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3,880,860</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11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187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2" w:lineRule="exact"/>
              <w:rPr>
                <w:sz w:val="20"/>
                <w:szCs w:val="20"/>
                <w:color w:val="auto"/>
              </w:rPr>
            </w:pPr>
            <w:r>
              <w:rPr>
                <w:rFonts w:ascii="Arial" w:cs="Arial" w:eastAsia="Arial" w:hAnsi="Arial"/>
                <w:sz w:val="18"/>
                <w:szCs w:val="18"/>
                <w:color w:val="auto"/>
                <w:w w:val="86"/>
              </w:rPr>
              <w:t>Interest Rate Range</w:t>
            </w:r>
          </w:p>
        </w:tc>
        <w:tc>
          <w:tcPr>
            <w:tcW w:w="2140" w:type="dxa"/>
            <w:vAlign w:val="bottom"/>
            <w:gridSpan w:val="3"/>
          </w:tcPr>
          <w:p>
            <w:pPr>
              <w:jc w:val="center"/>
              <w:ind w:right="400"/>
              <w:spacing w:after="0" w:line="182" w:lineRule="exact"/>
              <w:rPr>
                <w:sz w:val="20"/>
                <w:szCs w:val="20"/>
                <w:color w:val="auto"/>
              </w:rPr>
            </w:pPr>
            <w:r>
              <w:rPr>
                <w:rFonts w:ascii="Arial" w:cs="Arial" w:eastAsia="Arial" w:hAnsi="Arial"/>
                <w:sz w:val="18"/>
                <w:szCs w:val="18"/>
                <w:color w:val="auto"/>
                <w:w w:val="90"/>
              </w:rPr>
              <w:t>Maturity Date Range</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1260" w:type="dxa"/>
            <w:vAlign w:val="bottom"/>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8"/>
                <w:szCs w:val="18"/>
                <w:color w:val="auto"/>
                <w:w w:val="94"/>
              </w:rPr>
              <w:t>0.00% to 0.99%</w:t>
            </w: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line="188" w:lineRule="exact"/>
              <w:rPr>
                <w:sz w:val="20"/>
                <w:szCs w:val="20"/>
                <w:color w:val="auto"/>
              </w:rPr>
            </w:pPr>
            <w:r>
              <w:rPr>
                <w:rFonts w:ascii="Arial" w:cs="Arial" w:eastAsia="Arial" w:hAnsi="Arial"/>
                <w:sz w:val="18"/>
                <w:szCs w:val="18"/>
                <w:color w:val="auto"/>
                <w:w w:val="89"/>
              </w:rPr>
              <w:t>2023 to 2033</w:t>
            </w: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3,474</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Arial" w:cs="Arial" w:eastAsia="Arial" w:hAnsi="Arial"/>
                <w:sz w:val="18"/>
                <w:szCs w:val="18"/>
                <w:color w:val="auto"/>
                <w:w w:val="94"/>
              </w:rPr>
              <w:t>1.00% to 1.99%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Arial" w:cs="Arial" w:eastAsia="Arial" w:hAnsi="Arial"/>
                <w:sz w:val="18"/>
                <w:szCs w:val="18"/>
                <w:color w:val="auto"/>
                <w:w w:val="89"/>
              </w:rPr>
              <w:t>2020 to 2039</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Arial" w:cs="Arial" w:eastAsia="Arial" w:hAnsi="Arial"/>
                <w:sz w:val="18"/>
                <w:szCs w:val="18"/>
                <w:color w:val="auto"/>
              </w:rPr>
              <w:t>10,428</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10,733</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Arial" w:cs="Arial" w:eastAsia="Arial" w:hAnsi="Arial"/>
                <w:sz w:val="18"/>
                <w:szCs w:val="18"/>
                <w:color w:val="auto"/>
                <w:w w:val="94"/>
              </w:rPr>
              <w:t>2.00% to 2.99%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Arial" w:cs="Arial" w:eastAsia="Arial" w:hAnsi="Arial"/>
                <w:sz w:val="18"/>
                <w:szCs w:val="18"/>
                <w:color w:val="auto"/>
                <w:w w:val="89"/>
              </w:rPr>
              <w:t>2022 to 2033</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116,941</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15,674</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Arial" w:cs="Arial" w:eastAsia="Arial" w:hAnsi="Arial"/>
                <w:sz w:val="18"/>
                <w:szCs w:val="18"/>
                <w:color w:val="auto"/>
                <w:w w:val="94"/>
              </w:rPr>
              <w:t>3.00% to 3.99%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Arial" w:cs="Arial" w:eastAsia="Arial" w:hAnsi="Arial"/>
                <w:sz w:val="18"/>
                <w:szCs w:val="18"/>
                <w:color w:val="auto"/>
                <w:w w:val="89"/>
              </w:rPr>
              <w:t>2020 to 2056</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Arial" w:cs="Arial" w:eastAsia="Arial" w:hAnsi="Arial"/>
                <w:sz w:val="18"/>
                <w:szCs w:val="18"/>
                <w:color w:val="auto"/>
              </w:rPr>
              <w:t>1,320,917</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655,685</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Arial" w:cs="Arial" w:eastAsia="Arial" w:hAnsi="Arial"/>
                <w:sz w:val="18"/>
                <w:szCs w:val="18"/>
                <w:color w:val="auto"/>
                <w:w w:val="94"/>
              </w:rPr>
              <w:t>4.00% to 4.99%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Arial" w:cs="Arial" w:eastAsia="Arial" w:hAnsi="Arial"/>
                <w:sz w:val="18"/>
                <w:szCs w:val="18"/>
                <w:color w:val="auto"/>
                <w:w w:val="89"/>
              </w:rPr>
              <w:t>2020 to 2059</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1,417,085</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1,054,791</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Arial" w:cs="Arial" w:eastAsia="Arial" w:hAnsi="Arial"/>
                <w:sz w:val="18"/>
                <w:szCs w:val="18"/>
                <w:color w:val="auto"/>
                <w:w w:val="94"/>
              </w:rPr>
              <w:t>5.00% to 5.99%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Arial" w:cs="Arial" w:eastAsia="Arial" w:hAnsi="Arial"/>
                <w:sz w:val="18"/>
                <w:szCs w:val="18"/>
                <w:color w:val="auto"/>
                <w:w w:val="89"/>
              </w:rPr>
              <w:t>2020 to 2043</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Arial" w:cs="Arial" w:eastAsia="Arial" w:hAnsi="Arial"/>
                <w:sz w:val="18"/>
                <w:szCs w:val="18"/>
                <w:color w:val="auto"/>
              </w:rPr>
              <w:t>65,646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60,683</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Arial" w:cs="Arial" w:eastAsia="Arial" w:hAnsi="Arial"/>
                <w:sz w:val="18"/>
                <w:szCs w:val="18"/>
                <w:color w:val="auto"/>
                <w:w w:val="94"/>
              </w:rPr>
              <w:t>6.00% to 6.99%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Arial" w:cs="Arial" w:eastAsia="Arial" w:hAnsi="Arial"/>
                <w:sz w:val="18"/>
                <w:szCs w:val="18"/>
                <w:color w:val="auto"/>
                <w:w w:val="89"/>
              </w:rPr>
              <w:t>2022 to 2036</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35,376</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31,000</w:t>
            </w:r>
          </w:p>
        </w:tc>
      </w:tr>
      <w:tr>
        <w:trPr>
          <w:trHeight w:val="187"/>
        </w:trPr>
        <w:tc>
          <w:tcPr>
            <w:tcW w:w="1260" w:type="dxa"/>
            <w:vAlign w:val="bottom"/>
          </w:tcPr>
          <w:p>
            <w:pPr>
              <w:spacing w:after="0"/>
              <w:rPr>
                <w:sz w:val="16"/>
                <w:szCs w:val="16"/>
                <w:color w:val="auto"/>
              </w:rPr>
            </w:pPr>
          </w:p>
        </w:tc>
        <w:tc>
          <w:tcPr>
            <w:tcW w:w="3320" w:type="dxa"/>
            <w:vAlign w:val="bottom"/>
            <w:gridSpan w:val="2"/>
          </w:tcPr>
          <w:p>
            <w:pPr>
              <w:jc w:val="center"/>
              <w:ind w:right="1920"/>
              <w:spacing w:after="0" w:line="188" w:lineRule="exact"/>
              <w:rPr>
                <w:sz w:val="20"/>
                <w:szCs w:val="20"/>
                <w:color w:val="auto"/>
              </w:rPr>
            </w:pPr>
            <w:r>
              <w:rPr>
                <w:rFonts w:ascii="Arial" w:cs="Arial" w:eastAsia="Arial" w:hAnsi="Arial"/>
                <w:sz w:val="18"/>
                <w:szCs w:val="18"/>
                <w:color w:val="auto"/>
                <w:w w:val="94"/>
              </w:rPr>
              <w:t>7.00% to 7.99%</w:t>
            </w:r>
          </w:p>
        </w:tc>
        <w:tc>
          <w:tcPr>
            <w:tcW w:w="120" w:type="dxa"/>
            <w:vAlign w:val="bottom"/>
          </w:tcPr>
          <w:p>
            <w:pPr>
              <w:spacing w:after="0"/>
              <w:rPr>
                <w:sz w:val="16"/>
                <w:szCs w:val="16"/>
                <w:color w:val="auto"/>
              </w:rPr>
            </w:pPr>
          </w:p>
        </w:tc>
        <w:tc>
          <w:tcPr>
            <w:tcW w:w="2020" w:type="dxa"/>
            <w:vAlign w:val="bottom"/>
            <w:gridSpan w:val="2"/>
          </w:tcPr>
          <w:p>
            <w:pPr>
              <w:jc w:val="center"/>
              <w:ind w:right="520"/>
              <w:spacing w:after="0" w:line="188" w:lineRule="exact"/>
              <w:rPr>
                <w:sz w:val="20"/>
                <w:szCs w:val="20"/>
                <w:color w:val="auto"/>
              </w:rPr>
            </w:pPr>
            <w:r>
              <w:rPr>
                <w:rFonts w:ascii="Arial" w:cs="Arial" w:eastAsia="Arial" w:hAnsi="Arial"/>
                <w:sz w:val="18"/>
                <w:szCs w:val="18"/>
                <w:color w:val="auto"/>
                <w:w w:val="89"/>
              </w:rPr>
              <w:t>2022 to 2027</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Arial" w:cs="Arial" w:eastAsia="Arial" w:hAnsi="Arial"/>
                <w:sz w:val="18"/>
                <w:szCs w:val="18"/>
                <w:color w:val="auto"/>
              </w:rPr>
              <w:t>30,327</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30,751</w:t>
            </w:r>
          </w:p>
        </w:tc>
      </w:tr>
      <w:tr>
        <w:trPr>
          <w:trHeight w:val="187"/>
        </w:trPr>
        <w:tc>
          <w:tcPr>
            <w:tcW w:w="126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1920"/>
              <w:spacing w:after="0" w:line="188" w:lineRule="exact"/>
              <w:rPr>
                <w:sz w:val="20"/>
                <w:szCs w:val="20"/>
                <w:color w:val="auto"/>
              </w:rPr>
            </w:pPr>
            <w:r>
              <w:rPr>
                <w:rFonts w:ascii="Arial" w:cs="Arial" w:eastAsia="Arial" w:hAnsi="Arial"/>
                <w:sz w:val="18"/>
                <w:szCs w:val="18"/>
                <w:color w:val="auto"/>
                <w:w w:val="94"/>
              </w:rPr>
              <w:t>8.00% to 8.99%</w:t>
            </w:r>
          </w:p>
        </w:tc>
        <w:tc>
          <w:tcPr>
            <w:tcW w:w="1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520"/>
              <w:spacing w:after="0" w:line="188" w:lineRule="exact"/>
              <w:rPr>
                <w:sz w:val="20"/>
                <w:szCs w:val="20"/>
                <w:color w:val="auto"/>
              </w:rPr>
            </w:pPr>
            <w:r>
              <w:rPr>
                <w:rFonts w:ascii="Arial" w:cs="Arial" w:eastAsia="Arial" w:hAnsi="Arial"/>
                <w:sz w:val="18"/>
                <w:szCs w:val="18"/>
                <w:color w:val="auto"/>
                <w:w w:val="89"/>
              </w:rPr>
              <w:t>2021 to 2025</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4,732</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5,026</w:t>
            </w:r>
          </w:p>
        </w:tc>
      </w:tr>
      <w:tr>
        <w:trPr>
          <w:trHeight w:val="187"/>
        </w:trPr>
        <w:tc>
          <w:tcPr>
            <w:tcW w:w="126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gridSpan w:val="2"/>
          </w:tcPr>
          <w:p>
            <w:pPr>
              <w:jc w:val="center"/>
              <w:ind w:right="1920"/>
              <w:spacing w:after="0" w:line="188" w:lineRule="exact"/>
              <w:rPr>
                <w:sz w:val="20"/>
                <w:szCs w:val="20"/>
                <w:color w:val="auto"/>
              </w:rPr>
            </w:pPr>
            <w:r>
              <w:rPr>
                <w:rFonts w:ascii="Arial" w:cs="Arial" w:eastAsia="Arial" w:hAnsi="Arial"/>
                <w:sz w:val="18"/>
                <w:szCs w:val="18"/>
                <w:color w:val="auto"/>
                <w:w w:val="94"/>
              </w:rPr>
              <w:t>9.00% to 9.99%</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gridSpan w:val="2"/>
          </w:tcPr>
          <w:p>
            <w:pPr>
              <w:jc w:val="center"/>
              <w:ind w:right="520"/>
              <w:spacing w:after="0" w:line="188" w:lineRule="exact"/>
              <w:rPr>
                <w:sz w:val="20"/>
                <w:szCs w:val="20"/>
                <w:color w:val="auto"/>
              </w:rPr>
            </w:pPr>
            <w:r>
              <w:rPr>
                <w:rFonts w:ascii="Arial" w:cs="Arial" w:eastAsia="Arial" w:hAnsi="Arial"/>
                <w:sz w:val="18"/>
                <w:szCs w:val="18"/>
                <w:color w:val="auto"/>
                <w:w w:val="89"/>
              </w:rPr>
              <w:t>2020 to 2026</w:t>
            </w:r>
          </w:p>
        </w:tc>
        <w:tc>
          <w:tcPr>
            <w:tcW w:w="5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19,300</w:t>
            </w:r>
          </w:p>
        </w:tc>
        <w:tc>
          <w:tcPr>
            <w:tcW w:w="2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19,300</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3,023,704</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1,887,117</w:t>
            </w:r>
          </w:p>
        </w:tc>
      </w:tr>
      <w:tr>
        <w:trPr>
          <w:trHeight w:val="187"/>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6720" w:type="dxa"/>
            <w:vAlign w:val="bottom"/>
            <w:gridSpan w:val="6"/>
            <w:shd w:val="clear" w:color="auto" w:fill="CCEEFF"/>
          </w:tcPr>
          <w:p>
            <w:pPr>
              <w:spacing w:after="0" w:line="188" w:lineRule="exact"/>
              <w:rPr>
                <w:sz w:val="20"/>
                <w:szCs w:val="20"/>
                <w:color w:val="auto"/>
              </w:rPr>
            </w:pPr>
            <w:r>
              <w:rPr>
                <w:rFonts w:ascii="Arial" w:cs="Arial" w:eastAsia="Arial" w:hAnsi="Arial"/>
                <w:sz w:val="18"/>
                <w:szCs w:val="18"/>
                <w:color w:val="auto"/>
              </w:rPr>
              <w:t>Notes payable to bank under revolving credit agreement, variable rate, due 2023</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21,504</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r>
      <w:tr>
        <w:trPr>
          <w:trHeight w:val="187"/>
        </w:trPr>
        <w:tc>
          <w:tcPr>
            <w:tcW w:w="4580" w:type="dxa"/>
            <w:vAlign w:val="bottom"/>
            <w:gridSpan w:val="3"/>
          </w:tcPr>
          <w:p>
            <w:pPr>
              <w:spacing w:after="0" w:line="188" w:lineRule="exact"/>
              <w:rPr>
                <w:sz w:val="20"/>
                <w:szCs w:val="20"/>
                <w:color w:val="auto"/>
              </w:rPr>
            </w:pPr>
            <w:r>
              <w:rPr>
                <w:rFonts w:ascii="Arial" w:cs="Arial" w:eastAsia="Arial" w:hAnsi="Arial"/>
                <w:sz w:val="18"/>
                <w:szCs w:val="18"/>
                <w:color w:val="auto"/>
              </w:rPr>
              <w:t>Unsecured notes payable:</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580" w:type="dxa"/>
            <w:vAlign w:val="bottom"/>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Bank note at 3.50% due 2020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50,000</w:t>
            </w:r>
          </w:p>
        </w:tc>
      </w:tr>
      <w:tr>
        <w:trPr>
          <w:trHeight w:val="187"/>
        </w:trPr>
        <w:tc>
          <w:tcPr>
            <w:tcW w:w="4580" w:type="dxa"/>
            <w:vAlign w:val="bottom"/>
            <w:gridSpan w:val="3"/>
          </w:tcPr>
          <w:p>
            <w:pPr>
              <w:ind w:left="100"/>
              <w:spacing w:after="0" w:line="188" w:lineRule="exact"/>
              <w:rPr>
                <w:sz w:val="20"/>
                <w:szCs w:val="20"/>
                <w:color w:val="auto"/>
              </w:rPr>
            </w:pPr>
            <w:r>
              <w:rPr>
                <w:rFonts w:ascii="Arial" w:cs="Arial" w:eastAsia="Arial" w:hAnsi="Arial"/>
                <w:sz w:val="18"/>
                <w:szCs w:val="18"/>
                <w:color w:val="auto"/>
              </w:rPr>
              <w:t>Amortizing notes at 3.00% due 2022</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Arial" w:cs="Arial" w:eastAsia="Arial" w:hAnsi="Arial"/>
                <w:sz w:val="18"/>
                <w:szCs w:val="18"/>
                <w:color w:val="auto"/>
              </w:rPr>
              <w:t>80,074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99,356</w:t>
            </w:r>
          </w:p>
        </w:tc>
      </w:tr>
      <w:tr>
        <w:trPr>
          <w:trHeight w:val="187"/>
        </w:trPr>
        <w:tc>
          <w:tcPr>
            <w:tcW w:w="4580" w:type="dxa"/>
            <w:vAlign w:val="bottom"/>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Notes at 2.704% due 2030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r>
      <w:tr>
        <w:trPr>
          <w:trHeight w:val="187"/>
        </w:trPr>
        <w:tc>
          <w:tcPr>
            <w:tcW w:w="4580" w:type="dxa"/>
            <w:vAlign w:val="bottom"/>
            <w:gridSpan w:val="3"/>
          </w:tcPr>
          <w:p>
            <w:pPr>
              <w:ind w:left="100"/>
              <w:spacing w:after="0" w:line="188" w:lineRule="exact"/>
              <w:rPr>
                <w:sz w:val="20"/>
                <w:szCs w:val="20"/>
                <w:color w:val="auto"/>
              </w:rPr>
            </w:pPr>
            <w:r>
              <w:rPr>
                <w:rFonts w:ascii="Arial" w:cs="Arial" w:eastAsia="Arial" w:hAnsi="Arial"/>
                <w:sz w:val="18"/>
                <w:szCs w:val="18"/>
                <w:color w:val="auto"/>
                <w:w w:val="93"/>
              </w:rPr>
              <w:t>Notes ranging from 3.01% to 3.59% due 2029 through 2050</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Arial" w:cs="Arial" w:eastAsia="Arial" w:hAnsi="Arial"/>
                <w:sz w:val="18"/>
                <w:szCs w:val="18"/>
                <w:color w:val="auto"/>
              </w:rPr>
              <w:t>1,125,000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Arial" w:cs="Arial" w:eastAsia="Arial" w:hAnsi="Arial"/>
                <w:sz w:val="18"/>
                <w:szCs w:val="18"/>
                <w:color w:val="auto"/>
              </w:rPr>
              <w:t>490,000</w:t>
            </w:r>
          </w:p>
        </w:tc>
      </w:tr>
      <w:tr>
        <w:trPr>
          <w:trHeight w:val="187"/>
        </w:trPr>
        <w:tc>
          <w:tcPr>
            <w:tcW w:w="4580" w:type="dxa"/>
            <w:vAlign w:val="bottom"/>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Notes at 4.28%, due 2049</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500,000</w:t>
            </w:r>
          </w:p>
        </w:tc>
      </w:tr>
      <w:tr>
        <w:trPr>
          <w:trHeight w:val="187"/>
        </w:trPr>
        <w:tc>
          <w:tcPr>
            <w:tcW w:w="4580" w:type="dxa"/>
            <w:vAlign w:val="bottom"/>
            <w:tcBorders>
              <w:bottom w:val="single" w:sz="8" w:color="CCEEFF"/>
            </w:tcBorders>
            <w:gridSpan w:val="3"/>
          </w:tcPr>
          <w:p>
            <w:pPr>
              <w:ind w:left="100"/>
              <w:spacing w:after="0" w:line="188" w:lineRule="exact"/>
              <w:rPr>
                <w:sz w:val="20"/>
                <w:szCs w:val="20"/>
                <w:color w:val="auto"/>
              </w:rPr>
            </w:pPr>
            <w:r>
              <w:rPr>
                <w:rFonts w:ascii="Arial" w:cs="Arial" w:eastAsia="Arial" w:hAnsi="Arial"/>
                <w:sz w:val="18"/>
                <w:szCs w:val="18"/>
                <w:color w:val="auto"/>
                <w:w w:val="92"/>
              </w:rPr>
              <w:t>Notes ranging from 5.64% to 5.95%, due 2020 through 2034</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50,927</w:t>
            </w:r>
          </w:p>
        </w:tc>
        <w:tc>
          <w:tcPr>
            <w:tcW w:w="2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50,927</w:t>
            </w:r>
          </w:p>
        </w:tc>
      </w:tr>
      <w:tr>
        <w:trPr>
          <w:trHeight w:val="181"/>
        </w:trPr>
        <w:tc>
          <w:tcPr>
            <w:tcW w:w="1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5,301,209</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3,077,400</w:t>
            </w:r>
          </w:p>
        </w:tc>
      </w:tr>
      <w:tr>
        <w:trPr>
          <w:trHeight w:val="187"/>
        </w:trPr>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58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87,839</w:t>
            </w:r>
          </w:p>
        </w:tc>
        <w:tc>
          <w:tcPr>
            <w:tcW w:w="2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105,051</w:t>
            </w:r>
          </w:p>
        </w:tc>
      </w:tr>
      <w:tr>
        <w:trPr>
          <w:trHeight w:val="181"/>
        </w:trPr>
        <w:tc>
          <w:tcPr>
            <w:tcW w:w="4580" w:type="dxa"/>
            <w:vAlign w:val="bottom"/>
            <w:gridSpan w:val="3"/>
          </w:tcPr>
          <w:p>
            <w:pPr>
              <w:spacing w:after="0" w:line="181" w:lineRule="exact"/>
              <w:rPr>
                <w:sz w:val="20"/>
                <w:szCs w:val="20"/>
                <w:color w:val="auto"/>
              </w:rPr>
            </w:pPr>
            <w:r>
              <w:rPr>
                <w:rFonts w:ascii="Arial" w:cs="Arial" w:eastAsia="Arial" w:hAnsi="Arial"/>
                <w:sz w:val="18"/>
                <w:szCs w:val="18"/>
                <w:color w:val="auto"/>
              </w:rPr>
              <w:t>Long-term debt, excluding current portion</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5,213,370</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2,972,349</w:t>
            </w:r>
          </w:p>
        </w:tc>
      </w:tr>
      <w:tr>
        <w:trPr>
          <w:trHeight w:val="187"/>
        </w:trPr>
        <w:tc>
          <w:tcPr>
            <w:tcW w:w="458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Less: debt issuance costs</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38,769</w:t>
            </w:r>
          </w:p>
        </w:tc>
        <w:tc>
          <w:tcPr>
            <w:tcW w:w="2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29,022</w:t>
            </w:r>
          </w:p>
        </w:tc>
      </w:tr>
      <w:tr>
        <w:trPr>
          <w:trHeight w:val="181"/>
        </w:trPr>
        <w:tc>
          <w:tcPr>
            <w:tcW w:w="6720" w:type="dxa"/>
            <w:vAlign w:val="bottom"/>
            <w:tcBorders>
              <w:bottom w:val="single" w:sz="8" w:color="CCEEFF"/>
            </w:tcBorders>
            <w:gridSpan w:val="6"/>
          </w:tcPr>
          <w:p>
            <w:pPr>
              <w:spacing w:after="0" w:line="181" w:lineRule="exact"/>
              <w:rPr>
                <w:sz w:val="20"/>
                <w:szCs w:val="20"/>
                <w:color w:val="auto"/>
              </w:rPr>
            </w:pPr>
            <w:r>
              <w:rPr>
                <w:rFonts w:ascii="Arial" w:cs="Arial" w:eastAsia="Arial" w:hAnsi="Arial"/>
                <w:sz w:val="18"/>
                <w:szCs w:val="18"/>
                <w:color w:val="auto"/>
              </w:rPr>
              <w:t>Long-term debt, excluding current portion, net of debt issuance costs</w:t>
            </w:r>
          </w:p>
        </w:tc>
        <w:tc>
          <w:tcPr>
            <w:tcW w:w="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5,174,601</w:t>
            </w: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2,943,327</w:t>
            </w:r>
          </w:p>
        </w:tc>
      </w:tr>
      <w:tr>
        <w:trPr>
          <w:trHeight w:val="181"/>
        </w:trPr>
        <w:tc>
          <w:tcPr>
            <w:tcW w:w="4580" w:type="dxa"/>
            <w:vAlign w:val="bottom"/>
            <w:tcBorders>
              <w:bottom w:val="single" w:sz="8" w:color="CCEEFF"/>
            </w:tcBorders>
            <w:gridSpan w:val="3"/>
            <w:shd w:val="clear" w:color="auto" w:fill="CCEEFF"/>
          </w:tcPr>
          <w:p>
            <w:pPr>
              <w:spacing w:after="0" w:line="181" w:lineRule="exact"/>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91"/>
              <w:spacing w:after="0" w:line="181"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9,810,135</w:t>
            </w: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1"/>
              <w:spacing w:after="0" w:line="181"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6,824,187</w:t>
            </w:r>
          </w:p>
        </w:tc>
      </w:tr>
      <w:tr>
        <w:trPr>
          <w:trHeight w:val="20"/>
        </w:trPr>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CONSOLIDATED STATEMENTS OF EQUITY</w:t>
      </w:r>
    </w:p>
    <w:p>
      <w:pPr>
        <w:jc w:val="center"/>
        <w:spacing w:after="0" w:line="199" w:lineRule="auto"/>
        <w:rPr>
          <w:sz w:val="20"/>
          <w:szCs w:val="20"/>
          <w:color w:val="auto"/>
        </w:rPr>
      </w:pPr>
      <w:r>
        <w:rPr>
          <w:rFonts w:ascii="Arial" w:cs="Arial" w:eastAsia="Arial" w:hAnsi="Arial"/>
          <w:sz w:val="21"/>
          <w:szCs w:val="21"/>
          <w:color w:val="auto"/>
        </w:rPr>
        <w:t>(In thousands of dollars)</w:t>
      </w:r>
    </w:p>
    <w:p>
      <w:pPr>
        <w:jc w:val="center"/>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6"/>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61" w:lineRule="exact"/>
              <w:rPr>
                <w:sz w:val="20"/>
                <w:szCs w:val="20"/>
                <w:color w:val="auto"/>
              </w:rPr>
            </w:pPr>
            <w:r>
              <w:rPr>
                <w:rFonts w:ascii="Arial" w:cs="Arial" w:eastAsia="Arial" w:hAnsi="Arial"/>
                <w:sz w:val="16"/>
                <w:szCs w:val="16"/>
                <w:color w:val="auto"/>
              </w:rPr>
              <w:t>Excess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2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Earnings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70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6"/>
                <w:szCs w:val="16"/>
                <w:color w:val="auto"/>
              </w:rPr>
              <w:t>Balance at December 31, 2019</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111,935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2,636,555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1,210,072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(77,702)</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5"/>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Net income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6"/>
                <w:szCs w:val="16"/>
                <w:color w:val="auto"/>
              </w:rPr>
              <w:t>51,781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51,781</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Dividends declared ($0.2343 per share)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(52,205)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(52,205)</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Issuance of common stock from private placement (21,661,095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10,831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719,304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730,135</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Issuance of common stock from stock purchase contracts (2,335,654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1,168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(1,168)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Issuance of common stock under dividend reinvestment plan (86,969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43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4,019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Repurchase of stock (81,722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(4,339)</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Equity compensation plan (223,495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Exercise of stock options (56,106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922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Stock-based compensation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2,072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(147)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Other</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54"/>
        </w:trPr>
        <w:tc>
          <w:tcPr>
            <w:tcW w:w="5700" w:type="dxa"/>
            <w:vAlign w:val="bottom"/>
          </w:tcPr>
          <w:p>
            <w:pPr>
              <w:spacing w:after="0" w:line="154" w:lineRule="exact"/>
              <w:rPr>
                <w:sz w:val="20"/>
                <w:szCs w:val="20"/>
                <w:color w:val="auto"/>
              </w:rPr>
            </w:pPr>
            <w:r>
              <w:rPr>
                <w:rFonts w:ascii="Arial" w:cs="Arial" w:eastAsia="Arial" w:hAnsi="Arial"/>
                <w:sz w:val="16"/>
                <w:szCs w:val="16"/>
                <w:color w:val="auto"/>
              </w:rPr>
              <w:t>Balance at March 31, 2020</w:t>
            </w: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124,117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3,361,586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1,209,501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(82,041)</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4,613,163</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income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74,629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74,629</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Dividends declared ($0.2343 per share)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(57,414)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(57,414)</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Expenses incurred for private placement issuance of common stock</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(834)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Issuance of common stock under dividend reinvestment plan (100,148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3,949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Repurchase of stock (100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Equity compensation plan (4,594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Exercise of stock options (3,411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Stock-based compensation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1,918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(94)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Other</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91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54"/>
        </w:trPr>
        <w:tc>
          <w:tcPr>
            <w:tcW w:w="5700" w:type="dxa"/>
            <w:vAlign w:val="bottom"/>
          </w:tcPr>
          <w:p>
            <w:pPr>
              <w:spacing w:after="0" w:line="154" w:lineRule="exact"/>
              <w:rPr>
                <w:sz w:val="20"/>
                <w:szCs w:val="20"/>
                <w:color w:val="auto"/>
              </w:rPr>
            </w:pPr>
            <w:r>
              <w:rPr>
                <w:rFonts w:ascii="Arial" w:cs="Arial" w:eastAsia="Arial" w:hAnsi="Arial"/>
                <w:sz w:val="16"/>
                <w:szCs w:val="16"/>
                <w:color w:val="auto"/>
              </w:rPr>
              <w:t>Balance at June 30, 2020</w:t>
            </w:r>
          </w:p>
        </w:tc>
        <w:tc>
          <w:tcPr>
            <w:tcW w:w="7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124,171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3,366,695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1,226,622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(81,954)</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5"/>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4,635,534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92"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CONSOLIDATED STATEMENTS OF EQUITY</w:t>
      </w:r>
    </w:p>
    <w:p>
      <w:pPr>
        <w:jc w:val="center"/>
        <w:spacing w:after="0" w:line="199" w:lineRule="auto"/>
        <w:rPr>
          <w:sz w:val="20"/>
          <w:szCs w:val="20"/>
          <w:color w:val="auto"/>
        </w:rPr>
      </w:pPr>
      <w:r>
        <w:rPr>
          <w:rFonts w:ascii="Arial" w:cs="Arial" w:eastAsia="Arial" w:hAnsi="Arial"/>
          <w:sz w:val="21"/>
          <w:szCs w:val="21"/>
          <w:color w:val="auto"/>
        </w:rPr>
        <w:t>(In thousands of dollars)</w:t>
      </w:r>
    </w:p>
    <w:p>
      <w:pPr>
        <w:jc w:val="center"/>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6"/>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61" w:lineRule="exact"/>
              <w:rPr>
                <w:sz w:val="20"/>
                <w:szCs w:val="20"/>
                <w:color w:val="auto"/>
              </w:rPr>
            </w:pPr>
            <w:r>
              <w:rPr>
                <w:rFonts w:ascii="Arial" w:cs="Arial" w:eastAsia="Arial" w:hAnsi="Arial"/>
                <w:sz w:val="16"/>
                <w:szCs w:val="16"/>
                <w:color w:val="auto"/>
              </w:rPr>
              <w:t>Excess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Earnings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70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6"/>
                <w:szCs w:val="16"/>
                <w:color w:val="auto"/>
              </w:rPr>
              <w:t>Balance at December 31, 2018</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90,576</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820,378</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1,174,245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(75,835)</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5"/>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2,009,364</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Net income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6"/>
                <w:szCs w:val="16"/>
                <w:color w:val="auto"/>
              </w:rPr>
              <w:t>16,924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16,924</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Dividends declared ($0.2190 per share)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(39,014)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(39,014)</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Issuance of common stock under dividend reinvestment plan (117,845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59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3,976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Repurchase of stock (52,124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(1,857)</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Equity compensation plan (134,257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67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(67)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Exercise of stock options (77,479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Stock-based compensation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1,929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6"/>
                <w:szCs w:val="16"/>
                <w:color w:val="auto"/>
              </w:rPr>
              <w:t>42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Other</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54"/>
        </w:trPr>
        <w:tc>
          <w:tcPr>
            <w:tcW w:w="5700" w:type="dxa"/>
            <w:vAlign w:val="bottom"/>
          </w:tcPr>
          <w:p>
            <w:pPr>
              <w:spacing w:after="0" w:line="154" w:lineRule="exact"/>
              <w:rPr>
                <w:sz w:val="20"/>
                <w:szCs w:val="20"/>
                <w:color w:val="auto"/>
              </w:rPr>
            </w:pPr>
            <w:r>
              <w:rPr>
                <w:rFonts w:ascii="Arial" w:cs="Arial" w:eastAsia="Arial" w:hAnsi="Arial"/>
                <w:sz w:val="16"/>
                <w:szCs w:val="16"/>
                <w:color w:val="auto"/>
              </w:rPr>
              <w:t>Balance at March 31, 2019</w:t>
            </w: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90,741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827,339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1,152,197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(77,692)</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6"/>
                <w:szCs w:val="16"/>
                <w:color w:val="auto"/>
              </w:rPr>
              <w:t>1,992,585</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income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54,903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54,903</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Dividends declared ($0.2190 per share)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(47,249)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(47,249)</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Stock issued to finance pending acquisition (37,370,017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18,685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1,245,440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1,264,125</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Proceeds from stock purchase contract issued under tangible equity units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557,837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557,837</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Issuance of common stock under dividend reinvestment plan (10,162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Repurchase of stock (46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Equity compensation plan (5,099 shares)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Exercise of stock options (21,148 shares)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10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6"/>
                <w:szCs w:val="16"/>
                <w:color w:val="auto"/>
              </w:rPr>
              <w:t>361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60"/>
        </w:trPr>
        <w:tc>
          <w:tcPr>
            <w:tcW w:w="57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Stock-based compensation</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2,129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6"/>
                <w:szCs w:val="16"/>
                <w:color w:val="auto"/>
              </w:rPr>
              <w:t>(98)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160"/>
        </w:trPr>
        <w:tc>
          <w:tcPr>
            <w:tcW w:w="5700" w:type="dxa"/>
            <w:vAlign w:val="bottom"/>
          </w:tcPr>
          <w:p>
            <w:pPr>
              <w:spacing w:after="0" w:line="161" w:lineRule="exact"/>
              <w:rPr>
                <w:sz w:val="20"/>
                <w:szCs w:val="20"/>
                <w:color w:val="auto"/>
              </w:rPr>
            </w:pPr>
            <w:r>
              <w:rPr>
                <w:rFonts w:ascii="Arial" w:cs="Arial" w:eastAsia="Arial" w:hAnsi="Arial"/>
                <w:sz w:val="16"/>
                <w:szCs w:val="16"/>
                <w:color w:val="auto"/>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(212)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
              <w:spacing w:after="0" w:line="16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60"/>
              <w:spacing w:after="0" w:line="16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54"/>
        </w:trPr>
        <w:tc>
          <w:tcPr>
            <w:tcW w:w="57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6"/>
                <w:szCs w:val="16"/>
                <w:color w:val="auto"/>
              </w:rPr>
              <w:t>Balance at June 30, 2019</w:t>
            </w: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109,444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2,633,271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1,159,753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(77,694)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5"/>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3,824,774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92" w:lineRule="exact"/>
        <w:rPr>
          <w:sz w:val="20"/>
          <w:szCs w:val="20"/>
          <w:color w:val="auto"/>
        </w:rPr>
      </w:pPr>
    </w:p>
    <w:p>
      <w:pPr>
        <w:ind w:left="3280"/>
        <w:spacing w:after="0"/>
        <w:rPr>
          <w:sz w:val="20"/>
          <w:szCs w:val="20"/>
          <w:color w:val="auto"/>
        </w:rPr>
      </w:pPr>
      <w:r>
        <w:rPr>
          <w:rFonts w:ascii="Arial" w:cs="Arial" w:eastAsia="Arial" w:hAnsi="Arial"/>
          <w:sz w:val="21"/>
          <w:szCs w:val="21"/>
          <w:color w:val="auto"/>
        </w:rPr>
        <w:t>CONSOLIDATED STATEMENTS OF CASH FLOW</w:t>
      </w:r>
    </w:p>
    <w:p>
      <w:pPr>
        <w:ind w:left="4540"/>
        <w:spacing w:after="0" w:line="186" w:lineRule="auto"/>
        <w:rPr>
          <w:sz w:val="20"/>
          <w:szCs w:val="20"/>
          <w:color w:val="auto"/>
        </w:rPr>
      </w:pPr>
      <w:r>
        <w:rPr>
          <w:rFonts w:ascii="Arial" w:cs="Arial" w:eastAsia="Arial" w:hAnsi="Arial"/>
          <w:sz w:val="18"/>
          <w:szCs w:val="18"/>
          <w:color w:val="auto"/>
        </w:rPr>
        <w:t>(In thousands of dollars)</w:t>
      </w:r>
    </w:p>
    <w:p>
      <w:pPr>
        <w:ind w:left="4920"/>
        <w:spacing w:after="0"/>
        <w:rPr>
          <w:sz w:val="20"/>
          <w:szCs w:val="20"/>
          <w:color w:val="auto"/>
        </w:rPr>
      </w:pPr>
      <w:r>
        <w:rPr>
          <w:rFonts w:ascii="Arial" w:cs="Arial" w:eastAsia="Arial" w:hAnsi="Arial"/>
          <w:sz w:val="21"/>
          <w:szCs w:val="2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184"/>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6"/>
                <w:szCs w:val="16"/>
                <w:color w:val="auto"/>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3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line="154"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0"/>
              <w:spacing w:after="0" w:line="154"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4"/>
        </w:trPr>
        <w:tc>
          <w:tcPr>
            <w:tcW w:w="8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Net income</w:t>
            </w:r>
          </w:p>
        </w:tc>
        <w:tc>
          <w:tcPr>
            <w:tcW w:w="640" w:type="dxa"/>
            <w:vAlign w:val="bottom"/>
            <w:gridSpan w:val="2"/>
            <w:shd w:val="clear" w:color="auto" w:fill="CCEEFF"/>
          </w:tcPr>
          <w:p>
            <w:pPr>
              <w:jc w:val="right"/>
              <w:ind w:right="145"/>
              <w:spacing w:after="0" w:line="16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126,410</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5"/>
              <w:spacing w:after="0" w:line="161"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71,827</w:t>
            </w:r>
          </w:p>
        </w:tc>
        <w:tc>
          <w:tcPr>
            <w:tcW w:w="0" w:type="dxa"/>
            <w:vAlign w:val="bottom"/>
          </w:tcPr>
          <w:p>
            <w:pPr>
              <w:spacing w:after="0"/>
              <w:rPr>
                <w:sz w:val="1"/>
                <w:szCs w:val="1"/>
                <w:color w:val="auto"/>
              </w:rPr>
            </w:pPr>
          </w:p>
        </w:tc>
      </w:tr>
      <w:tr>
        <w:trPr>
          <w:trHeight w:val="160"/>
        </w:trPr>
        <w:tc>
          <w:tcPr>
            <w:tcW w:w="8300" w:type="dxa"/>
            <w:vAlign w:val="bottom"/>
          </w:tcPr>
          <w:p>
            <w:pPr>
              <w:spacing w:after="0" w:line="161"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116,137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76,040</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(11,959)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(11,884)</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Provision for doubtful accounts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11,599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6"/>
                <w:szCs w:val="16"/>
                <w:color w:val="auto"/>
              </w:rPr>
              <w:t>3,708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Gain on sale of other assets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Arial" w:cs="Arial" w:eastAsia="Arial" w:hAnsi="Arial"/>
                <w:sz w:val="16"/>
                <w:szCs w:val="16"/>
                <w:color w:val="auto"/>
              </w:rPr>
              <w:t>Gain on sale of utility system</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Loss on interest rate swap agreements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23,742</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Arial" w:cs="Arial" w:eastAsia="Arial" w:hAnsi="Arial"/>
                <w:sz w:val="16"/>
                <w:szCs w:val="16"/>
                <w:color w:val="auto"/>
              </w:rPr>
              <w:t>Loss on debt extinguishment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18,935</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Settlement of interest rate swap agreements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(83,520)</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Arial" w:cs="Arial" w:eastAsia="Arial" w:hAnsi="Arial"/>
                <w:sz w:val="16"/>
                <w:szCs w:val="16"/>
                <w:color w:val="auto"/>
              </w:rPr>
              <w:t>Net change in receivables, inventory and prepayments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6"/>
                <w:szCs w:val="16"/>
                <w:color w:val="auto"/>
              </w:rPr>
              <w:t>45,328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(5,672)</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(39,019)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60"/>
        </w:trPr>
        <w:tc>
          <w:tcPr>
            <w:tcW w:w="8300" w:type="dxa"/>
            <w:vAlign w:val="bottom"/>
          </w:tcPr>
          <w:p>
            <w:pPr>
              <w:ind w:left="220"/>
              <w:spacing w:after="0" w:line="161" w:lineRule="exact"/>
              <w:rPr>
                <w:sz w:val="20"/>
                <w:szCs w:val="20"/>
                <w:color w:val="auto"/>
              </w:rPr>
            </w:pPr>
            <w:r>
              <w:rPr>
                <w:rFonts w:ascii="Arial" w:cs="Arial" w:eastAsia="Arial" w:hAnsi="Arial"/>
                <w:sz w:val="16"/>
                <w:szCs w:val="16"/>
                <w:color w:val="auto"/>
              </w:rPr>
              <w:t>Pension and other postretirement benefits contributions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(3,784)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(6,595)</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(3,093)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line="154" w:lineRule="exact"/>
              <w:rPr>
                <w:sz w:val="20"/>
                <w:szCs w:val="20"/>
                <w:color w:val="auto"/>
              </w:rPr>
            </w:pPr>
            <w:r>
              <w:rPr>
                <w:rFonts w:ascii="Arial" w:cs="Arial" w:eastAsia="Arial" w:hAnsi="Arial"/>
                <w:sz w:val="16"/>
                <w:szCs w:val="16"/>
                <w:color w:val="auto"/>
              </w:rPr>
              <w:t>Net cash flows from operating activities</w:t>
            </w:r>
          </w:p>
        </w:tc>
        <w:tc>
          <w:tcPr>
            <w:tcW w:w="3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245,202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87,543</w:t>
            </w:r>
          </w:p>
        </w:tc>
        <w:tc>
          <w:tcPr>
            <w:tcW w:w="0" w:type="dxa"/>
            <w:vAlign w:val="bottom"/>
          </w:tcPr>
          <w:p>
            <w:pPr>
              <w:spacing w:after="0"/>
              <w:rPr>
                <w:sz w:val="1"/>
                <w:szCs w:val="1"/>
                <w:color w:val="auto"/>
              </w:rPr>
            </w:pPr>
          </w:p>
        </w:tc>
      </w:tr>
      <w:tr>
        <w:trPr>
          <w:trHeight w:val="154"/>
        </w:trPr>
        <w:tc>
          <w:tcPr>
            <w:tcW w:w="830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300" w:type="dxa"/>
            <w:vAlign w:val="bottom"/>
          </w:tcPr>
          <w:p>
            <w:pPr>
              <w:ind w:left="100"/>
              <w:spacing w:after="0" w:line="137" w:lineRule="exact"/>
              <w:rPr>
                <w:sz w:val="20"/>
                <w:szCs w:val="20"/>
                <w:color w:val="auto"/>
              </w:rPr>
            </w:pPr>
            <w:r>
              <w:rPr>
                <w:rFonts w:ascii="Arial" w:cs="Arial" w:eastAsia="Arial" w:hAnsi="Arial"/>
                <w:sz w:val="15"/>
                <w:szCs w:val="15"/>
                <w:color w:val="auto"/>
              </w:rPr>
              <w:t>Property, plant and equipment additions, including the debt component of allowance for funds used during construction 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(293,090)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(269,171)</w:t>
            </w:r>
          </w:p>
        </w:tc>
        <w:tc>
          <w:tcPr>
            <w:tcW w:w="0" w:type="dxa"/>
            <w:vAlign w:val="bottom"/>
          </w:tcPr>
          <w:p>
            <w:pPr>
              <w:spacing w:after="0"/>
              <w:rPr>
                <w:sz w:val="1"/>
                <w:szCs w:val="1"/>
                <w:color w:val="auto"/>
              </w:rPr>
            </w:pPr>
          </w:p>
        </w:tc>
      </w:tr>
      <w:tr>
        <w:trPr>
          <w:trHeight w:val="184"/>
        </w:trPr>
        <w:tc>
          <w:tcPr>
            <w:tcW w:w="8300" w:type="dxa"/>
            <w:vAlign w:val="bottom"/>
          </w:tcPr>
          <w:p>
            <w:pPr>
              <w:ind w:left="100"/>
              <w:spacing w:after="0"/>
              <w:rPr>
                <w:sz w:val="20"/>
                <w:szCs w:val="20"/>
                <w:color w:val="auto"/>
              </w:rPr>
            </w:pPr>
            <w:r>
              <w:rPr>
                <w:rFonts w:ascii="Arial" w:cs="Arial" w:eastAsia="Arial" w:hAnsi="Arial"/>
                <w:sz w:val="16"/>
                <w:szCs w:val="16"/>
                <w:color w:val="auto"/>
              </w:rPr>
              <w:t>$1,708 and $2,117</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Acquisitions of utility systems, net</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(3,467,060)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Net proceeds from the sale of other assets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6"/>
                <w:szCs w:val="16"/>
                <w:color w:val="auto"/>
              </w:rPr>
              <w:t>232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line="154" w:lineRule="exact"/>
              <w:rPr>
                <w:sz w:val="20"/>
                <w:szCs w:val="20"/>
                <w:color w:val="auto"/>
              </w:rPr>
            </w:pPr>
            <w:r>
              <w:rPr>
                <w:rFonts w:ascii="Arial" w:cs="Arial" w:eastAsia="Arial" w:hAnsi="Arial"/>
                <w:sz w:val="16"/>
                <w:szCs w:val="16"/>
                <w:color w:val="auto"/>
              </w:rPr>
              <w:t>Net cash flows used in investing activities</w:t>
            </w:r>
          </w:p>
        </w:tc>
        <w:tc>
          <w:tcPr>
            <w:tcW w:w="3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(3,759,935)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(266,525)</w:t>
            </w:r>
          </w:p>
        </w:tc>
        <w:tc>
          <w:tcPr>
            <w:tcW w:w="0" w:type="dxa"/>
            <w:vAlign w:val="bottom"/>
          </w:tcPr>
          <w:p>
            <w:pPr>
              <w:spacing w:after="0"/>
              <w:rPr>
                <w:sz w:val="1"/>
                <w:szCs w:val="1"/>
                <w:color w:val="auto"/>
              </w:rPr>
            </w:pPr>
          </w:p>
        </w:tc>
      </w:tr>
      <w:tr>
        <w:trPr>
          <w:trHeight w:val="154"/>
        </w:trPr>
        <w:tc>
          <w:tcPr>
            <w:tcW w:w="830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Customers' advances and contributions in aid of construction</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6"/>
                <w:szCs w:val="16"/>
                <w:color w:val="auto"/>
              </w:rPr>
              <w:t>3,001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5,914</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Repayments of customers' advances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(1,827)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Net repayments of short-term debt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(192,605)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(9,373)</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Proceeds from long-term debt</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2,838,664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1,136,000</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(1,627,300)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(825,642)</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Extinguishment of long-term debt</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(25,237)</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Change in cash overdraft position</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6"/>
                <w:szCs w:val="16"/>
                <w:color w:val="auto"/>
              </w:rPr>
              <w:t>8,590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13,343</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Issuance of common stock under dividend reinvestment plan</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8,061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4,420</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Issuance of common stock from private placement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6"/>
                <w:szCs w:val="16"/>
                <w:color w:val="auto"/>
              </w:rPr>
              <w:t>729,301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Proceeds from stock issued to finance acquisition</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1,264,125</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Proceeds from tangible equity unit issuance</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674,170</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Proceeds from exercised stock options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1,067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160"/>
        </w:trPr>
        <w:tc>
          <w:tcPr>
            <w:tcW w:w="8300" w:type="dxa"/>
            <w:vAlign w:val="bottom"/>
          </w:tcPr>
          <w:p>
            <w:pPr>
              <w:ind w:left="100"/>
              <w:spacing w:after="0" w:line="161" w:lineRule="exact"/>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61" w:lineRule="exact"/>
              <w:rPr>
                <w:sz w:val="20"/>
                <w:szCs w:val="20"/>
                <w:color w:val="auto"/>
              </w:rPr>
            </w:pPr>
            <w:r>
              <w:rPr>
                <w:rFonts w:ascii="Arial" w:cs="Arial" w:eastAsia="Arial" w:hAnsi="Arial"/>
                <w:sz w:val="16"/>
                <w:szCs w:val="16"/>
                <w:color w:val="auto"/>
              </w:rPr>
              <w:t>(4,343)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Dividends paid on common stock</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6"/>
                <w:szCs w:val="16"/>
                <w:color w:val="auto"/>
              </w:rPr>
              <w:t>(109,619)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(86,263)</w:t>
            </w:r>
          </w:p>
        </w:tc>
        <w:tc>
          <w:tcPr>
            <w:tcW w:w="0" w:type="dxa"/>
            <w:vAlign w:val="bottom"/>
          </w:tcPr>
          <w:p>
            <w:pPr>
              <w:spacing w:after="0"/>
              <w:rPr>
                <w:sz w:val="1"/>
                <w:szCs w:val="1"/>
                <w:color w:val="auto"/>
              </w:rPr>
            </w:pPr>
          </w:p>
        </w:tc>
      </w:tr>
      <w:tr>
        <w:trPr>
          <w:trHeight w:val="160"/>
        </w:trPr>
        <w:tc>
          <w:tcPr>
            <w:tcW w:w="8300" w:type="dxa"/>
            <w:vAlign w:val="bottom"/>
            <w:tcBorders>
              <w:bottom w:val="single" w:sz="8" w:color="CCEEFF"/>
            </w:tcBorders>
          </w:tcPr>
          <w:p>
            <w:pPr>
              <w:ind w:left="100"/>
              <w:spacing w:after="0" w:line="161" w:lineRule="exact"/>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54"/>
        </w:trPr>
        <w:tc>
          <w:tcPr>
            <w:tcW w:w="8300" w:type="dxa"/>
            <w:vAlign w:val="bottom"/>
            <w:shd w:val="clear" w:color="auto" w:fill="CCEEFF"/>
          </w:tcPr>
          <w:p>
            <w:pPr>
              <w:spacing w:after="0" w:line="154" w:lineRule="exact"/>
              <w:rPr>
                <w:sz w:val="20"/>
                <w:szCs w:val="20"/>
                <w:color w:val="auto"/>
              </w:rPr>
            </w:pPr>
            <w:r>
              <w:rPr>
                <w:rFonts w:ascii="Arial" w:cs="Arial" w:eastAsia="Arial" w:hAnsi="Arial"/>
                <w:sz w:val="16"/>
                <w:szCs w:val="16"/>
                <w:color w:val="auto"/>
              </w:rPr>
              <w:t>Net cash flows from financing activities</w:t>
            </w:r>
          </w:p>
        </w:tc>
        <w:tc>
          <w:tcPr>
            <w:tcW w:w="3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1,653,038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6"/>
                <w:szCs w:val="16"/>
                <w:color w:val="auto"/>
              </w:rPr>
              <w:t>2,149,431</w:t>
            </w:r>
          </w:p>
        </w:tc>
        <w:tc>
          <w:tcPr>
            <w:tcW w:w="0" w:type="dxa"/>
            <w:vAlign w:val="bottom"/>
          </w:tcPr>
          <w:p>
            <w:pPr>
              <w:spacing w:after="0"/>
              <w:rPr>
                <w:sz w:val="1"/>
                <w:szCs w:val="1"/>
                <w:color w:val="auto"/>
              </w:rPr>
            </w:pPr>
          </w:p>
        </w:tc>
      </w:tr>
      <w:tr>
        <w:trPr>
          <w:trHeight w:val="154"/>
        </w:trPr>
        <w:tc>
          <w:tcPr>
            <w:tcW w:w="8300" w:type="dxa"/>
            <w:vAlign w:val="bottom"/>
          </w:tcPr>
          <w:p>
            <w:pPr>
              <w:spacing w:after="0" w:line="154" w:lineRule="exact"/>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Arial" w:cs="Arial" w:eastAsia="Arial" w:hAnsi="Arial"/>
                <w:sz w:val="16"/>
                <w:szCs w:val="16"/>
                <w:color w:val="auto"/>
              </w:rPr>
              <w:t>(1,861,695)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4" w:lineRule="exact"/>
              <w:rPr>
                <w:sz w:val="20"/>
                <w:szCs w:val="20"/>
                <w:color w:val="auto"/>
              </w:rPr>
            </w:pPr>
            <w:r>
              <w:rPr>
                <w:rFonts w:ascii="Arial" w:cs="Arial" w:eastAsia="Arial" w:hAnsi="Arial"/>
                <w:sz w:val="16"/>
                <w:szCs w:val="16"/>
                <w:color w:val="auto"/>
              </w:rPr>
              <w:t>1,970,449</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Cash and cash equivalents at beginning of period</w:t>
            </w:r>
          </w:p>
        </w:tc>
        <w:tc>
          <w:tcPr>
            <w:tcW w:w="3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1,868,922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154"/>
        </w:trPr>
        <w:tc>
          <w:tcPr>
            <w:tcW w:w="8300" w:type="dxa"/>
            <w:vAlign w:val="bottom"/>
          </w:tcPr>
          <w:p>
            <w:pPr>
              <w:spacing w:after="0" w:line="154" w:lineRule="exact"/>
              <w:rPr>
                <w:sz w:val="20"/>
                <w:szCs w:val="20"/>
                <w:color w:val="auto"/>
              </w:rPr>
            </w:pPr>
            <w:r>
              <w:rPr>
                <w:rFonts w:ascii="Arial" w:cs="Arial" w:eastAsia="Arial" w:hAnsi="Arial"/>
                <w:sz w:val="16"/>
                <w:szCs w:val="16"/>
                <w:color w:val="auto"/>
              </w:rPr>
              <w:t>Cash and cash equivalents at end of period</w:t>
            </w:r>
          </w:p>
        </w:tc>
        <w:tc>
          <w:tcPr>
            <w:tcW w:w="340" w:type="dxa"/>
            <w:vAlign w:val="bottom"/>
          </w:tcPr>
          <w:p>
            <w:pPr>
              <w:spacing w:after="0"/>
              <w:rPr>
                <w:sz w:val="13"/>
                <w:szCs w:val="13"/>
                <w:color w:val="auto"/>
              </w:rPr>
            </w:pPr>
          </w:p>
        </w:tc>
        <w:tc>
          <w:tcPr>
            <w:tcW w:w="300" w:type="dxa"/>
            <w:vAlign w:val="bottom"/>
            <w:tcBorders>
              <w:bottom w:val="single" w:sz="8" w:color="auto"/>
            </w:tcBorders>
          </w:tcPr>
          <w:p>
            <w:pPr>
              <w:jc w:val="right"/>
              <w:ind w:right="145"/>
              <w:spacing w:after="0" w:line="154"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7,227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05"/>
              <w:spacing w:after="0" w:line="154"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6"/>
                <w:szCs w:val="16"/>
                <w:color w:val="auto"/>
              </w:rPr>
              <w:t>1,974,076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30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640" w:type="dxa"/>
            <w:vAlign w:val="bottom"/>
            <w:gridSpan w:val="2"/>
            <w:shd w:val="clear" w:color="auto" w:fill="CCEEFF"/>
          </w:tcPr>
          <w:p>
            <w:pPr>
              <w:jc w:val="right"/>
              <w:ind w:right="145"/>
              <w:spacing w:after="0" w:line="16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78,384</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5"/>
              <w:spacing w:after="0" w:line="161"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44,809</w:t>
            </w:r>
          </w:p>
        </w:tc>
        <w:tc>
          <w:tcPr>
            <w:tcW w:w="0" w:type="dxa"/>
            <w:vAlign w:val="bottom"/>
          </w:tcPr>
          <w:p>
            <w:pPr>
              <w:spacing w:after="0"/>
              <w:rPr>
                <w:sz w:val="1"/>
                <w:szCs w:val="1"/>
                <w:color w:val="auto"/>
              </w:rPr>
            </w:pPr>
          </w:p>
        </w:tc>
      </w:tr>
      <w:tr>
        <w:trPr>
          <w:trHeight w:val="205"/>
        </w:trPr>
        <w:tc>
          <w:tcPr>
            <w:tcW w:w="8300" w:type="dxa"/>
            <w:vAlign w:val="bottom"/>
          </w:tcPr>
          <w:p>
            <w:pPr>
              <w:ind w:left="10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18,883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21,527</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jc w:val="center"/>
        <w:ind w:right="20"/>
        <w:spacing w:after="0" w:line="230" w:lineRule="auto"/>
        <w:rPr>
          <w:sz w:val="20"/>
          <w:szCs w:val="20"/>
          <w:color w:val="auto"/>
        </w:rPr>
      </w:pPr>
      <w:r>
        <w:rPr>
          <w:rFonts w:ascii="Arial" w:cs="Arial" w:eastAsia="Arial" w:hAnsi="Arial"/>
          <w:sz w:val="21"/>
          <w:szCs w:val="21"/>
          <w:color w:val="auto"/>
        </w:rPr>
        <w:t>ESSENTIAL UTILITIES, INC. AND SUBSIDIARIES</w:t>
      </w:r>
    </w:p>
    <w:p>
      <w:pPr>
        <w:jc w:val="center"/>
        <w:ind w:right="-39"/>
        <w:spacing w:after="0" w:line="226" w:lineRule="auto"/>
        <w:rPr>
          <w:sz w:val="20"/>
          <w:szCs w:val="20"/>
          <w:color w:val="auto"/>
        </w:rPr>
      </w:pPr>
      <w:r>
        <w:rPr>
          <w:rFonts w:ascii="Arial" w:cs="Arial" w:eastAsia="Arial" w:hAnsi="Arial"/>
          <w:sz w:val="21"/>
          <w:szCs w:val="21"/>
          <w:color w:val="auto"/>
        </w:rPr>
        <w:t>NOTES TO CONSOLIDATED FINANCIAL STATEMENTS</w:t>
      </w:r>
    </w:p>
    <w:p>
      <w:pPr>
        <w:jc w:val="center"/>
        <w:ind w:right="-39"/>
        <w:spacing w:after="0" w:line="226" w:lineRule="auto"/>
        <w:rPr>
          <w:sz w:val="20"/>
          <w:szCs w:val="20"/>
          <w:color w:val="auto"/>
        </w:rPr>
      </w:pPr>
      <w:r>
        <w:rPr>
          <w:rFonts w:ascii="Arial" w:cs="Arial" w:eastAsia="Arial" w:hAnsi="Arial"/>
          <w:sz w:val="21"/>
          <w:szCs w:val="21"/>
          <w:color w:val="auto"/>
        </w:rPr>
        <w:t>(In thousands of dollars, except per share amounts)</w:t>
      </w:r>
    </w:p>
    <w:p>
      <w:pPr>
        <w:jc w:val="center"/>
        <w:ind w:right="-39"/>
        <w:spacing w:after="0"/>
        <w:rPr>
          <w:sz w:val="20"/>
          <w:szCs w:val="20"/>
          <w:color w:val="auto"/>
        </w:rPr>
      </w:pPr>
      <w:r>
        <w:rPr>
          <w:rFonts w:ascii="Arial" w:cs="Arial" w:eastAsia="Arial" w:hAnsi="Arial"/>
          <w:sz w:val="21"/>
          <w:szCs w:val="21"/>
          <w:color w:val="auto"/>
        </w:rPr>
        <w:t>(UNAUDITED)</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 – </w:t>
      </w:r>
      <w:r>
        <w:rPr>
          <w:rFonts w:ascii="Arial" w:cs="Arial" w:eastAsia="Arial" w:hAnsi="Arial"/>
          <w:sz w:val="21"/>
          <w:szCs w:val="21"/>
          <w:b w:val="1"/>
          <w:bCs w:val="1"/>
          <w:i w:val="1"/>
          <w:iCs w:val="1"/>
          <w:color w:val="auto"/>
        </w:rPr>
        <w:t>Basis of Presentation</w:t>
      </w:r>
    </w:p>
    <w:p>
      <w:pPr>
        <w:spacing w:after="0" w:line="192" w:lineRule="exact"/>
        <w:rPr>
          <w:sz w:val="20"/>
          <w:szCs w:val="20"/>
          <w:color w:val="auto"/>
        </w:rPr>
      </w:pPr>
    </w:p>
    <w:p>
      <w:pPr>
        <w:ind w:right="380"/>
        <w:spacing w:after="0" w:line="264" w:lineRule="auto"/>
        <w:rPr>
          <w:sz w:val="20"/>
          <w:szCs w:val="20"/>
          <w:color w:val="auto"/>
        </w:rPr>
      </w:pPr>
      <w:r>
        <w:rPr>
          <w:rFonts w:ascii="Arial" w:cs="Arial" w:eastAsia="Arial" w:hAnsi="Arial"/>
          <w:sz w:val="19"/>
          <w:szCs w:val="19"/>
          <w:color w:val="auto"/>
        </w:rPr>
        <w:t xml:space="preserve">On March 16, 2020 Essential Utilities, Inc. completed the acquisition of Peoples Natural Gas (the “Peoples Gas Acquisition”), which expanded the Company’s regulated utility business to include natural gas distribution, serving approximately 747,000 natural gas utility customers in western Pennsylvania, West Virginia, and Kentucky. The results of Peoples Natural Gas (“Peoples”) are included in our unaudited Consolidated Financial Statements since the date of the acquisition. See Note 3 – </w:t>
      </w:r>
      <w:r>
        <w:rPr>
          <w:rFonts w:ascii="Arial" w:cs="Arial" w:eastAsia="Arial" w:hAnsi="Arial"/>
          <w:sz w:val="19"/>
          <w:szCs w:val="19"/>
          <w:i w:val="1"/>
          <w:iCs w:val="1"/>
          <w:color w:val="auto"/>
        </w:rPr>
        <w:t xml:space="preserve">Acquisitions </w:t>
      </w:r>
      <w:r>
        <w:rPr>
          <w:rFonts w:ascii="Arial" w:cs="Arial" w:eastAsia="Arial" w:hAnsi="Arial"/>
          <w:sz w:val="19"/>
          <w:szCs w:val="19"/>
          <w:color w:val="auto"/>
        </w:rPr>
        <w:t>for further information and Note 14 –</w:t>
      </w:r>
      <w:r>
        <w:rPr>
          <w:rFonts w:ascii="Arial" w:cs="Arial" w:eastAsia="Arial" w:hAnsi="Arial"/>
          <w:sz w:val="19"/>
          <w:szCs w:val="19"/>
          <w:i w:val="1"/>
          <w:iCs w:val="1"/>
          <w:color w:val="auto"/>
        </w:rPr>
        <w:t xml:space="preserve"> Segment Information </w:t>
      </w:r>
      <w:r>
        <w:rPr>
          <w:rFonts w:ascii="Arial" w:cs="Arial" w:eastAsia="Arial" w:hAnsi="Arial"/>
          <w:sz w:val="19"/>
          <w:szCs w:val="19"/>
          <w:color w:val="auto"/>
        </w:rPr>
        <w:t>for information on our reportable segments.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accompanying consolidated balance sheets and statements of capitalization of Essential Utilities, Inc. and subsidiaries (collectively, the “Company”, “we”, “us” or “our”) at June 30, 2020, the consolidated statements of operations and comprehensive income for the three and six months ended June 30, 2020 and 2019, the consolidated statements of cash flow for the six months ended June 30, 2020 and 2019, and the consolidated statements of equity for the six months ended June 30, 2020 and 2019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2019. The results of operations for interim periods may not be indicative of the results that may be expected for the entire year. The December 31, 2019 consolidated balance sheet data presented herein was derived from the Company’s December 31, 2019 audited consolidated financial statements but does not include all disclosures and notes normally provided in annual financial statements. The following prior period amounts have been reclassified to conform to the current period presentation: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In the consolidated balance sheet the presentation of:</w:t>
      </w:r>
    </w:p>
    <w:p>
      <w:pPr>
        <w:ind w:left="1340" w:hanging="319"/>
        <w:spacing w:after="0" w:line="238" w:lineRule="auto"/>
        <w:tabs>
          <w:tab w:leader="none" w:pos="1340" w:val="left"/>
        </w:tabs>
        <w:numPr>
          <w:ilvl w:val="0"/>
          <w:numId w:val="2"/>
        </w:numPr>
        <w:rPr>
          <w:rFonts w:ascii="Courier New" w:cs="Courier New" w:eastAsia="Courier New" w:hAnsi="Courier New"/>
          <w:sz w:val="21"/>
          <w:szCs w:val="21"/>
          <w:color w:val="auto"/>
        </w:rPr>
      </w:pPr>
      <w:r>
        <w:rPr>
          <w:rFonts w:ascii="Arial" w:cs="Arial" w:eastAsia="Arial" w:hAnsi="Arial"/>
          <w:sz w:val="21"/>
          <w:szCs w:val="21"/>
          <w:color w:val="auto"/>
        </w:rPr>
        <w:t>the current portion of regulatory assets and liabilities</w:t>
      </w:r>
    </w:p>
    <w:p>
      <w:pPr>
        <w:jc w:val="both"/>
        <w:ind w:left="700" w:right="220" w:firstLine="321"/>
        <w:spacing w:after="0" w:line="237" w:lineRule="auto"/>
        <w:tabs>
          <w:tab w:leader="none" w:pos="1342" w:val="left"/>
        </w:tabs>
        <w:numPr>
          <w:ilvl w:val="0"/>
          <w:numId w:val="2"/>
        </w:numPr>
        <w:rPr>
          <w:rFonts w:ascii="Courier New" w:cs="Courier New" w:eastAsia="Courier New" w:hAnsi="Courier New"/>
          <w:sz w:val="21"/>
          <w:szCs w:val="21"/>
          <w:color w:val="auto"/>
        </w:rPr>
      </w:pPr>
      <w:r>
        <w:rPr>
          <w:rFonts w:ascii="Arial" w:cs="Arial" w:eastAsia="Arial" w:hAnsi="Arial"/>
          <w:sz w:val="21"/>
          <w:szCs w:val="21"/>
          <w:color w:val="auto"/>
        </w:rPr>
        <w:t>pension and other postretirement liabilities, which was formerly presented in non-current liabilities within other In the consolidated statements of operations and comprehensive income the presentation of interest expense and interest income, which was formerly presented as interest expense, net.</w:t>
      </w:r>
    </w:p>
    <w:p>
      <w:pPr>
        <w:spacing w:after="0" w:line="184" w:lineRule="exact"/>
        <w:rPr>
          <w:sz w:val="20"/>
          <w:szCs w:val="20"/>
          <w:color w:val="auto"/>
        </w:rPr>
      </w:pPr>
    </w:p>
    <w:p>
      <w:pPr>
        <w:ind w:right="20"/>
        <w:spacing w:after="0" w:line="231" w:lineRule="auto"/>
        <w:rPr>
          <w:sz w:val="20"/>
          <w:szCs w:val="20"/>
          <w:color w:val="auto"/>
        </w:rPr>
      </w:pPr>
      <w:r>
        <w:rPr>
          <w:rFonts w:ascii="Arial" w:cs="Arial" w:eastAsia="Arial" w:hAnsi="Arial"/>
          <w:sz w:val="21"/>
          <w:szCs w:val="21"/>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current novel coronavirus (“COVID-19”) pandemic has caused significant social and economic restrictions that have been imposed in the United States and abroad, which has resulted in significant volatility in the global economy and led to reduced economic activity in some industries. In the preparation of these financial statements and related disclosures, we have assessed the impact that COVID-19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situation is unprecedented and ever evolving, future events and effects related to COVID-19 cannot be determined with precision, and actual results could significantly differ from our estimates or forecasts.</w:t>
      </w:r>
    </w:p>
    <w:p>
      <w:pPr>
        <w:spacing w:after="0" w:line="183" w:lineRule="exact"/>
        <w:rPr>
          <w:sz w:val="20"/>
          <w:szCs w:val="20"/>
          <w:color w:val="auto"/>
        </w:rPr>
      </w:pPr>
    </w:p>
    <w:p>
      <w:pPr>
        <w:jc w:val="both"/>
        <w:ind w:right="360"/>
        <w:spacing w:after="0" w:line="241" w:lineRule="auto"/>
        <w:rPr>
          <w:sz w:val="20"/>
          <w:szCs w:val="20"/>
          <w:color w:val="auto"/>
        </w:rPr>
      </w:pPr>
      <w:r>
        <w:rPr>
          <w:rFonts w:ascii="Arial" w:cs="Arial" w:eastAsia="Arial" w:hAnsi="Arial"/>
          <w:sz w:val="21"/>
          <w:szCs w:val="21"/>
          <w:color w:val="auto"/>
        </w:rPr>
        <w:t>There have been no changes to the summary of significant accounting policies previously identified in the Company’s Annual Report on Form 10-K for the year ended December 31, 2019, other than as described below as a result of the completion of the Peoples Gas Acquisition: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1"/>
          <w:szCs w:val="21"/>
          <w:i w:val="1"/>
          <w:iCs w:val="1"/>
          <w:color w:val="auto"/>
        </w:rPr>
        <w:t>Inventories</w:t>
      </w:r>
      <w:r>
        <w:rPr>
          <w:rFonts w:ascii="Arial" w:cs="Arial" w:eastAsia="Arial" w:hAnsi="Arial"/>
          <w:sz w:val="21"/>
          <w:szCs w:val="21"/>
          <w:color w:val="auto"/>
        </w:rPr>
        <w:t>: The Company accounts for gas in storage inventory using the weighted average cost of gas method.</w:t>
      </w:r>
    </w:p>
    <w:p>
      <w:pPr>
        <w:spacing w:after="0" w:line="79" w:lineRule="exact"/>
        <w:rPr>
          <w:sz w:val="20"/>
          <w:szCs w:val="20"/>
          <w:color w:val="auto"/>
        </w:rPr>
      </w:pPr>
    </w:p>
    <w:p>
      <w:pPr>
        <w:ind w:left="700"/>
        <w:spacing w:after="0" w:line="237" w:lineRule="auto"/>
        <w:rPr>
          <w:sz w:val="20"/>
          <w:szCs w:val="20"/>
          <w:color w:val="auto"/>
        </w:rPr>
      </w:pPr>
      <w:r>
        <w:rPr>
          <w:rFonts w:ascii="Arial" w:cs="Arial" w:eastAsia="Arial" w:hAnsi="Arial"/>
          <w:sz w:val="21"/>
          <w:szCs w:val="21"/>
          <w:i w:val="1"/>
          <w:iCs w:val="1"/>
          <w:color w:val="auto"/>
        </w:rPr>
        <w:t xml:space="preserve">Intangible assets: </w:t>
      </w:r>
      <w:r>
        <w:rPr>
          <w:rFonts w:ascii="Arial" w:cs="Arial" w:eastAsia="Arial" w:hAnsi="Arial"/>
          <w:sz w:val="21"/>
          <w:szCs w:val="21"/>
          <w:color w:val="auto"/>
        </w:rPr>
        <w:t>The Company’s intangible assets consist of customer relationships for our non-regulated natural gas</w:t>
      </w:r>
      <w:r>
        <w:rPr>
          <w:rFonts w:ascii="Arial" w:cs="Arial" w:eastAsia="Arial" w:hAnsi="Arial"/>
          <w:sz w:val="21"/>
          <w:szCs w:val="21"/>
          <w:i w:val="1"/>
          <w:iCs w:val="1"/>
          <w:color w:val="auto"/>
        </w:rPr>
        <w:t xml:space="preserve"> </w:t>
      </w:r>
      <w:r>
        <w:rPr>
          <w:rFonts w:ascii="Arial" w:cs="Arial" w:eastAsia="Arial" w:hAnsi="Arial"/>
          <w:sz w:val="21"/>
          <w:szCs w:val="21"/>
          <w:color w:val="auto"/>
        </w:rPr>
        <w:t>operations, and non-compete agreements with certain former employees of Peoples. These intangible assets are amortized on a straight-line basis over their estimated useful lives of fifteen years for the customer relationships and five years for the non-compete agreements.</w:t>
      </w:r>
    </w:p>
    <w:p>
      <w:pPr>
        <w:spacing w:after="0" w:line="49" w:lineRule="exact"/>
        <w:rPr>
          <w:sz w:val="20"/>
          <w:szCs w:val="20"/>
          <w:color w:val="auto"/>
        </w:rPr>
      </w:pPr>
    </w:p>
    <w:p>
      <w:pPr>
        <w:ind w:left="700" w:right="20"/>
        <w:spacing w:after="0" w:line="244" w:lineRule="auto"/>
        <w:rPr>
          <w:sz w:val="20"/>
          <w:szCs w:val="20"/>
          <w:color w:val="auto"/>
        </w:rPr>
      </w:pPr>
      <w:r>
        <w:rPr>
          <w:rFonts w:ascii="Arial" w:cs="Arial" w:eastAsia="Arial" w:hAnsi="Arial"/>
          <w:sz w:val="20"/>
          <w:szCs w:val="20"/>
          <w:i w:val="1"/>
          <w:iCs w:val="1"/>
          <w:color w:val="auto"/>
        </w:rPr>
        <w:t>Derivative Instruments</w:t>
      </w:r>
      <w:r>
        <w:rPr>
          <w:rFonts w:ascii="Arial" w:cs="Arial" w:eastAsia="Arial" w:hAnsi="Arial"/>
          <w:sz w:val="20"/>
          <w:szCs w:val="20"/>
          <w:color w:val="auto"/>
        </w:rPr>
        <w:t>: The Company utilizes requirements contracts, spot purchase contracts and underground storage to</w:t>
      </w:r>
      <w:r>
        <w:rPr>
          <w:rFonts w:ascii="Arial" w:cs="Arial" w:eastAsia="Arial" w:hAnsi="Arial"/>
          <w:sz w:val="20"/>
          <w:szCs w:val="20"/>
          <w:i w:val="1"/>
          <w:iCs w:val="1"/>
          <w:color w:val="auto"/>
        </w:rPr>
        <w:t xml:space="preserve"> </w:t>
      </w:r>
      <w:r>
        <w:rPr>
          <w:rFonts w:ascii="Arial" w:cs="Arial" w:eastAsia="Arial" w:hAnsi="Arial"/>
          <w:sz w:val="20"/>
          <w:szCs w:val="20"/>
          <w:color w:val="auto"/>
        </w:rPr>
        <w:t>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are not recorded at fair value in the Company’s consolidated financial statements.</w:t>
      </w:r>
    </w:p>
    <w:p>
      <w:pPr>
        <w:spacing w:after="0" w:line="48" w:lineRule="exact"/>
        <w:rPr>
          <w:sz w:val="20"/>
          <w:szCs w:val="20"/>
          <w:color w:val="auto"/>
        </w:rPr>
      </w:pPr>
    </w:p>
    <w:p>
      <w:pPr>
        <w:ind w:left="700" w:right="20"/>
        <w:spacing w:after="0" w:line="231" w:lineRule="auto"/>
        <w:rPr>
          <w:sz w:val="20"/>
          <w:szCs w:val="20"/>
          <w:color w:val="auto"/>
        </w:rPr>
      </w:pPr>
      <w:r>
        <w:rPr>
          <w:rFonts w:ascii="Arial" w:cs="Arial" w:eastAsia="Arial" w:hAnsi="Arial"/>
          <w:sz w:val="21"/>
          <w:szCs w:val="21"/>
          <w:i w:val="1"/>
          <w:iCs w:val="1"/>
          <w:color w:val="auto"/>
        </w:rPr>
        <w:t>Asset Retirement Obligations</w:t>
      </w:r>
      <w:r>
        <w:rPr>
          <w:rFonts w:ascii="Arial" w:cs="Arial" w:eastAsia="Arial" w:hAnsi="Arial"/>
          <w:sz w:val="21"/>
          <w:szCs w:val="21"/>
          <w:color w:val="auto"/>
        </w:rPr>
        <w:t>: The Company recognizes asset retirement obligations associated with interim retirements</w:t>
      </w:r>
      <w:r>
        <w:rPr>
          <w:rFonts w:ascii="Arial" w:cs="Arial" w:eastAsia="Arial" w:hAnsi="Arial"/>
          <w:sz w:val="21"/>
          <w:szCs w:val="21"/>
          <w:i w:val="1"/>
          <w:iCs w:val="1"/>
          <w:color w:val="auto"/>
        </w:rPr>
        <w:t xml:space="preserve"> </w:t>
      </w:r>
      <w:r>
        <w:rPr>
          <w:rFonts w:ascii="Arial" w:cs="Arial" w:eastAsia="Arial" w:hAnsi="Arial"/>
          <w:sz w:val="21"/>
          <w:szCs w:val="21"/>
          <w:color w:val="auto"/>
        </w:rPr>
        <w:t>of natural gas gathering, transmission, distribution, production wells, and storage pipeline components at fair value, as incurred, or when sufficient information becomes available to determine a reasonable estimate of the fair value of the retirement activities to be performed. These amounts are capitalized as costs of the related tangible long-lived assets. Since relevant market information is not available, the Company estimates fair value using discounted cash flow analyses. As the Company is able to recover the cost to retire assets through rates, the Company reports the unrecovered accretion of the asset retirement obligations due to the passage of time and the depreciation of the asset retirement costs as a regulatory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2 – </w:t>
      </w:r>
      <w:r>
        <w:rPr>
          <w:rFonts w:ascii="Arial" w:cs="Arial" w:eastAsia="Arial" w:hAnsi="Arial"/>
          <w:sz w:val="21"/>
          <w:szCs w:val="21"/>
          <w:b w:val="1"/>
          <w:bCs w:val="1"/>
          <w:i w:val="1"/>
          <w:iCs w:val="1"/>
          <w:color w:val="auto"/>
        </w:rPr>
        <w:t>Revenue Recognition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presents our revenues disaggregated by major source and customer class: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center"/>
              <w:ind w:right="2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color w:val="auto"/>
                <w:w w:val="90"/>
              </w:rPr>
              <w:t>June 30, 2020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7"/>
              </w:rPr>
              <w:t>June 30, 2019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4"/>
                <w:szCs w:val="14"/>
                <w:color w:val="auto"/>
                <w:w w:val="89"/>
              </w:rPr>
              <w:t>Wastewater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4"/>
                <w:szCs w:val="14"/>
                <w:color w:val="auto"/>
                <w:w w:val="90"/>
              </w:rPr>
              <w:t>Natural Gas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80"/>
              <w:spacing w:after="0" w:line="122" w:lineRule="exact"/>
              <w:rPr>
                <w:sz w:val="20"/>
                <w:szCs w:val="20"/>
                <w:color w:val="auto"/>
              </w:rPr>
            </w:pPr>
            <w:r>
              <w:rPr>
                <w:rFonts w:ascii="Arial" w:cs="Arial" w:eastAsia="Arial" w:hAnsi="Arial"/>
                <w:sz w:val="14"/>
                <w:szCs w:val="14"/>
                <w:color w:val="auto"/>
                <w:w w:val="91"/>
              </w:rPr>
              <w:t>Wastewater</w:t>
            </w:r>
          </w:p>
        </w:tc>
        <w:tc>
          <w:tcPr>
            <w:tcW w:w="120" w:type="dxa"/>
            <w:vAlign w:val="bottom"/>
          </w:tcPr>
          <w:p>
            <w:pPr>
              <w:spacing w:after="0"/>
              <w:rPr>
                <w:sz w:val="10"/>
                <w:szCs w:val="10"/>
                <w:color w:val="auto"/>
              </w:rPr>
            </w:pPr>
          </w:p>
        </w:tc>
        <w:tc>
          <w:tcPr>
            <w:tcW w:w="780" w:type="dxa"/>
            <w:vAlign w:val="bottom"/>
          </w:tcPr>
          <w:p>
            <w:pPr>
              <w:jc w:val="center"/>
              <w:ind w:right="69"/>
              <w:spacing w:after="0" w:line="122"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98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Water Revenues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Revenues</w:t>
            </w: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Other Revenues</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w w:val="92"/>
              </w:rPr>
              <w:t>Water Revenues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Revenues</w:t>
            </w:r>
          </w:p>
        </w:tc>
        <w:tc>
          <w:tcPr>
            <w:tcW w:w="0" w:type="dxa"/>
            <w:vAlign w:val="bottom"/>
          </w:tcPr>
          <w:p>
            <w:pPr>
              <w:spacing w:after="0"/>
              <w:rPr>
                <w:sz w:val="1"/>
                <w:szCs w:val="1"/>
                <w:color w:val="auto"/>
              </w:rPr>
            </w:pPr>
          </w:p>
        </w:tc>
      </w:tr>
      <w:tr>
        <w:trPr>
          <w:trHeight w:val="140"/>
        </w:trPr>
        <w:tc>
          <w:tcPr>
            <w:tcW w:w="298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146,621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23,631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86,191</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126,550</w:t>
            </w: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20,263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31,318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4,942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11,964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35,155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3,797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Fire protection</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8,769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8,260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Industrial</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7,120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396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1,880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7,456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487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Gas transportation</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40,235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Other water</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6,695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11,038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Other wastewater</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1,423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Other utility</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5,684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5,831</w:t>
            </w:r>
          </w:p>
        </w:tc>
        <w:tc>
          <w:tcPr>
            <w:tcW w:w="300" w:type="dxa"/>
            <w:vAlign w:val="bottom"/>
          </w:tcPr>
          <w:p>
            <w:pPr>
              <w:spacing w:after="0"/>
              <w:rPr>
                <w:sz w:val="12"/>
                <w:szCs w:val="12"/>
                <w:color w:val="auto"/>
              </w:rPr>
            </w:pPr>
          </w:p>
        </w:tc>
        <w:tc>
          <w:tcPr>
            <w:tcW w:w="7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3,362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Revenues from contracts with customers</w:t>
            </w: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200,523</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30,232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145,954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5,831</w:t>
            </w:r>
          </w:p>
        </w:tc>
        <w:tc>
          <w:tcPr>
            <w:tcW w:w="3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188,459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25,970</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Alternative revenue program</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317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and eliminations</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745</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line="141" w:lineRule="exact"/>
              <w:rPr>
                <w:sz w:val="20"/>
                <w:szCs w:val="20"/>
                <w:color w:val="auto"/>
              </w:rPr>
            </w:pPr>
            <w:r>
              <w:rPr>
                <w:rFonts w:ascii="Arial" w:cs="Arial" w:eastAsia="Arial" w:hAnsi="Arial"/>
                <w:sz w:val="14"/>
                <w:szCs w:val="14"/>
                <w:color w:val="auto"/>
              </w:rPr>
              <w:t>Consolidated</w:t>
            </w:r>
          </w:p>
        </w:tc>
        <w:tc>
          <w:tcPr>
            <w:tcW w:w="26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200,863</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30,149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146,880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6,576</w:t>
            </w:r>
          </w:p>
        </w:tc>
        <w:tc>
          <w:tcPr>
            <w:tcW w:w="3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188,776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25,868</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4,248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4"/>
                <w:szCs w:val="14"/>
                <w:color w:val="auto"/>
                <w:w w:val="93"/>
              </w:rPr>
              <w:t>Six Months Ended</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color w:val="auto"/>
                <w:w w:val="93"/>
              </w:rPr>
              <w:t>Six Months Ended</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color w:val="auto"/>
                <w:w w:val="90"/>
              </w:rPr>
              <w:t>June 30, 2020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7"/>
              </w:rPr>
              <w:t>June 30, 2019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4"/>
                <w:szCs w:val="14"/>
                <w:color w:val="auto"/>
                <w:w w:val="89"/>
              </w:rPr>
              <w:t>Wastewater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4"/>
                <w:szCs w:val="14"/>
                <w:color w:val="auto"/>
                <w:w w:val="90"/>
              </w:rPr>
              <w:t>Natural Gas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80"/>
              <w:spacing w:after="0" w:line="122" w:lineRule="exact"/>
              <w:rPr>
                <w:sz w:val="20"/>
                <w:szCs w:val="20"/>
                <w:color w:val="auto"/>
              </w:rPr>
            </w:pPr>
            <w:r>
              <w:rPr>
                <w:rFonts w:ascii="Arial" w:cs="Arial" w:eastAsia="Arial" w:hAnsi="Arial"/>
                <w:sz w:val="14"/>
                <w:szCs w:val="14"/>
                <w:color w:val="auto"/>
                <w:w w:val="91"/>
              </w:rPr>
              <w:t>Wastewater</w:t>
            </w:r>
          </w:p>
        </w:tc>
        <w:tc>
          <w:tcPr>
            <w:tcW w:w="120" w:type="dxa"/>
            <w:vAlign w:val="bottom"/>
          </w:tcPr>
          <w:p>
            <w:pPr>
              <w:spacing w:after="0"/>
              <w:rPr>
                <w:sz w:val="10"/>
                <w:szCs w:val="10"/>
                <w:color w:val="auto"/>
              </w:rPr>
            </w:pPr>
          </w:p>
        </w:tc>
        <w:tc>
          <w:tcPr>
            <w:tcW w:w="780" w:type="dxa"/>
            <w:vAlign w:val="bottom"/>
          </w:tcPr>
          <w:p>
            <w:pPr>
              <w:jc w:val="center"/>
              <w:ind w:right="69"/>
              <w:spacing w:after="0" w:line="122"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98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Water Revenues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Revenues</w:t>
            </w: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Other Revenues</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w w:val="92"/>
              </w:rPr>
              <w:t>Water Revenues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Revenues</w:t>
            </w:r>
          </w:p>
        </w:tc>
        <w:tc>
          <w:tcPr>
            <w:tcW w:w="0" w:type="dxa"/>
            <w:vAlign w:val="bottom"/>
          </w:tcPr>
          <w:p>
            <w:pPr>
              <w:spacing w:after="0"/>
              <w:rPr>
                <w:sz w:val="1"/>
                <w:szCs w:val="1"/>
                <w:color w:val="auto"/>
              </w:rPr>
            </w:pPr>
          </w:p>
        </w:tc>
      </w:tr>
      <w:tr>
        <w:trPr>
          <w:trHeight w:val="140"/>
        </w:trPr>
        <w:tc>
          <w:tcPr>
            <w:tcW w:w="298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273,635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46,246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109,091</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240,597</w:t>
            </w: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40,210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66,618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9,393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15,893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65,446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7,364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Fire protection</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17,414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16,338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Industrial</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14,062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842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2,314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14,321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968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Gas transportation</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49,704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Other water</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13,855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23,845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Other wastewater</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Other utility</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6,905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9,544</w:t>
            </w:r>
          </w:p>
        </w:tc>
        <w:tc>
          <w:tcPr>
            <w:tcW w:w="300" w:type="dxa"/>
            <w:vAlign w:val="bottom"/>
          </w:tcPr>
          <w:p>
            <w:pPr>
              <w:spacing w:after="0"/>
              <w:rPr>
                <w:sz w:val="12"/>
                <w:szCs w:val="12"/>
                <w:color w:val="auto"/>
              </w:rPr>
            </w:pPr>
          </w:p>
        </w:tc>
        <w:tc>
          <w:tcPr>
            <w:tcW w:w="7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6,252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Revenues from contracts with customers</w:t>
            </w: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385,584</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58,468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183,907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9,544</w:t>
            </w:r>
          </w:p>
        </w:tc>
        <w:tc>
          <w:tcPr>
            <w:tcW w:w="3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360,547</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51,361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Alternative revenue program</w:t>
            </w:r>
          </w:p>
        </w:tc>
        <w:tc>
          <w:tcPr>
            <w:tcW w:w="2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281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and eliminations</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1,588</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line="141" w:lineRule="exact"/>
              <w:rPr>
                <w:sz w:val="20"/>
                <w:szCs w:val="20"/>
                <w:color w:val="auto"/>
              </w:rPr>
            </w:pPr>
            <w:r>
              <w:rPr>
                <w:rFonts w:ascii="Arial" w:cs="Arial" w:eastAsia="Arial" w:hAnsi="Arial"/>
                <w:sz w:val="14"/>
                <w:szCs w:val="14"/>
                <w:color w:val="auto"/>
              </w:rPr>
              <w:t>Consolidated</w:t>
            </w:r>
          </w:p>
        </w:tc>
        <w:tc>
          <w:tcPr>
            <w:tcW w:w="26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385,643</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58,363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184,915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11,132</w:t>
            </w:r>
          </w:p>
        </w:tc>
        <w:tc>
          <w:tcPr>
            <w:tcW w:w="3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360,828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51,146</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8,050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right="240"/>
        <w:spacing w:after="0" w:line="241" w:lineRule="auto"/>
        <w:rPr>
          <w:sz w:val="20"/>
          <w:szCs w:val="20"/>
          <w:color w:val="auto"/>
        </w:rPr>
      </w:pPr>
      <w:r>
        <w:rPr>
          <w:rFonts w:ascii="Arial" w:cs="Arial" w:eastAsia="Arial" w:hAnsi="Arial"/>
          <w:sz w:val="21"/>
          <w:szCs w:val="21"/>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18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b w:val="1"/>
          <w:bCs w:val="1"/>
          <w:i w:val="1"/>
          <w:iCs w:val="1"/>
          <w:color w:val="auto"/>
        </w:rPr>
        <w:t xml:space="preserve">Revenues from Contracts with Customers – </w:t>
      </w:r>
      <w:r>
        <w:rPr>
          <w:rFonts w:ascii="Arial" w:cs="Arial" w:eastAsia="Arial" w:hAnsi="Arial"/>
          <w:sz w:val="20"/>
          <w:szCs w:val="20"/>
          <w:color w:val="auto"/>
        </w:rPr>
        <w:t>These revenues are composed of four main categories: water, wastewater, natural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gas, and other. Water revenues represent revenues earned for supplying customers with water service. Wastewater revenues represent revenues earned for treating wastewater and releasing it into the environment. Natural gas revenues represent revenues earned for the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40" w:right="242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31" w:lineRule="auto"/>
        <w:rPr>
          <w:sz w:val="20"/>
          <w:szCs w:val="20"/>
          <w:color w:val="auto"/>
        </w:rPr>
      </w:pPr>
      <w:r>
        <w:rPr>
          <w:rFonts w:ascii="Arial" w:cs="Arial" w:eastAsia="Arial" w:hAnsi="Arial"/>
          <w:sz w:val="21"/>
          <w:szCs w:val="21"/>
          <w:b w:val="1"/>
          <w:bCs w:val="1"/>
          <w:i w:val="1"/>
          <w:iCs w:val="1"/>
          <w:color w:val="auto"/>
        </w:rPr>
        <w:t xml:space="preserve">Tariff Revenues – </w:t>
      </w:r>
      <w:r>
        <w:rPr>
          <w:rFonts w:ascii="Arial" w:cs="Arial" w:eastAsia="Arial" w:hAnsi="Arial"/>
          <w:sz w:val="21"/>
          <w:szCs w:val="21"/>
          <w:color w:val="auto"/>
        </w:rPr>
        <w:t>These revenues are categorized by customer class: residential, commercial, fire protection, industrial, gas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transportation,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wastewater treatment service, or delivery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87"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i w:val="1"/>
          <w:iCs w:val="1"/>
          <w:color w:val="auto"/>
        </w:rPr>
        <w:t xml:space="preserve">Other Utility Revenues – </w:t>
      </w:r>
      <w:r>
        <w:rPr>
          <w:rFonts w:ascii="Arial" w:cs="Arial" w:eastAsia="Arial" w:hAnsi="Arial"/>
          <w:sz w:val="20"/>
          <w:szCs w:val="20"/>
          <w:color w:val="auto"/>
        </w:rPr>
        <w:t>Other utility revenues represent revenues earned primarily from: antenna revenues, which represent fees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Alternative Revenue Program:</w:t>
      </w:r>
    </w:p>
    <w:p>
      <w:pPr>
        <w:spacing w:after="0" w:line="213" w:lineRule="exact"/>
        <w:rPr>
          <w:sz w:val="20"/>
          <w:szCs w:val="20"/>
          <w:color w:val="auto"/>
        </w:rPr>
      </w:pPr>
    </w:p>
    <w:p>
      <w:pPr>
        <w:ind w:left="640" w:right="80"/>
        <w:spacing w:after="0"/>
        <w:rPr>
          <w:sz w:val="20"/>
          <w:szCs w:val="20"/>
          <w:color w:val="auto"/>
        </w:rPr>
      </w:pPr>
      <w:r>
        <w:rPr>
          <w:rFonts w:ascii="Arial" w:cs="Arial" w:eastAsia="Arial" w:hAnsi="Arial"/>
          <w:sz w:val="20"/>
          <w:szCs w:val="20"/>
          <w:color w:val="auto"/>
        </w:rPr>
        <w:t>Water / Wastewater Revenues: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w:t>
      </w:r>
    </w:p>
    <w:p>
      <w:pPr>
        <w:spacing w:after="0" w:line="2" w:lineRule="exact"/>
        <w:rPr>
          <w:sz w:val="20"/>
          <w:szCs w:val="20"/>
          <w:color w:val="auto"/>
        </w:rPr>
      </w:pPr>
    </w:p>
    <w:p>
      <w:pPr>
        <w:ind w:left="640" w:right="80"/>
        <w:spacing w:after="0" w:line="229" w:lineRule="auto"/>
        <w:rPr>
          <w:sz w:val="20"/>
          <w:szCs w:val="20"/>
          <w:color w:val="auto"/>
        </w:rPr>
      </w:pPr>
      <w:r>
        <w:rPr>
          <w:rFonts w:ascii="Arial" w:cs="Arial" w:eastAsia="Arial" w:hAnsi="Arial"/>
          <w:sz w:val="21"/>
          <w:szCs w:val="21"/>
          <w:color w:val="auto"/>
        </w:rPr>
        <w:t>Natural Gas Revenues: These revenues represent the weather-normalization adjustment (“WNA”) mechanism in place for our natural gas customers served in Kentucky. The WNA serves to minimize the effects of weather on the Company’s gross margin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88" w:lineRule="exact"/>
        <w:rPr>
          <w:sz w:val="20"/>
          <w:szCs w:val="20"/>
          <w:color w:val="auto"/>
        </w:rPr>
      </w:pPr>
    </w:p>
    <w:p>
      <w:pPr>
        <w:jc w:val="both"/>
        <w:ind w:right="100"/>
        <w:spacing w:after="0" w:line="241" w:lineRule="auto"/>
        <w:rPr>
          <w:sz w:val="20"/>
          <w:szCs w:val="20"/>
          <w:color w:val="auto"/>
        </w:rPr>
      </w:pPr>
      <w:r>
        <w:rPr>
          <w:rFonts w:ascii="Arial" w:cs="Arial" w:eastAsia="Arial" w:hAnsi="Arial"/>
          <w:sz w:val="21"/>
          <w:szCs w:val="21"/>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81" w:lineRule="auto"/>
        <w:rPr>
          <w:sz w:val="20"/>
          <w:szCs w:val="20"/>
          <w:color w:val="auto"/>
        </w:rPr>
      </w:pPr>
      <w:r>
        <w:rPr>
          <w:rFonts w:ascii="Arial" w:cs="Arial" w:eastAsia="Arial" w:hAnsi="Arial"/>
          <w:sz w:val="20"/>
          <w:szCs w:val="20"/>
          <w:b w:val="1"/>
          <w:bCs w:val="1"/>
          <w:i w:val="1"/>
          <w:iCs w:val="1"/>
          <w:color w:val="auto"/>
        </w:rPr>
        <w:t xml:space="preserve">Other and Eliminations – </w:t>
      </w:r>
      <w:r>
        <w:rPr>
          <w:rFonts w:ascii="Arial" w:cs="Arial" w:eastAsia="Arial" w:hAnsi="Arial"/>
          <w:sz w:val="20"/>
          <w:szCs w:val="20"/>
          <w:color w:val="auto"/>
        </w:rPr>
        <w:t>Other and eliminations consist of our market-based revenues, which comprises Aqua Infrastructure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Aqua Resources (described below) and intercompany eliminations for revenue billed between our subsidiaries.</w:t>
      </w:r>
    </w:p>
    <w:p>
      <w:pPr>
        <w:spacing w:after="0" w:line="144"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that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 and comprehensive income.</w:t>
      </w:r>
    </w:p>
    <w:p>
      <w:pPr>
        <w:spacing w:after="0" w:line="177" w:lineRule="exact"/>
        <w:rPr>
          <w:sz w:val="20"/>
          <w:szCs w:val="20"/>
          <w:color w:val="auto"/>
        </w:rPr>
      </w:pPr>
    </w:p>
    <w:p>
      <w:pPr>
        <w:ind w:right="200"/>
        <w:spacing w:after="0" w:line="237" w:lineRule="auto"/>
        <w:rPr>
          <w:sz w:val="20"/>
          <w:szCs w:val="20"/>
          <w:color w:val="auto"/>
        </w:rPr>
      </w:pPr>
      <w:r>
        <w:rPr>
          <w:rFonts w:ascii="Arial" w:cs="Arial" w:eastAsia="Arial" w:hAnsi="Arial"/>
          <w:sz w:val="21"/>
          <w:szCs w:val="21"/>
          <w:color w:val="auto"/>
        </w:rPr>
        <w:t>Aqua Resources earns revenues by providing non-regulated water services through an operating and maintenance contract, and third-party water and sewer service line protection and repair services. The performance obligations are performing agreed upon contract services to operate the water system, or allowing the use of our logo to a third-party water and sewer service line repair. Revenues are primarily recognized over time as service is delivered.</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3 – </w:t>
      </w:r>
      <w:r>
        <w:rPr>
          <w:rFonts w:ascii="Arial" w:cs="Arial" w:eastAsia="Arial" w:hAnsi="Arial"/>
          <w:sz w:val="21"/>
          <w:szCs w:val="21"/>
          <w:b w:val="1"/>
          <w:bCs w:val="1"/>
          <w:i w:val="1"/>
          <w:iCs w:val="1"/>
          <w:color w:val="auto"/>
        </w:rPr>
        <w:t>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Peoples Gas Acquisition</w:t>
      </w:r>
    </w:p>
    <w:p>
      <w:pPr>
        <w:spacing w:after="0" w:line="21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closing. There is a dispute between the parties regarding this adjustment and it’s expected the matter will be resolved in accordance with the provisions of the purchase agreement. The estimated purchase price paid by the Company was determined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20"/>
                <w:szCs w:val="20"/>
                <w:color w:val="auto"/>
              </w:rPr>
              <w:t>Base purchase price</w:t>
            </w:r>
          </w:p>
        </w:tc>
        <w:tc>
          <w:tcPr>
            <w:tcW w:w="1140" w:type="dxa"/>
            <w:vAlign w:val="bottom"/>
            <w:gridSpan w:val="2"/>
            <w:shd w:val="clear" w:color="auto" w:fill="CCEEFF"/>
          </w:tcPr>
          <w:p>
            <w:pPr>
              <w:jc w:val="right"/>
              <w:ind w:right="964"/>
              <w:spacing w:after="0"/>
              <w:rPr>
                <w:sz w:val="20"/>
                <w:szCs w:val="20"/>
                <w:color w:val="auto"/>
              </w:rPr>
            </w:pPr>
            <w:r>
              <w:rPr>
                <w:rFonts w:ascii="Arial" w:cs="Arial" w:eastAsia="Arial" w:hAnsi="Arial"/>
                <w:sz w:val="20"/>
                <w:szCs w:val="20"/>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4,275,000</w:t>
            </w:r>
          </w:p>
        </w:tc>
      </w:tr>
      <w:tr>
        <w:trPr>
          <w:trHeight w:val="201"/>
        </w:trPr>
        <w:tc>
          <w:tcPr>
            <w:tcW w:w="8140" w:type="dxa"/>
            <w:vAlign w:val="bottom"/>
          </w:tcPr>
          <w:p>
            <w:pPr>
              <w:spacing w:after="0" w:line="201" w:lineRule="exact"/>
              <w:rPr>
                <w:sz w:val="20"/>
                <w:szCs w:val="20"/>
                <w:color w:val="auto"/>
              </w:rPr>
            </w:pPr>
            <w:r>
              <w:rPr>
                <w:rFonts w:ascii="Arial" w:cs="Arial" w:eastAsia="Arial" w:hAnsi="Arial"/>
                <w:sz w:val="20"/>
                <w:szCs w:val="20"/>
                <w:color w:val="auto"/>
              </w:rPr>
              <w:t>Adjustments: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1"/>
        </w:trPr>
        <w:tc>
          <w:tcPr>
            <w:tcW w:w="8140" w:type="dxa"/>
            <w:vAlign w:val="bottom"/>
            <w:shd w:val="clear" w:color="auto" w:fill="CCEEFF"/>
          </w:tcPr>
          <w:p>
            <w:pPr>
              <w:ind w:left="100"/>
              <w:spacing w:after="0" w:line="201" w:lineRule="exact"/>
              <w:rPr>
                <w:sz w:val="20"/>
                <w:szCs w:val="20"/>
                <w:color w:val="auto"/>
              </w:rPr>
            </w:pPr>
            <w:r>
              <w:rPr>
                <w:rFonts w:ascii="Arial" w:cs="Arial" w:eastAsia="Arial" w:hAnsi="Arial"/>
                <w:sz w:val="20"/>
                <w:szCs w:val="20"/>
                <w:color w:val="auto"/>
              </w:rPr>
              <w:t>Estimated change in working capital</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1" w:lineRule="exact"/>
              <w:rPr>
                <w:sz w:val="20"/>
                <w:szCs w:val="20"/>
                <w:color w:val="auto"/>
              </w:rPr>
            </w:pPr>
            <w:r>
              <w:rPr>
                <w:rFonts w:ascii="Arial" w:cs="Arial" w:eastAsia="Arial" w:hAnsi="Arial"/>
                <w:sz w:val="20"/>
                <w:szCs w:val="20"/>
                <w:color w:val="auto"/>
              </w:rPr>
              <w:t>43,935</w:t>
            </w:r>
          </w:p>
        </w:tc>
      </w:tr>
      <w:tr>
        <w:trPr>
          <w:trHeight w:val="201"/>
        </w:trPr>
        <w:tc>
          <w:tcPr>
            <w:tcW w:w="8140" w:type="dxa"/>
            <w:vAlign w:val="bottom"/>
          </w:tcPr>
          <w:p>
            <w:pPr>
              <w:ind w:left="100"/>
              <w:spacing w:after="0" w:line="201" w:lineRule="exact"/>
              <w:rPr>
                <w:sz w:val="20"/>
                <w:szCs w:val="20"/>
                <w:color w:val="auto"/>
              </w:rPr>
            </w:pPr>
            <w:r>
              <w:rPr>
                <w:rFonts w:ascii="Arial" w:cs="Arial" w:eastAsia="Arial" w:hAnsi="Arial"/>
                <w:sz w:val="20"/>
                <w:szCs w:val="20"/>
                <w:color w:val="auto"/>
              </w:rPr>
              <w:t>Certain estimated capital expenditures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jc w:val="right"/>
              <w:spacing w:after="0" w:line="201" w:lineRule="exact"/>
              <w:rPr>
                <w:sz w:val="20"/>
                <w:szCs w:val="20"/>
                <w:color w:val="auto"/>
              </w:rPr>
            </w:pPr>
            <w:r>
              <w:rPr>
                <w:rFonts w:ascii="Arial" w:cs="Arial" w:eastAsia="Arial" w:hAnsi="Arial"/>
                <w:sz w:val="20"/>
                <w:szCs w:val="20"/>
                <w:color w:val="auto"/>
              </w:rPr>
              <w:t>247,500</w:t>
            </w:r>
          </w:p>
        </w:tc>
      </w:tr>
      <w:tr>
        <w:trPr>
          <w:trHeight w:val="201"/>
        </w:trPr>
        <w:tc>
          <w:tcPr>
            <w:tcW w:w="8140" w:type="dxa"/>
            <w:vAlign w:val="bottom"/>
            <w:shd w:val="clear" w:color="auto" w:fill="CCEEFF"/>
          </w:tcPr>
          <w:p>
            <w:pPr>
              <w:ind w:left="100"/>
              <w:spacing w:after="0" w:line="201" w:lineRule="exact"/>
              <w:rPr>
                <w:sz w:val="20"/>
                <w:szCs w:val="20"/>
                <w:color w:val="auto"/>
              </w:rPr>
            </w:pPr>
            <w:r>
              <w:rPr>
                <w:rFonts w:ascii="Arial" w:cs="Arial" w:eastAsia="Arial" w:hAnsi="Arial"/>
                <w:sz w:val="20"/>
                <w:szCs w:val="20"/>
                <w:color w:val="auto"/>
              </w:rPr>
              <w:t>Assumption of indebtedness</w:t>
            </w:r>
          </w:p>
        </w:tc>
        <w:tc>
          <w:tcPr>
            <w:tcW w:w="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20"/>
                <w:szCs w:val="20"/>
                <w:color w:val="auto"/>
              </w:rPr>
              <w:t>(1,101,091)</w:t>
            </w:r>
          </w:p>
        </w:tc>
      </w:tr>
      <w:tr>
        <w:trPr>
          <w:trHeight w:val="194"/>
        </w:trPr>
        <w:tc>
          <w:tcPr>
            <w:tcW w:w="8140" w:type="dxa"/>
            <w:vAlign w:val="bottom"/>
          </w:tcPr>
          <w:p>
            <w:pPr>
              <w:spacing w:after="0" w:line="194" w:lineRule="exact"/>
              <w:rPr>
                <w:sz w:val="20"/>
                <w:szCs w:val="20"/>
                <w:color w:val="auto"/>
              </w:rPr>
            </w:pPr>
            <w:r>
              <w:rPr>
                <w:rFonts w:ascii="Arial" w:cs="Arial" w:eastAsia="Arial" w:hAnsi="Arial"/>
                <w:sz w:val="20"/>
                <w:szCs w:val="20"/>
                <w:color w:val="auto"/>
              </w:rPr>
              <w:t>Cash consideration</w:t>
            </w: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3,465,344</w:t>
            </w: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-147320</wp:posOffset>
            </wp:positionV>
            <wp:extent cx="1970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04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40" w:right="242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37" w:lineRule="auto"/>
        <w:rPr>
          <w:sz w:val="20"/>
          <w:szCs w:val="20"/>
          <w:color w:val="auto"/>
        </w:rPr>
      </w:pPr>
      <w:r>
        <w:rPr>
          <w:rFonts w:ascii="Arial" w:cs="Arial" w:eastAsia="Arial" w:hAnsi="Arial"/>
          <w:sz w:val="21"/>
          <w:szCs w:val="21"/>
          <w:color w:val="auto"/>
        </w:rPr>
        <w:t xml:space="preserve">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 Refer to Note 6 – </w:t>
      </w:r>
      <w:r>
        <w:rPr>
          <w:rFonts w:ascii="Arial" w:cs="Arial" w:eastAsia="Arial" w:hAnsi="Arial"/>
          <w:sz w:val="21"/>
          <w:szCs w:val="21"/>
          <w:i w:val="1"/>
          <w:iCs w:val="1"/>
          <w:color w:val="auto"/>
        </w:rPr>
        <w:t xml:space="preserve">Capitalization </w:t>
      </w:r>
      <w:r>
        <w:rPr>
          <w:rFonts w:ascii="Arial" w:cs="Arial" w:eastAsia="Arial" w:hAnsi="Arial"/>
          <w:sz w:val="21"/>
          <w:szCs w:val="21"/>
          <w:color w:val="auto"/>
        </w:rPr>
        <w:t>for further information on these financings.</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The Company accounted for the Peoples Gas Acquisition as a business combination using the acquisition method of accounting. The estimated purchase price is allocated to the net tangible and intangible assets based upon their estimated fair values at the date of the acquisition. The purchase price allocation is preliminary and subject to revision. The Company has not completed the allocation of the purchase price as we are finalizing the valuation of the net assets acquired, including the evaluation of certain acquired contracts, and asset retirement obligations, among others. Additionally, we are finalizing the purchase price for the capital expenditures adjustments provided for in the purchase agreement. During the second quarter of 2020, the Company recorded an adjustment to reduce goodwill by $18,240 primarily reflecting the completion of its review of the pension and other postretirement benefits obligations acquired, associated adjustments to deferred income taxes, and the valuation of intangible assets associated with customer relationships. The Company expects to finalize the purchase price allocation no later than the first quarter of 2021. Additionally, in the event we identify changes to acquired deferred tax asset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we record the offset to goodwill. The preliminary purchase price allocation is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20"/>
          <w:szCs w:val="20"/>
          <w:color w:val="auto"/>
        </w:rPr>
        <w:t>Current assets</w:t>
      </w:r>
    </w:p>
    <w:p>
      <w:pPr>
        <w:spacing w:after="0" w:line="209" w:lineRule="auto"/>
        <w:rPr>
          <w:sz w:val="20"/>
          <w:szCs w:val="20"/>
          <w:color w:val="auto"/>
        </w:rPr>
      </w:pPr>
      <w:r>
        <w:rPr>
          <w:rFonts w:ascii="Arial" w:cs="Arial" w:eastAsia="Arial" w:hAnsi="Arial"/>
          <w:sz w:val="20"/>
          <w:szCs w:val="20"/>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10" w:lineRule="auto"/>
        <w:rPr>
          <w:sz w:val="20"/>
          <w:szCs w:val="20"/>
          <w:color w:val="auto"/>
        </w:rPr>
      </w:pPr>
      <w:r>
        <w:rPr>
          <w:rFonts w:ascii="Arial" w:cs="Arial" w:eastAsia="Arial" w:hAnsi="Arial"/>
          <w:sz w:val="20"/>
          <w:szCs w:val="20"/>
          <w:color w:val="auto"/>
        </w:rPr>
        <w:t>Goodwill</w:t>
      </w:r>
    </w:p>
    <w:p>
      <w:pPr>
        <w:spacing w:after="0" w:line="223" w:lineRule="auto"/>
        <w:rPr>
          <w:sz w:val="20"/>
          <w:szCs w:val="20"/>
          <w:color w:val="auto"/>
        </w:rPr>
      </w:pPr>
      <w:r>
        <w:rPr>
          <w:rFonts w:ascii="Arial" w:cs="Arial" w:eastAsia="Arial" w:hAnsi="Arial"/>
          <w:sz w:val="20"/>
          <w:szCs w:val="20"/>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3590" cy="127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Total assets acquired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20"/>
          <w:szCs w:val="20"/>
          <w:color w:val="auto"/>
        </w:rPr>
        <w:t>Loans payable</w:t>
      </w:r>
    </w:p>
    <w:p>
      <w:pPr>
        <w:spacing w:after="0" w:line="209" w:lineRule="auto"/>
        <w:rPr>
          <w:sz w:val="20"/>
          <w:szCs w:val="20"/>
          <w:color w:val="auto"/>
        </w:rPr>
      </w:pPr>
      <w:r>
        <w:rPr>
          <w:rFonts w:ascii="Arial" w:cs="Arial" w:eastAsia="Arial" w:hAnsi="Arial"/>
          <w:sz w:val="20"/>
          <w:szCs w:val="20"/>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10" w:lineRule="auto"/>
        <w:rPr>
          <w:sz w:val="20"/>
          <w:szCs w:val="20"/>
          <w:color w:val="auto"/>
        </w:rPr>
      </w:pPr>
      <w:r>
        <w:rPr>
          <w:rFonts w:ascii="Arial" w:cs="Arial" w:eastAsia="Arial" w:hAnsi="Arial"/>
          <w:sz w:val="20"/>
          <w:szCs w:val="20"/>
          <w:color w:val="auto"/>
        </w:rPr>
        <w:t>Long-term debt</w:t>
      </w:r>
    </w:p>
    <w:p>
      <w:pPr>
        <w:spacing w:after="0" w:line="209" w:lineRule="auto"/>
        <w:rPr>
          <w:sz w:val="20"/>
          <w:szCs w:val="20"/>
          <w:color w:val="auto"/>
        </w:rPr>
      </w:pPr>
      <w:r>
        <w:rPr>
          <w:rFonts w:ascii="Arial" w:cs="Arial" w:eastAsia="Arial" w:hAnsi="Arial"/>
          <w:sz w:val="20"/>
          <w:szCs w:val="20"/>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27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20"/>
          <w:szCs w:val="20"/>
          <w:color w:val="auto"/>
        </w:rPr>
        <w:t>Regulatory liabilities</w:t>
      </w:r>
    </w:p>
    <w:p>
      <w:pPr>
        <w:spacing w:after="0" w:line="224" w:lineRule="auto"/>
        <w:rPr>
          <w:sz w:val="20"/>
          <w:szCs w:val="20"/>
          <w:color w:val="auto"/>
        </w:rPr>
      </w:pPr>
      <w:r>
        <w:rPr>
          <w:rFonts w:ascii="Arial" w:cs="Arial" w:eastAsia="Arial" w:hAnsi="Arial"/>
          <w:sz w:val="20"/>
          <w:szCs w:val="20"/>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27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Total liabilities assumed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33590"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jc w:val="right"/>
        <w:ind w:right="226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200660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040" w:type="dxa"/>
            <w:vAlign w:val="bottom"/>
          </w:tcPr>
          <w:p>
            <w:pPr>
              <w:jc w:val="right"/>
              <w:ind w:right="763"/>
              <w:spacing w:after="0"/>
              <w:rPr>
                <w:sz w:val="20"/>
                <w:szCs w:val="20"/>
                <w:color w:val="auto"/>
              </w:rPr>
            </w:pPr>
            <w:r>
              <w:rPr>
                <w:rFonts w:ascii="Arial" w:cs="Arial" w:eastAsia="Arial" w:hAnsi="Arial"/>
                <w:sz w:val="20"/>
                <w:szCs w:val="20"/>
                <w:color w:val="auto"/>
              </w:rPr>
              <w:t>March 16,</w:t>
            </w:r>
          </w:p>
        </w:tc>
      </w:tr>
      <w:tr>
        <w:trPr>
          <w:trHeight w:val="231"/>
        </w:trPr>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63"/>
              <w:spacing w:after="0"/>
              <w:rPr>
                <w:sz w:val="20"/>
                <w:szCs w:val="20"/>
                <w:color w:val="auto"/>
              </w:rPr>
            </w:pPr>
            <w:r>
              <w:rPr>
                <w:rFonts w:ascii="Arial" w:cs="Arial" w:eastAsia="Arial" w:hAnsi="Arial"/>
                <w:sz w:val="20"/>
                <w:szCs w:val="20"/>
                <w:color w:val="auto"/>
              </w:rPr>
              <w:t>2020</w:t>
            </w:r>
          </w:p>
        </w:tc>
      </w:tr>
      <w:tr>
        <w:trPr>
          <w:trHeight w:val="164"/>
        </w:trPr>
        <w:tc>
          <w:tcPr>
            <w:tcW w:w="480" w:type="dxa"/>
            <w:vAlign w:val="bottom"/>
          </w:tcPr>
          <w:p>
            <w:pPr>
              <w:jc w:val="right"/>
              <w:ind w:right="287"/>
              <w:spacing w:after="0" w:line="164" w:lineRule="exact"/>
              <w:rPr>
                <w:sz w:val="20"/>
                <w:szCs w:val="20"/>
                <w:color w:val="auto"/>
              </w:rPr>
            </w:pPr>
            <w:r>
              <w:rPr>
                <w:rFonts w:ascii="Arial" w:cs="Arial" w:eastAsia="Arial" w:hAnsi="Arial"/>
                <w:sz w:val="17"/>
                <w:szCs w:val="17"/>
                <w:color w:val="auto"/>
                <w:w w:val="84"/>
              </w:rPr>
              <w:t>$</w:t>
            </w:r>
          </w:p>
        </w:tc>
        <w:tc>
          <w:tcPr>
            <w:tcW w:w="2040" w:type="dxa"/>
            <w:vAlign w:val="bottom"/>
          </w:tcPr>
          <w:p>
            <w:pPr>
              <w:jc w:val="right"/>
              <w:spacing w:after="0" w:line="164" w:lineRule="exact"/>
              <w:rPr>
                <w:sz w:val="20"/>
                <w:szCs w:val="20"/>
                <w:color w:val="auto"/>
              </w:rPr>
            </w:pPr>
            <w:r>
              <w:rPr>
                <w:rFonts w:ascii="Arial" w:cs="Arial" w:eastAsia="Arial" w:hAnsi="Arial"/>
                <w:sz w:val="17"/>
                <w:szCs w:val="17"/>
                <w:color w:val="auto"/>
              </w:rPr>
              <w:t>2,468,946</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242,531</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281,940</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2,269,437</w:t>
            </w:r>
          </w:p>
        </w:tc>
      </w:tr>
      <w:tr>
        <w:trPr>
          <w:trHeight w:val="231"/>
        </w:trPr>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82,296</w:t>
            </w:r>
          </w:p>
        </w:tc>
      </w:tr>
      <w:tr>
        <w:trPr>
          <w:trHeight w:val="194"/>
        </w:trPr>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5,345,150</w:t>
            </w:r>
          </w:p>
        </w:tc>
      </w:tr>
      <w:tr>
        <w:trPr>
          <w:trHeight w:val="364"/>
        </w:trPr>
        <w:tc>
          <w:tcPr>
            <w:tcW w:w="4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5,136</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181,000</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183,971</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999,460</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232,160</w:t>
            </w:r>
          </w:p>
        </w:tc>
      </w:tr>
      <w:tr>
        <w:trPr>
          <w:trHeight w:val="201"/>
        </w:trPr>
        <w:tc>
          <w:tcPr>
            <w:tcW w:w="480" w:type="dxa"/>
            <w:vAlign w:val="bottom"/>
          </w:tcPr>
          <w:p>
            <w:pPr>
              <w:spacing w:after="0"/>
              <w:rPr>
                <w:sz w:val="17"/>
                <w:szCs w:val="17"/>
                <w:color w:val="auto"/>
              </w:rPr>
            </w:pPr>
          </w:p>
        </w:tc>
        <w:tc>
          <w:tcPr>
            <w:tcW w:w="2040" w:type="dxa"/>
            <w:vAlign w:val="bottom"/>
          </w:tcPr>
          <w:p>
            <w:pPr>
              <w:jc w:val="right"/>
              <w:spacing w:after="0" w:line="201" w:lineRule="exact"/>
              <w:rPr>
                <w:sz w:val="20"/>
                <w:szCs w:val="20"/>
                <w:color w:val="auto"/>
              </w:rPr>
            </w:pPr>
            <w:r>
              <w:rPr>
                <w:rFonts w:ascii="Arial" w:cs="Arial" w:eastAsia="Arial" w:hAnsi="Arial"/>
                <w:sz w:val="20"/>
                <w:szCs w:val="20"/>
                <w:color w:val="auto"/>
              </w:rPr>
              <w:t>123,029</w:t>
            </w:r>
          </w:p>
        </w:tc>
      </w:tr>
      <w:tr>
        <w:trPr>
          <w:trHeight w:val="231"/>
        </w:trPr>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155,050</w:t>
            </w:r>
          </w:p>
        </w:tc>
      </w:tr>
      <w:tr>
        <w:trPr>
          <w:trHeight w:val="194"/>
        </w:trPr>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1,879,806</w:t>
            </w:r>
          </w:p>
        </w:tc>
      </w:tr>
      <w:tr>
        <w:trPr>
          <w:trHeight w:val="194"/>
        </w:trPr>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94"/>
        </w:trPr>
        <w:tc>
          <w:tcPr>
            <w:tcW w:w="480" w:type="dxa"/>
            <w:vAlign w:val="bottom"/>
            <w:tcBorders>
              <w:bottom w:val="single" w:sz="8" w:color="auto"/>
            </w:tcBorders>
          </w:tcPr>
          <w:p>
            <w:pPr>
              <w:jc w:val="right"/>
              <w:ind w:right="287"/>
              <w:spacing w:after="0" w:line="194" w:lineRule="exact"/>
              <w:rPr>
                <w:sz w:val="20"/>
                <w:szCs w:val="20"/>
                <w:color w:val="auto"/>
              </w:rPr>
            </w:pPr>
            <w:r>
              <w:rPr>
                <w:rFonts w:ascii="Arial" w:cs="Arial" w:eastAsia="Arial" w:hAnsi="Arial"/>
                <w:sz w:val="20"/>
                <w:szCs w:val="20"/>
                <w:color w:val="auto"/>
                <w:w w:val="71"/>
              </w:rPr>
              <w:t>$</w:t>
            </w:r>
          </w:p>
        </w:tc>
        <w:tc>
          <w:tcPr>
            <w:tcW w:w="2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3,465,344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000" w:space="720"/>
            <w:col w:w="2520"/>
          </w:cols>
          <w:pgMar w:left="320" w:top="118" w:right="339" w:bottom="1440" w:gutter="0" w:footer="0" w:header="0"/>
          <w:type w:val="continuous"/>
        </w:sectPr>
      </w:pPr>
    </w:p>
    <w:bookmarkStart w:id="16" w:name="page17"/>
    <w:bookmarkEnd w:id="16"/>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spacing w:after="0" w:line="241" w:lineRule="auto"/>
        <w:rPr>
          <w:sz w:val="20"/>
          <w:szCs w:val="20"/>
          <w:color w:val="auto"/>
        </w:rPr>
      </w:pPr>
      <w:r>
        <w:rPr>
          <w:rFonts w:ascii="Arial" w:cs="Arial" w:eastAsia="Arial" w:hAnsi="Arial"/>
          <w:sz w:val="21"/>
          <w:szCs w:val="21"/>
          <w:color w:val="auto"/>
        </w:rPr>
        <w:t>The fair value of long-term debt was determined based on prevailing market prices for similar debt issuances as of March 16, 2020, which resulted in an adjustment to increase the carrying amount by $84,569. The fair value adjustment will be amortized over the remaining life of the debt.</w:t>
      </w:r>
    </w:p>
    <w:p>
      <w:pPr>
        <w:spacing w:after="0" w:line="182" w:lineRule="exact"/>
        <w:rPr>
          <w:sz w:val="20"/>
          <w:szCs w:val="20"/>
          <w:color w:val="auto"/>
        </w:rPr>
      </w:pPr>
    </w:p>
    <w:p>
      <w:pPr>
        <w:ind w:right="200"/>
        <w:spacing w:after="0" w:line="241" w:lineRule="auto"/>
        <w:rPr>
          <w:sz w:val="20"/>
          <w:szCs w:val="20"/>
          <w:color w:val="auto"/>
        </w:rPr>
      </w:pPr>
      <w:r>
        <w:rPr>
          <w:rFonts w:ascii="Arial" w:cs="Arial" w:eastAsia="Arial" w:hAnsi="Arial"/>
          <w:sz w:val="21"/>
          <w:szCs w:val="21"/>
          <w:color w:val="auto"/>
        </w:rPr>
        <w:t>Goodwill is attributable to the assembled workforce of Peoples, planned growth in new markets, and planned growth in rate base through continued investment in utility infrastructure. Goodwill recorded for the Peoples Gas Acquisition is not expected to be deductible for tax purposes.</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The Company incurred transaction-related expenses for the Peoples Gas Acquisition, which consists of costs recorded as operations and maintenance expenses for both the three and six months ended June 30, 2020 of $25,397, and for the three and six months ended June 30, 2019 of $12,744 and $19,390, respectively, primarily representing expenses associated with investment banking fees, employee related costs, obtaining regulatory approvals, legal expenses, and integration planning. Additionally, in the second quarter of 2019, income was recognized on the mark-to-market fair value adjustments of $11,040 through its settlement date of April 24, 2019, For the year to date 2019 period through settlement on April 24, 2019, the change in fair value of interest rate swap agreements of $23,742 represents expense recognized from the mark-to-market adjustment. The interest rate swap agreements were settled on April 24, 2019, which coincided with debt financings to partially fund the Peoples Gas Acquisition.</w:t>
      </w:r>
    </w:p>
    <w:p>
      <w:pPr>
        <w:spacing w:after="0" w:line="167" w:lineRule="exact"/>
        <w:rPr>
          <w:sz w:val="20"/>
          <w:szCs w:val="20"/>
          <w:color w:val="auto"/>
        </w:rPr>
      </w:pPr>
    </w:p>
    <w:p>
      <w:pPr>
        <w:jc w:val="both"/>
        <w:ind w:right="340"/>
        <w:spacing w:after="0" w:line="279" w:lineRule="auto"/>
        <w:rPr>
          <w:sz w:val="20"/>
          <w:szCs w:val="20"/>
          <w:color w:val="auto"/>
        </w:rPr>
      </w:pPr>
      <w:r>
        <w:rPr>
          <w:rFonts w:ascii="Arial" w:cs="Arial" w:eastAsia="Arial" w:hAnsi="Arial"/>
          <w:sz w:val="19"/>
          <w:szCs w:val="19"/>
          <w:color w:val="auto"/>
        </w:rPr>
        <w:t>The results of Peoples have been included in our consolidated financial statements as of the Closing Date. Peoples contributed revenues of $188,181 and earnings of $31,753 for the period from the Closing Date to June 30, 2020. The following pro forma summary presents consolidated information as if the Peoples Gas Acquisition had occurred on January 1,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gridSpan w:val="5"/>
          </w:tcPr>
          <w:p>
            <w:pPr>
              <w:jc w:val="center"/>
              <w:ind w:right="640"/>
              <w:spacing w:after="0"/>
              <w:rPr>
                <w:sz w:val="20"/>
                <w:szCs w:val="20"/>
                <w:color w:val="auto"/>
              </w:rPr>
            </w:pPr>
            <w:r>
              <w:rPr>
                <w:rFonts w:ascii="Arial" w:cs="Arial" w:eastAsia="Arial" w:hAnsi="Arial"/>
                <w:sz w:val="21"/>
                <w:szCs w:val="21"/>
                <w:color w:val="auto"/>
                <w:w w:val="92"/>
              </w:rPr>
              <w:t>Three Months Ended</w:t>
            </w:r>
          </w:p>
        </w:tc>
        <w:tc>
          <w:tcPr>
            <w:tcW w:w="380" w:type="dxa"/>
            <w:vAlign w:val="bottom"/>
          </w:tcPr>
          <w:p>
            <w:pPr>
              <w:spacing w:after="0"/>
              <w:rPr>
                <w:sz w:val="20"/>
                <w:szCs w:val="20"/>
                <w:color w:val="auto"/>
              </w:rPr>
            </w:pPr>
          </w:p>
        </w:tc>
        <w:tc>
          <w:tcPr>
            <w:tcW w:w="2860" w:type="dxa"/>
            <w:vAlign w:val="bottom"/>
            <w:gridSpan w:val="4"/>
          </w:tcPr>
          <w:p>
            <w:pPr>
              <w:jc w:val="center"/>
              <w:ind w:right="273"/>
              <w:spacing w:after="0"/>
              <w:rPr>
                <w:sz w:val="20"/>
                <w:szCs w:val="20"/>
                <w:color w:val="auto"/>
              </w:rPr>
            </w:pPr>
            <w:r>
              <w:rPr>
                <w:rFonts w:ascii="Arial" w:cs="Arial" w:eastAsia="Arial" w:hAnsi="Arial"/>
                <w:sz w:val="21"/>
                <w:szCs w:val="21"/>
                <w:color w:val="auto"/>
                <w:w w:val="93"/>
              </w:rPr>
              <w:t>Six Months Ended</w:t>
            </w:r>
          </w:p>
        </w:tc>
      </w:tr>
      <w:tr>
        <w:trPr>
          <w:trHeight w:val="249"/>
        </w:trPr>
        <w:tc>
          <w:tcPr>
            <w:tcW w:w="4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21"/>
                <w:szCs w:val="21"/>
                <w:color w:val="auto"/>
                <w:w w:val="86"/>
              </w:rPr>
              <w:t>June 30,</w:t>
            </w:r>
          </w:p>
        </w:tc>
        <w:tc>
          <w:tcPr>
            <w:tcW w:w="12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21"/>
                <w:szCs w:val="21"/>
                <w:color w:val="auto"/>
                <w:w w:val="89"/>
              </w:rPr>
              <w:t>June 30,</w:t>
            </w:r>
          </w:p>
        </w:tc>
        <w:tc>
          <w:tcPr>
            <w:tcW w:w="1060" w:type="dxa"/>
            <w:vAlign w:val="bottom"/>
            <w:tcBorders>
              <w:bottom w:val="single" w:sz="8" w:color="auto"/>
            </w:tcBorders>
          </w:tcPr>
          <w:p>
            <w:pPr>
              <w:spacing w:after="0"/>
              <w:rPr>
                <w:sz w:val="21"/>
                <w:szCs w:val="21"/>
                <w:color w:val="auto"/>
              </w:rPr>
            </w:pPr>
          </w:p>
        </w:tc>
      </w:tr>
      <w:tr>
        <w:trPr>
          <w:trHeight w:val="221"/>
        </w:trPr>
        <w:tc>
          <w:tcPr>
            <w:tcW w:w="4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3"/>
              <w:spacing w:after="0" w:line="221" w:lineRule="exact"/>
              <w:rPr>
                <w:sz w:val="20"/>
                <w:szCs w:val="20"/>
                <w:color w:val="auto"/>
              </w:rPr>
            </w:pPr>
            <w:r>
              <w:rPr>
                <w:rFonts w:ascii="Arial" w:cs="Arial" w:eastAsia="Arial" w:hAnsi="Arial"/>
                <w:sz w:val="21"/>
                <w:szCs w:val="21"/>
                <w:color w:val="auto"/>
              </w:rPr>
              <w:t>2020</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3"/>
              <w:spacing w:after="0" w:line="221" w:lineRule="exact"/>
              <w:rPr>
                <w:sz w:val="20"/>
                <w:szCs w:val="20"/>
                <w:color w:val="auto"/>
              </w:rPr>
            </w:pPr>
            <w:r>
              <w:rPr>
                <w:rFonts w:ascii="Arial" w:cs="Arial" w:eastAsia="Arial" w:hAnsi="Arial"/>
                <w:sz w:val="21"/>
                <w:szCs w:val="21"/>
                <w:color w:val="auto"/>
              </w:rPr>
              <w:t>2019</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3"/>
              <w:spacing w:after="0" w:line="221" w:lineRule="exact"/>
              <w:rPr>
                <w:sz w:val="20"/>
                <w:szCs w:val="20"/>
                <w:color w:val="auto"/>
              </w:rPr>
            </w:pPr>
            <w:r>
              <w:rPr>
                <w:rFonts w:ascii="Arial" w:cs="Arial" w:eastAsia="Arial" w:hAnsi="Arial"/>
                <w:sz w:val="21"/>
                <w:szCs w:val="21"/>
                <w:color w:val="auto"/>
              </w:rPr>
              <w:t>2019</w:t>
            </w:r>
          </w:p>
        </w:tc>
      </w:tr>
      <w:tr>
        <w:trPr>
          <w:trHeight w:val="221"/>
        </w:trPr>
        <w:tc>
          <w:tcPr>
            <w:tcW w:w="418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Operating revenues</w:t>
            </w:r>
          </w:p>
        </w:tc>
        <w:tc>
          <w:tcPr>
            <w:tcW w:w="400" w:type="dxa"/>
            <w:vAlign w:val="bottom"/>
            <w:shd w:val="clear" w:color="auto" w:fill="CCEEFF"/>
          </w:tcPr>
          <w:p>
            <w:pPr>
              <w:jc w:val="right"/>
              <w:ind w:right="198"/>
              <w:spacing w:after="0" w:line="221"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384,468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3"/>
              <w:spacing w:after="0" w:line="221" w:lineRule="exact"/>
              <w:rPr>
                <w:sz w:val="20"/>
                <w:szCs w:val="20"/>
                <w:color w:val="auto"/>
              </w:rPr>
            </w:pPr>
            <w:r>
              <w:rPr>
                <w:rFonts w:ascii="Arial" w:cs="Arial" w:eastAsia="Arial" w:hAnsi="Arial"/>
                <w:sz w:val="21"/>
                <w:szCs w:val="21"/>
                <w:color w:val="auto"/>
                <w:w w:val="85"/>
              </w:rPr>
              <w:t>$</w:t>
            </w:r>
          </w:p>
        </w:tc>
        <w:tc>
          <w:tcPr>
            <w:tcW w:w="120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351,758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3"/>
              <w:spacing w:after="0" w:line="221" w:lineRule="exact"/>
              <w:rPr>
                <w:sz w:val="20"/>
                <w:szCs w:val="20"/>
                <w:color w:val="auto"/>
              </w:rPr>
            </w:pPr>
            <w:r>
              <w:rPr>
                <w:rFonts w:ascii="Arial" w:cs="Arial" w:eastAsia="Arial" w:hAnsi="Arial"/>
                <w:sz w:val="21"/>
                <w:szCs w:val="21"/>
                <w:color w:val="auto"/>
                <w:w w:val="85"/>
              </w:rPr>
              <w:t>$</w:t>
            </w:r>
          </w:p>
        </w:tc>
        <w:tc>
          <w:tcPr>
            <w:tcW w:w="114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921,121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33"/>
              <w:spacing w:after="0" w:line="221" w:lineRule="exact"/>
              <w:rPr>
                <w:sz w:val="20"/>
                <w:szCs w:val="20"/>
                <w:color w:val="auto"/>
              </w:rPr>
            </w:pPr>
            <w:r>
              <w:rPr>
                <w:rFonts w:ascii="Arial" w:cs="Arial" w:eastAsia="Arial" w:hAnsi="Arial"/>
                <w:sz w:val="21"/>
                <w:szCs w:val="21"/>
                <w:color w:val="auto"/>
                <w:w w:val="85"/>
              </w:rPr>
              <w:t>$</w:t>
            </w:r>
          </w:p>
        </w:tc>
        <w:tc>
          <w:tcPr>
            <w:tcW w:w="10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950,421</w:t>
            </w:r>
          </w:p>
        </w:tc>
      </w:tr>
      <w:tr>
        <w:trPr>
          <w:trHeight w:val="273"/>
        </w:trPr>
        <w:tc>
          <w:tcPr>
            <w:tcW w:w="4180" w:type="dxa"/>
            <w:vAlign w:val="bottom"/>
          </w:tcPr>
          <w:p>
            <w:pPr>
              <w:spacing w:after="0"/>
              <w:rPr>
                <w:sz w:val="20"/>
                <w:szCs w:val="20"/>
                <w:color w:val="auto"/>
              </w:rPr>
            </w:pPr>
            <w:r>
              <w:rPr>
                <w:rFonts w:ascii="Arial" w:cs="Arial" w:eastAsia="Arial" w:hAnsi="Arial"/>
                <w:sz w:val="21"/>
                <w:szCs w:val="21"/>
                <w:color w:val="auto"/>
              </w:rPr>
              <w:t>Net income</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74,629</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54,530</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211,921</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122,605</w:t>
            </w:r>
          </w:p>
        </w:tc>
      </w:tr>
    </w:tbl>
    <w:p>
      <w:pPr>
        <w:spacing w:after="0" w:line="161"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The supplemental pro forma information is not necessarily representative of the actual results that may have occurred for these periods or of the results that may occur in the future. This supplemental pro forma information is based upon the historical operating results of Peoples for periods prior to the Closing Date, and is adjusted to reflect the effect of non-recurring acquisition-related costs, incurred in 2020 and 2019 as if they occurred on January 1, 2019, including $20,628 ($25,197 pre-tax) and $16,464 ($21,406 pre-tax) of expenses incurred in 2020 and 2019, respectively, primarily associated with investment banking fees, obtaining regulatory approvals, legal expenses and other direct costs of the Peoples Gas Acquisition, adjustments to reflect net acquisition financing as of January 1, 2019 of $35,812 ($46,129 pre-tax), the elimination of interest on debt that was not assumed in the acquisition of $7,084 ($9,962 pre-tax), and the elimination of a management fee charged quarterly to Peoples by its former parent company of $885 ($1,245 pre-tax).</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60" w:right="240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37" w:lineRule="auto"/>
        <w:rPr>
          <w:sz w:val="20"/>
          <w:szCs w:val="20"/>
          <w:color w:val="auto"/>
        </w:rPr>
      </w:pPr>
      <w:r>
        <w:rPr>
          <w:rFonts w:ascii="Arial" w:cs="Arial" w:eastAsia="Arial" w:hAnsi="Arial"/>
          <w:sz w:val="21"/>
          <w:szCs w:val="21"/>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16, 2020, as a result of our completion of the Peoples Gas Acquisition, the Company terminated the Bridge Commitment.</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the year 2020 to its natural gas utility customers and water and wastewater customers served by Aqua Pennsylvania, Inc. (“Aqua Pennsylvania”). The Company expects to grant the customer rate credits to its water and wastewater customers during the third quarter of 2020, and natural gas utility customers will be granted a credit in the fourth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Water and Wastewater Utility Acquisitions</w:t>
      </w:r>
    </w:p>
    <w:p>
      <w:pPr>
        <w:spacing w:after="0" w:line="213" w:lineRule="exact"/>
        <w:rPr>
          <w:sz w:val="20"/>
          <w:szCs w:val="20"/>
          <w:color w:val="auto"/>
        </w:rPr>
      </w:pPr>
    </w:p>
    <w:p>
      <w:pPr>
        <w:ind w:right="140"/>
        <w:spacing w:after="0" w:line="241" w:lineRule="auto"/>
        <w:rPr>
          <w:sz w:val="20"/>
          <w:szCs w:val="20"/>
          <w:color w:val="auto"/>
        </w:rPr>
      </w:pPr>
      <w:r>
        <w:rPr>
          <w:rFonts w:ascii="Arial" w:cs="Arial" w:eastAsia="Arial" w:hAnsi="Arial"/>
          <w:sz w:val="21"/>
          <w:szCs w:val="21"/>
          <w:color w:val="auto"/>
        </w:rPr>
        <w:t>In June 2020, the Company acquired the wastewater utility system assets of East Norriton Township, Pennsylvania, which serves 4,947 customers. The total cash purchase price for the utility system was $21,000. The purchase price allocation for this acquisition consisted primarily of property, plant and equipment.</w:t>
      </w:r>
    </w:p>
    <w:p>
      <w:pPr>
        <w:spacing w:after="0" w:line="182" w:lineRule="exact"/>
        <w:rPr>
          <w:sz w:val="20"/>
          <w:szCs w:val="20"/>
          <w:color w:val="auto"/>
        </w:rPr>
      </w:pPr>
    </w:p>
    <w:p>
      <w:pPr>
        <w:ind w:right="460"/>
        <w:spacing w:after="0" w:line="241" w:lineRule="auto"/>
        <w:rPr>
          <w:sz w:val="20"/>
          <w:szCs w:val="20"/>
          <w:color w:val="auto"/>
        </w:rPr>
      </w:pPr>
      <w:r>
        <w:rPr>
          <w:rFonts w:ascii="Arial" w:cs="Arial" w:eastAsia="Arial" w:hAnsi="Arial"/>
          <w:sz w:val="21"/>
          <w:szCs w:val="21"/>
          <w:color w:val="auto"/>
        </w:rPr>
        <w:t>In January 2020, the Company acquired the water utility system assets of the City of Campbell, Ohio, which serves 3,126 customers. The total cash purchase price for the utility system was $7,500. The purchase price allocation for this acquisition consisted primarily of acquired property, plant and equipment.</w:t>
      </w:r>
    </w:p>
    <w:p>
      <w:pPr>
        <w:spacing w:after="0" w:line="182"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In December 2019, the Company acquired the wastewater utility system assets of Cheltenham Township, Pennsylvania, which serves 9,887 customers for $50,250. The preliminary purchase price allocation for this acquisition consisted primarily of property, plant and equipment of $44,440 and goodwill of $5,810. Additionally, in 2019, the Company completed seven acquisitions of water and wastewater utility systems in three states adding 2,393 customers. The total purchase price of these utility systems consisted of $9,437 in cash. The purchase price allocation for these acquisitions consisted primarily of acquired property, plant and equipment. The pro forma effect of the utility systems acquired is not material either individually or collectively to the Company’s results of operations.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 w:name="page19"/>
    <w:bookmarkEnd w:id="18"/>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94"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In September 2019,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for our acquisition of DELCORA is expected to occur in early 2021, subject to the timing of the regulatory approval processes and DELCORA’s litigation with Delaware County.</w:t>
      </w:r>
    </w:p>
    <w:p>
      <w:pPr>
        <w:spacing w:after="0" w:line="187" w:lineRule="exact"/>
        <w:rPr>
          <w:sz w:val="20"/>
          <w:szCs w:val="20"/>
          <w:color w:val="auto"/>
        </w:rPr>
      </w:pPr>
    </w:p>
    <w:p>
      <w:pPr>
        <w:ind w:right="180"/>
        <w:spacing w:after="0" w:line="232" w:lineRule="auto"/>
        <w:rPr>
          <w:sz w:val="20"/>
          <w:szCs w:val="20"/>
          <w:color w:val="auto"/>
        </w:rPr>
      </w:pPr>
      <w:r>
        <w:rPr>
          <w:rFonts w:ascii="Arial" w:cs="Arial" w:eastAsia="Arial" w:hAnsi="Arial"/>
          <w:sz w:val="21"/>
          <w:szCs w:val="21"/>
          <w:color w:val="auto"/>
        </w:rPr>
        <w:t>In addition to the Company’s pending acquisition of DELCORA, the Company has a purchase agreement to acquire the wastewater utility system assets of New Garden Township, Pennsylvania, which will add approximately 2,106 customers, for a total purchase price in cash of $29,500. We plan to finance the purchase price of this acquisition utilizing our revolving credit facility until permanent debt is secured. The purchase price for this acquisition is subject to certain adjustments at closing, and is subject to regulatory approval, including the final determination of the fair value of the rate base acquired. Closing for our acquisition of New Garden Township is expected to occur in the fourth quarter of 2020, subject to the timing of the regulatory approval processes.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4 – </w:t>
      </w:r>
      <w:r>
        <w:rPr>
          <w:rFonts w:ascii="Arial" w:cs="Arial" w:eastAsia="Arial" w:hAnsi="Arial"/>
          <w:sz w:val="21"/>
          <w:szCs w:val="21"/>
          <w:b w:val="1"/>
          <w:bCs w:val="1"/>
          <w:i w:val="1"/>
          <w:iCs w:val="1"/>
          <w:color w:val="auto"/>
        </w:rPr>
        <w:t>Goodwill</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changes in the Company’s goodwill, by business segment: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w w:val="90"/>
              </w:rPr>
              <w:t>Regulated</w:t>
            </w:r>
          </w:p>
        </w:tc>
        <w:tc>
          <w:tcPr>
            <w:tcW w:w="200" w:type="dxa"/>
            <w:vAlign w:val="bottom"/>
          </w:tcPr>
          <w:p>
            <w:pPr>
              <w:spacing w:after="0"/>
              <w:rPr>
                <w:sz w:val="18"/>
                <w:szCs w:val="18"/>
                <w:color w:val="auto"/>
              </w:rPr>
            </w:pP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w w:val="90"/>
              </w:rPr>
              <w:t>Regulated Natural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5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Water</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Gas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7"/>
              </w:rPr>
              <w:t>Consolidated</w:t>
            </w:r>
          </w:p>
        </w:tc>
      </w:tr>
      <w:tr>
        <w:trPr>
          <w:trHeight w:val="181"/>
        </w:trPr>
        <w:tc>
          <w:tcPr>
            <w:tcW w:w="56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58,981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4,841</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63,822</w:t>
            </w:r>
          </w:p>
        </w:tc>
      </w:tr>
      <w:tr>
        <w:trPr>
          <w:trHeight w:val="187"/>
        </w:trPr>
        <w:tc>
          <w:tcPr>
            <w:tcW w:w="5620" w:type="dxa"/>
            <w:vAlign w:val="bottom"/>
          </w:tcPr>
          <w:p>
            <w:pPr>
              <w:ind w:left="100"/>
              <w:spacing w:after="0" w:line="188" w:lineRule="exact"/>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Arial" w:cs="Arial" w:eastAsia="Arial" w:hAnsi="Arial"/>
                <w:sz w:val="18"/>
                <w:szCs w:val="18"/>
                <w:color w:val="auto"/>
              </w:rPr>
              <w:t>2,269,437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line="188" w:lineRule="exact"/>
              <w:rPr>
                <w:sz w:val="20"/>
                <w:szCs w:val="20"/>
                <w:color w:val="auto"/>
              </w:rPr>
            </w:pPr>
            <w:r>
              <w:rPr>
                <w:rFonts w:ascii="Arial" w:cs="Arial" w:eastAsia="Arial" w:hAnsi="Arial"/>
                <w:sz w:val="18"/>
                <w:szCs w:val="18"/>
                <w:color w:val="auto"/>
              </w:rPr>
              <w:t>2,269,555</w:t>
            </w:r>
          </w:p>
        </w:tc>
      </w:tr>
      <w:tr>
        <w:trPr>
          <w:trHeight w:val="187"/>
        </w:trPr>
        <w:tc>
          <w:tcPr>
            <w:tcW w:w="5620" w:type="dxa"/>
            <w:vAlign w:val="bottom"/>
            <w:shd w:val="clear" w:color="auto" w:fill="CCEEFF"/>
          </w:tcPr>
          <w:p>
            <w:pPr>
              <w:ind w:left="100"/>
              <w:spacing w:after="0" w:line="188" w:lineRule="exact"/>
              <w:rPr>
                <w:sz w:val="20"/>
                <w:szCs w:val="20"/>
                <w:color w:val="auto"/>
              </w:rPr>
            </w:pPr>
            <w:r>
              <w:rPr>
                <w:rFonts w:ascii="Arial" w:cs="Arial" w:eastAsia="Arial" w:hAnsi="Arial"/>
                <w:sz w:val="18"/>
                <w:szCs w:val="18"/>
                <w:color w:val="auto"/>
              </w:rPr>
              <w:t>Reclassification to utility plant acquisition adjustment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(91)</w:t>
            </w:r>
          </w:p>
        </w:tc>
      </w:tr>
      <w:tr>
        <w:trPr>
          <w:trHeight w:val="187"/>
        </w:trPr>
        <w:tc>
          <w:tcPr>
            <w:tcW w:w="5620" w:type="dxa"/>
            <w:vAlign w:val="bottom"/>
            <w:tcBorders>
              <w:bottom w:val="single" w:sz="8" w:color="CCEEFF"/>
            </w:tcBorders>
          </w:tcPr>
          <w:p>
            <w:pPr>
              <w:ind w:left="100"/>
              <w:spacing w:after="0" w:line="188"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249</w:t>
            </w:r>
          </w:p>
        </w:tc>
      </w:tr>
      <w:tr>
        <w:trPr>
          <w:trHeight w:val="181"/>
        </w:trPr>
        <w:tc>
          <w:tcPr>
            <w:tcW w:w="562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59,257</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2,269,437</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4,841</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2,333,535</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00"/>
        <w:spacing w:after="0" w:line="241" w:lineRule="auto"/>
        <w:rPr>
          <w:sz w:val="20"/>
          <w:szCs w:val="20"/>
          <w:color w:val="auto"/>
        </w:rPr>
      </w:pPr>
      <w:r>
        <w:rPr>
          <w:rFonts w:ascii="Arial" w:cs="Arial" w:eastAsia="Arial" w:hAnsi="Arial"/>
          <w:sz w:val="21"/>
          <w:szCs w:val="21"/>
          <w:color w:val="auto"/>
        </w:rPr>
        <w:t xml:space="preserve">On March 16, 2020, the Company completed the Peoples Gas Acquisition, which resulted in initial goodwill of $2,269,437, subject to adjustment over the one year measurement period. Refer to Note 3 – </w:t>
      </w:r>
      <w:r>
        <w:rPr>
          <w:rFonts w:ascii="Arial" w:cs="Arial" w:eastAsia="Arial" w:hAnsi="Arial"/>
          <w:sz w:val="21"/>
          <w:szCs w:val="21"/>
          <w:i w:val="1"/>
          <w:iCs w:val="1"/>
          <w:color w:val="auto"/>
        </w:rPr>
        <w:t>Acquisitions</w:t>
      </w:r>
      <w:r>
        <w:rPr>
          <w:rFonts w:ascii="Arial" w:cs="Arial" w:eastAsia="Arial" w:hAnsi="Arial"/>
          <w:sz w:val="21"/>
          <w:szCs w:val="21"/>
          <w:color w:val="auto"/>
        </w:rPr>
        <w:t xml:space="preserve"> for information about the goodwill attributed to our Regulated Natural Gas segment.</w:t>
      </w:r>
    </w:p>
    <w:p>
      <w:pPr>
        <w:spacing w:after="0" w:line="182" w:lineRule="exact"/>
        <w:rPr>
          <w:sz w:val="20"/>
          <w:szCs w:val="20"/>
          <w:color w:val="auto"/>
        </w:rPr>
      </w:pPr>
    </w:p>
    <w:p>
      <w:pPr>
        <w:jc w:val="both"/>
        <w:ind w:right="60"/>
        <w:spacing w:after="0" w:line="241" w:lineRule="auto"/>
        <w:rPr>
          <w:sz w:val="20"/>
          <w:szCs w:val="20"/>
          <w:color w:val="auto"/>
        </w:rPr>
      </w:pPr>
      <w:r>
        <w:rPr>
          <w:rFonts w:ascii="Arial" w:cs="Arial" w:eastAsia="Arial" w:hAnsi="Arial"/>
          <w:sz w:val="21"/>
          <w:szCs w:val="21"/>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 upon achieving specific objectives.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40" w:right="242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5 – </w:t>
      </w:r>
      <w:r>
        <w:rPr>
          <w:rFonts w:ascii="Arial" w:cs="Arial" w:eastAsia="Arial" w:hAnsi="Arial"/>
          <w:sz w:val="21"/>
          <w:szCs w:val="21"/>
          <w:b w:val="1"/>
          <w:bCs w:val="1"/>
          <w:i w:val="1"/>
          <w:iCs w:val="1"/>
          <w:color w:val="auto"/>
        </w:rPr>
        <w:t>Assets Held for Sale</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In the fourth quarter of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$403.</w:t>
      </w:r>
    </w:p>
    <w:p>
      <w:pPr>
        <w:spacing w:after="0" w:line="165" w:lineRule="exact"/>
        <w:rPr>
          <w:sz w:val="20"/>
          <w:szCs w:val="20"/>
          <w:color w:val="auto"/>
        </w:rPr>
      </w:pPr>
    </w:p>
    <w:p>
      <w:pPr>
        <w:jc w:val="both"/>
        <w:ind w:right="700"/>
        <w:spacing w:after="0" w:line="259" w:lineRule="auto"/>
        <w:rPr>
          <w:sz w:val="20"/>
          <w:szCs w:val="20"/>
          <w:color w:val="auto"/>
        </w:rPr>
      </w:pPr>
      <w:r>
        <w:rPr>
          <w:rFonts w:ascii="Arial" w:cs="Arial" w:eastAsia="Arial" w:hAnsi="Arial"/>
          <w:sz w:val="20"/>
          <w:szCs w:val="20"/>
          <w:color w:val="auto"/>
        </w:rPr>
        <w:t>In the first quarter of 2017, the Company decided to market for sale a water system in Texas that serves approximately 265 customers. This water system is reported as assets held for sale in the Company’s consolidated balance sheet, and pending completion of all regulatory approvals, the sale is expected to close in 2020.</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6 – </w:t>
      </w:r>
      <w:r>
        <w:rPr>
          <w:rFonts w:ascii="Arial" w:cs="Arial" w:eastAsia="Arial" w:hAnsi="Arial"/>
          <w:sz w:val="21"/>
          <w:szCs w:val="21"/>
          <w:b w:val="1"/>
          <w:bCs w:val="1"/>
          <w:i w:val="1"/>
          <w:iCs w:val="1"/>
          <w:color w:val="auto"/>
        </w:rPr>
        <w:t>Capitalization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Stockholders’ Equity</w:t>
      </w:r>
    </w:p>
    <w:p>
      <w:pPr>
        <w:spacing w:after="0" w:line="213" w:lineRule="exact"/>
        <w:rPr>
          <w:sz w:val="20"/>
          <w:szCs w:val="20"/>
          <w:color w:val="auto"/>
        </w:rPr>
      </w:pPr>
    </w:p>
    <w:p>
      <w:pPr>
        <w:ind w:right="480"/>
        <w:spacing w:after="0" w:line="256" w:lineRule="auto"/>
        <w:rPr>
          <w:sz w:val="20"/>
          <w:szCs w:val="20"/>
          <w:color w:val="auto"/>
        </w:rPr>
      </w:pPr>
      <w:r>
        <w:rPr>
          <w:rFonts w:ascii="Arial" w:cs="Arial" w:eastAsia="Arial" w:hAnsi="Arial"/>
          <w:sz w:val="21"/>
          <w:szCs w:val="21"/>
          <w:color w:val="auto"/>
        </w:rPr>
        <w:t>In May 2020, Essential Utilities’ shareholders approved an increase in the number of shares of common stock authorized, par value $0.50 per share, from 300,000,000 shares to 600,000,000 shares.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Private Placement</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On March 29, 2019, the Company entered into a Stock Purchase Agreement (the “Stock Purchase Agreement”) with Canada Pension Plan Investment Board (the “Investor”), pursuant to which the Company has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The Investor has agreed to certain transfer restrictions for a period of 15 months from the closing date of the Peoples Gas Acquisition.</w:t>
      </w:r>
    </w:p>
    <w:p>
      <w:pPr>
        <w:spacing w:after="0" w:line="177" w:lineRule="exact"/>
        <w:rPr>
          <w:sz w:val="20"/>
          <w:szCs w:val="20"/>
          <w:color w:val="auto"/>
        </w:rPr>
      </w:pPr>
    </w:p>
    <w:p>
      <w:pPr>
        <w:ind w:right="60"/>
        <w:spacing w:after="0" w:line="229"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 Based on the common stock offering noted below, the Private Placement was priced at $34.62 per share.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60"/>
        <w:spacing w:after="0" w:line="237" w:lineRule="auto"/>
        <w:rPr>
          <w:sz w:val="20"/>
          <w:szCs w:val="20"/>
          <w:color w:val="auto"/>
        </w:rPr>
      </w:pPr>
      <w:r>
        <w:rPr>
          <w:rFonts w:ascii="Arial" w:cs="Arial" w:eastAsia="Arial" w:hAnsi="Arial"/>
          <w:sz w:val="21"/>
          <w:szCs w:val="21"/>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Common Stock / Tangible Equity Unit Issuances</w:t>
      </w:r>
    </w:p>
    <w:p>
      <w:pPr>
        <w:spacing w:after="0" w:line="213"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color w:val="auto"/>
        </w:rPr>
        <w:t>On April 23, 2019, the Company issued $1,293,750, less expenses of $30,651, of its common stock and $690,000, less expenses of $16,358, of its tangible equity units (the “Units”), with a stated amount of $50 per unit. These issuances were part of the permanent financing to close the Peoples Gas Acquisition. The common stock was issued at $34.62 per share and thus the Private Placement noted above was priced at $34.62 per share.</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the first six months of 2020, 1,979,570 stock purchase contracts were early settled by the holders of the contracts, resulting in the issuance of 2,335,654 shares of the Company’s common stock. The balance of stock purchase contracts is 7,711,138.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Long-term Debt and Loans Payable</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On April 3, 2020, the Company entered into a credit agreement that provided the Company with short-term borrowing capacity of up to $500,000 in unsecured term loans, which matures on April 2, 2021. The Company borrowed the full $500,000 on April 3, 2020, which was used for general corporate purposes and to strengthen its liquidity and cash position, and maximize its financial flexibility in light of the uncertainty surrounding the impact of the COVID-19 pandemic. In May and June 2020, the Company repaid $300,000 and $200,000 of the term loans, respectively and based on the Company’s ability to access financial markets we terminated the facility. The term loans bore interest at either the Adjusted LIBO Rate or the Alternate Base Rate, as each such term is defined in the Term Loan Agreement. Amounts under the term loan could not be re-borrowed upon repayment. Additionally, on April 13, 2020, the Company issued $1,100,000 of long-term debt, less expenses of $10,525,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on March 13, 2020, and to repay borrowings under its existing five year unsecured revolving credit agreement. Further, on May 1,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On March 13, 2020, in connection with the closing of the Peoples Gas Acquisition, the Company amended its existing five year unsecured revolving credit agreement, which expires in December 2023, to provide the Company with an additional $300,000 of borrowing capacity, and pursuant to the terms of the revolving credit facility, our borrowing capacity thereunder was further increased by $150,000 upon the completion of the Peoples Gas Acquisition on March 16, 2020. As a result of these increases, our total borrowing capacity increased to $1,000,000. Further, on March 13, 2020, the Company entered into a 364 day $150,000 credit agreement pursuant to which the Company borrowed $150,000, which was used to fund a portion of the Peoples Gas Acquisition in lieu of additional borrowings under our revolving credit facility, which was subsequently repaid with the proceeds from the Company’s April 2020 long-term debt issuance noted above.</w:t>
      </w:r>
    </w:p>
    <w:p>
      <w:pPr>
        <w:spacing w:after="0" w:line="183"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The Company completed the Peoples Gas Acquisition on March 16, 2020, which resulted in the assumption of $1,101,091 of indebtedness, which includes $920,091 of senior notes and $181,000 of short-term debt. The senior notes have maturities ranging from 2020 to 2032 and interest rates that range from 2.90% to 6.42%. The short-term debt assumed at closing was repaid with the proceeds from the Company’s April 2020 long-term debt issuance noted above.</w:t>
      </w:r>
    </w:p>
    <w:p>
      <w:pPr>
        <w:spacing w:after="0" w:line="171" w:lineRule="exact"/>
        <w:rPr>
          <w:sz w:val="20"/>
          <w:szCs w:val="20"/>
          <w:color w:val="auto"/>
        </w:rPr>
      </w:pPr>
    </w:p>
    <w:p>
      <w:pPr>
        <w:ind w:right="620"/>
        <w:spacing w:after="0" w:line="281" w:lineRule="auto"/>
        <w:rPr>
          <w:sz w:val="20"/>
          <w:szCs w:val="20"/>
          <w:color w:val="auto"/>
        </w:rPr>
      </w:pPr>
      <w:r>
        <w:rPr>
          <w:rFonts w:ascii="Arial" w:cs="Arial" w:eastAsia="Arial" w:hAnsi="Arial"/>
          <w:sz w:val="20"/>
          <w:szCs w:val="20"/>
          <w:color w:val="auto"/>
        </w:rPr>
        <w:t>On April 26, 2019, the Company issued $900,000 of long-term debt (the “Senior Notes”), less expenses of $7,931, of which $400,000 is due in 2029, and $500,000 is due in 2049 with interest rates of 3.566% and 4.276%,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34" w:lineRule="auto"/>
        <w:rPr>
          <w:sz w:val="20"/>
          <w:szCs w:val="20"/>
          <w:color w:val="auto"/>
        </w:rPr>
      </w:pPr>
      <w:r>
        <w:rPr>
          <w:rFonts w:ascii="Arial" w:cs="Arial" w:eastAsia="Arial" w:hAnsi="Arial"/>
          <w:sz w:val="21"/>
          <w:szCs w:val="21"/>
          <w:color w:val="auto"/>
        </w:rPr>
        <w:t>The Company used the net proceeds from the April 2019 issuance of Senior Notes, together with the net proceeds from the common stock offering and tangible equity unit offering noted above, as well as the proceeds from the Private Placement of common stock noted above, to (1) secure funding for the Peoples Gas Acquisition, (2) complete the redemption of $313,500 aggregate principal amount of certain of the Company’s outstanding notes noted below, (3) pay related costs and expenses, and (4) for general corporate purposes.</w:t>
      </w:r>
    </w:p>
    <w:p>
      <w:pPr>
        <w:spacing w:after="0" w:line="187" w:lineRule="exact"/>
        <w:rPr>
          <w:sz w:val="20"/>
          <w:szCs w:val="20"/>
          <w:color w:val="auto"/>
        </w:rPr>
      </w:pPr>
    </w:p>
    <w:p>
      <w:pPr>
        <w:ind w:right="80"/>
        <w:spacing w:after="0" w:line="233" w:lineRule="auto"/>
        <w:rPr>
          <w:sz w:val="20"/>
          <w:szCs w:val="20"/>
          <w:color w:val="auto"/>
        </w:rPr>
      </w:pPr>
      <w:r>
        <w:rPr>
          <w:rFonts w:ascii="Arial" w:cs="Arial" w:eastAsia="Arial" w:hAnsi="Arial"/>
          <w:sz w:val="21"/>
          <w:szCs w:val="21"/>
          <w:color w:val="auto"/>
        </w:rPr>
        <w:t>On May 18, 2019, the Company redeemed $313,500 of the Company’s outstanding notes (the “Company Debt Refinancing”) that had maturities ranging from 2019-2037 and interest rates ranging from 3.57-5.83%. Additionally, the Company Debt Refinancing was subject to a make whole payment of $25,237, and $18,528 of this payment was expensed in 2019 and was presented in the consolidated statements of operations and comprehensive income on the line item “loss on debt extinguishment.” The balance of the payment, or $6,709, was deferred as a regulatory asset, as it represents an amount by which the Company expects to receive prospective rate recovery.</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7 – </w:t>
      </w:r>
      <w:r>
        <w:rPr>
          <w:rFonts w:ascii="Arial" w:cs="Arial" w:eastAsia="Arial" w:hAnsi="Arial"/>
          <w:sz w:val="21"/>
          <w:szCs w:val="21"/>
          <w:b w:val="1"/>
          <w:bCs w:val="1"/>
          <w:i w:val="1"/>
          <w:iCs w:val="1"/>
          <w:color w:val="auto"/>
        </w:rPr>
        <w:t>Interest Rate Swap Agreements</w:t>
      </w:r>
    </w:p>
    <w:p>
      <w:pPr>
        <w:spacing w:after="0" w:line="219"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In October 2018, the Company entered into interest rate swap agreements to mitigate interest rate risk associated with an anticipated $850,000 of future debt issuances to fund a portion of the Peoples Gas Acquisition and refinance a portion of the Company’s borrowings. On April 24, 2019, the Company settled the interest rate swap agreements upon issuance of $900,000 of long-term debt used to finance a portion of the purchase price of the Peoples Gas Acquisition and redeem $313,500 of the Company’s existing debt. The settlement resulted in a payment by the Company of $83,520 in April 2019.</w:t>
      </w:r>
    </w:p>
    <w:p>
      <w:pPr>
        <w:spacing w:after="0" w:line="176" w:lineRule="exact"/>
        <w:rPr>
          <w:sz w:val="20"/>
          <w:szCs w:val="20"/>
          <w:color w:val="auto"/>
        </w:rPr>
      </w:pPr>
    </w:p>
    <w:p>
      <w:pPr>
        <w:ind w:right="180"/>
        <w:spacing w:after="0" w:line="234" w:lineRule="auto"/>
        <w:rPr>
          <w:sz w:val="20"/>
          <w:szCs w:val="20"/>
          <w:color w:val="auto"/>
        </w:rPr>
      </w:pPr>
      <w:r>
        <w:rPr>
          <w:rFonts w:ascii="Arial" w:cs="Arial" w:eastAsia="Arial" w:hAnsi="Arial"/>
          <w:sz w:val="21"/>
          <w:szCs w:val="21"/>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had no other derivative instruments. The Company recorded the fair value of the interest rate swaps by discounting the future net cash flows associated with the debt issuance utilizing level 2 methods and assumptions and recognized either an asset or liability at the balance sheet date.</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a summary of the amounts recognized in earnings for our interest rate swap agreements: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Amount of Gain (Loss) Recognized in Income</w:t>
            </w:r>
          </w:p>
        </w:tc>
        <w:tc>
          <w:tcPr>
            <w:tcW w:w="3180" w:type="dxa"/>
            <w:vAlign w:val="bottom"/>
            <w:gridSpan w:val="3"/>
          </w:tcPr>
          <w:p>
            <w:pPr>
              <w:jc w:val="center"/>
              <w:ind w:right="60"/>
              <w:spacing w:after="0"/>
              <w:rPr>
                <w:sz w:val="20"/>
                <w:szCs w:val="20"/>
                <w:color w:val="auto"/>
              </w:rPr>
            </w:pPr>
            <w:r>
              <w:rPr>
                <w:rFonts w:ascii="Arial" w:cs="Arial" w:eastAsia="Arial" w:hAnsi="Arial"/>
                <w:sz w:val="16"/>
                <w:szCs w:val="16"/>
                <w:color w:val="auto"/>
                <w:w w:val="92"/>
              </w:rPr>
              <w:t>Amount of Gain (Loss) Recognized in Income</w:t>
            </w: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2"/>
          </w:tcPr>
          <w:p>
            <w:pPr>
              <w:jc w:val="center"/>
              <w:ind w:right="680"/>
              <w:spacing w:after="0"/>
              <w:rPr>
                <w:sz w:val="20"/>
                <w:szCs w:val="20"/>
                <w:color w:val="auto"/>
              </w:rPr>
            </w:pPr>
            <w:r>
              <w:rPr>
                <w:rFonts w:ascii="Arial" w:cs="Arial" w:eastAsia="Arial" w:hAnsi="Arial"/>
                <w:sz w:val="16"/>
                <w:szCs w:val="16"/>
                <w:color w:val="auto"/>
                <w:w w:val="92"/>
              </w:rPr>
              <w:t>on Derivatives</w:t>
            </w:r>
          </w:p>
        </w:tc>
        <w:tc>
          <w:tcPr>
            <w:tcW w:w="380" w:type="dxa"/>
            <w:vAlign w:val="bottom"/>
          </w:tcPr>
          <w:p>
            <w:pPr>
              <w:spacing w:after="0"/>
              <w:rPr>
                <w:sz w:val="15"/>
                <w:szCs w:val="15"/>
                <w:color w:val="auto"/>
              </w:rPr>
            </w:pPr>
          </w:p>
        </w:tc>
        <w:tc>
          <w:tcPr>
            <w:tcW w:w="2800" w:type="dxa"/>
            <w:vAlign w:val="bottom"/>
            <w:gridSpan w:val="2"/>
          </w:tcPr>
          <w:p>
            <w:pPr>
              <w:jc w:val="center"/>
              <w:ind w:right="380"/>
              <w:spacing w:after="0"/>
              <w:rPr>
                <w:sz w:val="20"/>
                <w:szCs w:val="20"/>
                <w:color w:val="auto"/>
              </w:rPr>
            </w:pPr>
            <w:r>
              <w:rPr>
                <w:rFonts w:ascii="Arial" w:cs="Arial" w:eastAsia="Arial" w:hAnsi="Arial"/>
                <w:sz w:val="16"/>
                <w:szCs w:val="16"/>
                <w:color w:val="auto"/>
                <w:w w:val="92"/>
              </w:rPr>
              <w:t>on Derivatives</w:t>
            </w:r>
          </w:p>
        </w:tc>
        <w:tc>
          <w:tcPr>
            <w:tcW w:w="0" w:type="dxa"/>
            <w:vAlign w:val="bottom"/>
          </w:tcPr>
          <w:p>
            <w:pPr>
              <w:spacing w:after="0"/>
              <w:rPr>
                <w:sz w:val="1"/>
                <w:szCs w:val="1"/>
                <w:color w:val="auto"/>
              </w:rPr>
            </w:pPr>
          </w:p>
        </w:tc>
      </w:tr>
      <w:tr>
        <w:trPr>
          <w:trHeight w:val="154"/>
        </w:trPr>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Gain (Loss)</w:t>
            </w:r>
          </w:p>
        </w:tc>
        <w:tc>
          <w:tcPr>
            <w:tcW w:w="2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820" w:type="dxa"/>
            <w:vAlign w:val="bottom"/>
            <w:tcBorders>
              <w:top w:val="single" w:sz="8" w:color="auto"/>
              <w:bottom w:val="single" w:sz="8" w:color="auto"/>
            </w:tcBorders>
          </w:tcPr>
          <w:p>
            <w:pPr>
              <w:jc w:val="center"/>
              <w:ind w:right="300"/>
              <w:spacing w:after="0" w:line="154" w:lineRule="exact"/>
              <w:rPr>
                <w:sz w:val="20"/>
                <w:szCs w:val="20"/>
                <w:color w:val="auto"/>
              </w:rPr>
            </w:pPr>
            <w:r>
              <w:rPr>
                <w:rFonts w:ascii="Arial" w:cs="Arial" w:eastAsia="Arial" w:hAnsi="Arial"/>
                <w:sz w:val="16"/>
                <w:szCs w:val="16"/>
                <w:color w:val="auto"/>
                <w:w w:val="89"/>
              </w:rPr>
              <w:t>Three Months Ended June 30,</w:t>
            </w:r>
          </w:p>
        </w:tc>
        <w:tc>
          <w:tcPr>
            <w:tcW w:w="32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780" w:type="dxa"/>
            <w:vAlign w:val="bottom"/>
            <w:tcBorders>
              <w:top w:val="single" w:sz="8" w:color="auto"/>
              <w:bottom w:val="single" w:sz="8" w:color="auto"/>
            </w:tcBorders>
          </w:tcPr>
          <w:p>
            <w:pPr>
              <w:jc w:val="center"/>
              <w:ind w:right="340"/>
              <w:spacing w:after="0" w:line="154" w:lineRule="exact"/>
              <w:rPr>
                <w:sz w:val="20"/>
                <w:szCs w:val="20"/>
                <w:color w:val="auto"/>
              </w:rPr>
            </w:pPr>
            <w:r>
              <w:rPr>
                <w:rFonts w:ascii="Arial" w:cs="Arial" w:eastAsia="Arial" w:hAnsi="Arial"/>
                <w:sz w:val="16"/>
                <w:szCs w:val="16"/>
                <w:color w:val="auto"/>
                <w:w w:val="89"/>
              </w:rPr>
              <w:t>Six Months Ended 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20" w:type="dxa"/>
            <w:vAlign w:val="bottom"/>
            <w:vMerge w:val="restart"/>
          </w:tcPr>
          <w:p>
            <w:pPr>
              <w:jc w:val="center"/>
              <w:ind w:right="260"/>
              <w:spacing w:after="0"/>
              <w:rPr>
                <w:sz w:val="20"/>
                <w:szCs w:val="20"/>
                <w:color w:val="auto"/>
              </w:rPr>
            </w:pPr>
            <w:r>
              <w:rPr>
                <w:rFonts w:ascii="Arial" w:cs="Arial" w:eastAsia="Arial" w:hAnsi="Arial"/>
                <w:sz w:val="16"/>
                <w:szCs w:val="16"/>
                <w:color w:val="auto"/>
                <w:w w:val="89"/>
              </w:rPr>
              <w:t>2019</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80" w:type="dxa"/>
            <w:vAlign w:val="bottom"/>
            <w:vMerge w:val="restart"/>
          </w:tcPr>
          <w:p>
            <w:pPr>
              <w:jc w:val="center"/>
              <w:ind w:right="300"/>
              <w:spacing w:after="0"/>
              <w:rPr>
                <w:sz w:val="20"/>
                <w:szCs w:val="20"/>
                <w:color w:val="auto"/>
              </w:rPr>
            </w:pPr>
            <w:r>
              <w:rPr>
                <w:rFonts w:ascii="Arial" w:cs="Arial" w:eastAsia="Arial" w:hAnsi="Arial"/>
                <w:sz w:val="16"/>
                <w:szCs w:val="16"/>
                <w:color w:val="auto"/>
                <w:w w:val="89"/>
              </w:rPr>
              <w:t>2019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160" w:type="dxa"/>
            <w:vAlign w:val="bottom"/>
            <w:vMerge w:val="restart"/>
          </w:tcPr>
          <w:p>
            <w:pPr>
              <w:spacing w:after="0"/>
              <w:rPr>
                <w:sz w:val="20"/>
                <w:szCs w:val="20"/>
                <w:color w:val="auto"/>
              </w:rPr>
            </w:pPr>
            <w:r>
              <w:rPr>
                <w:rFonts w:ascii="Arial" w:cs="Arial" w:eastAsia="Arial" w:hAnsi="Arial"/>
                <w:sz w:val="16"/>
                <w:szCs w:val="16"/>
                <w:color w:val="auto"/>
              </w:rPr>
              <w:t>Derivatives not designated as</w:t>
            </w:r>
          </w:p>
        </w:tc>
        <w:tc>
          <w:tcPr>
            <w:tcW w:w="26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Recognized</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20"/>
                <w:szCs w:val="20"/>
                <w:color w:val="auto"/>
              </w:rPr>
            </w:pPr>
            <w:r>
              <w:rPr>
                <w:rFonts w:ascii="Arial" w:cs="Arial" w:eastAsia="Arial" w:hAnsi="Arial"/>
                <w:sz w:val="16"/>
                <w:szCs w:val="16"/>
                <w:color w:val="auto"/>
              </w:rPr>
              <w:t>hedging instrument:</w:t>
            </w: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Interest rate swaps</w:t>
            </w:r>
          </w:p>
        </w:tc>
        <w:tc>
          <w:tcPr>
            <w:tcW w:w="224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Other income (expense)</w:t>
            </w:r>
          </w:p>
        </w:tc>
        <w:tc>
          <w:tcPr>
            <w:tcW w:w="540" w:type="dxa"/>
            <w:vAlign w:val="bottom"/>
            <w:gridSpan w:val="2"/>
            <w:shd w:val="clear" w:color="auto" w:fill="CCEEFF"/>
          </w:tcPr>
          <w:p>
            <w:pPr>
              <w:jc w:val="right"/>
              <w:ind w:right="180"/>
              <w:spacing w:after="0" w:line="161" w:lineRule="exact"/>
              <w:rPr>
                <w:sz w:val="20"/>
                <w:szCs w:val="20"/>
                <w:color w:val="auto"/>
              </w:rPr>
            </w:pPr>
            <w:r>
              <w:rPr>
                <w:rFonts w:ascii="Arial" w:cs="Arial" w:eastAsia="Arial" w:hAnsi="Arial"/>
                <w:sz w:val="16"/>
                <w:szCs w:val="16"/>
                <w:color w:val="auto"/>
              </w:rPr>
              <w:t>$</w:t>
            </w:r>
          </w:p>
        </w:tc>
        <w:tc>
          <w:tcPr>
            <w:tcW w:w="28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11,040</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22"/>
              <w:spacing w:after="0" w:line="161" w:lineRule="exact"/>
              <w:rPr>
                <w:sz w:val="20"/>
                <w:szCs w:val="20"/>
                <w:color w:val="auto"/>
              </w:rPr>
            </w:pPr>
            <w:r>
              <w:rPr>
                <w:rFonts w:ascii="Arial" w:cs="Arial" w:eastAsia="Arial" w:hAnsi="Arial"/>
                <w:sz w:val="15"/>
                <w:szCs w:val="15"/>
                <w:color w:val="auto"/>
                <w:w w:val="71"/>
              </w:rPr>
              <w:t>$</w:t>
            </w:r>
          </w:p>
        </w:tc>
        <w:tc>
          <w:tcPr>
            <w:tcW w:w="27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(23,742)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80" w:right="238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8 – </w:t>
      </w:r>
      <w:r>
        <w:rPr>
          <w:rFonts w:ascii="Arial" w:cs="Arial" w:eastAsia="Arial" w:hAnsi="Arial"/>
          <w:sz w:val="21"/>
          <w:szCs w:val="21"/>
          <w:b w:val="1"/>
          <w:bCs w:val="1"/>
          <w:i w:val="1"/>
          <w:iCs w:val="1"/>
          <w:color w:val="auto"/>
        </w:rPr>
        <w:t>Financial Instruments</w:t>
      </w:r>
    </w:p>
    <w:p>
      <w:pPr>
        <w:spacing w:after="0" w:line="21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76" w:lineRule="exact"/>
        <w:rPr>
          <w:sz w:val="20"/>
          <w:szCs w:val="20"/>
          <w:color w:val="auto"/>
        </w:rPr>
      </w:pPr>
    </w:p>
    <w:p>
      <w:pPr>
        <w:ind w:left="640" w:right="300"/>
        <w:spacing w:after="0" w:line="256" w:lineRule="auto"/>
        <w:rPr>
          <w:sz w:val="20"/>
          <w:szCs w:val="20"/>
          <w:color w:val="auto"/>
        </w:rPr>
      </w:pPr>
      <w:r>
        <w:rPr>
          <w:rFonts w:ascii="Arial" w:cs="Arial" w:eastAsia="Arial" w:hAnsi="Arial"/>
          <w:sz w:val="21"/>
          <w:szCs w:val="21"/>
          <w:color w:val="auto"/>
        </w:rPr>
        <w:t>Level 1: unadjusted quoted prices in active markets for identical assets or liabilities that the Company has the ability to access;</w:t>
      </w:r>
    </w:p>
    <w:p>
      <w:pPr>
        <w:spacing w:after="0" w:line="33" w:lineRule="exact"/>
        <w:rPr>
          <w:sz w:val="20"/>
          <w:szCs w:val="20"/>
          <w:color w:val="auto"/>
        </w:rPr>
      </w:pPr>
    </w:p>
    <w:p>
      <w:pPr>
        <w:ind w:left="640" w:right="160"/>
        <w:spacing w:after="0" w:line="237" w:lineRule="auto"/>
        <w:rPr>
          <w:sz w:val="20"/>
          <w:szCs w:val="20"/>
          <w:color w:val="auto"/>
        </w:rPr>
      </w:pPr>
      <w:r>
        <w:rPr>
          <w:rFonts w:ascii="Arial" w:cs="Arial" w:eastAsia="Arial" w:hAnsi="Arial"/>
          <w:sz w:val="21"/>
          <w:szCs w:val="21"/>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Level 3: inputs that are unobservable and significant to the fair value measurement.</w:t>
      </w:r>
    </w:p>
    <w:p>
      <w:pPr>
        <w:spacing w:after="0" w:line="213"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June 30, 2020.</w:t>
      </w:r>
    </w:p>
    <w:p>
      <w:pPr>
        <w:spacing w:after="0" w:line="171" w:lineRule="exact"/>
        <w:rPr>
          <w:sz w:val="20"/>
          <w:szCs w:val="20"/>
          <w:color w:val="auto"/>
        </w:rPr>
      </w:pPr>
    </w:p>
    <w:p>
      <w:pPr>
        <w:ind w:right="600"/>
        <w:spacing w:after="0" w:line="241" w:lineRule="auto"/>
        <w:rPr>
          <w:sz w:val="20"/>
          <w:szCs w:val="20"/>
          <w:color w:val="auto"/>
        </w:rPr>
      </w:pPr>
      <w:r>
        <w:rPr>
          <w:rFonts w:ascii="Arial" w:cs="Arial" w:eastAsia="Arial" w:hAnsi="Arial"/>
          <w:sz w:val="21"/>
          <w:szCs w:val="21"/>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fair value of loans payable is determined based on its carrying amount and utilizing Level 1 methods and assumptions. As of June 30, 2020 and December 31, 2019, the carrying amount of the Company’s loans payable was $15,000 and $25,724, respectively, which equates to their estimated fair value. The fair value of cash and cash equivalents, which is comprised of uninvested cash and prior to our completion of the Peoples Gas Acquisition on March 16, 2020, the proceeds from the April 2019 issuances of common stock, tangible equity units, and long-term debt for the Peoples Gas Acquisition, which were held in an interest-bearing account, is determined based on Level 1 methods and assumptions. As of June 30, 2020, and December 31, 2019, the carrying amounts of the Company's cash and cash equivalents was $7,227 and $1,868,922,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2020, and December 31, 2019, the carrying amount of these securities was $22,794 and $23,419, respectively, which equates to their fair value, and is reported in the consolidated balance sheet in deferred charges and other assets.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Unrealized gain and losses on equity securities held in conjunction with our non-qualified pension plan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jc w:val="right"/>
              <w:ind w:right="251"/>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15"/>
        </w:trPr>
        <w:tc>
          <w:tcPr>
            <w:tcW w:w="68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8"/>
                <w:szCs w:val="18"/>
                <w:color w:val="auto"/>
                <w:w w:val="86"/>
              </w:rPr>
              <w:t>June 30,</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2020</w:t>
            </w:r>
          </w:p>
        </w:tc>
        <w:tc>
          <w:tcPr>
            <w:tcW w:w="340" w:type="dxa"/>
            <w:vAlign w:val="bottom"/>
          </w:tcPr>
          <w:p>
            <w:pPr>
              <w:spacing w:after="0"/>
              <w:rPr>
                <w:sz w:val="15"/>
                <w:szCs w:val="15"/>
                <w:color w:val="auto"/>
              </w:rPr>
            </w:pPr>
          </w:p>
        </w:tc>
        <w:tc>
          <w:tcPr>
            <w:tcW w:w="8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71"/>
              <w:spacing w:after="0" w:line="181"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91"/>
              <w:spacing w:after="0" w:line="181" w:lineRule="exact"/>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81"/>
        </w:trPr>
        <w:tc>
          <w:tcPr>
            <w:tcW w:w="68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Net gain (loss) recognized during the period on equity securities</w:t>
            </w:r>
          </w:p>
        </w:tc>
        <w:tc>
          <w:tcPr>
            <w:tcW w:w="740" w:type="dxa"/>
            <w:vAlign w:val="bottom"/>
            <w:tcBorders>
              <w:top w:val="single" w:sz="8" w:color="auto"/>
            </w:tcBorders>
            <w:shd w:val="clear" w:color="auto" w:fill="CCEEFF"/>
          </w:tcPr>
          <w:p>
            <w:pPr>
              <w:jc w:val="right"/>
              <w:ind w:right="551"/>
              <w:spacing w:after="0" w:line="181"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31"/>
              <w:spacing w:after="0" w:line="181"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w w:val="79"/>
              </w:rPr>
              <w:t>60</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(61)</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87"/>
        </w:trPr>
        <w:tc>
          <w:tcPr>
            <w:tcW w:w="6880" w:type="dxa"/>
            <w:vAlign w:val="bottom"/>
            <w:tcBorders>
              <w:bottom w:val="single" w:sz="8" w:color="CCEEFF"/>
            </w:tcBorders>
          </w:tcPr>
          <w:p>
            <w:pPr>
              <w:spacing w:after="0" w:line="188" w:lineRule="exact"/>
              <w:rPr>
                <w:sz w:val="20"/>
                <w:szCs w:val="20"/>
                <w:color w:val="auto"/>
              </w:rPr>
            </w:pPr>
            <w:r>
              <w:rPr>
                <w:rFonts w:ascii="Arial" w:cs="Arial" w:eastAsia="Arial" w:hAnsi="Arial"/>
                <w:sz w:val="18"/>
                <w:szCs w:val="18"/>
                <w:color w:val="auto"/>
                <w:w w:val="94"/>
              </w:rPr>
              <w:t>Less: net gain / loss recognized during the period on equity securities sold during the period</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0"/>
        </w:trPr>
        <w:tc>
          <w:tcPr>
            <w:tcW w:w="6880" w:type="dxa"/>
            <w:vAlign w:val="bottom"/>
            <w:shd w:val="clear" w:color="auto" w:fill="CCEEFF"/>
          </w:tcPr>
          <w:p>
            <w:pPr>
              <w:spacing w:after="0" w:line="139" w:lineRule="exact"/>
              <w:rPr>
                <w:sz w:val="20"/>
                <w:szCs w:val="20"/>
                <w:color w:val="auto"/>
              </w:rPr>
            </w:pPr>
            <w:r>
              <w:rPr>
                <w:rFonts w:ascii="Arial" w:cs="Arial" w:eastAsia="Arial" w:hAnsi="Arial"/>
                <w:sz w:val="16"/>
                <w:szCs w:val="16"/>
                <w:color w:val="auto"/>
              </w:rPr>
              <w:t>Unrealized gain (loss) recognized during the reporting period on equity securities still held at</w:t>
            </w:r>
          </w:p>
        </w:tc>
        <w:tc>
          <w:tcPr>
            <w:tcW w:w="740" w:type="dxa"/>
            <w:vAlign w:val="bottom"/>
            <w:vMerge w:val="restart"/>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vMerge w:val="restart"/>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60</w:t>
            </w:r>
          </w:p>
        </w:tc>
        <w:tc>
          <w:tcPr>
            <w:tcW w:w="2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reporting date</w:t>
            </w:r>
          </w:p>
        </w:tc>
        <w:tc>
          <w:tcPr>
            <w:tcW w:w="7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21"/>
          <w:szCs w:val="21"/>
          <w:color w:val="auto"/>
        </w:rPr>
        <w:t>The net gain (loss) recognized on equity securities is presented on the consolidated statements of operations and comprehensive income on the line item “Other.”</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The carrying amounts and estimated fair values of the Company’s long-term debt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0" w:type="dxa"/>
            <w:vAlign w:val="bottom"/>
          </w:tcPr>
          <w:p>
            <w:pPr>
              <w:jc w:val="center"/>
              <w:ind w:left="936"/>
              <w:spacing w:after="0"/>
              <w:rPr>
                <w:sz w:val="20"/>
                <w:szCs w:val="20"/>
                <w:color w:val="auto"/>
              </w:rPr>
            </w:pPr>
            <w:r>
              <w:rPr>
                <w:rFonts w:ascii="Arial" w:cs="Arial" w:eastAsia="Arial" w:hAnsi="Arial"/>
                <w:sz w:val="21"/>
                <w:szCs w:val="21"/>
                <w:color w:val="auto"/>
                <w:w w:val="89"/>
              </w:rPr>
              <w:t>June 30,</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00" w:type="dxa"/>
            <w:vAlign w:val="bottom"/>
          </w:tcPr>
          <w:p>
            <w:pPr>
              <w:jc w:val="right"/>
              <w:ind w:right="793"/>
              <w:spacing w:after="0"/>
              <w:rPr>
                <w:sz w:val="20"/>
                <w:szCs w:val="20"/>
                <w:color w:val="auto"/>
              </w:rPr>
            </w:pPr>
            <w:r>
              <w:rPr>
                <w:rFonts w:ascii="Arial" w:cs="Arial" w:eastAsia="Arial" w:hAnsi="Arial"/>
                <w:sz w:val="21"/>
                <w:szCs w:val="21"/>
                <w:color w:val="auto"/>
              </w:rPr>
              <w:t>December 31,</w:t>
            </w:r>
          </w:p>
        </w:tc>
      </w:tr>
      <w:tr>
        <w:trPr>
          <w:trHeight w:val="249"/>
        </w:trPr>
        <w:tc>
          <w:tcPr>
            <w:tcW w:w="3260" w:type="dxa"/>
            <w:vAlign w:val="bottom"/>
          </w:tcPr>
          <w:p>
            <w:pPr>
              <w:spacing w:after="0"/>
              <w:rPr>
                <w:sz w:val="21"/>
                <w:szCs w:val="21"/>
                <w:color w:val="auto"/>
              </w:rPr>
            </w:pPr>
          </w:p>
        </w:tc>
        <w:tc>
          <w:tcPr>
            <w:tcW w:w="3540" w:type="dxa"/>
            <w:vAlign w:val="bottom"/>
            <w:gridSpan w:val="2"/>
          </w:tcPr>
          <w:p>
            <w:pPr>
              <w:jc w:val="right"/>
              <w:ind w:right="156"/>
              <w:spacing w:after="0"/>
              <w:rPr>
                <w:sz w:val="20"/>
                <w:szCs w:val="20"/>
                <w:color w:val="auto"/>
              </w:rPr>
            </w:pPr>
            <w:r>
              <w:rPr>
                <w:rFonts w:ascii="Arial" w:cs="Arial" w:eastAsia="Arial" w:hAnsi="Arial"/>
                <w:sz w:val="21"/>
                <w:szCs w:val="21"/>
                <w:color w:val="auto"/>
              </w:rPr>
              <w:t>2020</w:t>
            </w: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00" w:type="dxa"/>
            <w:vAlign w:val="bottom"/>
          </w:tcPr>
          <w:p>
            <w:pPr>
              <w:jc w:val="right"/>
              <w:ind w:right="1173"/>
              <w:spacing w:after="0"/>
              <w:rPr>
                <w:sz w:val="20"/>
                <w:szCs w:val="20"/>
                <w:color w:val="auto"/>
              </w:rPr>
            </w:pPr>
            <w:r>
              <w:rPr>
                <w:rFonts w:ascii="Arial" w:cs="Arial" w:eastAsia="Arial" w:hAnsi="Arial"/>
                <w:sz w:val="21"/>
                <w:szCs w:val="21"/>
                <w:color w:val="auto"/>
              </w:rPr>
              <w:t>2019</w:t>
            </w:r>
          </w:p>
        </w:tc>
      </w:tr>
      <w:tr>
        <w:trPr>
          <w:trHeight w:val="221"/>
        </w:trPr>
        <w:tc>
          <w:tcPr>
            <w:tcW w:w="3260" w:type="dxa"/>
            <w:vAlign w:val="bottom"/>
            <w:tcBorders>
              <w:top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Carrying amount</w:t>
            </w:r>
          </w:p>
        </w:tc>
        <w:tc>
          <w:tcPr>
            <w:tcW w:w="15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1796"/>
              <w:spacing w:after="0" w:line="221"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5,301,209</w:t>
            </w:r>
          </w:p>
        </w:tc>
        <w:tc>
          <w:tcPr>
            <w:tcW w:w="4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8"/>
              <w:spacing w:after="0" w:line="221" w:lineRule="exact"/>
              <w:rPr>
                <w:sz w:val="20"/>
                <w:szCs w:val="20"/>
                <w:color w:val="auto"/>
              </w:rPr>
            </w:pPr>
            <w:r>
              <w:rPr>
                <w:rFonts w:ascii="Arial" w:cs="Arial" w:eastAsia="Arial" w:hAnsi="Arial"/>
                <w:sz w:val="20"/>
                <w:szCs w:val="20"/>
                <w:color w:val="auto"/>
                <w:w w:val="71"/>
              </w:rPr>
              <w:t>$</w:t>
            </w:r>
          </w:p>
        </w:tc>
        <w:tc>
          <w:tcPr>
            <w:tcW w:w="25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3,077,400</w:t>
            </w:r>
          </w:p>
        </w:tc>
      </w:tr>
      <w:tr>
        <w:trPr>
          <w:trHeight w:val="273"/>
        </w:trPr>
        <w:tc>
          <w:tcPr>
            <w:tcW w:w="3260" w:type="dxa"/>
            <w:vAlign w:val="bottom"/>
          </w:tcPr>
          <w:p>
            <w:pPr>
              <w:spacing w:after="0"/>
              <w:rPr>
                <w:sz w:val="20"/>
                <w:szCs w:val="20"/>
                <w:color w:val="auto"/>
              </w:rPr>
            </w:pPr>
            <w:r>
              <w:rPr>
                <w:rFonts w:ascii="Arial" w:cs="Arial" w:eastAsia="Arial" w:hAnsi="Arial"/>
                <w:sz w:val="21"/>
                <w:szCs w:val="21"/>
                <w:color w:val="auto"/>
              </w:rPr>
              <w:t>Estimated fair value</w:t>
            </w:r>
          </w:p>
        </w:tc>
        <w:tc>
          <w:tcPr>
            <w:tcW w:w="1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5,737,873</w:t>
            </w: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1"/>
                <w:szCs w:val="21"/>
                <w:color w:val="auto"/>
              </w:rPr>
              <w:t>3,324,377</w:t>
            </w:r>
          </w:p>
        </w:tc>
      </w:tr>
    </w:tbl>
    <w:p>
      <w:pPr>
        <w:spacing w:after="0" w:line="174" w:lineRule="exact"/>
        <w:rPr>
          <w:sz w:val="20"/>
          <w:szCs w:val="20"/>
          <w:color w:val="auto"/>
        </w:rPr>
      </w:pPr>
    </w:p>
    <w:p>
      <w:pPr>
        <w:ind w:right="240"/>
        <w:spacing w:after="0" w:line="256" w:lineRule="auto"/>
        <w:rPr>
          <w:sz w:val="20"/>
          <w:szCs w:val="20"/>
          <w:color w:val="auto"/>
        </w:rPr>
      </w:pPr>
      <w:r>
        <w:rPr>
          <w:rFonts w:ascii="Arial" w:cs="Arial" w:eastAsia="Arial" w:hAnsi="Arial"/>
          <w:sz w:val="21"/>
          <w:szCs w:val="21"/>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67" w:lineRule="exact"/>
        <w:rPr>
          <w:sz w:val="20"/>
          <w:szCs w:val="20"/>
          <w:color w:val="auto"/>
        </w:rPr>
      </w:pPr>
    </w:p>
    <w:p>
      <w:pPr>
        <w:ind w:right="120"/>
        <w:spacing w:after="0" w:line="233" w:lineRule="auto"/>
        <w:rPr>
          <w:sz w:val="20"/>
          <w:szCs w:val="20"/>
          <w:color w:val="auto"/>
        </w:rPr>
      </w:pPr>
      <w:r>
        <w:rPr>
          <w:rFonts w:ascii="Arial" w:cs="Arial" w:eastAsia="Arial" w:hAnsi="Arial"/>
          <w:sz w:val="21"/>
          <w:szCs w:val="21"/>
          <w:color w:val="auto"/>
        </w:rPr>
        <w:t>The Company’s customers’ advances for construction have a carrying value of $100,584 as of June 30, 2020, and $95,556 as of December 31, 2019. Their relative fair values cannot be accurately estimated because future refund payments depend on several variables, including new customer connections, customer consumption levels, and future rates. Portions of these non-interest-bearing instruments are payable annually through 2030 and amounts not paid by the respective contract expiration dates become non-refundable. The fair value of these amounts would, however, be less than their carrying value due to the non-interest-bearing feature.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9 – </w:t>
      </w:r>
      <w:r>
        <w:rPr>
          <w:rFonts w:ascii="Arial" w:cs="Arial" w:eastAsia="Arial" w:hAnsi="Arial"/>
          <w:sz w:val="21"/>
          <w:szCs w:val="21"/>
          <w:b w:val="1"/>
          <w:bCs w:val="1"/>
          <w:i w:val="1"/>
          <w:iCs w:val="1"/>
          <w:color w:val="auto"/>
        </w:rPr>
        <w:t>Net Income per Common Share</w:t>
      </w:r>
    </w:p>
    <w:p>
      <w:pPr>
        <w:spacing w:after="0" w:line="21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1"/>
                <w:szCs w:val="21"/>
                <w:color w:val="auto"/>
              </w:rPr>
            </w:pPr>
          </w:p>
        </w:tc>
        <w:tc>
          <w:tcPr>
            <w:tcW w:w="2740" w:type="dxa"/>
            <w:vAlign w:val="bottom"/>
            <w:gridSpan w:val="5"/>
          </w:tcPr>
          <w:p>
            <w:pPr>
              <w:jc w:val="center"/>
              <w:ind w:right="180"/>
              <w:spacing w:after="0"/>
              <w:rPr>
                <w:sz w:val="20"/>
                <w:szCs w:val="20"/>
                <w:color w:val="auto"/>
              </w:rPr>
            </w:pPr>
            <w:r>
              <w:rPr>
                <w:rFonts w:ascii="Arial" w:cs="Arial" w:eastAsia="Arial" w:hAnsi="Arial"/>
                <w:sz w:val="21"/>
                <w:szCs w:val="21"/>
                <w:color w:val="auto"/>
                <w:w w:val="91"/>
              </w:rPr>
              <w:t>Three Months Ended</w:t>
            </w:r>
          </w:p>
        </w:tc>
        <w:tc>
          <w:tcPr>
            <w:tcW w:w="2480" w:type="dxa"/>
            <w:vAlign w:val="bottom"/>
            <w:gridSpan w:val="4"/>
          </w:tcPr>
          <w:p>
            <w:pPr>
              <w:jc w:val="center"/>
              <w:spacing w:after="0"/>
              <w:rPr>
                <w:sz w:val="20"/>
                <w:szCs w:val="20"/>
                <w:color w:val="auto"/>
              </w:rPr>
            </w:pPr>
            <w:r>
              <w:rPr>
                <w:rFonts w:ascii="Arial" w:cs="Arial" w:eastAsia="Arial" w:hAnsi="Arial"/>
                <w:sz w:val="21"/>
                <w:szCs w:val="21"/>
                <w:color w:val="auto"/>
                <w:w w:val="93"/>
              </w:rPr>
              <w:t>Six Months Ended</w:t>
            </w:r>
          </w:p>
        </w:tc>
        <w:tc>
          <w:tcPr>
            <w:tcW w:w="0" w:type="dxa"/>
            <w:vAlign w:val="bottom"/>
          </w:tcPr>
          <w:p>
            <w:pPr>
              <w:spacing w:after="0"/>
              <w:rPr>
                <w:sz w:val="1"/>
                <w:szCs w:val="1"/>
                <w:color w:val="auto"/>
              </w:rPr>
            </w:pPr>
          </w:p>
        </w:tc>
      </w:tr>
      <w:tr>
        <w:trPr>
          <w:trHeight w:val="249"/>
        </w:trPr>
        <w:tc>
          <w:tcPr>
            <w:tcW w:w="60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93"/>
              <w:spacing w:after="0"/>
              <w:rPr>
                <w:sz w:val="20"/>
                <w:szCs w:val="20"/>
                <w:color w:val="auto"/>
              </w:rPr>
            </w:pPr>
            <w:r>
              <w:rPr>
                <w:rFonts w:ascii="Arial" w:cs="Arial" w:eastAsia="Arial" w:hAnsi="Arial"/>
                <w:sz w:val="21"/>
                <w:szCs w:val="21"/>
                <w:color w:val="auto"/>
                <w:w w:val="89"/>
              </w:rPr>
              <w:t>June 30,</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21"/>
                <w:szCs w:val="21"/>
                <w:color w:val="auto"/>
                <w:w w:val="89"/>
              </w:rPr>
              <w:t>June 30,</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0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40"/>
              <w:spacing w:after="0" w:line="221" w:lineRule="exact"/>
              <w:rPr>
                <w:sz w:val="20"/>
                <w:szCs w:val="20"/>
                <w:color w:val="auto"/>
              </w:rPr>
            </w:pPr>
            <w:r>
              <w:rPr>
                <w:rFonts w:ascii="Arial" w:cs="Arial" w:eastAsia="Arial" w:hAnsi="Arial"/>
                <w:sz w:val="21"/>
                <w:szCs w:val="21"/>
                <w:color w:val="auto"/>
              </w:rPr>
              <w:t>2020</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line="221" w:lineRule="exact"/>
              <w:rPr>
                <w:sz w:val="20"/>
                <w:szCs w:val="20"/>
                <w:color w:val="auto"/>
              </w:rPr>
            </w:pPr>
            <w:r>
              <w:rPr>
                <w:rFonts w:ascii="Arial" w:cs="Arial" w:eastAsia="Arial" w:hAnsi="Arial"/>
                <w:sz w:val="21"/>
                <w:szCs w:val="21"/>
                <w:color w:val="auto"/>
                <w:w w:val="98"/>
              </w:rPr>
              <w:t>2019</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3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line="221" w:lineRule="exact"/>
              <w:rPr>
                <w:sz w:val="20"/>
                <w:szCs w:val="20"/>
                <w:color w:val="auto"/>
              </w:rPr>
            </w:pPr>
            <w:r>
              <w:rPr>
                <w:rFonts w:ascii="Arial" w:cs="Arial" w:eastAsia="Arial" w:hAnsi="Arial"/>
                <w:sz w:val="21"/>
                <w:szCs w:val="21"/>
                <w:color w:val="auto"/>
                <w:w w:val="94"/>
              </w:rPr>
              <w:t>2019</w:t>
            </w:r>
          </w:p>
        </w:tc>
        <w:tc>
          <w:tcPr>
            <w:tcW w:w="0" w:type="dxa"/>
            <w:vAlign w:val="bottom"/>
          </w:tcPr>
          <w:p>
            <w:pPr>
              <w:spacing w:after="0"/>
              <w:rPr>
                <w:sz w:val="1"/>
                <w:szCs w:val="1"/>
                <w:color w:val="auto"/>
              </w:rPr>
            </w:pPr>
          </w:p>
        </w:tc>
      </w:tr>
      <w:tr>
        <w:trPr>
          <w:trHeight w:val="186"/>
        </w:trPr>
        <w:tc>
          <w:tcPr>
            <w:tcW w:w="6020" w:type="dxa"/>
            <w:vAlign w:val="bottom"/>
            <w:shd w:val="clear" w:color="auto" w:fill="CCEEFF"/>
          </w:tcPr>
          <w:p>
            <w:pPr>
              <w:spacing w:after="0" w:line="186" w:lineRule="exact"/>
              <w:rPr>
                <w:sz w:val="20"/>
                <w:szCs w:val="20"/>
                <w:color w:val="auto"/>
              </w:rPr>
            </w:pPr>
            <w:r>
              <w:rPr>
                <w:rFonts w:ascii="Arial" w:cs="Arial" w:eastAsia="Arial" w:hAnsi="Arial"/>
                <w:sz w:val="21"/>
                <w:szCs w:val="21"/>
                <w:color w:val="auto"/>
              </w:rPr>
              <w:t>Average common shares outstanding during the period for basic</w:t>
            </w: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20" w:type="dxa"/>
            <w:vAlign w:val="bottom"/>
            <w:shd w:val="clear" w:color="auto" w:fill="CCEEFF"/>
          </w:tcPr>
          <w:p>
            <w:pPr>
              <w:spacing w:after="0"/>
              <w:rPr>
                <w:sz w:val="20"/>
                <w:szCs w:val="20"/>
                <w:color w:val="auto"/>
              </w:rPr>
            </w:pPr>
            <w:r>
              <w:rPr>
                <w:rFonts w:ascii="Arial" w:cs="Arial" w:eastAsia="Arial" w:hAnsi="Arial"/>
                <w:sz w:val="21"/>
                <w:szCs w:val="21"/>
                <w:color w:val="auto"/>
              </w:rPr>
              <w:t>computation</w:t>
            </w:r>
          </w:p>
        </w:tc>
        <w:tc>
          <w:tcPr>
            <w:tcW w:w="1100" w:type="dxa"/>
            <w:vAlign w:val="bottom"/>
            <w:shd w:val="clear" w:color="auto" w:fill="CCEEFF"/>
          </w:tcPr>
          <w:p>
            <w:pPr>
              <w:ind w:left="340"/>
              <w:spacing w:after="0"/>
              <w:rPr>
                <w:sz w:val="20"/>
                <w:szCs w:val="20"/>
                <w:color w:val="auto"/>
              </w:rPr>
            </w:pPr>
            <w:r>
              <w:rPr>
                <w:rFonts w:ascii="Arial" w:cs="Arial" w:eastAsia="Arial" w:hAnsi="Arial"/>
                <w:sz w:val="21"/>
                <w:szCs w:val="21"/>
                <w:color w:val="auto"/>
                <w:w w:val="97"/>
              </w:rPr>
              <w:t>254,167</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219,055</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245,144</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198,747</w:t>
            </w:r>
          </w:p>
        </w:tc>
        <w:tc>
          <w:tcPr>
            <w:tcW w:w="0" w:type="dxa"/>
            <w:vAlign w:val="bottom"/>
          </w:tcPr>
          <w:p>
            <w:pPr>
              <w:spacing w:after="0"/>
              <w:rPr>
                <w:sz w:val="1"/>
                <w:szCs w:val="1"/>
                <w:color w:val="auto"/>
              </w:rPr>
            </w:pPr>
          </w:p>
        </w:tc>
      </w:tr>
      <w:tr>
        <w:trPr>
          <w:trHeight w:val="227"/>
        </w:trPr>
        <w:tc>
          <w:tcPr>
            <w:tcW w:w="6020" w:type="dxa"/>
            <w:vAlign w:val="bottom"/>
          </w:tcPr>
          <w:p>
            <w:pPr>
              <w:spacing w:after="0" w:line="227" w:lineRule="exact"/>
              <w:rPr>
                <w:sz w:val="20"/>
                <w:szCs w:val="20"/>
                <w:color w:val="auto"/>
              </w:rPr>
            </w:pPr>
            <w:r>
              <w:rPr>
                <w:rFonts w:ascii="Arial" w:cs="Arial" w:eastAsia="Arial" w:hAnsi="Arial"/>
                <w:sz w:val="21"/>
                <w:szCs w:val="21"/>
                <w:color w:val="auto"/>
              </w:rPr>
              <w:t>Effect of dilutive securities: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Issuance of common stock from private placement</w:t>
            </w:r>
          </w:p>
        </w:tc>
        <w:tc>
          <w:tcPr>
            <w:tcW w:w="110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8,926</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7"/>
        </w:trPr>
        <w:tc>
          <w:tcPr>
            <w:tcW w:w="6020" w:type="dxa"/>
            <w:vAlign w:val="bottom"/>
          </w:tcPr>
          <w:p>
            <w:pPr>
              <w:ind w:left="100"/>
              <w:spacing w:after="0" w:line="227" w:lineRule="exact"/>
              <w:rPr>
                <w:sz w:val="20"/>
                <w:szCs w:val="20"/>
                <w:color w:val="auto"/>
              </w:rPr>
            </w:pPr>
            <w:r>
              <w:rPr>
                <w:rFonts w:ascii="Arial" w:cs="Arial" w:eastAsia="Arial" w:hAnsi="Arial"/>
                <w:sz w:val="21"/>
                <w:szCs w:val="21"/>
                <w:color w:val="auto"/>
              </w:rPr>
              <w:t>Tangible equity units</w:t>
            </w:r>
          </w:p>
        </w:tc>
        <w:tc>
          <w:tcPr>
            <w:tcW w:w="11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line="227" w:lineRule="exact"/>
              <w:rPr>
                <w:sz w:val="20"/>
                <w:szCs w:val="20"/>
                <w:color w:val="auto"/>
              </w:rPr>
            </w:pPr>
            <w:r>
              <w:rPr>
                <w:rFonts w:ascii="Arial" w:cs="Arial" w:eastAsia="Arial" w:hAnsi="Arial"/>
                <w:sz w:val="21"/>
                <w:szCs w:val="21"/>
                <w:color w:val="auto"/>
              </w:rPr>
              <w:t>423</w:t>
            </w:r>
          </w:p>
        </w:tc>
        <w:tc>
          <w:tcPr>
            <w:tcW w:w="20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line="227" w:lineRule="exact"/>
              <w:rPr>
                <w:sz w:val="20"/>
                <w:szCs w:val="20"/>
                <w:color w:val="auto"/>
              </w:rPr>
            </w:pPr>
            <w:r>
              <w:rPr>
                <w:rFonts w:ascii="Arial" w:cs="Arial" w:eastAsia="Arial" w:hAnsi="Arial"/>
                <w:sz w:val="21"/>
                <w:szCs w:val="21"/>
                <w:color w:val="auto"/>
              </w:rPr>
              <w:t>212</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Employee stock-based compensation</w:t>
            </w:r>
          </w:p>
        </w:tc>
        <w:tc>
          <w:tcPr>
            <w:tcW w:w="110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267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312</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382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344</w:t>
            </w:r>
          </w:p>
        </w:tc>
        <w:tc>
          <w:tcPr>
            <w:tcW w:w="0" w:type="dxa"/>
            <w:vAlign w:val="bottom"/>
          </w:tcPr>
          <w:p>
            <w:pPr>
              <w:spacing w:after="0"/>
              <w:rPr>
                <w:sz w:val="1"/>
                <w:szCs w:val="1"/>
                <w:color w:val="auto"/>
              </w:rPr>
            </w:pPr>
          </w:p>
        </w:tc>
      </w:tr>
      <w:tr>
        <w:trPr>
          <w:trHeight w:val="186"/>
        </w:trPr>
        <w:tc>
          <w:tcPr>
            <w:tcW w:w="6020" w:type="dxa"/>
            <w:vAlign w:val="bottom"/>
          </w:tcPr>
          <w:p>
            <w:pPr>
              <w:spacing w:after="0" w:line="186" w:lineRule="exact"/>
              <w:rPr>
                <w:sz w:val="20"/>
                <w:szCs w:val="20"/>
                <w:color w:val="auto"/>
              </w:rPr>
            </w:pPr>
            <w:r>
              <w:rPr>
                <w:rFonts w:ascii="Arial" w:cs="Arial" w:eastAsia="Arial" w:hAnsi="Arial"/>
                <w:sz w:val="21"/>
                <w:szCs w:val="21"/>
                <w:color w:val="auto"/>
                <w:w w:val="98"/>
              </w:rPr>
              <w:t>Average common shares outstanding during the period for diluted</w:t>
            </w:r>
          </w:p>
        </w:tc>
        <w:tc>
          <w:tcPr>
            <w:tcW w:w="1100" w:type="dxa"/>
            <w:vAlign w:val="bottom"/>
            <w:tcBorders>
              <w:top w:val="single" w:sz="8" w:color="auto"/>
            </w:tcBorders>
            <w:vMerge w:val="restart"/>
          </w:tcPr>
          <w:p>
            <w:pPr>
              <w:ind w:left="340"/>
              <w:spacing w:after="0"/>
              <w:rPr>
                <w:sz w:val="20"/>
                <w:szCs w:val="20"/>
                <w:color w:val="auto"/>
              </w:rPr>
            </w:pPr>
            <w:r>
              <w:rPr>
                <w:rFonts w:ascii="Arial" w:cs="Arial" w:eastAsia="Arial" w:hAnsi="Arial"/>
                <w:sz w:val="21"/>
                <w:szCs w:val="21"/>
                <w:color w:val="auto"/>
                <w:w w:val="97"/>
              </w:rPr>
              <w:t>254,434</w:t>
            </w: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21"/>
                <w:szCs w:val="21"/>
                <w:color w:val="auto"/>
              </w:rPr>
              <w:t>219,790</w:t>
            </w:r>
          </w:p>
        </w:tc>
        <w:tc>
          <w:tcPr>
            <w:tcW w:w="200" w:type="dxa"/>
            <w:vAlign w:val="bottom"/>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21"/>
                <w:szCs w:val="21"/>
                <w:color w:val="auto"/>
              </w:rPr>
              <w:t>254,452</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21"/>
                <w:szCs w:val="21"/>
                <w:color w:val="auto"/>
              </w:rPr>
              <w:t>199,303</w:t>
            </w:r>
          </w:p>
        </w:tc>
        <w:tc>
          <w:tcPr>
            <w:tcW w:w="0" w:type="dxa"/>
            <w:vAlign w:val="bottom"/>
          </w:tcPr>
          <w:p>
            <w:pPr>
              <w:spacing w:after="0"/>
              <w:rPr>
                <w:sz w:val="1"/>
                <w:szCs w:val="1"/>
                <w:color w:val="auto"/>
              </w:rPr>
            </w:pPr>
          </w:p>
        </w:tc>
      </w:tr>
      <w:tr>
        <w:trPr>
          <w:trHeight w:val="235"/>
        </w:trPr>
        <w:tc>
          <w:tcPr>
            <w:tcW w:w="6020" w:type="dxa"/>
            <w:vAlign w:val="bottom"/>
          </w:tcPr>
          <w:p>
            <w:pPr>
              <w:spacing w:after="0" w:line="235" w:lineRule="exact"/>
              <w:rPr>
                <w:sz w:val="20"/>
                <w:szCs w:val="20"/>
                <w:color w:val="auto"/>
              </w:rPr>
            </w:pPr>
            <w:r>
              <w:rPr>
                <w:rFonts w:ascii="Arial" w:cs="Arial" w:eastAsia="Arial" w:hAnsi="Arial"/>
                <w:sz w:val="21"/>
                <w:szCs w:val="21"/>
                <w:color w:val="auto"/>
              </w:rPr>
              <w:t>computation</w:t>
            </w:r>
          </w:p>
        </w:tc>
        <w:tc>
          <w:tcPr>
            <w:tcW w:w="110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spacing w:after="0" w:line="241" w:lineRule="auto"/>
        <w:rPr>
          <w:sz w:val="20"/>
          <w:szCs w:val="20"/>
          <w:color w:val="auto"/>
        </w:rPr>
      </w:pPr>
      <w:r>
        <w:rPr>
          <w:rFonts w:ascii="Arial" w:cs="Arial" w:eastAsia="Arial" w:hAnsi="Arial"/>
          <w:sz w:val="21"/>
          <w:szCs w:val="21"/>
          <w:color w:val="auto"/>
        </w:rPr>
        <w:t>For the three and six months ended June 30, 2020, the average common shares outstanding during the period for diluted computation reflects the impact of the issuance of common stock from the March 16, 2020 private placement as if the shares were issued on January 1, 2020.</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three and six months ended June 30, 2020, the average common shares outstanding during the period for basic computation includes the weighted-average impact of 9,091,179 and 9,653,184 shares, respectively, based on the minimum number of shares of 9,091,179 to be issued in April 2022 upon settlement of the stock purchase contracts issued in April 2019 under the tangible equity units. Further, for the three and six months ended June 30, 2019, average common shares outstanding during the period for diluted computation includes the impact of the additional shares to be issued in April 2022 upon settlement of the stock purchase contracts based on the threshold appreciation price of $42.41.</w:t>
      </w: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For the three and six months ended June 30, 2020, all of the Company’s employee stock options were included in the calculations of diluted net income per share as the calculated cost to exercise employee stock options was less than the average market price of the Company’s common stock during this period. For the three and six months ended June 30, 2019, all of the Company’s employee stock options were included in the calculations of diluted net income per share as the calculated cost to exercise employee stock options was less than the average market price of the Company’s common stock during this period.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94" w:lineRule="exact"/>
        <w:rPr>
          <w:sz w:val="20"/>
          <w:szCs w:val="20"/>
          <w:color w:val="auto"/>
        </w:rPr>
      </w:pPr>
    </w:p>
    <w:p>
      <w:pPr>
        <w:ind w:right="660"/>
        <w:spacing w:after="0" w:line="256" w:lineRule="auto"/>
        <w:rPr>
          <w:sz w:val="20"/>
          <w:szCs w:val="20"/>
          <w:color w:val="auto"/>
        </w:rPr>
      </w:pPr>
      <w:r>
        <w:rPr>
          <w:rFonts w:ascii="Arial" w:cs="Arial" w:eastAsia="Arial" w:hAnsi="Arial"/>
          <w:sz w:val="21"/>
          <w:szCs w:val="21"/>
          <w:color w:val="auto"/>
        </w:rPr>
        <w:t>Additionally, the dilutive effect of performance share units and restricted share units granted are included in the Company’s calculation of diluted net income per share.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10 – </w:t>
      </w:r>
      <w:r>
        <w:rPr>
          <w:rFonts w:ascii="Arial" w:cs="Arial" w:eastAsia="Arial" w:hAnsi="Arial"/>
          <w:sz w:val="21"/>
          <w:szCs w:val="21"/>
          <w:b w:val="1"/>
          <w:bCs w:val="1"/>
          <w:i w:val="1"/>
          <w:iCs w:val="1"/>
          <w:color w:val="auto"/>
        </w:rPr>
        <w:t>Stock-based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2020, 2,433,726 shares were still available for issuance under the 2009 Plan. No further grants may be made under the Company’s 2004 Equity Compensation Plan.</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auto"/>
        </w:rPr>
        <w:t xml:space="preserve">Performance Share Units </w:t>
      </w:r>
      <w:r>
        <w:rPr>
          <w:rFonts w:ascii="Arial" w:cs="Arial" w:eastAsia="Arial" w:hAnsi="Arial"/>
          <w:sz w:val="20"/>
          <w:szCs w:val="20"/>
          <w:color w:val="auto"/>
        </w:rPr>
        <w:t>– A performance share unit (“PSU”) represents the right to receive a share of the Company’s common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680" w:type="dxa"/>
            <w:vAlign w:val="bottom"/>
            <w:gridSpan w:val="4"/>
          </w:tcPr>
          <w:p>
            <w:pPr>
              <w:jc w:val="center"/>
              <w:ind w:left="353"/>
              <w:spacing w:after="0"/>
              <w:rPr>
                <w:sz w:val="20"/>
                <w:szCs w:val="20"/>
                <w:color w:val="auto"/>
              </w:rPr>
            </w:pPr>
            <w:r>
              <w:rPr>
                <w:rFonts w:ascii="Arial" w:cs="Arial" w:eastAsia="Arial" w:hAnsi="Arial"/>
                <w:sz w:val="21"/>
                <w:szCs w:val="21"/>
                <w:color w:val="auto"/>
                <w:w w:val="92"/>
              </w:rPr>
              <w:t>Three Months Ended</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center"/>
              <w:ind w:right="213"/>
              <w:spacing w:after="0"/>
              <w:rPr>
                <w:sz w:val="20"/>
                <w:szCs w:val="20"/>
                <w:color w:val="auto"/>
              </w:rPr>
            </w:pPr>
            <w:r>
              <w:rPr>
                <w:rFonts w:ascii="Arial" w:cs="Arial" w:eastAsia="Arial" w:hAnsi="Arial"/>
                <w:sz w:val="21"/>
                <w:szCs w:val="21"/>
                <w:color w:val="auto"/>
                <w:w w:val="93"/>
              </w:rPr>
              <w:t>Six Months Ended</w:t>
            </w:r>
          </w:p>
        </w:tc>
      </w:tr>
      <w:tr>
        <w:trPr>
          <w:trHeight w:val="249"/>
        </w:trPr>
        <w:tc>
          <w:tcPr>
            <w:tcW w:w="48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right="476"/>
              <w:spacing w:after="0"/>
              <w:rPr>
                <w:sz w:val="20"/>
                <w:szCs w:val="20"/>
                <w:color w:val="auto"/>
              </w:rPr>
            </w:pPr>
            <w:r>
              <w:rPr>
                <w:rFonts w:ascii="Arial" w:cs="Arial" w:eastAsia="Arial" w:hAnsi="Arial"/>
                <w:sz w:val="21"/>
                <w:szCs w:val="21"/>
                <w:color w:val="auto"/>
                <w:w w:val="86"/>
              </w:rPr>
              <w:t>June 30,</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21"/>
                <w:szCs w:val="21"/>
                <w:color w:val="auto"/>
                <w:w w:val="89"/>
              </w:rPr>
              <w:t>June 30,</w:t>
            </w:r>
          </w:p>
        </w:tc>
        <w:tc>
          <w:tcPr>
            <w:tcW w:w="1060" w:type="dxa"/>
            <w:vAlign w:val="bottom"/>
            <w:tcBorders>
              <w:bottom w:val="single" w:sz="8" w:color="auto"/>
            </w:tcBorders>
          </w:tcPr>
          <w:p>
            <w:pPr>
              <w:spacing w:after="0"/>
              <w:rPr>
                <w:sz w:val="21"/>
                <w:szCs w:val="21"/>
                <w:color w:val="auto"/>
              </w:rPr>
            </w:pPr>
          </w:p>
        </w:tc>
      </w:tr>
      <w:tr>
        <w:trPr>
          <w:trHeight w:val="221"/>
        </w:trPr>
        <w:tc>
          <w:tcPr>
            <w:tcW w:w="48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2020</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2019</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3"/>
              <w:spacing w:after="0" w:line="221" w:lineRule="exact"/>
              <w:rPr>
                <w:sz w:val="20"/>
                <w:szCs w:val="20"/>
                <w:color w:val="auto"/>
              </w:rPr>
            </w:pPr>
            <w:r>
              <w:rPr>
                <w:rFonts w:ascii="Arial" w:cs="Arial" w:eastAsia="Arial" w:hAnsi="Arial"/>
                <w:sz w:val="21"/>
                <w:szCs w:val="21"/>
                <w:color w:val="auto"/>
              </w:rPr>
              <w:t>2019</w:t>
            </w:r>
          </w:p>
        </w:tc>
      </w:tr>
      <w:tr>
        <w:trPr>
          <w:trHeight w:val="186"/>
        </w:trPr>
        <w:tc>
          <w:tcPr>
            <w:tcW w:w="4800" w:type="dxa"/>
            <w:vAlign w:val="bottom"/>
            <w:shd w:val="clear" w:color="auto" w:fill="CCEEFF"/>
          </w:tcPr>
          <w:p>
            <w:pPr>
              <w:spacing w:after="0" w:line="186" w:lineRule="exact"/>
              <w:rPr>
                <w:sz w:val="20"/>
                <w:szCs w:val="20"/>
                <w:color w:val="auto"/>
              </w:rPr>
            </w:pPr>
            <w:r>
              <w:rPr>
                <w:rFonts w:ascii="Arial" w:cs="Arial" w:eastAsia="Arial" w:hAnsi="Arial"/>
                <w:sz w:val="21"/>
                <w:szCs w:val="21"/>
                <w:color w:val="auto"/>
              </w:rPr>
              <w:t>Stock-based compensation within operations and</w:t>
            </w: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49"/>
        </w:trPr>
        <w:tc>
          <w:tcPr>
            <w:tcW w:w="4800" w:type="dxa"/>
            <w:vAlign w:val="bottom"/>
            <w:shd w:val="clear" w:color="auto" w:fill="CCEEFF"/>
          </w:tcPr>
          <w:p>
            <w:pPr>
              <w:spacing w:after="0"/>
              <w:rPr>
                <w:sz w:val="20"/>
                <w:szCs w:val="20"/>
                <w:color w:val="auto"/>
              </w:rPr>
            </w:pPr>
            <w:r>
              <w:rPr>
                <w:rFonts w:ascii="Arial" w:cs="Arial" w:eastAsia="Arial" w:hAnsi="Arial"/>
                <w:sz w:val="21"/>
                <w:szCs w:val="21"/>
                <w:color w:val="auto"/>
              </w:rPr>
              <w:t>maintenance expenses</w:t>
            </w:r>
          </w:p>
        </w:tc>
        <w:tc>
          <w:tcPr>
            <w:tcW w:w="1040" w:type="dxa"/>
            <w:vAlign w:val="bottom"/>
            <w:shd w:val="clear" w:color="auto" w:fill="CCEEFF"/>
          </w:tcPr>
          <w:p>
            <w:pPr>
              <w:jc w:val="right"/>
              <w:ind w:right="813"/>
              <w:spacing w:after="0"/>
              <w:rPr>
                <w:sz w:val="20"/>
                <w:szCs w:val="20"/>
                <w:color w:val="auto"/>
              </w:rPr>
            </w:pPr>
            <w:r>
              <w:rPr>
                <w:rFonts w:ascii="Arial" w:cs="Arial" w:eastAsia="Arial" w:hAnsi="Arial"/>
                <w:sz w:val="21"/>
                <w:szCs w:val="21"/>
                <w:color w:val="auto"/>
                <w:w w:val="85"/>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21"/>
                <w:szCs w:val="21"/>
                <w:color w:val="auto"/>
              </w:rPr>
              <w:t>966</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20"/>
                <w:szCs w:val="2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853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21"/>
                <w:szCs w:val="2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1,447</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21"/>
                <w:szCs w:val="2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1,850</w:t>
            </w:r>
          </w:p>
        </w:tc>
      </w:tr>
      <w:tr>
        <w:trPr>
          <w:trHeight w:val="273"/>
        </w:trPr>
        <w:tc>
          <w:tcPr>
            <w:tcW w:w="4800" w:type="dxa"/>
            <w:vAlign w:val="bottom"/>
          </w:tcPr>
          <w:p>
            <w:pPr>
              <w:spacing w:after="0"/>
              <w:rPr>
                <w:sz w:val="20"/>
                <w:szCs w:val="20"/>
                <w:color w:val="auto"/>
              </w:rPr>
            </w:pPr>
            <w:r>
              <w:rPr>
                <w:rFonts w:ascii="Arial" w:cs="Arial" w:eastAsia="Arial" w:hAnsi="Arial"/>
                <w:sz w:val="21"/>
                <w:szCs w:val="21"/>
                <w:color w:val="auto"/>
              </w:rPr>
              <w:t>Income tax benefit</w:t>
            </w:r>
          </w:p>
        </w:tc>
        <w:tc>
          <w:tcPr>
            <w:tcW w:w="10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21"/>
                <w:szCs w:val="21"/>
                <w:color w:val="auto"/>
              </w:rPr>
              <w:t>265</w:t>
            </w:r>
          </w:p>
        </w:tc>
        <w:tc>
          <w:tcPr>
            <w:tcW w:w="10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1"/>
                <w:szCs w:val="21"/>
                <w:color w:val="auto"/>
              </w:rPr>
              <w:t>239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408</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516</w:t>
            </w:r>
          </w:p>
        </w:tc>
      </w:tr>
      <w:tr>
        <w:trPr>
          <w:trHeight w:val="433"/>
        </w:trPr>
        <w:tc>
          <w:tcPr>
            <w:tcW w:w="48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26</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4"/>
        </w:trPr>
        <w:tc>
          <w:tcPr>
            <w:tcW w:w="4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0" w:type="dxa"/>
            <w:vAlign w:val="bottom"/>
            <w:gridSpan w:val="2"/>
          </w:tcPr>
          <w:p>
            <w:pPr>
              <w:spacing w:after="0"/>
              <w:rPr>
                <w:sz w:val="20"/>
                <w:szCs w:val="20"/>
                <w:color w:val="auto"/>
              </w:rPr>
            </w:pPr>
            <w:r>
              <w:rPr>
                <w:rFonts w:ascii="Arial" w:cs="Arial" w:eastAsia="Arial" w:hAnsi="Arial"/>
                <w:sz w:val="21"/>
                <w:szCs w:val="21"/>
                <w:color w:val="auto"/>
                <w:w w:val="93"/>
              </w:rPr>
              <w:t>The following table summarizes the PSU transactions for the six months ended June 30, 2020:</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623"/>
        </w:trPr>
        <w:tc>
          <w:tcPr>
            <w:tcW w:w="8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33"/>
              <w:spacing w:after="0"/>
              <w:rPr>
                <w:sz w:val="20"/>
                <w:szCs w:val="20"/>
                <w:color w:val="auto"/>
              </w:rPr>
            </w:pPr>
            <w:r>
              <w:rPr>
                <w:rFonts w:ascii="Arial" w:cs="Arial" w:eastAsia="Arial" w:hAnsi="Arial"/>
                <w:sz w:val="21"/>
                <w:szCs w:val="21"/>
                <w:color w:val="auto"/>
                <w:w w:val="96"/>
              </w:rPr>
              <w:t>Number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73"/>
              <w:spacing w:after="0"/>
              <w:rPr>
                <w:sz w:val="20"/>
                <w:szCs w:val="20"/>
                <w:color w:val="auto"/>
              </w:rPr>
            </w:pPr>
            <w:r>
              <w:rPr>
                <w:rFonts w:ascii="Arial" w:cs="Arial" w:eastAsia="Arial" w:hAnsi="Arial"/>
                <w:sz w:val="21"/>
                <w:szCs w:val="21"/>
                <w:color w:val="auto"/>
                <w:w w:val="90"/>
              </w:rPr>
              <w:t>Weighted</w:t>
            </w:r>
          </w:p>
        </w:tc>
      </w:t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33"/>
              <w:spacing w:after="0" w:line="227" w:lineRule="exact"/>
              <w:rPr>
                <w:sz w:val="20"/>
                <w:szCs w:val="20"/>
                <w:color w:val="auto"/>
              </w:rPr>
            </w:pPr>
            <w:r>
              <w:rPr>
                <w:rFonts w:ascii="Arial" w:cs="Arial" w:eastAsia="Arial" w:hAnsi="Arial"/>
                <w:sz w:val="21"/>
                <w:szCs w:val="21"/>
                <w:color w:val="auto"/>
                <w:w w:val="91"/>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3"/>
              <w:spacing w:after="0" w:line="227" w:lineRule="exact"/>
              <w:rPr>
                <w:sz w:val="20"/>
                <w:szCs w:val="20"/>
                <w:color w:val="auto"/>
              </w:rPr>
            </w:pPr>
            <w:r>
              <w:rPr>
                <w:rFonts w:ascii="Arial" w:cs="Arial" w:eastAsia="Arial" w:hAnsi="Arial"/>
                <w:sz w:val="21"/>
                <w:szCs w:val="21"/>
                <w:color w:val="auto"/>
                <w:w w:val="92"/>
              </w:rPr>
              <w:t>Average</w:t>
            </w:r>
          </w:p>
        </w:tc>
      </w:tr>
      <w:tr>
        <w:trPr>
          <w:trHeight w:val="249"/>
        </w:trPr>
        <w:tc>
          <w:tcPr>
            <w:tcW w:w="80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21"/>
                <w:szCs w:val="21"/>
                <w:color w:val="auto"/>
                <w:w w:val="91"/>
              </w:rPr>
              <w:t>Share Units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3"/>
              <w:spacing w:after="0"/>
              <w:rPr>
                <w:sz w:val="20"/>
                <w:szCs w:val="20"/>
                <w:color w:val="auto"/>
              </w:rPr>
            </w:pPr>
            <w:r>
              <w:rPr>
                <w:rFonts w:ascii="Arial" w:cs="Arial" w:eastAsia="Arial" w:hAnsi="Arial"/>
                <w:sz w:val="21"/>
                <w:szCs w:val="21"/>
                <w:color w:val="auto"/>
                <w:w w:val="91"/>
              </w:rPr>
              <w:t>Fair Value</w:t>
            </w:r>
          </w:p>
        </w:tc>
      </w:tr>
      <w:tr>
        <w:trPr>
          <w:trHeight w:val="221"/>
        </w:trPr>
        <w:tc>
          <w:tcPr>
            <w:tcW w:w="806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Nonvested share units at beginning of period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261,398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1"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16.35</w:t>
            </w:r>
          </w:p>
        </w:tc>
      </w:tr>
      <w:tr>
        <w:trPr>
          <w:trHeight w:val="227"/>
        </w:trPr>
        <w:tc>
          <w:tcPr>
            <w:tcW w:w="8200" w:type="dxa"/>
            <w:vAlign w:val="bottom"/>
            <w:gridSpan w:val="2"/>
          </w:tcPr>
          <w:p>
            <w:pPr>
              <w:ind w:left="100"/>
              <w:spacing w:after="0" w:line="227" w:lineRule="exact"/>
              <w:rPr>
                <w:sz w:val="20"/>
                <w:szCs w:val="20"/>
                <w:color w:val="auto"/>
              </w:rPr>
            </w:pPr>
            <w:r>
              <w:rPr>
                <w:rFonts w:ascii="Arial" w:cs="Arial" w:eastAsia="Arial" w:hAnsi="Arial"/>
                <w:sz w:val="21"/>
                <w:szCs w:val="21"/>
                <w:color w:val="auto"/>
              </w:rPr>
              <w:t>Granted</w:t>
            </w:r>
          </w:p>
        </w:tc>
        <w:tc>
          <w:tcPr>
            <w:tcW w:w="1380" w:type="dxa"/>
            <w:vAlign w:val="bottom"/>
          </w:tcPr>
          <w:p>
            <w:pPr>
              <w:jc w:val="right"/>
              <w:spacing w:after="0" w:line="227" w:lineRule="exact"/>
              <w:rPr>
                <w:sz w:val="20"/>
                <w:szCs w:val="20"/>
                <w:color w:val="auto"/>
              </w:rPr>
            </w:pPr>
            <w:r>
              <w:rPr>
                <w:rFonts w:ascii="Arial" w:cs="Arial" w:eastAsia="Arial" w:hAnsi="Arial"/>
                <w:sz w:val="21"/>
                <w:szCs w:val="21"/>
                <w:color w:val="auto"/>
              </w:rPr>
              <w:t>104,559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7" w:lineRule="exact"/>
              <w:rPr>
                <w:sz w:val="20"/>
                <w:szCs w:val="20"/>
                <w:color w:val="auto"/>
              </w:rPr>
            </w:pPr>
            <w:r>
              <w:rPr>
                <w:rFonts w:ascii="Arial" w:cs="Arial" w:eastAsia="Arial" w:hAnsi="Arial"/>
                <w:sz w:val="21"/>
                <w:szCs w:val="21"/>
                <w:color w:val="auto"/>
              </w:rPr>
              <w:t>55.65</w:t>
            </w:r>
          </w:p>
        </w:tc>
      </w:tr>
      <w:tr>
        <w:trPr>
          <w:trHeight w:val="227"/>
        </w:trPr>
        <w:tc>
          <w:tcPr>
            <w:tcW w:w="8200" w:type="dxa"/>
            <w:vAlign w:val="bottom"/>
            <w:gridSpan w:val="2"/>
            <w:shd w:val="clear" w:color="auto" w:fill="CCEEFF"/>
          </w:tcPr>
          <w:p>
            <w:pPr>
              <w:ind w:left="100"/>
              <w:spacing w:after="0" w:line="227" w:lineRule="exact"/>
              <w:rPr>
                <w:sz w:val="20"/>
                <w:szCs w:val="20"/>
                <w:color w:val="auto"/>
              </w:rPr>
            </w:pPr>
            <w:r>
              <w:rPr>
                <w:rFonts w:ascii="Arial" w:cs="Arial" w:eastAsia="Arial" w:hAnsi="Arial"/>
                <w:sz w:val="21"/>
                <w:szCs w:val="21"/>
                <w:color w:val="auto"/>
              </w:rPr>
              <w:t>Performance criteria adjustment</w:t>
            </w:r>
          </w:p>
        </w:tc>
        <w:tc>
          <w:tcPr>
            <w:tcW w:w="13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60,136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47.26</w:t>
            </w:r>
          </w:p>
        </w:tc>
      </w:tr>
      <w:tr>
        <w:trPr>
          <w:trHeight w:val="227"/>
        </w:trPr>
        <w:tc>
          <w:tcPr>
            <w:tcW w:w="8200" w:type="dxa"/>
            <w:vAlign w:val="bottom"/>
            <w:gridSpan w:val="2"/>
          </w:tcPr>
          <w:p>
            <w:pPr>
              <w:ind w:left="100"/>
              <w:spacing w:after="0" w:line="227" w:lineRule="exact"/>
              <w:rPr>
                <w:sz w:val="20"/>
                <w:szCs w:val="20"/>
                <w:color w:val="auto"/>
              </w:rPr>
            </w:pPr>
            <w:r>
              <w:rPr>
                <w:rFonts w:ascii="Arial" w:cs="Arial" w:eastAsia="Arial" w:hAnsi="Arial"/>
                <w:sz w:val="21"/>
                <w:szCs w:val="21"/>
                <w:color w:val="auto"/>
              </w:rPr>
              <w:t>Forfeited</w:t>
            </w:r>
          </w:p>
        </w:tc>
        <w:tc>
          <w:tcPr>
            <w:tcW w:w="1380" w:type="dxa"/>
            <w:vAlign w:val="bottom"/>
          </w:tcPr>
          <w:p>
            <w:pPr>
              <w:jc w:val="right"/>
              <w:spacing w:after="0" w:line="227" w:lineRule="exact"/>
              <w:rPr>
                <w:sz w:val="20"/>
                <w:szCs w:val="20"/>
                <w:color w:val="auto"/>
              </w:rPr>
            </w:pPr>
            <w:r>
              <w:rPr>
                <w:rFonts w:ascii="Arial" w:cs="Arial" w:eastAsia="Arial" w:hAnsi="Arial"/>
                <w:sz w:val="21"/>
                <w:szCs w:val="21"/>
                <w:color w:val="auto"/>
              </w:rPr>
              <w:t>(2,141)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7" w:lineRule="exact"/>
              <w:rPr>
                <w:sz w:val="20"/>
                <w:szCs w:val="20"/>
                <w:color w:val="auto"/>
              </w:rPr>
            </w:pPr>
            <w:r>
              <w:rPr>
                <w:rFonts w:ascii="Arial" w:cs="Arial" w:eastAsia="Arial" w:hAnsi="Arial"/>
                <w:sz w:val="21"/>
                <w:szCs w:val="21"/>
                <w:color w:val="auto"/>
              </w:rPr>
              <w:t>33.38</w:t>
            </w:r>
          </w:p>
        </w:tc>
      </w:tr>
      <w:tr>
        <w:trPr>
          <w:trHeight w:val="227"/>
        </w:trPr>
        <w:tc>
          <w:tcPr>
            <w:tcW w:w="8200" w:type="dxa"/>
            <w:vAlign w:val="bottom"/>
            <w:gridSpan w:val="2"/>
            <w:shd w:val="clear" w:color="auto" w:fill="CCEEFF"/>
          </w:tcPr>
          <w:p>
            <w:pPr>
              <w:ind w:left="100"/>
              <w:spacing w:after="0" w:line="227" w:lineRule="exact"/>
              <w:rPr>
                <w:sz w:val="20"/>
                <w:szCs w:val="20"/>
                <w:color w:val="auto"/>
              </w:rPr>
            </w:pPr>
            <w:r>
              <w:rPr>
                <w:rFonts w:ascii="Arial" w:cs="Arial" w:eastAsia="Arial" w:hAnsi="Arial"/>
                <w:sz w:val="21"/>
                <w:szCs w:val="21"/>
                <w:color w:val="auto"/>
              </w:rPr>
              <w:t>Share units issued</w:t>
            </w:r>
          </w:p>
        </w:tc>
        <w:tc>
          <w:tcPr>
            <w:tcW w:w="13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(169,352)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25.75</w:t>
            </w:r>
          </w:p>
        </w:tc>
      </w:tr>
      <w:tr>
        <w:trPr>
          <w:trHeight w:val="221"/>
        </w:trPr>
        <w:tc>
          <w:tcPr>
            <w:tcW w:w="8060" w:type="dxa"/>
            <w:vAlign w:val="bottom"/>
          </w:tcPr>
          <w:p>
            <w:pPr>
              <w:spacing w:after="0" w:line="221" w:lineRule="exact"/>
              <w:rPr>
                <w:sz w:val="20"/>
                <w:szCs w:val="20"/>
                <w:color w:val="auto"/>
              </w:rPr>
            </w:pPr>
            <w:r>
              <w:rPr>
                <w:rFonts w:ascii="Arial" w:cs="Arial" w:eastAsia="Arial" w:hAnsi="Arial"/>
                <w:sz w:val="21"/>
                <w:szCs w:val="21"/>
                <w:color w:val="auto"/>
              </w:rPr>
              <w:t>Nonvested share units at end of period</w:t>
            </w: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254,600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1" w:lineRule="exact"/>
              <w:rPr>
                <w:sz w:val="20"/>
                <w:szCs w:val="20"/>
                <w:color w:val="auto"/>
              </w:rPr>
            </w:pPr>
            <w:r>
              <w:rPr>
                <w:rFonts w:ascii="Arial" w:cs="Arial" w:eastAsia="Arial" w:hAnsi="Arial"/>
                <w:sz w:val="21"/>
                <w:szCs w:val="21"/>
                <w:color w:val="auto"/>
              </w:rPr>
              <w:t>33.40</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six months ended June 30, 2020 was $55.65 The Company did not grant PSUs for the six months ended June 30, 2019.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440" w:type="dxa"/>
            <w:vAlign w:val="bottom"/>
            <w:gridSpan w:val="4"/>
          </w:tcPr>
          <w:p>
            <w:pPr>
              <w:jc w:val="center"/>
              <w:ind w:left="333"/>
              <w:spacing w:after="0"/>
              <w:rPr>
                <w:sz w:val="20"/>
                <w:szCs w:val="20"/>
                <w:color w:val="auto"/>
              </w:rPr>
            </w:pPr>
            <w:r>
              <w:rPr>
                <w:rFonts w:ascii="Arial" w:cs="Arial" w:eastAsia="Arial" w:hAnsi="Arial"/>
                <w:sz w:val="21"/>
                <w:szCs w:val="21"/>
                <w:color w:val="auto"/>
                <w:w w:val="91"/>
              </w:rPr>
              <w:t>Three Months Ended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4"/>
          </w:tcPr>
          <w:p>
            <w:pPr>
              <w:jc w:val="center"/>
              <w:ind w:right="233"/>
              <w:spacing w:after="0"/>
              <w:rPr>
                <w:sz w:val="20"/>
                <w:szCs w:val="20"/>
                <w:color w:val="auto"/>
              </w:rPr>
            </w:pPr>
            <w:r>
              <w:rPr>
                <w:rFonts w:ascii="Arial" w:cs="Arial" w:eastAsia="Arial" w:hAnsi="Arial"/>
                <w:sz w:val="21"/>
                <w:szCs w:val="21"/>
                <w:color w:val="auto"/>
                <w:w w:val="93"/>
              </w:rPr>
              <w:t>Six Months Ended</w:t>
            </w:r>
          </w:p>
        </w:tc>
      </w:tr>
      <w:tr>
        <w:trPr>
          <w:trHeight w:val="249"/>
        </w:trPr>
        <w:tc>
          <w:tcPr>
            <w:tcW w:w="48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21"/>
                <w:szCs w:val="21"/>
                <w:color w:val="auto"/>
                <w:w w:val="89"/>
              </w:rPr>
              <w:t>June 30,</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21"/>
                <w:szCs w:val="21"/>
                <w:color w:val="auto"/>
                <w:w w:val="89"/>
              </w:rPr>
              <w:t>June 30,</w:t>
            </w:r>
          </w:p>
        </w:tc>
        <w:tc>
          <w:tcPr>
            <w:tcW w:w="1140" w:type="dxa"/>
            <w:vAlign w:val="bottom"/>
            <w:tcBorders>
              <w:bottom w:val="single" w:sz="8" w:color="auto"/>
            </w:tcBorders>
          </w:tcPr>
          <w:p>
            <w:pPr>
              <w:spacing w:after="0"/>
              <w:rPr>
                <w:sz w:val="21"/>
                <w:szCs w:val="21"/>
                <w:color w:val="auto"/>
              </w:rPr>
            </w:pPr>
          </w:p>
        </w:tc>
      </w:tr>
      <w:tr>
        <w:trPr>
          <w:trHeight w:val="221"/>
        </w:trPr>
        <w:tc>
          <w:tcPr>
            <w:tcW w:w="480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Arial" w:cs="Arial" w:eastAsia="Arial" w:hAnsi="Arial"/>
                <w:sz w:val="21"/>
                <w:szCs w:val="21"/>
                <w:color w:val="auto"/>
              </w:rPr>
              <w:t>2020</w:t>
            </w:r>
          </w:p>
        </w:tc>
        <w:tc>
          <w:tcPr>
            <w:tcW w:w="340" w:type="dxa"/>
            <w:vAlign w:val="bottom"/>
          </w:tcPr>
          <w:p>
            <w:pPr>
              <w:spacing w:after="0"/>
              <w:rPr>
                <w:sz w:val="19"/>
                <w:szCs w:val="19"/>
                <w:color w:val="auto"/>
              </w:rPr>
            </w:pPr>
          </w:p>
        </w:tc>
        <w:tc>
          <w:tcPr>
            <w:tcW w:w="1140" w:type="dxa"/>
            <w:vAlign w:val="bottom"/>
            <w:gridSpan w:val="2"/>
          </w:tcPr>
          <w:p>
            <w:pPr>
              <w:jc w:val="right"/>
              <w:ind w:right="40"/>
              <w:spacing w:after="0" w:line="221" w:lineRule="exact"/>
              <w:rPr>
                <w:sz w:val="20"/>
                <w:szCs w:val="20"/>
                <w:color w:val="auto"/>
              </w:rPr>
            </w:pPr>
            <w:r>
              <w:rPr>
                <w:rFonts w:ascii="Arial" w:cs="Arial" w:eastAsia="Arial" w:hAnsi="Arial"/>
                <w:sz w:val="21"/>
                <w:szCs w:val="21"/>
                <w:color w:val="auto"/>
              </w:rPr>
              <w:t>2019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453"/>
              <w:spacing w:after="0" w:line="221" w:lineRule="exact"/>
              <w:rPr>
                <w:sz w:val="20"/>
                <w:szCs w:val="20"/>
                <w:color w:val="auto"/>
              </w:rPr>
            </w:pPr>
            <w:r>
              <w:rPr>
                <w:rFonts w:ascii="Arial" w:cs="Arial" w:eastAsia="Arial" w:hAnsi="Arial"/>
                <w:sz w:val="21"/>
                <w:szCs w:val="21"/>
                <w:color w:val="auto"/>
              </w:rPr>
              <w:t>2020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53"/>
              <w:spacing w:after="0" w:line="221" w:lineRule="exact"/>
              <w:rPr>
                <w:sz w:val="20"/>
                <w:szCs w:val="20"/>
                <w:color w:val="auto"/>
              </w:rPr>
            </w:pPr>
            <w:r>
              <w:rPr>
                <w:rFonts w:ascii="Arial" w:cs="Arial" w:eastAsia="Arial" w:hAnsi="Arial"/>
                <w:sz w:val="21"/>
                <w:szCs w:val="21"/>
                <w:color w:val="auto"/>
              </w:rPr>
              <w:t>2019</w:t>
            </w:r>
          </w:p>
        </w:tc>
      </w:tr>
      <w:tr>
        <w:trPr>
          <w:trHeight w:val="186"/>
        </w:trPr>
        <w:tc>
          <w:tcPr>
            <w:tcW w:w="48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21"/>
                <w:szCs w:val="21"/>
                <w:color w:val="auto"/>
              </w:rPr>
              <w:t>Stock-based compensation within operations and</w:t>
            </w: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49"/>
        </w:trPr>
        <w:tc>
          <w:tcPr>
            <w:tcW w:w="4800" w:type="dxa"/>
            <w:vAlign w:val="bottom"/>
            <w:shd w:val="clear" w:color="auto" w:fill="CCEEFF"/>
          </w:tcPr>
          <w:p>
            <w:pPr>
              <w:spacing w:after="0"/>
              <w:rPr>
                <w:sz w:val="20"/>
                <w:szCs w:val="20"/>
                <w:color w:val="auto"/>
              </w:rPr>
            </w:pPr>
            <w:r>
              <w:rPr>
                <w:rFonts w:ascii="Arial" w:cs="Arial" w:eastAsia="Arial" w:hAnsi="Arial"/>
                <w:sz w:val="21"/>
                <w:szCs w:val="21"/>
                <w:color w:val="auto"/>
              </w:rPr>
              <w:t>maintenance expenses</w:t>
            </w:r>
          </w:p>
        </w:tc>
        <w:tc>
          <w:tcPr>
            <w:tcW w:w="960" w:type="dxa"/>
            <w:vAlign w:val="bottom"/>
            <w:shd w:val="clear" w:color="auto" w:fill="CCEEFF"/>
          </w:tcPr>
          <w:p>
            <w:pPr>
              <w:jc w:val="right"/>
              <w:ind w:right="733"/>
              <w:spacing w:after="0"/>
              <w:rPr>
                <w:sz w:val="20"/>
                <w:szCs w:val="20"/>
                <w:color w:val="auto"/>
              </w:rPr>
            </w:pPr>
            <w:r>
              <w:rPr>
                <w:rFonts w:ascii="Arial" w:cs="Arial" w:eastAsia="Arial" w:hAnsi="Arial"/>
                <w:sz w:val="21"/>
                <w:szCs w:val="21"/>
                <w:color w:val="auto"/>
                <w:w w:val="85"/>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1"/>
              </w:rPr>
              <w:t>554</w:t>
            </w:r>
          </w:p>
        </w:tc>
        <w:tc>
          <w:tcPr>
            <w:tcW w:w="1140" w:type="dxa"/>
            <w:vAlign w:val="bottom"/>
            <w:gridSpan w:val="2"/>
            <w:shd w:val="clear" w:color="auto" w:fill="CCEEFF"/>
          </w:tcPr>
          <w:p>
            <w:pPr>
              <w:jc w:val="right"/>
              <w:ind w:right="820"/>
              <w:spacing w:after="0"/>
              <w:rPr>
                <w:sz w:val="20"/>
                <w:szCs w:val="20"/>
                <w:color w:val="auto"/>
              </w:rPr>
            </w:pPr>
            <w:r>
              <w:rPr>
                <w:rFonts w:ascii="Arial" w:cs="Arial" w:eastAsia="Arial" w:hAnsi="Arial"/>
                <w:sz w:val="21"/>
                <w:szCs w:val="2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6"/>
              </w:rPr>
              <w:t>412</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8"/>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1,032</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21"/>
                <w:szCs w:val="2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837</w:t>
            </w:r>
          </w:p>
        </w:tc>
      </w:tr>
      <w:tr>
        <w:trPr>
          <w:trHeight w:val="273"/>
        </w:trPr>
        <w:tc>
          <w:tcPr>
            <w:tcW w:w="4800" w:type="dxa"/>
            <w:vAlign w:val="bottom"/>
          </w:tcPr>
          <w:p>
            <w:pPr>
              <w:spacing w:after="0"/>
              <w:rPr>
                <w:sz w:val="20"/>
                <w:szCs w:val="20"/>
                <w:color w:val="auto"/>
              </w:rPr>
            </w:pPr>
            <w:r>
              <w:rPr>
                <w:rFonts w:ascii="Arial" w:cs="Arial" w:eastAsia="Arial" w:hAnsi="Arial"/>
                <w:sz w:val="21"/>
                <w:szCs w:val="21"/>
                <w:color w:val="auto"/>
              </w:rPr>
              <w:t>Income tax benefit</w:t>
            </w:r>
          </w:p>
        </w:tc>
        <w:tc>
          <w:tcPr>
            <w:tcW w:w="9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1"/>
                <w:szCs w:val="21"/>
                <w:color w:val="auto"/>
                <w:w w:val="91"/>
              </w:rPr>
              <w:t>154</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1"/>
                <w:szCs w:val="21"/>
                <w:color w:val="auto"/>
                <w:w w:val="96"/>
              </w:rPr>
              <w:t>116</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290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236</w:t>
            </w:r>
          </w:p>
        </w:tc>
      </w:tr>
      <w:tr>
        <w:trPr>
          <w:trHeight w:val="447"/>
        </w:trPr>
        <w:tc>
          <w:tcPr>
            <w:tcW w:w="48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1"/>
                <w:szCs w:val="21"/>
                <w:color w:val="auto"/>
              </w:rPr>
              <w:t>27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4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RSU transactions for the six months ended June 30, 2020:</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6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21"/>
                <w:szCs w:val="21"/>
                <w:color w:val="auto"/>
                <w:w w:val="96"/>
              </w:rPr>
              <w:t>Number</w:t>
            </w:r>
          </w:p>
        </w:tc>
        <w:tc>
          <w:tcPr>
            <w:tcW w:w="240" w:type="dxa"/>
            <w:vAlign w:val="bottom"/>
          </w:tcPr>
          <w:p>
            <w:pPr>
              <w:spacing w:after="0"/>
              <w:rPr>
                <w:sz w:val="21"/>
                <w:szCs w:val="21"/>
                <w:color w:val="auto"/>
              </w:rPr>
            </w:pPr>
          </w:p>
        </w:tc>
        <w:tc>
          <w:tcPr>
            <w:tcW w:w="1380" w:type="dxa"/>
            <w:vAlign w:val="bottom"/>
          </w:tcPr>
          <w:p>
            <w:pPr>
              <w:jc w:val="center"/>
              <w:ind w:right="133"/>
              <w:spacing w:after="0"/>
              <w:rPr>
                <w:sz w:val="20"/>
                <w:szCs w:val="20"/>
                <w:color w:val="auto"/>
              </w:rPr>
            </w:pPr>
            <w:r>
              <w:rPr>
                <w:rFonts w:ascii="Arial" w:cs="Arial" w:eastAsia="Arial" w:hAnsi="Arial"/>
                <w:sz w:val="21"/>
                <w:szCs w:val="21"/>
                <w:color w:val="auto"/>
                <w:w w:val="92"/>
              </w:rPr>
              <w:t>Weighted</w:t>
            </w:r>
          </w:p>
        </w:tc>
      </w:tr>
      <w:tr>
        <w:trPr>
          <w:trHeight w:val="227"/>
        </w:trPr>
        <w:tc>
          <w:tcPr>
            <w:tcW w:w="7960" w:type="dxa"/>
            <w:vAlign w:val="bottom"/>
          </w:tcPr>
          <w:p>
            <w:pPr>
              <w:spacing w:after="0"/>
              <w:rPr>
                <w:sz w:val="19"/>
                <w:szCs w:val="19"/>
                <w:color w:val="auto"/>
              </w:rPr>
            </w:pPr>
          </w:p>
        </w:tc>
        <w:tc>
          <w:tcPr>
            <w:tcW w:w="1660" w:type="dxa"/>
            <w:vAlign w:val="bottom"/>
            <w:gridSpan w:val="2"/>
          </w:tcPr>
          <w:p>
            <w:pPr>
              <w:jc w:val="center"/>
              <w:ind w:right="220"/>
              <w:spacing w:after="0" w:line="227" w:lineRule="exact"/>
              <w:rPr>
                <w:sz w:val="20"/>
                <w:szCs w:val="20"/>
                <w:color w:val="auto"/>
              </w:rPr>
            </w:pPr>
            <w:r>
              <w:rPr>
                <w:rFonts w:ascii="Arial" w:cs="Arial" w:eastAsia="Arial" w:hAnsi="Arial"/>
                <w:sz w:val="21"/>
                <w:szCs w:val="21"/>
                <w:color w:val="auto"/>
                <w:w w:val="91"/>
              </w:rPr>
              <w:t>of</w:t>
            </w:r>
          </w:p>
        </w:tc>
        <w:tc>
          <w:tcPr>
            <w:tcW w:w="240" w:type="dxa"/>
            <w:vAlign w:val="bottom"/>
          </w:tcPr>
          <w:p>
            <w:pPr>
              <w:spacing w:after="0"/>
              <w:rPr>
                <w:sz w:val="19"/>
                <w:szCs w:val="19"/>
                <w:color w:val="auto"/>
              </w:rPr>
            </w:pPr>
          </w:p>
        </w:tc>
        <w:tc>
          <w:tcPr>
            <w:tcW w:w="1380" w:type="dxa"/>
            <w:vAlign w:val="bottom"/>
          </w:tcPr>
          <w:p>
            <w:pPr>
              <w:jc w:val="center"/>
              <w:ind w:right="133"/>
              <w:spacing w:after="0" w:line="227" w:lineRule="exact"/>
              <w:rPr>
                <w:sz w:val="20"/>
                <w:szCs w:val="20"/>
                <w:color w:val="auto"/>
              </w:rPr>
            </w:pPr>
            <w:r>
              <w:rPr>
                <w:rFonts w:ascii="Arial" w:cs="Arial" w:eastAsia="Arial" w:hAnsi="Arial"/>
                <w:sz w:val="21"/>
                <w:szCs w:val="21"/>
                <w:color w:val="auto"/>
                <w:w w:val="89"/>
              </w:rPr>
              <w:t>Average</w:t>
            </w:r>
          </w:p>
        </w:tc>
      </w:tr>
      <w:tr>
        <w:trPr>
          <w:trHeight w:val="249"/>
        </w:trPr>
        <w:tc>
          <w:tcPr>
            <w:tcW w:w="796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21"/>
                <w:szCs w:val="21"/>
                <w:color w:val="auto"/>
                <w:w w:val="94"/>
              </w:rPr>
              <w:t>Stock Units</w:t>
            </w:r>
          </w:p>
        </w:tc>
        <w:tc>
          <w:tcPr>
            <w:tcW w:w="240" w:type="dxa"/>
            <w:vAlign w:val="bottom"/>
          </w:tcPr>
          <w:p>
            <w:pPr>
              <w:spacing w:after="0"/>
              <w:rPr>
                <w:sz w:val="21"/>
                <w:szCs w:val="21"/>
                <w:color w:val="auto"/>
              </w:rPr>
            </w:pPr>
          </w:p>
        </w:tc>
        <w:tc>
          <w:tcPr>
            <w:tcW w:w="1380" w:type="dxa"/>
            <w:vAlign w:val="bottom"/>
          </w:tcPr>
          <w:p>
            <w:pPr>
              <w:jc w:val="center"/>
              <w:ind w:right="133"/>
              <w:spacing w:after="0"/>
              <w:rPr>
                <w:sz w:val="20"/>
                <w:szCs w:val="20"/>
                <w:color w:val="auto"/>
              </w:rPr>
            </w:pPr>
            <w:r>
              <w:rPr>
                <w:rFonts w:ascii="Arial" w:cs="Arial" w:eastAsia="Arial" w:hAnsi="Arial"/>
                <w:sz w:val="21"/>
                <w:szCs w:val="21"/>
                <w:color w:val="auto"/>
                <w:w w:val="93"/>
              </w:rPr>
              <w:t>Fair Value</w:t>
            </w:r>
          </w:p>
        </w:tc>
      </w:tr>
      <w:tr>
        <w:trPr>
          <w:trHeight w:val="221"/>
        </w:trPr>
        <w:tc>
          <w:tcPr>
            <w:tcW w:w="7960" w:type="dxa"/>
            <w:vAlign w:val="bottom"/>
            <w:tcBorders>
              <w:top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Nonvested stock units at beginning of period</w:t>
            </w:r>
          </w:p>
        </w:tc>
        <w:tc>
          <w:tcPr>
            <w:tcW w:w="144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141,884</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8"/>
              <w:spacing w:after="0" w:line="221" w:lineRule="exact"/>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34.39</w:t>
            </w:r>
          </w:p>
        </w:tc>
      </w:tr>
      <w:tr>
        <w:trPr>
          <w:trHeight w:val="227"/>
        </w:trPr>
        <w:tc>
          <w:tcPr>
            <w:tcW w:w="7960" w:type="dxa"/>
            <w:vAlign w:val="bottom"/>
          </w:tcPr>
          <w:p>
            <w:pPr>
              <w:ind w:left="100"/>
              <w:spacing w:after="0" w:line="227" w:lineRule="exact"/>
              <w:rPr>
                <w:sz w:val="20"/>
                <w:szCs w:val="20"/>
                <w:color w:val="auto"/>
              </w:rPr>
            </w:pPr>
            <w:r>
              <w:rPr>
                <w:rFonts w:ascii="Arial" w:cs="Arial" w:eastAsia="Arial" w:hAnsi="Arial"/>
                <w:sz w:val="21"/>
                <w:szCs w:val="21"/>
                <w:color w:val="auto"/>
              </w:rPr>
              <w:t>Granted</w:t>
            </w:r>
          </w:p>
        </w:tc>
        <w:tc>
          <w:tcPr>
            <w:tcW w:w="1440" w:type="dxa"/>
            <w:vAlign w:val="bottom"/>
          </w:tcPr>
          <w:p>
            <w:pPr>
              <w:jc w:val="right"/>
              <w:spacing w:after="0" w:line="227" w:lineRule="exact"/>
              <w:rPr>
                <w:sz w:val="20"/>
                <w:szCs w:val="20"/>
                <w:color w:val="auto"/>
              </w:rPr>
            </w:pPr>
            <w:r>
              <w:rPr>
                <w:rFonts w:ascii="Arial" w:cs="Arial" w:eastAsia="Arial" w:hAnsi="Arial"/>
                <w:sz w:val="21"/>
                <w:szCs w:val="21"/>
                <w:color w:val="auto"/>
              </w:rPr>
              <w:t>60,635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7" w:lineRule="exact"/>
              <w:rPr>
                <w:sz w:val="20"/>
                <w:szCs w:val="20"/>
                <w:color w:val="auto"/>
              </w:rPr>
            </w:pPr>
            <w:r>
              <w:rPr>
                <w:rFonts w:ascii="Arial" w:cs="Arial" w:eastAsia="Arial" w:hAnsi="Arial"/>
                <w:sz w:val="21"/>
                <w:szCs w:val="21"/>
                <w:color w:val="auto"/>
              </w:rPr>
              <w:t>49.48</w:t>
            </w:r>
          </w:p>
        </w:tc>
      </w:tr>
      <w:tr>
        <w:trPr>
          <w:trHeight w:val="227"/>
        </w:trPr>
        <w:tc>
          <w:tcPr>
            <w:tcW w:w="79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Stock units vested and issued</w:t>
            </w:r>
          </w:p>
        </w:tc>
        <w:tc>
          <w:tcPr>
            <w:tcW w:w="1660" w:type="dxa"/>
            <w:vAlign w:val="bottom"/>
            <w:gridSpan w:val="2"/>
            <w:shd w:val="clear" w:color="auto" w:fill="CCEEFF"/>
          </w:tcPr>
          <w:p>
            <w:pPr>
              <w:jc w:val="right"/>
              <w:ind w:right="220"/>
              <w:spacing w:after="0" w:line="227" w:lineRule="exact"/>
              <w:rPr>
                <w:sz w:val="20"/>
                <w:szCs w:val="20"/>
                <w:color w:val="auto"/>
              </w:rPr>
            </w:pPr>
            <w:r>
              <w:rPr>
                <w:rFonts w:ascii="Arial" w:cs="Arial" w:eastAsia="Arial" w:hAnsi="Arial"/>
                <w:sz w:val="21"/>
                <w:szCs w:val="21"/>
                <w:color w:val="auto"/>
              </w:rPr>
              <w:t>(39,526)</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31.25</w:t>
            </w:r>
          </w:p>
        </w:tc>
      </w:tr>
      <w:tr>
        <w:trPr>
          <w:trHeight w:val="227"/>
        </w:trPr>
        <w:tc>
          <w:tcPr>
            <w:tcW w:w="7960" w:type="dxa"/>
            <w:vAlign w:val="bottom"/>
          </w:tcPr>
          <w:p>
            <w:pPr>
              <w:ind w:left="100"/>
              <w:spacing w:after="0" w:line="227" w:lineRule="exact"/>
              <w:rPr>
                <w:sz w:val="20"/>
                <w:szCs w:val="20"/>
                <w:color w:val="auto"/>
              </w:rPr>
            </w:pPr>
            <w:r>
              <w:rPr>
                <w:rFonts w:ascii="Arial" w:cs="Arial" w:eastAsia="Arial" w:hAnsi="Arial"/>
                <w:sz w:val="21"/>
                <w:szCs w:val="21"/>
                <w:color w:val="auto"/>
              </w:rPr>
              <w:t>Forfeited</w:t>
            </w:r>
          </w:p>
        </w:tc>
        <w:tc>
          <w:tcPr>
            <w:tcW w:w="1660" w:type="dxa"/>
            <w:vAlign w:val="bottom"/>
            <w:gridSpan w:val="2"/>
          </w:tcPr>
          <w:p>
            <w:pPr>
              <w:jc w:val="right"/>
              <w:ind w:right="220"/>
              <w:spacing w:after="0" w:line="227" w:lineRule="exact"/>
              <w:rPr>
                <w:sz w:val="20"/>
                <w:szCs w:val="20"/>
                <w:color w:val="auto"/>
              </w:rPr>
            </w:pPr>
            <w:r>
              <w:rPr>
                <w:rFonts w:ascii="Arial" w:cs="Arial" w:eastAsia="Arial" w:hAnsi="Arial"/>
                <w:sz w:val="21"/>
                <w:szCs w:val="21"/>
                <w:color w:val="auto"/>
              </w:rPr>
              <w:t>(617)</w:t>
            </w:r>
          </w:p>
        </w:tc>
        <w:tc>
          <w:tcPr>
            <w:tcW w:w="240" w:type="dxa"/>
            <w:vAlign w:val="bottom"/>
          </w:tcPr>
          <w:p>
            <w:pPr>
              <w:spacing w:after="0"/>
              <w:rPr>
                <w:sz w:val="19"/>
                <w:szCs w:val="19"/>
                <w:color w:val="auto"/>
              </w:rPr>
            </w:pPr>
          </w:p>
        </w:tc>
        <w:tc>
          <w:tcPr>
            <w:tcW w:w="1380" w:type="dxa"/>
            <w:vAlign w:val="bottom"/>
          </w:tcPr>
          <w:p>
            <w:pPr>
              <w:jc w:val="right"/>
              <w:spacing w:after="0" w:line="227" w:lineRule="exact"/>
              <w:rPr>
                <w:sz w:val="20"/>
                <w:szCs w:val="20"/>
                <w:color w:val="auto"/>
              </w:rPr>
            </w:pPr>
            <w:r>
              <w:rPr>
                <w:rFonts w:ascii="Arial" w:cs="Arial" w:eastAsia="Arial" w:hAnsi="Arial"/>
                <w:sz w:val="21"/>
                <w:szCs w:val="21"/>
                <w:color w:val="auto"/>
              </w:rPr>
              <w:t>41.75</w:t>
            </w:r>
          </w:p>
        </w:tc>
      </w:tr>
      <w:tr>
        <w:trPr>
          <w:trHeight w:val="221"/>
        </w:trPr>
        <w:tc>
          <w:tcPr>
            <w:tcW w:w="7960" w:type="dxa"/>
            <w:vAlign w:val="bottom"/>
            <w:tcBorders>
              <w:top w:val="single" w:sz="8" w:color="CCEEFF"/>
              <w:bottom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Nonvested stock units at end of period</w:t>
            </w:r>
          </w:p>
        </w:tc>
        <w:tc>
          <w:tcPr>
            <w:tcW w:w="144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162,376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40.72</w:t>
            </w:r>
          </w:p>
        </w:tc>
      </w:tr>
      <w:tr>
        <w:trPr>
          <w:trHeight w:val="20"/>
        </w:trPr>
        <w:tc>
          <w:tcPr>
            <w:tcW w:w="79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40"/>
        <w:spacing w:after="0" w:line="256" w:lineRule="auto"/>
        <w:rPr>
          <w:sz w:val="20"/>
          <w:szCs w:val="20"/>
          <w:color w:val="auto"/>
        </w:rPr>
      </w:pPr>
      <w:r>
        <w:rPr>
          <w:rFonts w:ascii="Arial" w:cs="Arial" w:eastAsia="Arial" w:hAnsi="Arial"/>
          <w:sz w:val="21"/>
          <w:szCs w:val="21"/>
          <w:color w:val="auto"/>
        </w:rPr>
        <w:t>The per unit weighted-average fair value at the date of grant for RSUs granted during the six months ended June 30, 2020 and 2019 was $49.48 and $36.01, respectively.</w:t>
      </w:r>
    </w:p>
    <w:p>
      <w:pPr>
        <w:spacing w:after="0" w:line="1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b w:val="1"/>
          <w:bCs w:val="1"/>
          <w:i w:val="1"/>
          <w:iCs w:val="1"/>
          <w:color w:val="auto"/>
        </w:rPr>
        <w:t xml:space="preserve">Stock Options </w:t>
      </w:r>
      <w:r>
        <w:rPr>
          <w:rFonts w:ascii="Arial" w:cs="Arial" w:eastAsia="Arial" w:hAnsi="Arial"/>
          <w:sz w:val="20"/>
          <w:szCs w:val="20"/>
          <w:color w:val="auto"/>
        </w:rPr>
        <w:t>– A stock option represents the option to purchase a number of shares of common stock of the Company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340" w:type="dxa"/>
            <w:vAlign w:val="bottom"/>
          </w:tcPr>
          <w:p>
            <w:pPr>
              <w:spacing w:after="0"/>
              <w:rPr>
                <w:sz w:val="23"/>
                <w:szCs w:val="23"/>
                <w:color w:val="auto"/>
              </w:rPr>
            </w:pPr>
          </w:p>
        </w:tc>
        <w:tc>
          <w:tcPr>
            <w:tcW w:w="2420" w:type="dxa"/>
            <w:vAlign w:val="bottom"/>
            <w:gridSpan w:val="4"/>
          </w:tcPr>
          <w:p>
            <w:pPr>
              <w:jc w:val="center"/>
              <w:ind w:left="313"/>
              <w:spacing w:after="0"/>
              <w:rPr>
                <w:sz w:val="20"/>
                <w:szCs w:val="20"/>
                <w:color w:val="auto"/>
              </w:rPr>
            </w:pPr>
            <w:r>
              <w:rPr>
                <w:rFonts w:ascii="Arial" w:cs="Arial" w:eastAsia="Arial" w:hAnsi="Arial"/>
                <w:sz w:val="21"/>
                <w:szCs w:val="21"/>
                <w:color w:val="auto"/>
                <w:w w:val="91"/>
              </w:rPr>
              <w:t>Three Months Ended</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21"/>
                <w:szCs w:val="21"/>
                <w:color w:val="auto"/>
              </w:rPr>
              <w:t>Six Months Ended</w:t>
            </w:r>
          </w:p>
        </w:tc>
      </w:tr>
      <w:tr>
        <w:trPr>
          <w:trHeight w:val="324"/>
        </w:trPr>
        <w:tc>
          <w:tcPr>
            <w:tcW w:w="5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21"/>
                <w:szCs w:val="21"/>
                <w:color w:val="auto"/>
                <w:w w:val="89"/>
              </w:rPr>
              <w:t>June 30,</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June 30,</w:t>
            </w:r>
          </w:p>
        </w:tc>
        <w:tc>
          <w:tcPr>
            <w:tcW w:w="920" w:type="dxa"/>
            <w:vAlign w:val="bottom"/>
            <w:tcBorders>
              <w:bottom w:val="single" w:sz="8" w:color="auto"/>
            </w:tcBorders>
          </w:tcPr>
          <w:p>
            <w:pPr>
              <w:spacing w:after="0"/>
              <w:rPr>
                <w:sz w:val="24"/>
                <w:szCs w:val="24"/>
                <w:color w:val="auto"/>
              </w:rPr>
            </w:pPr>
          </w:p>
        </w:tc>
      </w:tr>
      <w:tr>
        <w:trPr>
          <w:trHeight w:val="328"/>
        </w:trPr>
        <w:tc>
          <w:tcPr>
            <w:tcW w:w="5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2020</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2019</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21"/>
                <w:szCs w:val="21"/>
                <w:color w:val="auto"/>
                <w:w w:val="98"/>
              </w:rPr>
              <w:t>2019</w:t>
            </w:r>
          </w:p>
        </w:tc>
      </w:tr>
      <w:tr>
        <w:trPr>
          <w:trHeight w:val="186"/>
        </w:trPr>
        <w:tc>
          <w:tcPr>
            <w:tcW w:w="5340" w:type="dxa"/>
            <w:vAlign w:val="bottom"/>
            <w:shd w:val="clear" w:color="auto" w:fill="CCEEFF"/>
          </w:tcPr>
          <w:p>
            <w:pPr>
              <w:spacing w:after="0" w:line="186" w:lineRule="exact"/>
              <w:rPr>
                <w:sz w:val="20"/>
                <w:szCs w:val="20"/>
                <w:color w:val="auto"/>
              </w:rPr>
            </w:pPr>
            <w:r>
              <w:rPr>
                <w:rFonts w:ascii="Arial" w:cs="Arial" w:eastAsia="Arial" w:hAnsi="Arial"/>
                <w:sz w:val="21"/>
                <w:szCs w:val="21"/>
                <w:color w:val="auto"/>
              </w:rPr>
              <w:t>Stock-based compensation within operations and</w:t>
            </w: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9"/>
        </w:trPr>
        <w:tc>
          <w:tcPr>
            <w:tcW w:w="5340" w:type="dxa"/>
            <w:vAlign w:val="bottom"/>
            <w:shd w:val="clear" w:color="auto" w:fill="CCEEFF"/>
          </w:tcPr>
          <w:p>
            <w:pPr>
              <w:spacing w:after="0"/>
              <w:rPr>
                <w:sz w:val="20"/>
                <w:szCs w:val="20"/>
                <w:color w:val="auto"/>
              </w:rPr>
            </w:pPr>
            <w:r>
              <w:rPr>
                <w:rFonts w:ascii="Arial" w:cs="Arial" w:eastAsia="Arial" w:hAnsi="Arial"/>
                <w:sz w:val="21"/>
                <w:szCs w:val="21"/>
                <w:color w:val="auto"/>
              </w:rPr>
              <w:t>maintenance expenses</w:t>
            </w:r>
          </w:p>
        </w:tc>
        <w:tc>
          <w:tcPr>
            <w:tcW w:w="900" w:type="dxa"/>
            <w:vAlign w:val="bottom"/>
            <w:shd w:val="clear" w:color="auto" w:fill="CCEEFF"/>
          </w:tcPr>
          <w:p>
            <w:pPr>
              <w:jc w:val="right"/>
              <w:ind w:right="673"/>
              <w:spacing w:after="0"/>
              <w:rPr>
                <w:sz w:val="20"/>
                <w:szCs w:val="20"/>
                <w:color w:val="auto"/>
              </w:rPr>
            </w:pPr>
            <w:r>
              <w:rPr>
                <w:rFonts w:ascii="Arial" w:cs="Arial" w:eastAsia="Arial" w:hAnsi="Arial"/>
                <w:sz w:val="21"/>
                <w:szCs w:val="21"/>
                <w:color w:val="auto"/>
                <w:w w:val="8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1"/>
              </w:rPr>
              <w:t>265</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20"/>
                <w:szCs w:val="2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6"/>
              </w:rPr>
              <w:t>661</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766</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8"/>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988</w:t>
            </w:r>
          </w:p>
        </w:tc>
      </w:tr>
      <w:tr>
        <w:trPr>
          <w:trHeight w:val="273"/>
        </w:trPr>
        <w:tc>
          <w:tcPr>
            <w:tcW w:w="5340" w:type="dxa"/>
            <w:vAlign w:val="bottom"/>
          </w:tcPr>
          <w:p>
            <w:pPr>
              <w:spacing w:after="0"/>
              <w:rPr>
                <w:sz w:val="20"/>
                <w:szCs w:val="20"/>
                <w:color w:val="auto"/>
              </w:rPr>
            </w:pPr>
            <w:r>
              <w:rPr>
                <w:rFonts w:ascii="Arial" w:cs="Arial" w:eastAsia="Arial" w:hAnsi="Arial"/>
                <w:sz w:val="21"/>
                <w:szCs w:val="21"/>
                <w:color w:val="auto"/>
              </w:rPr>
              <w:t>Income tax benefit</w:t>
            </w: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1"/>
                <w:szCs w:val="21"/>
                <w:color w:val="auto"/>
              </w:rPr>
              <w:t>75</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1"/>
                <w:szCs w:val="21"/>
                <w:color w:val="auto"/>
                <w:w w:val="96"/>
              </w:rPr>
              <w:t>186</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1"/>
                <w:szCs w:val="21"/>
                <w:color w:val="auto"/>
              </w:rPr>
              <w:t>217</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278</w:t>
            </w:r>
          </w:p>
        </w:tc>
      </w:tr>
    </w:tbl>
    <w:p>
      <w:pPr>
        <w:spacing w:after="0" w:line="200" w:lineRule="exact"/>
        <w:rPr>
          <w:sz w:val="20"/>
          <w:szCs w:val="20"/>
          <w:color w:val="auto"/>
        </w:rPr>
      </w:pPr>
    </w:p>
    <w:p>
      <w:pPr>
        <w:spacing w:after="0" w:line="308" w:lineRule="exact"/>
        <w:rPr>
          <w:sz w:val="20"/>
          <w:szCs w:val="20"/>
          <w:color w:val="auto"/>
        </w:rPr>
      </w:pPr>
    </w:p>
    <w:p>
      <w:pPr>
        <w:ind w:right="1060"/>
        <w:spacing w:after="0" w:line="256" w:lineRule="auto"/>
        <w:rPr>
          <w:sz w:val="20"/>
          <w:szCs w:val="20"/>
          <w:color w:val="auto"/>
        </w:rPr>
      </w:pPr>
      <w:r>
        <w:rPr>
          <w:rFonts w:ascii="Arial" w:cs="Arial" w:eastAsia="Arial" w:hAnsi="Arial"/>
          <w:sz w:val="21"/>
          <w:szCs w:val="21"/>
          <w:color w:val="auto"/>
        </w:rPr>
        <w:t>The fair value of options was estimated at the grant date using the Black-Scholes option-pricing model. The following assumptions were used in the application of this valuation model: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100" w:type="dxa"/>
            <w:vAlign w:val="bottom"/>
            <w:tcBorders>
              <w:bottom w:val="single" w:sz="8" w:color="CCEEFF"/>
            </w:tcBorders>
          </w:tcPr>
          <w:p>
            <w:pPr>
              <w:spacing w:after="0"/>
              <w:rPr>
                <w:sz w:val="21"/>
                <w:szCs w:val="21"/>
                <w:color w:val="auto"/>
              </w:rPr>
            </w:pPr>
          </w:p>
        </w:tc>
        <w:tc>
          <w:tcPr>
            <w:tcW w:w="44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1013"/>
              <w:spacing w:after="0"/>
              <w:rPr>
                <w:sz w:val="20"/>
                <w:szCs w:val="20"/>
                <w:color w:val="auto"/>
              </w:rPr>
            </w:pPr>
            <w:r>
              <w:rPr>
                <w:rFonts w:ascii="Arial" w:cs="Arial" w:eastAsia="Arial" w:hAnsi="Arial"/>
                <w:sz w:val="21"/>
                <w:szCs w:val="21"/>
                <w:color w:val="auto"/>
              </w:rPr>
              <w:t>2019</w:t>
            </w:r>
          </w:p>
        </w:tc>
      </w:tr>
      <w:tr>
        <w:trPr>
          <w:trHeight w:val="221"/>
        </w:trPr>
        <w:tc>
          <w:tcPr>
            <w:tcW w:w="410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Expected term (years)</w:t>
            </w:r>
          </w:p>
        </w:tc>
        <w:tc>
          <w:tcPr>
            <w:tcW w:w="4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5.47</w:t>
            </w:r>
          </w:p>
        </w:tc>
      </w:tr>
      <w:tr>
        <w:trPr>
          <w:trHeight w:val="227"/>
        </w:trPr>
        <w:tc>
          <w:tcPr>
            <w:tcW w:w="4100" w:type="dxa"/>
            <w:vAlign w:val="bottom"/>
          </w:tcPr>
          <w:p>
            <w:pPr>
              <w:spacing w:after="0" w:line="227" w:lineRule="exact"/>
              <w:rPr>
                <w:sz w:val="20"/>
                <w:szCs w:val="20"/>
                <w:color w:val="auto"/>
              </w:rPr>
            </w:pPr>
            <w:r>
              <w:rPr>
                <w:rFonts w:ascii="Arial" w:cs="Arial" w:eastAsia="Arial" w:hAnsi="Arial"/>
                <w:sz w:val="21"/>
                <w:szCs w:val="21"/>
                <w:color w:val="auto"/>
              </w:rPr>
              <w:t>Risk-free interest rate</w:t>
            </w:r>
          </w:p>
        </w:tc>
        <w:tc>
          <w:tcPr>
            <w:tcW w:w="4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line="227" w:lineRule="exact"/>
              <w:rPr>
                <w:sz w:val="20"/>
                <w:szCs w:val="20"/>
                <w:color w:val="auto"/>
              </w:rPr>
            </w:pPr>
            <w:r>
              <w:rPr>
                <w:rFonts w:ascii="Arial" w:cs="Arial" w:eastAsia="Arial" w:hAnsi="Arial"/>
                <w:sz w:val="21"/>
                <w:szCs w:val="21"/>
                <w:color w:val="auto"/>
              </w:rPr>
              <w:t>2.53%</w:t>
            </w:r>
          </w:p>
        </w:tc>
      </w:tr>
      <w:tr>
        <w:trPr>
          <w:trHeight w:val="227"/>
        </w:trPr>
        <w:tc>
          <w:tcPr>
            <w:tcW w:w="410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Expected volatility</w:t>
            </w:r>
          </w:p>
        </w:tc>
        <w:tc>
          <w:tcPr>
            <w:tcW w:w="4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17.7%</w:t>
            </w:r>
          </w:p>
        </w:tc>
      </w:tr>
      <w:tr>
        <w:trPr>
          <w:trHeight w:val="227"/>
        </w:trPr>
        <w:tc>
          <w:tcPr>
            <w:tcW w:w="4100" w:type="dxa"/>
            <w:vAlign w:val="bottom"/>
          </w:tcPr>
          <w:p>
            <w:pPr>
              <w:spacing w:after="0" w:line="227" w:lineRule="exact"/>
              <w:rPr>
                <w:sz w:val="20"/>
                <w:szCs w:val="20"/>
                <w:color w:val="auto"/>
              </w:rPr>
            </w:pPr>
            <w:r>
              <w:rPr>
                <w:rFonts w:ascii="Arial" w:cs="Arial" w:eastAsia="Arial" w:hAnsi="Arial"/>
                <w:sz w:val="21"/>
                <w:szCs w:val="21"/>
                <w:color w:val="auto"/>
              </w:rPr>
              <w:t>Dividend yield</w:t>
            </w:r>
          </w:p>
        </w:tc>
        <w:tc>
          <w:tcPr>
            <w:tcW w:w="4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line="227" w:lineRule="exact"/>
              <w:rPr>
                <w:sz w:val="20"/>
                <w:szCs w:val="20"/>
                <w:color w:val="auto"/>
              </w:rPr>
            </w:pPr>
            <w:r>
              <w:rPr>
                <w:rFonts w:ascii="Arial" w:cs="Arial" w:eastAsia="Arial" w:hAnsi="Arial"/>
                <w:sz w:val="21"/>
                <w:szCs w:val="21"/>
                <w:color w:val="auto"/>
              </w:rPr>
              <w:t>2.44%</w:t>
            </w:r>
          </w:p>
        </w:tc>
      </w:tr>
      <w:tr>
        <w:trPr>
          <w:trHeight w:val="227"/>
        </w:trPr>
        <w:tc>
          <w:tcPr>
            <w:tcW w:w="410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Grant date fair value per option</w:t>
            </w:r>
          </w:p>
        </w:tc>
        <w:tc>
          <w:tcPr>
            <w:tcW w:w="5080" w:type="dxa"/>
            <w:vAlign w:val="bottom"/>
            <w:gridSpan w:val="2"/>
            <w:shd w:val="clear" w:color="auto" w:fill="CCEEFF"/>
          </w:tcPr>
          <w:p>
            <w:pPr>
              <w:jc w:val="right"/>
              <w:ind w:right="520"/>
              <w:spacing w:after="0" w:line="227" w:lineRule="exact"/>
              <w:rPr>
                <w:sz w:val="20"/>
                <w:szCs w:val="20"/>
                <w:color w:val="auto"/>
              </w:rPr>
            </w:pPr>
            <w:r>
              <w:rPr>
                <w:rFonts w:ascii="Arial" w:cs="Arial" w:eastAsia="Arial" w:hAnsi="Arial"/>
                <w:sz w:val="21"/>
                <w:szCs w:val="21"/>
                <w:color w:val="auto"/>
              </w:rPr>
              <w:t>$</w:t>
            </w:r>
          </w:p>
        </w:tc>
        <w:tc>
          <w:tcPr>
            <w:tcW w:w="20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5.25</w:t>
            </w:r>
          </w:p>
        </w:tc>
      </w:tr>
      <w:tr>
        <w:trPr>
          <w:trHeight w:val="479"/>
        </w:trPr>
        <w:tc>
          <w:tcPr>
            <w:tcW w:w="4100" w:type="dxa"/>
            <w:vAlign w:val="bottom"/>
          </w:tcPr>
          <w:p>
            <w:pPr>
              <w:spacing w:after="0"/>
              <w:rPr>
                <w:sz w:val="24"/>
                <w:szCs w:val="24"/>
                <w:color w:val="auto"/>
              </w:rPr>
            </w:pPr>
          </w:p>
        </w:tc>
        <w:tc>
          <w:tcPr>
            <w:tcW w:w="4460" w:type="dxa"/>
            <w:vAlign w:val="bottom"/>
          </w:tcPr>
          <w:p>
            <w:pPr>
              <w:jc w:val="right"/>
              <w:ind w:right="2713"/>
              <w:spacing w:after="0"/>
              <w:rPr>
                <w:sz w:val="20"/>
                <w:szCs w:val="20"/>
                <w:color w:val="auto"/>
              </w:rPr>
            </w:pPr>
            <w:r>
              <w:rPr>
                <w:rFonts w:ascii="Arial" w:cs="Arial" w:eastAsia="Arial" w:hAnsi="Arial"/>
                <w:sz w:val="21"/>
                <w:szCs w:val="21"/>
                <w:color w:val="auto"/>
              </w:rPr>
              <w:t>28</w:t>
            </w: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04"/>
        </w:trPr>
        <w:tc>
          <w:tcPr>
            <w:tcW w:w="41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20"/>
        <w:spacing w:after="0" w:line="237" w:lineRule="auto"/>
        <w:rPr>
          <w:sz w:val="20"/>
          <w:szCs w:val="20"/>
          <w:color w:val="auto"/>
        </w:rPr>
      </w:pPr>
      <w:r>
        <w:rPr>
          <w:rFonts w:ascii="Arial" w:cs="Arial" w:eastAsia="Arial" w:hAnsi="Arial"/>
          <w:sz w:val="21"/>
          <w:szCs w:val="21"/>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The Company did not grant stock options for the six months ended June 30, 2020.</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stock option transactions for the six months ended June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21"/>
                <w:szCs w:val="21"/>
                <w:color w:val="auto"/>
                <w:w w:val="92"/>
              </w:rPr>
              <w:t>Weighted</w:t>
            </w:r>
          </w:p>
        </w:tc>
        <w:tc>
          <w:tcPr>
            <w:tcW w:w="1180" w:type="dxa"/>
            <w:vAlign w:val="bottom"/>
          </w:tcPr>
          <w:p>
            <w:pPr>
              <w:jc w:val="center"/>
              <w:spacing w:after="0"/>
              <w:rPr>
                <w:sz w:val="20"/>
                <w:szCs w:val="20"/>
                <w:color w:val="auto"/>
              </w:rPr>
            </w:pPr>
            <w:r>
              <w:rPr>
                <w:rFonts w:ascii="Arial" w:cs="Arial" w:eastAsia="Arial" w:hAnsi="Arial"/>
                <w:sz w:val="21"/>
                <w:szCs w:val="21"/>
                <w:color w:val="auto"/>
                <w:w w:val="92"/>
              </w:rPr>
              <w:t>Weighted</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7"/>
        </w:trPr>
        <w:tc>
          <w:tcPr>
            <w:tcW w:w="5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60"/>
              <w:spacing w:after="0" w:line="227" w:lineRule="exact"/>
              <w:rPr>
                <w:sz w:val="20"/>
                <w:szCs w:val="20"/>
                <w:color w:val="auto"/>
              </w:rPr>
            </w:pPr>
            <w:r>
              <w:rPr>
                <w:rFonts w:ascii="Arial" w:cs="Arial" w:eastAsia="Arial" w:hAnsi="Arial"/>
                <w:sz w:val="21"/>
                <w:szCs w:val="21"/>
                <w:color w:val="auto"/>
                <w:w w:val="89"/>
              </w:rPr>
              <w:t>Average</w:t>
            </w:r>
          </w:p>
        </w:tc>
        <w:tc>
          <w:tcPr>
            <w:tcW w:w="1180" w:type="dxa"/>
            <w:vAlign w:val="bottom"/>
          </w:tcPr>
          <w:p>
            <w:pPr>
              <w:jc w:val="center"/>
              <w:spacing w:after="0" w:line="227" w:lineRule="exact"/>
              <w:rPr>
                <w:sz w:val="20"/>
                <w:szCs w:val="20"/>
                <w:color w:val="auto"/>
              </w:rPr>
            </w:pPr>
            <w:r>
              <w:rPr>
                <w:rFonts w:ascii="Arial" w:cs="Arial" w:eastAsia="Arial" w:hAnsi="Arial"/>
                <w:sz w:val="21"/>
                <w:szCs w:val="21"/>
                <w:color w:val="auto"/>
                <w:w w:val="89"/>
              </w:rPr>
              <w:t>Average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60"/>
              <w:spacing w:after="0" w:line="227" w:lineRule="exact"/>
              <w:rPr>
                <w:sz w:val="20"/>
                <w:szCs w:val="20"/>
                <w:color w:val="auto"/>
              </w:rPr>
            </w:pPr>
            <w:r>
              <w:rPr>
                <w:rFonts w:ascii="Arial" w:cs="Arial" w:eastAsia="Arial" w:hAnsi="Arial"/>
                <w:sz w:val="21"/>
                <w:szCs w:val="21"/>
                <w:color w:val="auto"/>
                <w:w w:val="91"/>
              </w:rPr>
              <w:t>Exercise</w:t>
            </w:r>
          </w:p>
        </w:tc>
        <w:tc>
          <w:tcPr>
            <w:tcW w:w="1180" w:type="dxa"/>
            <w:vAlign w:val="bottom"/>
          </w:tcPr>
          <w:p>
            <w:pPr>
              <w:jc w:val="center"/>
              <w:spacing w:after="0" w:line="227" w:lineRule="exact"/>
              <w:rPr>
                <w:sz w:val="20"/>
                <w:szCs w:val="20"/>
                <w:color w:val="auto"/>
              </w:rPr>
            </w:pPr>
            <w:r>
              <w:rPr>
                <w:rFonts w:ascii="Arial" w:cs="Arial" w:eastAsia="Arial" w:hAnsi="Arial"/>
                <w:sz w:val="21"/>
                <w:szCs w:val="21"/>
                <w:color w:val="auto"/>
                <w:w w:val="93"/>
              </w:rPr>
              <w:t>Remaining</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93"/>
              <w:spacing w:after="0" w:line="227" w:lineRule="exact"/>
              <w:rPr>
                <w:sz w:val="20"/>
                <w:szCs w:val="20"/>
                <w:color w:val="auto"/>
              </w:rPr>
            </w:pPr>
            <w:r>
              <w:rPr>
                <w:rFonts w:ascii="Arial" w:cs="Arial" w:eastAsia="Arial" w:hAnsi="Arial"/>
                <w:sz w:val="21"/>
                <w:szCs w:val="21"/>
                <w:color w:val="auto"/>
              </w:rPr>
              <w:t>Aggregate</w:t>
            </w:r>
          </w:p>
        </w:tc>
      </w:tr>
      <w:tr>
        <w:trPr>
          <w:trHeight w:val="249"/>
        </w:trPr>
        <w:tc>
          <w:tcPr>
            <w:tcW w:w="5480" w:type="dxa"/>
            <w:vAlign w:val="bottom"/>
          </w:tcPr>
          <w:p>
            <w:pPr>
              <w:spacing w:after="0"/>
              <w:rPr>
                <w:sz w:val="21"/>
                <w:szCs w:val="21"/>
                <w:color w:val="auto"/>
              </w:rPr>
            </w:pPr>
          </w:p>
        </w:tc>
        <w:tc>
          <w:tcPr>
            <w:tcW w:w="1500" w:type="dxa"/>
            <w:vAlign w:val="bottom"/>
            <w:gridSpan w:val="2"/>
          </w:tcPr>
          <w:p>
            <w:pPr>
              <w:ind w:left="360"/>
              <w:spacing w:after="0"/>
              <w:rPr>
                <w:sz w:val="20"/>
                <w:szCs w:val="20"/>
                <w:color w:val="auto"/>
              </w:rPr>
            </w:pPr>
            <w:r>
              <w:rPr>
                <w:rFonts w:ascii="Arial" w:cs="Arial" w:eastAsia="Arial" w:hAnsi="Arial"/>
                <w:sz w:val="21"/>
                <w:szCs w:val="21"/>
                <w:color w:val="auto"/>
              </w:rPr>
              <w:t>Shares</w:t>
            </w:r>
          </w:p>
        </w:tc>
        <w:tc>
          <w:tcPr>
            <w:tcW w:w="200" w:type="dxa"/>
            <w:vAlign w:val="bottom"/>
          </w:tcPr>
          <w:p>
            <w:pPr>
              <w:spacing w:after="0"/>
              <w:rPr>
                <w:sz w:val="21"/>
                <w:szCs w:val="21"/>
                <w:color w:val="auto"/>
              </w:rPr>
            </w:pPr>
          </w:p>
        </w:tc>
        <w:tc>
          <w:tcPr>
            <w:tcW w:w="1240" w:type="dxa"/>
            <w:vAlign w:val="bottom"/>
            <w:gridSpan w:val="2"/>
          </w:tcPr>
          <w:p>
            <w:pPr>
              <w:ind w:left="300"/>
              <w:spacing w:after="0"/>
              <w:rPr>
                <w:sz w:val="20"/>
                <w:szCs w:val="20"/>
                <w:color w:val="auto"/>
              </w:rPr>
            </w:pPr>
            <w:r>
              <w:rPr>
                <w:rFonts w:ascii="Arial" w:cs="Arial" w:eastAsia="Arial" w:hAnsi="Arial"/>
                <w:sz w:val="21"/>
                <w:szCs w:val="21"/>
                <w:color w:val="auto"/>
              </w:rPr>
              <w:t>Price</w:t>
            </w:r>
          </w:p>
        </w:tc>
        <w:tc>
          <w:tcPr>
            <w:tcW w:w="1180" w:type="dxa"/>
            <w:vAlign w:val="bottom"/>
          </w:tcPr>
          <w:p>
            <w:pPr>
              <w:jc w:val="right"/>
              <w:spacing w:after="0"/>
              <w:rPr>
                <w:sz w:val="20"/>
                <w:szCs w:val="20"/>
                <w:color w:val="auto"/>
              </w:rPr>
            </w:pPr>
            <w:r>
              <w:rPr>
                <w:rFonts w:ascii="Arial" w:cs="Arial" w:eastAsia="Arial" w:hAnsi="Arial"/>
                <w:sz w:val="21"/>
                <w:szCs w:val="21"/>
                <w:color w:val="auto"/>
              </w:rPr>
              <w:t>Life (years)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1"/>
                <w:szCs w:val="21"/>
                <w:color w:val="auto"/>
                <w:w w:val="97"/>
              </w:rPr>
              <w:t>Intrinsic Value</w:t>
            </w:r>
          </w:p>
        </w:tc>
      </w:tr>
      <w:tr>
        <w:trPr>
          <w:trHeight w:val="221"/>
        </w:trPr>
        <w:tc>
          <w:tcPr>
            <w:tcW w:w="5480" w:type="dxa"/>
            <w:vAlign w:val="bottom"/>
            <w:tcBorders>
              <w:top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Outstanding at beginning of period</w:t>
            </w:r>
          </w:p>
        </w:tc>
        <w:tc>
          <w:tcPr>
            <w:tcW w:w="13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1,041,756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34.22</w:t>
            </w: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27"/>
        </w:trPr>
        <w:tc>
          <w:tcPr>
            <w:tcW w:w="5480" w:type="dxa"/>
            <w:vAlign w:val="bottom"/>
          </w:tcPr>
          <w:p>
            <w:pPr>
              <w:ind w:left="100"/>
              <w:spacing w:after="0" w:line="227" w:lineRule="exact"/>
              <w:rPr>
                <w:sz w:val="20"/>
                <w:szCs w:val="20"/>
                <w:color w:val="auto"/>
              </w:rPr>
            </w:pPr>
            <w:r>
              <w:rPr>
                <w:rFonts w:ascii="Arial" w:cs="Arial" w:eastAsia="Arial" w:hAnsi="Arial"/>
                <w:sz w:val="21"/>
                <w:szCs w:val="21"/>
                <w:color w:val="auto"/>
              </w:rPr>
              <w:t>Granted</w:t>
            </w:r>
          </w:p>
        </w:tc>
        <w:tc>
          <w:tcPr>
            <w:tcW w:w="13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548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Forfeited</w:t>
            </w:r>
          </w:p>
        </w:tc>
        <w:tc>
          <w:tcPr>
            <w:tcW w:w="150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(15,915)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35.77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5480" w:type="dxa"/>
            <w:vAlign w:val="bottom"/>
          </w:tcPr>
          <w:p>
            <w:pPr>
              <w:ind w:left="100"/>
              <w:spacing w:after="0" w:line="227" w:lineRule="exact"/>
              <w:rPr>
                <w:sz w:val="20"/>
                <w:szCs w:val="20"/>
                <w:color w:val="auto"/>
              </w:rPr>
            </w:pPr>
            <w:r>
              <w:rPr>
                <w:rFonts w:ascii="Arial" w:cs="Arial" w:eastAsia="Arial" w:hAnsi="Arial"/>
                <w:sz w:val="21"/>
                <w:szCs w:val="21"/>
                <w:color w:val="auto"/>
              </w:rPr>
              <w:t>Exercised</w:t>
            </w:r>
          </w:p>
        </w:tc>
        <w:tc>
          <w:tcPr>
            <w:tcW w:w="150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(59,517)</w:t>
            </w:r>
          </w:p>
        </w:tc>
        <w:tc>
          <w:tcPr>
            <w:tcW w:w="20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Arial" w:cs="Arial" w:eastAsia="Arial" w:hAnsi="Arial"/>
                <w:sz w:val="21"/>
                <w:szCs w:val="21"/>
                <w:color w:val="auto"/>
              </w:rPr>
              <w:t>17.93</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1"/>
        </w:trPr>
        <w:tc>
          <w:tcPr>
            <w:tcW w:w="5480" w:type="dxa"/>
            <w:vAlign w:val="bottom"/>
            <w:tcBorders>
              <w:top w:val="single" w:sz="8" w:color="CCEEFF"/>
              <w:bottom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Outstanding at end of period</w:t>
            </w:r>
          </w:p>
        </w:tc>
        <w:tc>
          <w:tcPr>
            <w:tcW w:w="130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966,324</w:t>
            </w:r>
          </w:p>
        </w:tc>
        <w:tc>
          <w:tcPr>
            <w:tcW w:w="200" w:type="dxa"/>
            <w:vAlign w:val="bottom"/>
            <w:tcBorders>
              <w:top w:val="single" w:sz="8" w:color="CCEEFF"/>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35.20</w:t>
            </w: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118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8.3</w:t>
            </w:r>
          </w:p>
        </w:tc>
        <w:tc>
          <w:tcPr>
            <w:tcW w:w="340" w:type="dxa"/>
            <w:vAlign w:val="bottom"/>
            <w:tcBorders>
              <w:top w:val="single" w:sz="8" w:color="CCEEFF"/>
              <w:bottom w:val="single" w:sz="8" w:color="auto"/>
            </w:tcBorders>
            <w:gridSpan w:val="2"/>
            <w:shd w:val="clear" w:color="auto" w:fill="CCEEFF"/>
          </w:tcPr>
          <w:p>
            <w:pPr>
              <w:jc w:val="right"/>
              <w:ind w:right="40"/>
              <w:spacing w:after="0" w:line="221" w:lineRule="exact"/>
              <w:rPr>
                <w:sz w:val="20"/>
                <w:szCs w:val="20"/>
                <w:color w:val="auto"/>
              </w:rPr>
            </w:pPr>
            <w:r>
              <w:rPr>
                <w:rFonts w:ascii="Arial" w:cs="Arial" w:eastAsia="Arial" w:hAnsi="Arial"/>
                <w:sz w:val="21"/>
                <w:szCs w:val="21"/>
                <w:color w:val="auto"/>
              </w:rPr>
              <w:t>$</w:t>
            </w:r>
          </w:p>
        </w:tc>
        <w:tc>
          <w:tcPr>
            <w:tcW w:w="1300" w:type="dxa"/>
            <w:vAlign w:val="bottom"/>
            <w:tcBorders>
              <w:top w:val="single" w:sz="8" w:color="CCEEFF"/>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6,802</w:t>
            </w:r>
          </w:p>
        </w:tc>
      </w:tr>
      <w:tr>
        <w:trPr>
          <w:trHeight w:val="20"/>
        </w:trPr>
        <w:tc>
          <w:tcPr>
            <w:tcW w:w="5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7"/>
        </w:trPr>
        <w:tc>
          <w:tcPr>
            <w:tcW w:w="5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5480" w:type="dxa"/>
            <w:vAlign w:val="bottom"/>
            <w:tcBorders>
              <w:bottom w:val="single" w:sz="8" w:color="CCEEFF"/>
            </w:tcBorders>
            <w:shd w:val="clear" w:color="auto" w:fill="CCEEFF"/>
          </w:tcPr>
          <w:p>
            <w:pPr>
              <w:spacing w:after="0" w:line="227" w:lineRule="exact"/>
              <w:rPr>
                <w:sz w:val="20"/>
                <w:szCs w:val="20"/>
                <w:color w:val="auto"/>
              </w:rPr>
            </w:pPr>
            <w:r>
              <w:rPr>
                <w:rFonts w:ascii="Arial" w:cs="Arial" w:eastAsia="Arial" w:hAnsi="Arial"/>
                <w:sz w:val="21"/>
                <w:szCs w:val="21"/>
                <w:color w:val="auto"/>
              </w:rPr>
              <w:t>Exercisable at end of period</w:t>
            </w:r>
          </w:p>
        </w:tc>
        <w:tc>
          <w:tcPr>
            <w:tcW w:w="130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434,930</w:t>
            </w: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line="228"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34.43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8.0</w:t>
            </w:r>
          </w:p>
        </w:tc>
        <w:tc>
          <w:tcPr>
            <w:tcW w:w="340" w:type="dxa"/>
            <w:vAlign w:val="bottom"/>
            <w:tcBorders>
              <w:bottom w:val="single" w:sz="8" w:color="auto"/>
            </w:tcBorders>
            <w:gridSpan w:val="2"/>
            <w:shd w:val="clear" w:color="auto" w:fill="CCEEFF"/>
          </w:tcPr>
          <w:p>
            <w:pPr>
              <w:jc w:val="right"/>
              <w:ind w:right="40"/>
              <w:spacing w:after="0" w:line="227" w:lineRule="exact"/>
              <w:rPr>
                <w:sz w:val="20"/>
                <w:szCs w:val="20"/>
                <w:color w:val="auto"/>
              </w:rPr>
            </w:pPr>
            <w:r>
              <w:rPr>
                <w:rFonts w:ascii="Arial" w:cs="Arial" w:eastAsia="Arial" w:hAnsi="Arial"/>
                <w:sz w:val="21"/>
                <w:szCs w:val="21"/>
                <w:color w:val="auto"/>
              </w:rPr>
              <w:t>$</w:t>
            </w:r>
          </w:p>
        </w:tc>
        <w:tc>
          <w:tcPr>
            <w:tcW w:w="130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3,398</w:t>
            </w:r>
          </w:p>
        </w:tc>
      </w:tr>
      <w:tr>
        <w:trPr>
          <w:trHeight w:val="20"/>
        </w:trPr>
        <w:tc>
          <w:tcPr>
            <w:tcW w:w="5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20" w:type="dxa"/>
            <w:vAlign w:val="bottom"/>
          </w:tcPr>
          <w:p>
            <w:pPr>
              <w:jc w:val="center"/>
              <w:ind w:left="333"/>
              <w:spacing w:after="0"/>
              <w:rPr>
                <w:sz w:val="20"/>
                <w:szCs w:val="20"/>
                <w:color w:val="auto"/>
              </w:rPr>
            </w:pPr>
            <w:r>
              <w:rPr>
                <w:rFonts w:ascii="Arial" w:cs="Arial" w:eastAsia="Arial" w:hAnsi="Arial"/>
                <w:sz w:val="21"/>
                <w:szCs w:val="21"/>
                <w:color w:val="auto"/>
                <w:w w:val="91"/>
              </w:rPr>
              <w:t>Three Months Ended</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2"/>
          </w:tcPr>
          <w:p>
            <w:pPr>
              <w:jc w:val="center"/>
              <w:ind w:right="320"/>
              <w:spacing w:after="0"/>
              <w:rPr>
                <w:sz w:val="20"/>
                <w:szCs w:val="20"/>
                <w:color w:val="auto"/>
              </w:rPr>
            </w:pPr>
            <w:r>
              <w:rPr>
                <w:rFonts w:ascii="Arial" w:cs="Arial" w:eastAsia="Arial" w:hAnsi="Arial"/>
                <w:sz w:val="21"/>
                <w:szCs w:val="21"/>
                <w:color w:val="auto"/>
                <w:w w:val="93"/>
              </w:rPr>
              <w:t>Six Months Ended</w:t>
            </w: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20" w:type="dxa"/>
            <w:vAlign w:val="bottom"/>
            <w:tcBorders>
              <w:bottom w:val="single" w:sz="8" w:color="auto"/>
            </w:tcBorders>
          </w:tcPr>
          <w:p>
            <w:pPr>
              <w:jc w:val="center"/>
              <w:ind w:left="333"/>
              <w:spacing w:after="0"/>
              <w:rPr>
                <w:sz w:val="20"/>
                <w:szCs w:val="20"/>
                <w:color w:val="auto"/>
              </w:rPr>
            </w:pPr>
            <w:r>
              <w:rPr>
                <w:rFonts w:ascii="Arial" w:cs="Arial" w:eastAsia="Arial" w:hAnsi="Arial"/>
                <w:sz w:val="21"/>
                <w:szCs w:val="21"/>
                <w:color w:val="auto"/>
                <w:w w:val="89"/>
              </w:rPr>
              <w:t>June 30,</w:t>
            </w: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1"/>
                <w:szCs w:val="21"/>
                <w:color w:val="auto"/>
                <w:w w:val="89"/>
              </w:rPr>
              <w:t>June 30,</w:t>
            </w:r>
          </w:p>
        </w:tc>
        <w:tc>
          <w:tcPr>
            <w:tcW w:w="0" w:type="dxa"/>
            <w:vAlign w:val="bottom"/>
          </w:tcPr>
          <w:p>
            <w:pPr>
              <w:spacing w:after="0"/>
              <w:rPr>
                <w:sz w:val="1"/>
                <w:szCs w:val="1"/>
                <w:color w:val="auto"/>
              </w:rPr>
            </w:pPr>
          </w:p>
        </w:tc>
      </w:tr>
      <w:tr>
        <w:trPr>
          <w:trHeight w:val="221"/>
        </w:trPr>
        <w:tc>
          <w:tcPr>
            <w:tcW w:w="48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520" w:type="dxa"/>
            <w:vAlign w:val="bottom"/>
            <w:tcBorders>
              <w:bottom w:val="single" w:sz="8" w:color="auto"/>
            </w:tcBorders>
          </w:tcPr>
          <w:p>
            <w:pPr>
              <w:jc w:val="center"/>
              <w:ind w:left="313"/>
              <w:spacing w:after="0" w:line="221" w:lineRule="exact"/>
              <w:rPr>
                <w:sz w:val="20"/>
                <w:szCs w:val="20"/>
                <w:color w:val="auto"/>
              </w:rPr>
            </w:pPr>
            <w:r>
              <w:rPr>
                <w:rFonts w:ascii="Arial" w:cs="Arial" w:eastAsia="Arial" w:hAnsi="Arial"/>
                <w:sz w:val="21"/>
                <w:szCs w:val="21"/>
                <w:color w:val="auto"/>
                <w:w w:val="89"/>
              </w:rPr>
              <w:t>2020</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73"/>
              <w:spacing w:after="0" w:line="221" w:lineRule="exact"/>
              <w:rPr>
                <w:sz w:val="20"/>
                <w:szCs w:val="20"/>
                <w:color w:val="auto"/>
              </w:rPr>
            </w:pPr>
            <w:r>
              <w:rPr>
                <w:rFonts w:ascii="Arial" w:cs="Arial" w:eastAsia="Arial" w:hAnsi="Arial"/>
                <w:sz w:val="21"/>
                <w:szCs w:val="21"/>
                <w:color w:val="auto"/>
              </w:rPr>
              <w:t>2020</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00" w:type="dxa"/>
            <w:vAlign w:val="bottom"/>
            <w:shd w:val="clear" w:color="auto" w:fill="CCEEFF"/>
          </w:tcPr>
          <w:p>
            <w:pPr>
              <w:spacing w:after="0" w:line="186" w:lineRule="exact"/>
              <w:rPr>
                <w:sz w:val="20"/>
                <w:szCs w:val="20"/>
                <w:color w:val="auto"/>
              </w:rPr>
            </w:pPr>
            <w:r>
              <w:rPr>
                <w:rFonts w:ascii="Arial" w:cs="Arial" w:eastAsia="Arial" w:hAnsi="Arial"/>
                <w:sz w:val="21"/>
                <w:szCs w:val="21"/>
                <w:color w:val="auto"/>
              </w:rPr>
              <w:t>Stock-based compensation within operations and</w:t>
            </w:r>
          </w:p>
        </w:tc>
        <w:tc>
          <w:tcPr>
            <w:tcW w:w="58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CEEFF"/>
          </w:tcPr>
          <w:p>
            <w:pPr>
              <w:spacing w:after="0"/>
              <w:rPr>
                <w:sz w:val="20"/>
                <w:szCs w:val="20"/>
                <w:color w:val="auto"/>
              </w:rPr>
            </w:pPr>
            <w:r>
              <w:rPr>
                <w:rFonts w:ascii="Arial" w:cs="Arial" w:eastAsia="Arial" w:hAnsi="Arial"/>
                <w:sz w:val="21"/>
                <w:szCs w:val="21"/>
                <w:color w:val="auto"/>
              </w:rPr>
              <w:t>maintenance expenses</w:t>
            </w:r>
          </w:p>
        </w:tc>
        <w:tc>
          <w:tcPr>
            <w:tcW w:w="3100" w:type="dxa"/>
            <w:vAlign w:val="bottom"/>
            <w:gridSpan w:val="2"/>
            <w:shd w:val="clear" w:color="auto" w:fill="CCEEFF"/>
          </w:tcPr>
          <w:p>
            <w:pPr>
              <w:jc w:val="right"/>
              <w:ind w:right="2293"/>
              <w:spacing w:after="0"/>
              <w:rPr>
                <w:sz w:val="20"/>
                <w:szCs w:val="20"/>
                <w:color w:val="auto"/>
              </w:rPr>
            </w:pPr>
            <w:r>
              <w:rPr>
                <w:rFonts w:ascii="Arial" w:cs="Arial" w:eastAsia="Arial" w:hAnsi="Arial"/>
                <w:sz w:val="21"/>
                <w:szCs w:val="2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99</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21"/>
                <w:szCs w:val="21"/>
                <w:color w:val="auto"/>
                <w:w w:val="85"/>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117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0"/>
                <w:szCs w:val="20"/>
                <w:color w:val="auto"/>
              </w:rPr>
            </w:pPr>
            <w:r>
              <w:rPr>
                <w:rFonts w:ascii="Arial" w:cs="Arial" w:eastAsia="Arial" w:hAnsi="Arial"/>
                <w:sz w:val="21"/>
                <w:szCs w:val="21"/>
                <w:color w:val="auto"/>
              </w:rPr>
              <w:t>Income tax benefit</w:t>
            </w:r>
          </w:p>
        </w:tc>
        <w:tc>
          <w:tcPr>
            <w:tcW w:w="3100" w:type="dxa"/>
            <w:vAlign w:val="bottom"/>
            <w:gridSpan w:val="2"/>
            <w:vMerge w:val="restart"/>
          </w:tcPr>
          <w:p>
            <w:pPr>
              <w:jc w:val="right"/>
              <w:ind w:right="2053"/>
              <w:spacing w:after="0"/>
              <w:rPr>
                <w:sz w:val="20"/>
                <w:szCs w:val="20"/>
                <w:color w:val="auto"/>
              </w:rPr>
            </w:pPr>
            <w:r>
              <w:rPr>
                <w:rFonts w:ascii="Arial" w:cs="Arial" w:eastAsia="Arial" w:hAnsi="Arial"/>
                <w:sz w:val="21"/>
                <w:szCs w:val="21"/>
                <w:color w:val="auto"/>
              </w:rPr>
              <w:t>29</w:t>
            </w:r>
          </w:p>
        </w:tc>
        <w:tc>
          <w:tcPr>
            <w:tcW w:w="420" w:type="dxa"/>
            <w:vAlign w:val="bottom"/>
          </w:tcPr>
          <w:p>
            <w:pPr>
              <w:jc w:val="right"/>
              <w:spacing w:after="0"/>
              <w:rPr>
                <w:sz w:val="20"/>
                <w:szCs w:val="20"/>
                <w:color w:val="auto"/>
              </w:rPr>
            </w:pPr>
            <w:r>
              <w:rPr>
                <w:rFonts w:ascii="Arial" w:cs="Arial" w:eastAsia="Arial" w:hAnsi="Arial"/>
                <w:sz w:val="21"/>
                <w:szCs w:val="21"/>
                <w:color w:val="auto"/>
              </w:rPr>
              <w:t>29</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21"/>
                <w:szCs w:val="21"/>
                <w:color w:val="auto"/>
              </w:rPr>
              <w:t>34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17"/>
                <w:szCs w:val="17"/>
                <w:color w:val="auto"/>
              </w:rPr>
            </w:pPr>
          </w:p>
        </w:tc>
        <w:tc>
          <w:tcPr>
            <w:tcW w:w="31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restricted stock transactions for the six months ended June 30,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60" w:type="dxa"/>
            <w:vAlign w:val="bottom"/>
          </w:tcPr>
          <w:p>
            <w:pPr>
              <w:spacing w:after="0"/>
              <w:rPr>
                <w:sz w:val="21"/>
                <w:szCs w:val="21"/>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21"/>
                <w:szCs w:val="21"/>
                <w:color w:val="auto"/>
                <w:w w:val="93"/>
              </w:rPr>
              <w:t>Number</w:t>
            </w:r>
          </w:p>
        </w:tc>
        <w:tc>
          <w:tcPr>
            <w:tcW w:w="340" w:type="dxa"/>
            <w:vAlign w:val="bottom"/>
          </w:tcPr>
          <w:p>
            <w:pPr>
              <w:spacing w:after="0"/>
              <w:rPr>
                <w:sz w:val="21"/>
                <w:szCs w:val="21"/>
                <w:color w:val="auto"/>
              </w:rPr>
            </w:pPr>
          </w:p>
        </w:tc>
        <w:tc>
          <w:tcPr>
            <w:tcW w:w="1660" w:type="dxa"/>
            <w:vAlign w:val="bottom"/>
          </w:tcPr>
          <w:p>
            <w:pPr>
              <w:jc w:val="center"/>
              <w:ind w:right="213"/>
              <w:spacing w:after="0"/>
              <w:rPr>
                <w:sz w:val="20"/>
                <w:szCs w:val="20"/>
                <w:color w:val="auto"/>
              </w:rPr>
            </w:pPr>
            <w:r>
              <w:rPr>
                <w:rFonts w:ascii="Arial" w:cs="Arial" w:eastAsia="Arial" w:hAnsi="Arial"/>
                <w:sz w:val="21"/>
                <w:szCs w:val="21"/>
                <w:color w:val="auto"/>
                <w:w w:val="92"/>
              </w:rPr>
              <w:t>Weighted</w:t>
            </w:r>
          </w:p>
        </w:tc>
      </w:tr>
      <w:tr>
        <w:trPr>
          <w:trHeight w:val="227"/>
        </w:trPr>
        <w:tc>
          <w:tcPr>
            <w:tcW w:w="7260" w:type="dxa"/>
            <w:vAlign w:val="bottom"/>
          </w:tcPr>
          <w:p>
            <w:pPr>
              <w:spacing w:after="0"/>
              <w:rPr>
                <w:sz w:val="19"/>
                <w:szCs w:val="19"/>
                <w:color w:val="auto"/>
              </w:rPr>
            </w:pPr>
          </w:p>
        </w:tc>
        <w:tc>
          <w:tcPr>
            <w:tcW w:w="1980" w:type="dxa"/>
            <w:vAlign w:val="bottom"/>
            <w:gridSpan w:val="2"/>
          </w:tcPr>
          <w:p>
            <w:pPr>
              <w:jc w:val="center"/>
              <w:ind w:right="280"/>
              <w:spacing w:after="0" w:line="227" w:lineRule="exact"/>
              <w:rPr>
                <w:sz w:val="20"/>
                <w:szCs w:val="20"/>
                <w:color w:val="auto"/>
              </w:rPr>
            </w:pPr>
            <w:r>
              <w:rPr>
                <w:rFonts w:ascii="Arial" w:cs="Arial" w:eastAsia="Arial" w:hAnsi="Arial"/>
                <w:sz w:val="21"/>
                <w:szCs w:val="21"/>
                <w:color w:val="auto"/>
              </w:rPr>
              <w:t>of</w:t>
            </w:r>
          </w:p>
        </w:tc>
        <w:tc>
          <w:tcPr>
            <w:tcW w:w="340" w:type="dxa"/>
            <w:vAlign w:val="bottom"/>
          </w:tcPr>
          <w:p>
            <w:pPr>
              <w:spacing w:after="0"/>
              <w:rPr>
                <w:sz w:val="19"/>
                <w:szCs w:val="19"/>
                <w:color w:val="auto"/>
              </w:rPr>
            </w:pPr>
          </w:p>
        </w:tc>
        <w:tc>
          <w:tcPr>
            <w:tcW w:w="1660" w:type="dxa"/>
            <w:vAlign w:val="bottom"/>
          </w:tcPr>
          <w:p>
            <w:pPr>
              <w:jc w:val="center"/>
              <w:ind w:right="213"/>
              <w:spacing w:after="0" w:line="227" w:lineRule="exact"/>
              <w:rPr>
                <w:sz w:val="20"/>
                <w:szCs w:val="20"/>
                <w:color w:val="auto"/>
              </w:rPr>
            </w:pPr>
            <w:r>
              <w:rPr>
                <w:rFonts w:ascii="Arial" w:cs="Arial" w:eastAsia="Arial" w:hAnsi="Arial"/>
                <w:sz w:val="21"/>
                <w:szCs w:val="21"/>
                <w:color w:val="auto"/>
                <w:w w:val="89"/>
              </w:rPr>
              <w:t>Average</w:t>
            </w:r>
          </w:p>
        </w:tc>
      </w:tr>
      <w:tr>
        <w:trPr>
          <w:trHeight w:val="249"/>
        </w:trPr>
        <w:tc>
          <w:tcPr>
            <w:tcW w:w="7260" w:type="dxa"/>
            <w:vAlign w:val="bottom"/>
          </w:tcPr>
          <w:p>
            <w:pPr>
              <w:spacing w:after="0"/>
              <w:rPr>
                <w:sz w:val="21"/>
                <w:szCs w:val="21"/>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21"/>
                <w:szCs w:val="21"/>
                <w:color w:val="auto"/>
                <w:w w:val="84"/>
              </w:rPr>
              <w:t>Shares</w:t>
            </w:r>
          </w:p>
        </w:tc>
        <w:tc>
          <w:tcPr>
            <w:tcW w:w="340" w:type="dxa"/>
            <w:vAlign w:val="bottom"/>
          </w:tcPr>
          <w:p>
            <w:pPr>
              <w:spacing w:after="0"/>
              <w:rPr>
                <w:sz w:val="21"/>
                <w:szCs w:val="21"/>
                <w:color w:val="auto"/>
              </w:rPr>
            </w:pPr>
          </w:p>
        </w:tc>
        <w:tc>
          <w:tcPr>
            <w:tcW w:w="1660" w:type="dxa"/>
            <w:vAlign w:val="bottom"/>
          </w:tcPr>
          <w:p>
            <w:pPr>
              <w:jc w:val="center"/>
              <w:ind w:right="233"/>
              <w:spacing w:after="0"/>
              <w:rPr>
                <w:sz w:val="20"/>
                <w:szCs w:val="20"/>
                <w:color w:val="auto"/>
              </w:rPr>
            </w:pPr>
            <w:r>
              <w:rPr>
                <w:rFonts w:ascii="Arial" w:cs="Arial" w:eastAsia="Arial" w:hAnsi="Arial"/>
                <w:sz w:val="21"/>
                <w:szCs w:val="21"/>
                <w:color w:val="auto"/>
                <w:w w:val="91"/>
              </w:rPr>
              <w:t>Fair Value</w:t>
            </w:r>
          </w:p>
        </w:tc>
      </w:tr>
      <w:tr>
        <w:trPr>
          <w:trHeight w:val="221"/>
        </w:trPr>
        <w:tc>
          <w:tcPr>
            <w:tcW w:w="7260" w:type="dxa"/>
            <w:vAlign w:val="bottom"/>
            <w:tcBorders>
              <w:top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13"/>
              <w:spacing w:after="0" w:line="221" w:lineRule="exact"/>
              <w:rPr>
                <w:sz w:val="20"/>
                <w:szCs w:val="20"/>
                <w:color w:val="auto"/>
              </w:rPr>
            </w:pPr>
            <w:r>
              <w:rPr>
                <w:rFonts w:ascii="Arial" w:cs="Arial" w:eastAsia="Arial" w:hAnsi="Arial"/>
                <w:sz w:val="21"/>
                <w:szCs w:val="21"/>
                <w:color w:val="auto"/>
                <w:w w:val="85"/>
              </w:rPr>
              <w:t>$</w:t>
            </w:r>
          </w:p>
        </w:tc>
        <w:tc>
          <w:tcPr>
            <w:tcW w:w="166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w:t>
            </w:r>
          </w:p>
        </w:tc>
      </w:tr>
      <w:tr>
        <w:trPr>
          <w:trHeight w:val="227"/>
        </w:trPr>
        <w:tc>
          <w:tcPr>
            <w:tcW w:w="7260" w:type="dxa"/>
            <w:vAlign w:val="bottom"/>
          </w:tcPr>
          <w:p>
            <w:pPr>
              <w:ind w:left="100"/>
              <w:spacing w:after="0" w:line="227" w:lineRule="exact"/>
              <w:rPr>
                <w:sz w:val="20"/>
                <w:szCs w:val="20"/>
                <w:color w:val="auto"/>
              </w:rPr>
            </w:pPr>
            <w:r>
              <w:rPr>
                <w:rFonts w:ascii="Arial" w:cs="Arial" w:eastAsia="Arial" w:hAnsi="Arial"/>
                <w:sz w:val="21"/>
                <w:szCs w:val="21"/>
                <w:color w:val="auto"/>
              </w:rPr>
              <w:t>Granted</w:t>
            </w:r>
          </w:p>
        </w:tc>
        <w:tc>
          <w:tcPr>
            <w:tcW w:w="1720" w:type="dxa"/>
            <w:vAlign w:val="bottom"/>
          </w:tcPr>
          <w:p>
            <w:pPr>
              <w:jc w:val="right"/>
              <w:spacing w:after="0" w:line="227" w:lineRule="exact"/>
              <w:rPr>
                <w:sz w:val="20"/>
                <w:szCs w:val="20"/>
                <w:color w:val="auto"/>
              </w:rPr>
            </w:pPr>
            <w:r>
              <w:rPr>
                <w:rFonts w:ascii="Arial" w:cs="Arial" w:eastAsia="Arial" w:hAnsi="Arial"/>
                <w:sz w:val="21"/>
                <w:szCs w:val="21"/>
                <w:color w:val="auto"/>
              </w:rPr>
              <w:t>11,952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7" w:lineRule="exact"/>
              <w:rPr>
                <w:sz w:val="20"/>
                <w:szCs w:val="20"/>
                <w:color w:val="auto"/>
              </w:rPr>
            </w:pPr>
            <w:r>
              <w:rPr>
                <w:rFonts w:ascii="Arial" w:cs="Arial" w:eastAsia="Arial" w:hAnsi="Arial"/>
                <w:sz w:val="21"/>
                <w:szCs w:val="21"/>
                <w:color w:val="auto"/>
              </w:rPr>
              <w:t>33.47</w:t>
            </w:r>
          </w:p>
        </w:tc>
      </w:tr>
      <w:tr>
        <w:trPr>
          <w:trHeight w:val="227"/>
        </w:trPr>
        <w:tc>
          <w:tcPr>
            <w:tcW w:w="72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Vested</w:t>
            </w:r>
          </w:p>
        </w:tc>
        <w:tc>
          <w:tcPr>
            <w:tcW w:w="172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r>
      <w:tr>
        <w:trPr>
          <w:trHeight w:val="221"/>
        </w:trPr>
        <w:tc>
          <w:tcPr>
            <w:tcW w:w="7260" w:type="dxa"/>
            <w:vAlign w:val="bottom"/>
          </w:tcPr>
          <w:p>
            <w:pPr>
              <w:spacing w:after="0" w:line="221" w:lineRule="exact"/>
              <w:rPr>
                <w:sz w:val="20"/>
                <w:szCs w:val="20"/>
                <w:color w:val="auto"/>
              </w:rPr>
            </w:pPr>
            <w:r>
              <w:rPr>
                <w:rFonts w:ascii="Arial" w:cs="Arial" w:eastAsia="Arial" w:hAnsi="Arial"/>
                <w:sz w:val="21"/>
                <w:szCs w:val="21"/>
                <w:color w:val="auto"/>
              </w:rPr>
              <w:t>Nonvested restricted stock at end of period</w:t>
            </w:r>
          </w:p>
        </w:tc>
        <w:tc>
          <w:tcPr>
            <w:tcW w:w="1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11,952</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13"/>
              <w:spacing w:after="0" w:line="221" w:lineRule="exact"/>
              <w:rPr>
                <w:sz w:val="20"/>
                <w:szCs w:val="20"/>
                <w:color w:val="auto"/>
              </w:rPr>
            </w:pPr>
            <w:r>
              <w:rPr>
                <w:rFonts w:ascii="Arial" w:cs="Arial" w:eastAsia="Arial" w:hAnsi="Arial"/>
                <w:sz w:val="21"/>
                <w:szCs w:val="21"/>
                <w:color w:val="auto"/>
                <w:w w:val="85"/>
              </w:rPr>
              <w:t>$</w:t>
            </w:r>
          </w:p>
        </w:tc>
        <w:tc>
          <w:tcPr>
            <w:tcW w:w="16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33.47</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60"/>
        <w:spacing w:after="0" w:line="256" w:lineRule="auto"/>
        <w:rPr>
          <w:sz w:val="20"/>
          <w:szCs w:val="20"/>
          <w:color w:val="auto"/>
        </w:rPr>
      </w:pPr>
      <w:r>
        <w:rPr>
          <w:rFonts w:ascii="Arial" w:cs="Arial" w:eastAsia="Arial" w:hAnsi="Arial"/>
          <w:sz w:val="21"/>
          <w:szCs w:val="21"/>
          <w:color w:val="auto"/>
        </w:rPr>
        <w:t>The weighted-average fair value at the date of grant for restricted stock awards granted during the six months ended June 30, 2020 was $33.47. The Company did not grant restricted stock for the six months ended June 30, 2019.</w:t>
      </w:r>
    </w:p>
    <w:p>
      <w:pPr>
        <w:spacing w:after="0" w:line="167" w:lineRule="exact"/>
        <w:rPr>
          <w:sz w:val="20"/>
          <w:szCs w:val="20"/>
          <w:color w:val="auto"/>
        </w:rPr>
      </w:pPr>
    </w:p>
    <w:p>
      <w:pPr>
        <w:ind w:right="60"/>
        <w:spacing w:after="0" w:line="237" w:lineRule="auto"/>
        <w:rPr>
          <w:sz w:val="20"/>
          <w:szCs w:val="20"/>
          <w:color w:val="auto"/>
        </w:rPr>
      </w:pPr>
      <w:r>
        <w:rPr>
          <w:rFonts w:ascii="Arial" w:cs="Arial" w:eastAsia="Arial" w:hAnsi="Arial"/>
          <w:sz w:val="21"/>
          <w:szCs w:val="21"/>
          <w:b w:val="1"/>
          <w:bCs w:val="1"/>
          <w:i w:val="1"/>
          <w:iCs w:val="1"/>
          <w:color w:val="auto"/>
        </w:rPr>
        <w:t xml:space="preserve">Stock Awards </w:t>
      </w:r>
      <w:r>
        <w:rPr>
          <w:rFonts w:ascii="Arial" w:cs="Arial" w:eastAsia="Arial" w:hAnsi="Arial"/>
          <w:sz w:val="21"/>
          <w:szCs w:val="21"/>
          <w:color w:val="auto"/>
        </w:rPr>
        <w:t>– Stock awards represent the issuance of the Company’s common stock, without restriction. The issuance of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4"/>
          </w:tcPr>
          <w:p>
            <w:pPr>
              <w:jc w:val="center"/>
              <w:ind w:left="333"/>
              <w:spacing w:after="0"/>
              <w:rPr>
                <w:sz w:val="20"/>
                <w:szCs w:val="20"/>
                <w:color w:val="auto"/>
              </w:rPr>
            </w:pPr>
            <w:r>
              <w:rPr>
                <w:rFonts w:ascii="Arial" w:cs="Arial" w:eastAsia="Arial" w:hAnsi="Arial"/>
                <w:sz w:val="21"/>
                <w:szCs w:val="21"/>
                <w:color w:val="auto"/>
                <w:w w:val="91"/>
              </w:rPr>
              <w:t>Three Months Ended</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4"/>
          </w:tcPr>
          <w:p>
            <w:pPr>
              <w:jc w:val="center"/>
              <w:ind w:right="233"/>
              <w:spacing w:after="0"/>
              <w:rPr>
                <w:sz w:val="20"/>
                <w:szCs w:val="20"/>
                <w:color w:val="auto"/>
              </w:rPr>
            </w:pPr>
            <w:r>
              <w:rPr>
                <w:rFonts w:ascii="Arial" w:cs="Arial" w:eastAsia="Arial" w:hAnsi="Arial"/>
                <w:sz w:val="21"/>
                <w:szCs w:val="21"/>
                <w:color w:val="auto"/>
                <w:w w:val="93"/>
              </w:rPr>
              <w:t>Six Months Ended</w:t>
            </w:r>
          </w:p>
        </w:tc>
      </w:tr>
      <w:tr>
        <w:trPr>
          <w:trHeight w:val="249"/>
        </w:trPr>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21"/>
                <w:szCs w:val="21"/>
                <w:color w:val="auto"/>
                <w:w w:val="89"/>
              </w:rPr>
              <w:t>June 30,</w:t>
            </w: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21"/>
                <w:szCs w:val="21"/>
                <w:color w:val="auto"/>
                <w:w w:val="89"/>
              </w:rPr>
              <w:t>June 30,</w:t>
            </w:r>
          </w:p>
        </w:tc>
        <w:tc>
          <w:tcPr>
            <w:tcW w:w="1180" w:type="dxa"/>
            <w:vAlign w:val="bottom"/>
            <w:tcBorders>
              <w:bottom w:val="single" w:sz="8" w:color="auto"/>
            </w:tcBorders>
          </w:tcPr>
          <w:p>
            <w:pPr>
              <w:spacing w:after="0"/>
              <w:rPr>
                <w:sz w:val="21"/>
                <w:szCs w:val="21"/>
                <w:color w:val="auto"/>
              </w:rPr>
            </w:pPr>
          </w:p>
        </w:tc>
      </w:tr>
      <w:tr>
        <w:trPr>
          <w:trHeight w:val="221"/>
        </w:trPr>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line="221" w:lineRule="exact"/>
              <w:rPr>
                <w:sz w:val="20"/>
                <w:szCs w:val="20"/>
                <w:color w:val="auto"/>
              </w:rPr>
            </w:pPr>
            <w:r>
              <w:rPr>
                <w:rFonts w:ascii="Arial" w:cs="Arial" w:eastAsia="Arial" w:hAnsi="Arial"/>
                <w:sz w:val="21"/>
                <w:szCs w:val="21"/>
                <w:color w:val="auto"/>
              </w:rPr>
              <w:t>2020</w:t>
            </w:r>
          </w:p>
        </w:tc>
        <w:tc>
          <w:tcPr>
            <w:tcW w:w="420" w:type="dxa"/>
            <w:vAlign w:val="bottom"/>
          </w:tcPr>
          <w:p>
            <w:pPr>
              <w:spacing w:after="0"/>
              <w:rPr>
                <w:sz w:val="19"/>
                <w:szCs w:val="19"/>
                <w:color w:val="auto"/>
              </w:rPr>
            </w:pPr>
          </w:p>
        </w:tc>
        <w:tc>
          <w:tcPr>
            <w:tcW w:w="1140" w:type="dxa"/>
            <w:vAlign w:val="bottom"/>
            <w:gridSpan w:val="2"/>
          </w:tcPr>
          <w:p>
            <w:pPr>
              <w:jc w:val="right"/>
              <w:ind w:right="40"/>
              <w:spacing w:after="0" w:line="221" w:lineRule="exact"/>
              <w:rPr>
                <w:sz w:val="20"/>
                <w:szCs w:val="20"/>
                <w:color w:val="auto"/>
              </w:rPr>
            </w:pPr>
            <w:r>
              <w:rPr>
                <w:rFonts w:ascii="Arial" w:cs="Arial" w:eastAsia="Arial" w:hAnsi="Arial"/>
                <w:sz w:val="21"/>
                <w:szCs w:val="21"/>
                <w:color w:val="auto"/>
              </w:rPr>
              <w:t>2019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93"/>
              <w:spacing w:after="0" w:line="221" w:lineRule="exact"/>
              <w:rPr>
                <w:sz w:val="20"/>
                <w:szCs w:val="20"/>
                <w:color w:val="auto"/>
              </w:rPr>
            </w:pPr>
            <w:r>
              <w:rPr>
                <w:rFonts w:ascii="Arial" w:cs="Arial" w:eastAsia="Arial" w:hAnsi="Arial"/>
                <w:sz w:val="21"/>
                <w:szCs w:val="21"/>
                <w:color w:val="auto"/>
              </w:rPr>
              <w:t>2020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473"/>
              <w:spacing w:after="0" w:line="221" w:lineRule="exact"/>
              <w:rPr>
                <w:sz w:val="20"/>
                <w:szCs w:val="20"/>
                <w:color w:val="auto"/>
              </w:rPr>
            </w:pPr>
            <w:r>
              <w:rPr>
                <w:rFonts w:ascii="Arial" w:cs="Arial" w:eastAsia="Arial" w:hAnsi="Arial"/>
                <w:sz w:val="21"/>
                <w:szCs w:val="21"/>
                <w:color w:val="auto"/>
              </w:rPr>
              <w:t>2019</w:t>
            </w:r>
          </w:p>
        </w:tc>
      </w:tr>
      <w:tr>
        <w:trPr>
          <w:trHeight w:val="186"/>
        </w:trPr>
        <w:tc>
          <w:tcPr>
            <w:tcW w:w="44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21"/>
                <w:szCs w:val="21"/>
                <w:color w:val="auto"/>
                <w:w w:val="96"/>
              </w:rPr>
              <w:t>Stock-based compensation within operations and</w:t>
            </w: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49"/>
        </w:trPr>
        <w:tc>
          <w:tcPr>
            <w:tcW w:w="4440" w:type="dxa"/>
            <w:vAlign w:val="bottom"/>
            <w:shd w:val="clear" w:color="auto" w:fill="CCEEFF"/>
          </w:tcPr>
          <w:p>
            <w:pPr>
              <w:spacing w:after="0"/>
              <w:rPr>
                <w:sz w:val="20"/>
                <w:szCs w:val="20"/>
                <w:color w:val="auto"/>
              </w:rPr>
            </w:pPr>
            <w:r>
              <w:rPr>
                <w:rFonts w:ascii="Arial" w:cs="Arial" w:eastAsia="Arial" w:hAnsi="Arial"/>
                <w:sz w:val="21"/>
                <w:szCs w:val="21"/>
                <w:color w:val="auto"/>
              </w:rPr>
              <w:t>maintenance expenses</w:t>
            </w:r>
          </w:p>
        </w:tc>
        <w:tc>
          <w:tcPr>
            <w:tcW w:w="1160" w:type="dxa"/>
            <w:vAlign w:val="bottom"/>
            <w:gridSpan w:val="2"/>
            <w:shd w:val="clear" w:color="auto" w:fill="CCEEFF"/>
          </w:tcPr>
          <w:p>
            <w:pPr>
              <w:jc w:val="right"/>
              <w:ind w:right="693"/>
              <w:spacing w:after="0"/>
              <w:rPr>
                <w:sz w:val="20"/>
                <w:szCs w:val="20"/>
                <w:color w:val="auto"/>
              </w:rPr>
            </w:pPr>
            <w:r>
              <w:rPr>
                <w:rFonts w:ascii="Arial" w:cs="Arial" w:eastAsia="Arial" w:hAnsi="Arial"/>
                <w:sz w:val="21"/>
                <w:szCs w:val="2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1"/>
              </w:rPr>
              <w:t>170</w:t>
            </w:r>
          </w:p>
        </w:tc>
        <w:tc>
          <w:tcPr>
            <w:tcW w:w="1140" w:type="dxa"/>
            <w:vAlign w:val="bottom"/>
            <w:gridSpan w:val="2"/>
            <w:shd w:val="clear" w:color="auto" w:fill="CCEEFF"/>
          </w:tcPr>
          <w:p>
            <w:pPr>
              <w:jc w:val="right"/>
              <w:ind w:right="840"/>
              <w:spacing w:after="0"/>
              <w:rPr>
                <w:sz w:val="20"/>
                <w:szCs w:val="20"/>
                <w:color w:val="auto"/>
              </w:rPr>
            </w:pPr>
            <w:r>
              <w:rPr>
                <w:rFonts w:ascii="Arial" w:cs="Arial" w:eastAsia="Arial" w:hAnsi="Arial"/>
                <w:sz w:val="21"/>
                <w:szCs w:val="2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6"/>
              </w:rPr>
              <w:t>202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345</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8"/>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382</w:t>
            </w:r>
          </w:p>
        </w:tc>
      </w:tr>
      <w:tr>
        <w:trPr>
          <w:trHeight w:val="273"/>
        </w:trPr>
        <w:tc>
          <w:tcPr>
            <w:tcW w:w="4440" w:type="dxa"/>
            <w:vAlign w:val="bottom"/>
          </w:tcPr>
          <w:p>
            <w:pPr>
              <w:spacing w:after="0"/>
              <w:rPr>
                <w:sz w:val="20"/>
                <w:szCs w:val="20"/>
                <w:color w:val="auto"/>
              </w:rPr>
            </w:pPr>
            <w:r>
              <w:rPr>
                <w:rFonts w:ascii="Arial" w:cs="Arial" w:eastAsia="Arial" w:hAnsi="Arial"/>
                <w:sz w:val="21"/>
                <w:szCs w:val="21"/>
                <w:color w:val="auto"/>
              </w:rPr>
              <w:t>Income tax benefit</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1"/>
                <w:szCs w:val="21"/>
                <w:color w:val="auto"/>
              </w:rPr>
              <w:t>49</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1"/>
                <w:szCs w:val="21"/>
                <w:color w:val="auto"/>
              </w:rPr>
              <w:t>58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1"/>
                <w:szCs w:val="21"/>
                <w:color w:val="auto"/>
              </w:rPr>
              <w:t>100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110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stock award transactions for the six months ended June 30, 2020:</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21"/>
                <w:szCs w:val="21"/>
                <w:color w:val="auto"/>
                <w:w w:val="93"/>
              </w:rPr>
              <w:t>Number</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center"/>
              <w:ind w:right="213"/>
              <w:spacing w:after="0"/>
              <w:rPr>
                <w:sz w:val="20"/>
                <w:szCs w:val="20"/>
                <w:color w:val="auto"/>
              </w:rPr>
            </w:pPr>
            <w:r>
              <w:rPr>
                <w:rFonts w:ascii="Arial" w:cs="Arial" w:eastAsia="Arial" w:hAnsi="Arial"/>
                <w:sz w:val="21"/>
                <w:szCs w:val="21"/>
                <w:color w:val="auto"/>
                <w:w w:val="90"/>
              </w:rPr>
              <w:t>Weighted</w:t>
            </w:r>
          </w:p>
        </w:tc>
      </w:tr>
      <w:tr>
        <w:trPr>
          <w:trHeight w:val="227"/>
        </w:trPr>
        <w:tc>
          <w:tcPr>
            <w:tcW w:w="7160" w:type="dxa"/>
            <w:vAlign w:val="bottom"/>
          </w:tcPr>
          <w:p>
            <w:pPr>
              <w:spacing w:after="0"/>
              <w:rPr>
                <w:sz w:val="19"/>
                <w:szCs w:val="19"/>
                <w:color w:val="auto"/>
              </w:rPr>
            </w:pPr>
          </w:p>
        </w:tc>
        <w:tc>
          <w:tcPr>
            <w:tcW w:w="1800" w:type="dxa"/>
            <w:vAlign w:val="bottom"/>
          </w:tcPr>
          <w:p>
            <w:pPr>
              <w:jc w:val="center"/>
              <w:spacing w:after="0" w:line="227" w:lineRule="exact"/>
              <w:rPr>
                <w:sz w:val="20"/>
                <w:szCs w:val="20"/>
                <w:color w:val="auto"/>
              </w:rPr>
            </w:pPr>
            <w:r>
              <w:rPr>
                <w:rFonts w:ascii="Arial" w:cs="Arial" w:eastAsia="Arial" w:hAnsi="Arial"/>
                <w:sz w:val="21"/>
                <w:szCs w:val="21"/>
                <w:color w:val="auto"/>
              </w:rPr>
              <w:t>of</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center"/>
              <w:ind w:right="213"/>
              <w:spacing w:after="0" w:line="227" w:lineRule="exact"/>
              <w:rPr>
                <w:sz w:val="20"/>
                <w:szCs w:val="20"/>
                <w:color w:val="auto"/>
              </w:rPr>
            </w:pPr>
            <w:r>
              <w:rPr>
                <w:rFonts w:ascii="Arial" w:cs="Arial" w:eastAsia="Arial" w:hAnsi="Arial"/>
                <w:sz w:val="21"/>
                <w:szCs w:val="21"/>
                <w:color w:val="auto"/>
                <w:w w:val="92"/>
              </w:rPr>
              <w:t>Average</w:t>
            </w:r>
          </w:p>
        </w:tc>
      </w:tr>
      <w:tr>
        <w:trPr>
          <w:trHeight w:val="249"/>
        </w:trPr>
        <w:tc>
          <w:tcPr>
            <w:tcW w:w="716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Stock Awards</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213"/>
              <w:spacing w:after="0"/>
              <w:rPr>
                <w:sz w:val="20"/>
                <w:szCs w:val="20"/>
                <w:color w:val="auto"/>
              </w:rPr>
            </w:pPr>
            <w:r>
              <w:rPr>
                <w:rFonts w:ascii="Arial" w:cs="Arial" w:eastAsia="Arial" w:hAnsi="Arial"/>
                <w:sz w:val="21"/>
                <w:szCs w:val="21"/>
                <w:color w:val="auto"/>
                <w:w w:val="91"/>
              </w:rPr>
              <w:t>Fair Value</w:t>
            </w:r>
          </w:p>
        </w:tc>
      </w:tr>
      <w:tr>
        <w:trPr>
          <w:trHeight w:val="221"/>
        </w:trPr>
        <w:tc>
          <w:tcPr>
            <w:tcW w:w="716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Nonvested stock awards at beginning of period</w:t>
            </w:r>
          </w:p>
        </w:tc>
        <w:tc>
          <w:tcPr>
            <w:tcW w:w="180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68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w:t>
            </w:r>
          </w:p>
        </w:tc>
      </w:tr>
      <w:tr>
        <w:trPr>
          <w:trHeight w:val="227"/>
        </w:trPr>
        <w:tc>
          <w:tcPr>
            <w:tcW w:w="7160" w:type="dxa"/>
            <w:vAlign w:val="bottom"/>
          </w:tcPr>
          <w:p>
            <w:pPr>
              <w:ind w:left="100"/>
              <w:spacing w:after="0" w:line="227" w:lineRule="exact"/>
              <w:rPr>
                <w:sz w:val="20"/>
                <w:szCs w:val="20"/>
                <w:color w:val="auto"/>
              </w:rPr>
            </w:pPr>
            <w:r>
              <w:rPr>
                <w:rFonts w:ascii="Arial" w:cs="Arial" w:eastAsia="Arial" w:hAnsi="Arial"/>
                <w:sz w:val="21"/>
                <w:szCs w:val="21"/>
                <w:color w:val="auto"/>
              </w:rPr>
              <w:t>Granted</w:t>
            </w:r>
          </w:p>
        </w:tc>
        <w:tc>
          <w:tcPr>
            <w:tcW w:w="1800" w:type="dxa"/>
            <w:vAlign w:val="bottom"/>
          </w:tcPr>
          <w:p>
            <w:pPr>
              <w:jc w:val="right"/>
              <w:spacing w:after="0" w:line="227" w:lineRule="exact"/>
              <w:rPr>
                <w:sz w:val="20"/>
                <w:szCs w:val="20"/>
                <w:color w:val="auto"/>
              </w:rPr>
            </w:pPr>
            <w:r>
              <w:rPr>
                <w:rFonts w:ascii="Arial" w:cs="Arial" w:eastAsia="Arial" w:hAnsi="Arial"/>
                <w:sz w:val="21"/>
                <w:szCs w:val="21"/>
                <w:color w:val="auto"/>
              </w:rPr>
              <w:t>8,456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line="227" w:lineRule="exact"/>
              <w:rPr>
                <w:sz w:val="20"/>
                <w:szCs w:val="20"/>
                <w:color w:val="auto"/>
              </w:rPr>
            </w:pPr>
            <w:r>
              <w:rPr>
                <w:rFonts w:ascii="Arial" w:cs="Arial" w:eastAsia="Arial" w:hAnsi="Arial"/>
                <w:sz w:val="21"/>
                <w:szCs w:val="21"/>
                <w:color w:val="auto"/>
              </w:rPr>
              <w:t>40.80</w:t>
            </w:r>
          </w:p>
        </w:tc>
      </w:tr>
      <w:tr>
        <w:trPr>
          <w:trHeight w:val="227"/>
        </w:trPr>
        <w:tc>
          <w:tcPr>
            <w:tcW w:w="716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Vested</w:t>
            </w:r>
          </w:p>
        </w:tc>
        <w:tc>
          <w:tcPr>
            <w:tcW w:w="180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(8,456)</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40.80</w:t>
            </w:r>
          </w:p>
        </w:tc>
      </w:tr>
      <w:tr>
        <w:trPr>
          <w:trHeight w:val="221"/>
        </w:trPr>
        <w:tc>
          <w:tcPr>
            <w:tcW w:w="7160" w:type="dxa"/>
            <w:vAlign w:val="bottom"/>
          </w:tcPr>
          <w:p>
            <w:pPr>
              <w:spacing w:after="0" w:line="221" w:lineRule="exact"/>
              <w:rPr>
                <w:sz w:val="20"/>
                <w:szCs w:val="20"/>
                <w:color w:val="auto"/>
              </w:rPr>
            </w:pPr>
            <w:r>
              <w:rPr>
                <w:rFonts w:ascii="Arial" w:cs="Arial" w:eastAsia="Arial" w:hAnsi="Arial"/>
                <w:sz w:val="21"/>
                <w:szCs w:val="21"/>
                <w:color w:val="auto"/>
              </w:rPr>
              <w:t>Nonvested stock awards at end of period</w:t>
            </w:r>
          </w:p>
        </w:tc>
        <w:tc>
          <w:tcPr>
            <w:tcW w:w="18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line="221" w:lineRule="exact"/>
              <w:rPr>
                <w:sz w:val="20"/>
                <w:szCs w:val="20"/>
                <w:color w:val="auto"/>
              </w:rPr>
            </w:pPr>
            <w:r>
              <w:rPr>
                <w:rFonts w:ascii="Arial" w:cs="Arial" w:eastAsia="Arial" w:hAnsi="Arial"/>
                <w:sz w:val="21"/>
                <w:szCs w:val="21"/>
                <w:color w:val="auto"/>
              </w:rPr>
              <w:t>-</w:t>
            </w:r>
          </w:p>
        </w:tc>
      </w:tr>
      <w:tr>
        <w:trPr>
          <w:trHeight w:val="20"/>
        </w:trPr>
        <w:tc>
          <w:tcPr>
            <w:tcW w:w="7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auto"/>
        </w:rPr>
        <w:t>The weighted-average fair value at the date of grant for stock awards granted during the six months ended June 30, 2020 and 2019 was $40.80 and $38.82,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11 – </w:t>
      </w:r>
      <w:r>
        <w:rPr>
          <w:rFonts w:ascii="Arial" w:cs="Arial" w:eastAsia="Arial" w:hAnsi="Arial"/>
          <w:sz w:val="21"/>
          <w:szCs w:val="21"/>
          <w:b w:val="1"/>
          <w:bCs w:val="1"/>
          <w:i w:val="1"/>
          <w:iCs w:val="1"/>
          <w:color w:val="auto"/>
        </w:rPr>
        <w:t>Pension Plans and Other Postretirement Benefits</w:t>
      </w:r>
    </w:p>
    <w:p>
      <w:pPr>
        <w:spacing w:after="0" w:line="21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The Company maintains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 for the Company’s legacy pension and other postretirement benefit plans: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21"/>
                <w:szCs w:val="21"/>
                <w:color w:val="auto"/>
                <w:w w:val="91"/>
              </w:rPr>
              <w:t>Pension Benefits</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199"/>
        </w:trPr>
        <w:tc>
          <w:tcPr>
            <w:tcW w:w="4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280"/>
              <w:spacing w:after="0" w:line="200" w:lineRule="exact"/>
              <w:rPr>
                <w:sz w:val="20"/>
                <w:szCs w:val="20"/>
                <w:color w:val="auto"/>
              </w:rPr>
            </w:pPr>
            <w:r>
              <w:rPr>
                <w:rFonts w:ascii="Arial" w:cs="Arial" w:eastAsia="Arial" w:hAnsi="Arial"/>
                <w:sz w:val="21"/>
                <w:szCs w:val="21"/>
                <w:color w:val="auto"/>
              </w:rPr>
              <w:t>Three Months Ended</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80" w:type="dxa"/>
            <w:vAlign w:val="bottom"/>
            <w:gridSpan w:val="4"/>
          </w:tcPr>
          <w:p>
            <w:pPr>
              <w:jc w:val="right"/>
              <w:ind w:right="813"/>
              <w:spacing w:after="0" w:line="200" w:lineRule="exact"/>
              <w:rPr>
                <w:sz w:val="20"/>
                <w:szCs w:val="20"/>
                <w:color w:val="auto"/>
              </w:rPr>
            </w:pPr>
            <w:r>
              <w:rPr>
                <w:rFonts w:ascii="Arial" w:cs="Arial" w:eastAsia="Arial" w:hAnsi="Arial"/>
                <w:sz w:val="21"/>
                <w:szCs w:val="21"/>
                <w:color w:val="auto"/>
              </w:rPr>
              <w:t>Six Months Ended</w:t>
            </w:r>
          </w:p>
        </w:tc>
      </w:tr>
      <w:tr>
        <w:trPr>
          <w:trHeight w:val="249"/>
        </w:trPr>
        <w:tc>
          <w:tcPr>
            <w:tcW w:w="4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21"/>
                <w:szCs w:val="21"/>
                <w:color w:val="auto"/>
              </w:rPr>
              <w:t>June 30,</w:t>
            </w: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21"/>
                <w:szCs w:val="21"/>
                <w:color w:val="auto"/>
              </w:rPr>
              <w:t>June 30,</w:t>
            </w:r>
          </w:p>
        </w:tc>
        <w:tc>
          <w:tcPr>
            <w:tcW w:w="1140" w:type="dxa"/>
            <w:vAlign w:val="bottom"/>
            <w:tcBorders>
              <w:bottom w:val="single" w:sz="8" w:color="auto"/>
            </w:tcBorders>
          </w:tcPr>
          <w:p>
            <w:pPr>
              <w:spacing w:after="0"/>
              <w:rPr>
                <w:sz w:val="21"/>
                <w:szCs w:val="21"/>
                <w:color w:val="auto"/>
              </w:rPr>
            </w:pPr>
          </w:p>
        </w:tc>
      </w:tr>
      <w:tr>
        <w:trPr>
          <w:trHeight w:val="221"/>
        </w:trPr>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line="221" w:lineRule="exact"/>
              <w:rPr>
                <w:sz w:val="20"/>
                <w:szCs w:val="20"/>
                <w:color w:val="auto"/>
              </w:rPr>
            </w:pPr>
            <w:r>
              <w:rPr>
                <w:rFonts w:ascii="Arial" w:cs="Arial" w:eastAsia="Arial" w:hAnsi="Arial"/>
                <w:sz w:val="21"/>
                <w:szCs w:val="21"/>
                <w:color w:val="auto"/>
              </w:rPr>
              <w:t>2019</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line="221" w:lineRule="exact"/>
              <w:rPr>
                <w:sz w:val="20"/>
                <w:szCs w:val="20"/>
                <w:color w:val="auto"/>
              </w:rPr>
            </w:pPr>
            <w:r>
              <w:rPr>
                <w:rFonts w:ascii="Arial" w:cs="Arial" w:eastAsia="Arial" w:hAnsi="Arial"/>
                <w:sz w:val="21"/>
                <w:szCs w:val="21"/>
                <w:color w:val="auto"/>
              </w:rPr>
              <w:t>2019</w:t>
            </w:r>
          </w:p>
        </w:tc>
      </w:tr>
      <w:tr>
        <w:trPr>
          <w:trHeight w:val="221"/>
        </w:trPr>
        <w:tc>
          <w:tcPr>
            <w:tcW w:w="448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Service cost</w:t>
            </w:r>
          </w:p>
        </w:tc>
        <w:tc>
          <w:tcPr>
            <w:tcW w:w="320" w:type="dxa"/>
            <w:vAlign w:val="bottom"/>
            <w:shd w:val="clear" w:color="auto" w:fill="CCEEFF"/>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763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line="221" w:lineRule="exact"/>
              <w:rPr>
                <w:sz w:val="20"/>
                <w:szCs w:val="20"/>
                <w:color w:val="auto"/>
              </w:rPr>
            </w:pPr>
            <w:r>
              <w:rPr>
                <w:rFonts w:ascii="Arial" w:cs="Arial" w:eastAsia="Arial" w:hAnsi="Arial"/>
                <w:sz w:val="20"/>
                <w:szCs w:val="20"/>
                <w:color w:val="auto"/>
                <w:w w:val="71"/>
              </w:rPr>
              <w:t>$</w:t>
            </w:r>
          </w:p>
        </w:tc>
        <w:tc>
          <w:tcPr>
            <w:tcW w:w="9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680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3"/>
              <w:spacing w:after="0" w:line="221"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1,526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8"/>
              <w:spacing w:after="0" w:line="221"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1,360</w:t>
            </w:r>
          </w:p>
        </w:tc>
      </w:tr>
      <w:tr>
        <w:trPr>
          <w:trHeight w:val="227"/>
        </w:trPr>
        <w:tc>
          <w:tcPr>
            <w:tcW w:w="4480" w:type="dxa"/>
            <w:vAlign w:val="bottom"/>
          </w:tcPr>
          <w:p>
            <w:pPr>
              <w:spacing w:after="0" w:line="227" w:lineRule="exact"/>
              <w:rPr>
                <w:sz w:val="20"/>
                <w:szCs w:val="20"/>
                <w:color w:val="auto"/>
              </w:rPr>
            </w:pPr>
            <w:r>
              <w:rPr>
                <w:rFonts w:ascii="Arial" w:cs="Arial" w:eastAsia="Arial" w:hAnsi="Arial"/>
                <w:sz w:val="21"/>
                <w:szCs w:val="21"/>
                <w:color w:val="auto"/>
              </w:rPr>
              <w:t>Interest cost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2,540</w:t>
            </w:r>
          </w:p>
        </w:tc>
        <w:tc>
          <w:tcPr>
            <w:tcW w:w="380" w:type="dxa"/>
            <w:vAlign w:val="bottom"/>
          </w:tcPr>
          <w:p>
            <w:pPr>
              <w:spacing w:after="0"/>
              <w:rPr>
                <w:sz w:val="19"/>
                <w:szCs w:val="19"/>
                <w:color w:val="auto"/>
              </w:rPr>
            </w:pPr>
          </w:p>
        </w:tc>
        <w:tc>
          <w:tcPr>
            <w:tcW w:w="960" w:type="dxa"/>
            <w:vAlign w:val="bottom"/>
          </w:tcPr>
          <w:p>
            <w:pPr>
              <w:jc w:val="right"/>
              <w:spacing w:after="0" w:line="227" w:lineRule="exact"/>
              <w:rPr>
                <w:sz w:val="20"/>
                <w:szCs w:val="20"/>
                <w:color w:val="auto"/>
              </w:rPr>
            </w:pPr>
            <w:r>
              <w:rPr>
                <w:rFonts w:ascii="Arial" w:cs="Arial" w:eastAsia="Arial" w:hAnsi="Arial"/>
                <w:sz w:val="21"/>
                <w:szCs w:val="21"/>
                <w:color w:val="auto"/>
              </w:rPr>
              <w:t>2,954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5,080</w:t>
            </w:r>
          </w:p>
        </w:tc>
        <w:tc>
          <w:tcPr>
            <w:tcW w:w="480" w:type="dxa"/>
            <w:vAlign w:val="bottom"/>
          </w:tcPr>
          <w:p>
            <w:pPr>
              <w:spacing w:after="0"/>
              <w:rPr>
                <w:sz w:val="19"/>
                <w:szCs w:val="19"/>
                <w:color w:val="auto"/>
              </w:rPr>
            </w:pPr>
          </w:p>
        </w:tc>
        <w:tc>
          <w:tcPr>
            <w:tcW w:w="1140" w:type="dxa"/>
            <w:vAlign w:val="bottom"/>
          </w:tcPr>
          <w:p>
            <w:pPr>
              <w:jc w:val="right"/>
              <w:spacing w:after="0" w:line="227" w:lineRule="exact"/>
              <w:rPr>
                <w:sz w:val="20"/>
                <w:szCs w:val="20"/>
                <w:color w:val="auto"/>
              </w:rPr>
            </w:pPr>
            <w:r>
              <w:rPr>
                <w:rFonts w:ascii="Arial" w:cs="Arial" w:eastAsia="Arial" w:hAnsi="Arial"/>
                <w:sz w:val="21"/>
                <w:szCs w:val="21"/>
                <w:color w:val="auto"/>
              </w:rPr>
              <w:t>5,908</w:t>
            </w:r>
          </w:p>
        </w:tc>
      </w:tr>
      <w:tr>
        <w:trPr>
          <w:trHeight w:val="227"/>
        </w:trPr>
        <w:tc>
          <w:tcPr>
            <w:tcW w:w="448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Expected return on plan assets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(3,938)</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line="227" w:lineRule="exact"/>
              <w:rPr>
                <w:sz w:val="20"/>
                <w:szCs w:val="20"/>
                <w:color w:val="auto"/>
              </w:rPr>
            </w:pPr>
            <w:r>
              <w:rPr>
                <w:rFonts w:ascii="Arial" w:cs="Arial" w:eastAsia="Arial" w:hAnsi="Arial"/>
                <w:sz w:val="21"/>
                <w:szCs w:val="21"/>
                <w:color w:val="auto"/>
              </w:rPr>
              <w:t>(3,818)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(7,876)</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(7,636)</w:t>
            </w:r>
          </w:p>
        </w:tc>
      </w:tr>
      <w:tr>
        <w:trPr>
          <w:trHeight w:val="227"/>
        </w:trPr>
        <w:tc>
          <w:tcPr>
            <w:tcW w:w="4480" w:type="dxa"/>
            <w:vAlign w:val="bottom"/>
          </w:tcPr>
          <w:p>
            <w:pPr>
              <w:spacing w:after="0" w:line="227" w:lineRule="exact"/>
              <w:rPr>
                <w:sz w:val="20"/>
                <w:szCs w:val="20"/>
                <w:color w:val="auto"/>
              </w:rPr>
            </w:pPr>
            <w:r>
              <w:rPr>
                <w:rFonts w:ascii="Arial" w:cs="Arial" w:eastAsia="Arial" w:hAnsi="Arial"/>
                <w:sz w:val="21"/>
                <w:szCs w:val="21"/>
                <w:color w:val="auto"/>
              </w:rPr>
              <w:t>Amortization of prior service cost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148</w:t>
            </w:r>
          </w:p>
        </w:tc>
        <w:tc>
          <w:tcPr>
            <w:tcW w:w="380" w:type="dxa"/>
            <w:vAlign w:val="bottom"/>
          </w:tcPr>
          <w:p>
            <w:pPr>
              <w:spacing w:after="0"/>
              <w:rPr>
                <w:sz w:val="19"/>
                <w:szCs w:val="19"/>
                <w:color w:val="auto"/>
              </w:rPr>
            </w:pPr>
          </w:p>
        </w:tc>
        <w:tc>
          <w:tcPr>
            <w:tcW w:w="960" w:type="dxa"/>
            <w:vAlign w:val="bottom"/>
          </w:tcPr>
          <w:p>
            <w:pPr>
              <w:jc w:val="right"/>
              <w:spacing w:after="0" w:line="227" w:lineRule="exact"/>
              <w:rPr>
                <w:sz w:val="20"/>
                <w:szCs w:val="20"/>
                <w:color w:val="auto"/>
              </w:rPr>
            </w:pPr>
            <w:r>
              <w:rPr>
                <w:rFonts w:ascii="Arial" w:cs="Arial" w:eastAsia="Arial" w:hAnsi="Arial"/>
                <w:sz w:val="21"/>
                <w:szCs w:val="21"/>
                <w:color w:val="auto"/>
              </w:rPr>
              <w:t>155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296</w:t>
            </w:r>
          </w:p>
        </w:tc>
        <w:tc>
          <w:tcPr>
            <w:tcW w:w="480" w:type="dxa"/>
            <w:vAlign w:val="bottom"/>
          </w:tcPr>
          <w:p>
            <w:pPr>
              <w:spacing w:after="0"/>
              <w:rPr>
                <w:sz w:val="19"/>
                <w:szCs w:val="19"/>
                <w:color w:val="auto"/>
              </w:rPr>
            </w:pPr>
          </w:p>
        </w:tc>
        <w:tc>
          <w:tcPr>
            <w:tcW w:w="1140" w:type="dxa"/>
            <w:vAlign w:val="bottom"/>
          </w:tcPr>
          <w:p>
            <w:pPr>
              <w:jc w:val="right"/>
              <w:spacing w:after="0" w:line="227" w:lineRule="exact"/>
              <w:rPr>
                <w:sz w:val="20"/>
                <w:szCs w:val="20"/>
                <w:color w:val="auto"/>
              </w:rPr>
            </w:pPr>
            <w:r>
              <w:rPr>
                <w:rFonts w:ascii="Arial" w:cs="Arial" w:eastAsia="Arial" w:hAnsi="Arial"/>
                <w:sz w:val="21"/>
                <w:szCs w:val="21"/>
                <w:color w:val="auto"/>
              </w:rPr>
              <w:t>310</w:t>
            </w:r>
          </w:p>
        </w:tc>
      </w:tr>
      <w:tr>
        <w:trPr>
          <w:trHeight w:val="227"/>
        </w:trPr>
        <w:tc>
          <w:tcPr>
            <w:tcW w:w="448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Amortization of actuarial loss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1,992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1,982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3,984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3,964</w:t>
            </w:r>
          </w:p>
        </w:tc>
      </w:tr>
      <w:tr>
        <w:trPr>
          <w:trHeight w:val="221"/>
        </w:trPr>
        <w:tc>
          <w:tcPr>
            <w:tcW w:w="4480" w:type="dxa"/>
            <w:vAlign w:val="bottom"/>
          </w:tcPr>
          <w:p>
            <w:pPr>
              <w:spacing w:after="0" w:line="221" w:lineRule="exact"/>
              <w:rPr>
                <w:sz w:val="20"/>
                <w:szCs w:val="20"/>
                <w:color w:val="auto"/>
              </w:rPr>
            </w:pPr>
            <w:r>
              <w:rPr>
                <w:rFonts w:ascii="Arial" w:cs="Arial" w:eastAsia="Arial" w:hAnsi="Arial"/>
                <w:sz w:val="21"/>
                <w:szCs w:val="21"/>
                <w:color w:val="auto"/>
              </w:rPr>
              <w:t>Net periodic benefit cost</w:t>
            </w:r>
          </w:p>
        </w:tc>
        <w:tc>
          <w:tcPr>
            <w:tcW w:w="320" w:type="dxa"/>
            <w:vAlign w:val="bottom"/>
            <w:tcBorders>
              <w:top w:val="single" w:sz="8" w:color="auto"/>
              <w:bottom w:val="single" w:sz="8" w:color="auto"/>
            </w:tcBorders>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1,505</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8"/>
              <w:spacing w:after="0" w:line="221"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1,953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right="233"/>
              <w:spacing w:after="0" w:line="221"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3,010</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8"/>
              <w:spacing w:after="0" w:line="221"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3,906</w:t>
            </w: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1"/>
                <w:szCs w:val="21"/>
                <w:color w:val="auto"/>
                <w:w w:val="91"/>
              </w:rPr>
              <w:t>Other</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9"/>
        </w:trPr>
        <w:tc>
          <w:tcPr>
            <w:tcW w:w="4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21"/>
                <w:szCs w:val="21"/>
                <w:color w:val="auto"/>
                <w:w w:val="91"/>
              </w:rPr>
              <w:t>Postretirement Benefits</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199"/>
        </w:trPr>
        <w:tc>
          <w:tcPr>
            <w:tcW w:w="4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400"/>
              <w:spacing w:after="0" w:line="200" w:lineRule="exact"/>
              <w:rPr>
                <w:sz w:val="20"/>
                <w:szCs w:val="20"/>
                <w:color w:val="auto"/>
              </w:rPr>
            </w:pPr>
            <w:r>
              <w:rPr>
                <w:rFonts w:ascii="Arial" w:cs="Arial" w:eastAsia="Arial" w:hAnsi="Arial"/>
                <w:sz w:val="21"/>
                <w:szCs w:val="21"/>
                <w:color w:val="auto"/>
              </w:rPr>
              <w:t>Three Months Ended</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80" w:type="dxa"/>
            <w:vAlign w:val="bottom"/>
            <w:gridSpan w:val="4"/>
          </w:tcPr>
          <w:p>
            <w:pPr>
              <w:jc w:val="right"/>
              <w:ind w:right="713"/>
              <w:spacing w:after="0" w:line="200" w:lineRule="exact"/>
              <w:rPr>
                <w:sz w:val="20"/>
                <w:szCs w:val="20"/>
                <w:color w:val="auto"/>
              </w:rPr>
            </w:pPr>
            <w:r>
              <w:rPr>
                <w:rFonts w:ascii="Arial" w:cs="Arial" w:eastAsia="Arial" w:hAnsi="Arial"/>
                <w:sz w:val="21"/>
                <w:szCs w:val="21"/>
                <w:color w:val="auto"/>
              </w:rPr>
              <w:t>Six Months Ended</w:t>
            </w:r>
          </w:p>
        </w:tc>
      </w:tr>
      <w:tr>
        <w:trPr>
          <w:trHeight w:val="249"/>
        </w:trPr>
        <w:tc>
          <w:tcPr>
            <w:tcW w:w="4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June 30,</w:t>
            </w: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21"/>
                <w:szCs w:val="21"/>
                <w:color w:val="auto"/>
              </w:rPr>
              <w:t>June 30,</w:t>
            </w:r>
          </w:p>
        </w:tc>
        <w:tc>
          <w:tcPr>
            <w:tcW w:w="1140" w:type="dxa"/>
            <w:vAlign w:val="bottom"/>
            <w:tcBorders>
              <w:bottom w:val="single" w:sz="8" w:color="auto"/>
            </w:tcBorders>
          </w:tcPr>
          <w:p>
            <w:pPr>
              <w:spacing w:after="0"/>
              <w:rPr>
                <w:sz w:val="21"/>
                <w:szCs w:val="21"/>
                <w:color w:val="auto"/>
              </w:rPr>
            </w:pPr>
          </w:p>
        </w:tc>
      </w:tr>
      <w:tr>
        <w:trPr>
          <w:trHeight w:val="221"/>
        </w:trPr>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line="221" w:lineRule="exact"/>
              <w:rPr>
                <w:sz w:val="20"/>
                <w:szCs w:val="20"/>
                <w:color w:val="auto"/>
              </w:rPr>
            </w:pPr>
            <w:r>
              <w:rPr>
                <w:rFonts w:ascii="Arial" w:cs="Arial" w:eastAsia="Arial" w:hAnsi="Arial"/>
                <w:sz w:val="21"/>
                <w:szCs w:val="21"/>
                <w:color w:val="auto"/>
              </w:rPr>
              <w:t>2019</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line="221" w:lineRule="exact"/>
              <w:rPr>
                <w:sz w:val="20"/>
                <w:szCs w:val="20"/>
                <w:color w:val="auto"/>
              </w:rPr>
            </w:pPr>
            <w:r>
              <w:rPr>
                <w:rFonts w:ascii="Arial" w:cs="Arial" w:eastAsia="Arial" w:hAnsi="Arial"/>
                <w:sz w:val="21"/>
                <w:szCs w:val="21"/>
                <w:color w:val="auto"/>
              </w:rPr>
              <w:t>2019</w:t>
            </w:r>
          </w:p>
        </w:tc>
      </w:tr>
      <w:tr>
        <w:trPr>
          <w:trHeight w:val="221"/>
        </w:trPr>
        <w:tc>
          <w:tcPr>
            <w:tcW w:w="448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Service cost</w:t>
            </w:r>
          </w:p>
        </w:tc>
        <w:tc>
          <w:tcPr>
            <w:tcW w:w="320" w:type="dxa"/>
            <w:vAlign w:val="bottom"/>
            <w:shd w:val="clear" w:color="auto" w:fill="CCEEFF"/>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217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line="221" w:lineRule="exact"/>
              <w:rPr>
                <w:sz w:val="20"/>
                <w:szCs w:val="20"/>
                <w:color w:val="auto"/>
              </w:rPr>
            </w:pPr>
            <w:r>
              <w:rPr>
                <w:rFonts w:ascii="Arial" w:cs="Arial" w:eastAsia="Arial" w:hAnsi="Arial"/>
                <w:sz w:val="20"/>
                <w:szCs w:val="20"/>
                <w:color w:val="auto"/>
                <w:w w:val="71"/>
              </w:rPr>
              <w:t>$</w:t>
            </w:r>
          </w:p>
        </w:tc>
        <w:tc>
          <w:tcPr>
            <w:tcW w:w="9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205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3"/>
              <w:spacing w:after="0" w:line="221"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434</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8"/>
              <w:spacing w:after="0" w:line="221"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410</w:t>
            </w:r>
          </w:p>
        </w:tc>
      </w:tr>
      <w:tr>
        <w:trPr>
          <w:trHeight w:val="227"/>
        </w:trPr>
        <w:tc>
          <w:tcPr>
            <w:tcW w:w="4480" w:type="dxa"/>
            <w:vAlign w:val="bottom"/>
          </w:tcPr>
          <w:p>
            <w:pPr>
              <w:spacing w:after="0" w:line="227" w:lineRule="exact"/>
              <w:rPr>
                <w:sz w:val="20"/>
                <w:szCs w:val="20"/>
                <w:color w:val="auto"/>
              </w:rPr>
            </w:pPr>
            <w:r>
              <w:rPr>
                <w:rFonts w:ascii="Arial" w:cs="Arial" w:eastAsia="Arial" w:hAnsi="Arial"/>
                <w:sz w:val="21"/>
                <w:szCs w:val="21"/>
                <w:color w:val="auto"/>
              </w:rPr>
              <w:t>Interest cost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677</w:t>
            </w:r>
          </w:p>
        </w:tc>
        <w:tc>
          <w:tcPr>
            <w:tcW w:w="380" w:type="dxa"/>
            <w:vAlign w:val="bottom"/>
          </w:tcPr>
          <w:p>
            <w:pPr>
              <w:spacing w:after="0"/>
              <w:rPr>
                <w:sz w:val="19"/>
                <w:szCs w:val="19"/>
                <w:color w:val="auto"/>
              </w:rPr>
            </w:pPr>
          </w:p>
        </w:tc>
        <w:tc>
          <w:tcPr>
            <w:tcW w:w="960" w:type="dxa"/>
            <w:vAlign w:val="bottom"/>
          </w:tcPr>
          <w:p>
            <w:pPr>
              <w:jc w:val="right"/>
              <w:spacing w:after="0" w:line="227" w:lineRule="exact"/>
              <w:rPr>
                <w:sz w:val="20"/>
                <w:szCs w:val="20"/>
                <w:color w:val="auto"/>
              </w:rPr>
            </w:pPr>
            <w:r>
              <w:rPr>
                <w:rFonts w:ascii="Arial" w:cs="Arial" w:eastAsia="Arial" w:hAnsi="Arial"/>
                <w:sz w:val="21"/>
                <w:szCs w:val="21"/>
                <w:color w:val="auto"/>
              </w:rPr>
              <w:t>750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1,354</w:t>
            </w:r>
          </w:p>
        </w:tc>
        <w:tc>
          <w:tcPr>
            <w:tcW w:w="480" w:type="dxa"/>
            <w:vAlign w:val="bottom"/>
          </w:tcPr>
          <w:p>
            <w:pPr>
              <w:spacing w:after="0"/>
              <w:rPr>
                <w:sz w:val="19"/>
                <w:szCs w:val="19"/>
                <w:color w:val="auto"/>
              </w:rPr>
            </w:pPr>
          </w:p>
        </w:tc>
        <w:tc>
          <w:tcPr>
            <w:tcW w:w="1140" w:type="dxa"/>
            <w:vAlign w:val="bottom"/>
          </w:tcPr>
          <w:p>
            <w:pPr>
              <w:jc w:val="right"/>
              <w:spacing w:after="0" w:line="227" w:lineRule="exact"/>
              <w:rPr>
                <w:sz w:val="20"/>
                <w:szCs w:val="20"/>
                <w:color w:val="auto"/>
              </w:rPr>
            </w:pPr>
            <w:r>
              <w:rPr>
                <w:rFonts w:ascii="Arial" w:cs="Arial" w:eastAsia="Arial" w:hAnsi="Arial"/>
                <w:sz w:val="21"/>
                <w:szCs w:val="21"/>
                <w:color w:val="auto"/>
              </w:rPr>
              <w:t>1,500</w:t>
            </w:r>
          </w:p>
        </w:tc>
      </w:tr>
      <w:tr>
        <w:trPr>
          <w:trHeight w:val="227"/>
        </w:trPr>
        <w:tc>
          <w:tcPr>
            <w:tcW w:w="448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Expected return on plan assets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(675)</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line="227" w:lineRule="exact"/>
              <w:rPr>
                <w:sz w:val="20"/>
                <w:szCs w:val="20"/>
                <w:color w:val="auto"/>
              </w:rPr>
            </w:pPr>
            <w:r>
              <w:rPr>
                <w:rFonts w:ascii="Arial" w:cs="Arial" w:eastAsia="Arial" w:hAnsi="Arial"/>
                <w:sz w:val="21"/>
                <w:szCs w:val="21"/>
                <w:color w:val="auto"/>
              </w:rPr>
              <w:t>(621)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(1,350)</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(1,242)</w:t>
            </w:r>
          </w:p>
        </w:tc>
      </w:tr>
      <w:tr>
        <w:trPr>
          <w:trHeight w:val="227"/>
        </w:trPr>
        <w:tc>
          <w:tcPr>
            <w:tcW w:w="4480" w:type="dxa"/>
            <w:vAlign w:val="bottom"/>
          </w:tcPr>
          <w:p>
            <w:pPr>
              <w:spacing w:after="0" w:line="227" w:lineRule="exact"/>
              <w:rPr>
                <w:sz w:val="20"/>
                <w:szCs w:val="20"/>
                <w:color w:val="auto"/>
              </w:rPr>
            </w:pPr>
            <w:r>
              <w:rPr>
                <w:rFonts w:ascii="Arial" w:cs="Arial" w:eastAsia="Arial" w:hAnsi="Arial"/>
                <w:sz w:val="21"/>
                <w:szCs w:val="21"/>
                <w:color w:val="auto"/>
              </w:rPr>
              <w:t>Amortization of prior service credit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(116)</w:t>
            </w:r>
          </w:p>
        </w:tc>
        <w:tc>
          <w:tcPr>
            <w:tcW w:w="380" w:type="dxa"/>
            <w:vAlign w:val="bottom"/>
          </w:tcPr>
          <w:p>
            <w:pPr>
              <w:spacing w:after="0"/>
              <w:rPr>
                <w:sz w:val="19"/>
                <w:szCs w:val="19"/>
                <w:color w:val="auto"/>
              </w:rPr>
            </w:pPr>
          </w:p>
        </w:tc>
        <w:tc>
          <w:tcPr>
            <w:tcW w:w="1020" w:type="dxa"/>
            <w:vAlign w:val="bottom"/>
            <w:gridSpan w:val="2"/>
          </w:tcPr>
          <w:p>
            <w:pPr>
              <w:jc w:val="right"/>
              <w:ind w:right="60"/>
              <w:spacing w:after="0" w:line="227" w:lineRule="exact"/>
              <w:rPr>
                <w:sz w:val="20"/>
                <w:szCs w:val="20"/>
                <w:color w:val="auto"/>
              </w:rPr>
            </w:pPr>
            <w:r>
              <w:rPr>
                <w:rFonts w:ascii="Arial" w:cs="Arial" w:eastAsia="Arial" w:hAnsi="Arial"/>
                <w:sz w:val="21"/>
                <w:szCs w:val="21"/>
                <w:color w:val="auto"/>
              </w:rPr>
              <w:t>(116)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(232)</w:t>
            </w:r>
          </w:p>
        </w:tc>
        <w:tc>
          <w:tcPr>
            <w:tcW w:w="480" w:type="dxa"/>
            <w:vAlign w:val="bottom"/>
          </w:tcPr>
          <w:p>
            <w:pPr>
              <w:spacing w:after="0"/>
              <w:rPr>
                <w:sz w:val="19"/>
                <w:szCs w:val="19"/>
                <w:color w:val="auto"/>
              </w:rPr>
            </w:pPr>
          </w:p>
        </w:tc>
        <w:tc>
          <w:tcPr>
            <w:tcW w:w="1140" w:type="dxa"/>
            <w:vAlign w:val="bottom"/>
          </w:tcPr>
          <w:p>
            <w:pPr>
              <w:jc w:val="right"/>
              <w:spacing w:after="0" w:line="227" w:lineRule="exact"/>
              <w:rPr>
                <w:sz w:val="20"/>
                <w:szCs w:val="20"/>
                <w:color w:val="auto"/>
              </w:rPr>
            </w:pPr>
            <w:r>
              <w:rPr>
                <w:rFonts w:ascii="Arial" w:cs="Arial" w:eastAsia="Arial" w:hAnsi="Arial"/>
                <w:sz w:val="21"/>
                <w:szCs w:val="21"/>
                <w:color w:val="auto"/>
              </w:rPr>
              <w:t>(232)</w:t>
            </w:r>
          </w:p>
        </w:tc>
      </w:tr>
      <w:tr>
        <w:trPr>
          <w:trHeight w:val="227"/>
        </w:trPr>
        <w:tc>
          <w:tcPr>
            <w:tcW w:w="448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Amortization of actuarial loss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156</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166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312</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332</w:t>
            </w:r>
          </w:p>
        </w:tc>
      </w:tr>
      <w:tr>
        <w:trPr>
          <w:trHeight w:val="221"/>
        </w:trPr>
        <w:tc>
          <w:tcPr>
            <w:tcW w:w="4480" w:type="dxa"/>
            <w:vAlign w:val="bottom"/>
          </w:tcPr>
          <w:p>
            <w:pPr>
              <w:spacing w:after="0" w:line="221" w:lineRule="exact"/>
              <w:rPr>
                <w:sz w:val="20"/>
                <w:szCs w:val="20"/>
                <w:color w:val="auto"/>
              </w:rPr>
            </w:pPr>
            <w:r>
              <w:rPr>
                <w:rFonts w:ascii="Arial" w:cs="Arial" w:eastAsia="Arial" w:hAnsi="Arial"/>
                <w:sz w:val="21"/>
                <w:szCs w:val="21"/>
                <w:color w:val="auto"/>
              </w:rPr>
              <w:t>Net periodic benefit cost</w:t>
            </w:r>
          </w:p>
        </w:tc>
        <w:tc>
          <w:tcPr>
            <w:tcW w:w="320" w:type="dxa"/>
            <w:vAlign w:val="bottom"/>
            <w:tcBorders>
              <w:top w:val="single" w:sz="8" w:color="auto"/>
              <w:bottom w:val="single" w:sz="8" w:color="auto"/>
            </w:tcBorders>
          </w:tcPr>
          <w:p>
            <w:pPr>
              <w:jc w:val="right"/>
              <w:ind w:right="118"/>
              <w:spacing w:after="0" w:line="221"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259</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8"/>
              <w:spacing w:after="0" w:line="221"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384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right="233"/>
              <w:spacing w:after="0" w:line="221" w:lineRule="exact"/>
              <w:rPr>
                <w:sz w:val="20"/>
                <w:szCs w:val="20"/>
                <w:color w:val="auto"/>
              </w:rPr>
            </w:pPr>
            <w:r>
              <w:rPr>
                <w:rFonts w:ascii="Arial" w:cs="Arial" w:eastAsia="Arial" w:hAnsi="Arial"/>
                <w:sz w:val="21"/>
                <w:szCs w:val="21"/>
                <w:color w:val="auto"/>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518</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8"/>
              <w:spacing w:after="0" w:line="221"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768</w:t>
            </w: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80"/>
        <w:spacing w:after="0" w:line="256" w:lineRule="auto"/>
        <w:rPr>
          <w:sz w:val="20"/>
          <w:szCs w:val="20"/>
          <w:color w:val="auto"/>
        </w:rPr>
      </w:pPr>
      <w:r>
        <w:rPr>
          <w:rFonts w:ascii="Arial" w:cs="Arial" w:eastAsia="Arial" w:hAnsi="Arial"/>
          <w:sz w:val="21"/>
          <w:szCs w:val="21"/>
          <w:color w:val="auto"/>
        </w:rPr>
        <w:t>The Company presents the components of net periodic benefit cost other than service cost in the consolidated statements of operations and comprehensive income on the line item “Other.”</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auto"/>
        </w:rPr>
        <w:t>The Company made cash contributions of $3,985 to its Pension Plans during the first six months of 2020 and intends to make cash contributions of $13,790 to the Pension Plans during the remainder of 2020.</w:t>
      </w:r>
    </w:p>
    <w:p>
      <w:pPr>
        <w:spacing w:after="0" w:line="167" w:lineRule="exact"/>
        <w:rPr>
          <w:sz w:val="20"/>
          <w:szCs w:val="20"/>
          <w:color w:val="auto"/>
        </w:rPr>
      </w:pPr>
    </w:p>
    <w:p>
      <w:pPr>
        <w:jc w:val="both"/>
        <w:ind w:right="300"/>
        <w:spacing w:after="0" w:line="231" w:lineRule="auto"/>
        <w:rPr>
          <w:sz w:val="20"/>
          <w:szCs w:val="20"/>
          <w:color w:val="auto"/>
        </w:rPr>
      </w:pPr>
      <w:r>
        <w:rPr>
          <w:rFonts w:ascii="Arial" w:cs="Arial" w:eastAsia="Arial" w:hAnsi="Arial"/>
          <w:sz w:val="21"/>
          <w:szCs w:val="21"/>
          <w:color w:val="auto"/>
        </w:rPr>
        <w:t>On March 16, 2020, we completed the Peoples Gas Acquisition and assumed the pension and other postretirement benefit plans for its employees. The operating results of Peoples has been included in our consolidated financial statements since the date of acquisition. As such, the following table presents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94" w:lineRule="exact"/>
        <w:rPr>
          <w:sz w:val="20"/>
          <w:szCs w:val="20"/>
          <w:color w:val="auto"/>
        </w:rPr>
      </w:pPr>
    </w:p>
    <w:p>
      <w:pPr>
        <w:ind w:right="420"/>
        <w:spacing w:after="0" w:line="256" w:lineRule="auto"/>
        <w:rPr>
          <w:sz w:val="20"/>
          <w:szCs w:val="20"/>
          <w:color w:val="auto"/>
        </w:rPr>
      </w:pPr>
      <w:r>
        <w:rPr>
          <w:rFonts w:ascii="Arial" w:cs="Arial" w:eastAsia="Arial" w:hAnsi="Arial"/>
          <w:sz w:val="21"/>
          <w:szCs w:val="21"/>
          <w:color w:val="auto"/>
        </w:rPr>
        <w:t>components of net periodic benefit costs for the period since March 16, 2020 that are related to the Peoples’ pension and other postretirement benefit plans acquired: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gridSpan w:val="3"/>
          </w:tcPr>
          <w:p>
            <w:pPr>
              <w:jc w:val="center"/>
              <w:ind w:left="213"/>
              <w:spacing w:after="0"/>
              <w:rPr>
                <w:sz w:val="20"/>
                <w:szCs w:val="20"/>
                <w:color w:val="auto"/>
              </w:rPr>
            </w:pPr>
            <w:r>
              <w:rPr>
                <w:rFonts w:ascii="Arial" w:cs="Arial" w:eastAsia="Arial" w:hAnsi="Arial"/>
                <w:sz w:val="21"/>
                <w:szCs w:val="21"/>
                <w:color w:val="auto"/>
                <w:w w:val="91"/>
              </w:rPr>
              <w:t>Three Months Ended</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20" w:type="dxa"/>
            <w:vAlign w:val="bottom"/>
            <w:gridSpan w:val="5"/>
          </w:tcPr>
          <w:p>
            <w:pPr>
              <w:jc w:val="center"/>
              <w:ind w:right="353"/>
              <w:spacing w:after="0"/>
              <w:rPr>
                <w:sz w:val="20"/>
                <w:szCs w:val="20"/>
                <w:color w:val="auto"/>
              </w:rPr>
            </w:pPr>
            <w:r>
              <w:rPr>
                <w:rFonts w:ascii="Arial" w:cs="Arial" w:eastAsia="Arial" w:hAnsi="Arial"/>
                <w:sz w:val="21"/>
                <w:szCs w:val="21"/>
                <w:color w:val="auto"/>
                <w:w w:val="93"/>
              </w:rPr>
              <w:t>Six Months Ended</w:t>
            </w:r>
          </w:p>
        </w:tc>
      </w:tr>
      <w:tr>
        <w:trPr>
          <w:trHeight w:val="249"/>
        </w:trPr>
        <w:tc>
          <w:tcPr>
            <w:tcW w:w="4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center"/>
              <w:ind w:left="213"/>
              <w:spacing w:after="0"/>
              <w:rPr>
                <w:sz w:val="20"/>
                <w:szCs w:val="20"/>
                <w:color w:val="auto"/>
              </w:rPr>
            </w:pPr>
            <w:r>
              <w:rPr>
                <w:rFonts w:ascii="Arial" w:cs="Arial" w:eastAsia="Arial" w:hAnsi="Arial"/>
                <w:sz w:val="21"/>
                <w:szCs w:val="21"/>
                <w:color w:val="auto"/>
                <w:w w:val="90"/>
              </w:rPr>
              <w:t>June 30, 2020</w:t>
            </w:r>
          </w:p>
        </w:tc>
        <w:tc>
          <w:tcPr>
            <w:tcW w:w="5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jc w:val="center"/>
              <w:ind w:right="353"/>
              <w:spacing w:after="0"/>
              <w:rPr>
                <w:sz w:val="20"/>
                <w:szCs w:val="20"/>
                <w:color w:val="auto"/>
              </w:rPr>
            </w:pPr>
            <w:r>
              <w:rPr>
                <w:rFonts w:ascii="Arial" w:cs="Arial" w:eastAsia="Arial" w:hAnsi="Arial"/>
                <w:sz w:val="21"/>
                <w:szCs w:val="21"/>
                <w:color w:val="auto"/>
                <w:w w:val="90"/>
              </w:rPr>
              <w:t>June 30, 2020</w:t>
            </w:r>
          </w:p>
        </w:tc>
      </w:tr>
      <w:tr>
        <w:trPr>
          <w:trHeight w:val="199"/>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73"/>
              <w:spacing w:after="0" w:line="200" w:lineRule="exact"/>
              <w:rPr>
                <w:sz w:val="20"/>
                <w:szCs w:val="20"/>
                <w:color w:val="auto"/>
              </w:rPr>
            </w:pPr>
            <w:r>
              <w:rPr>
                <w:rFonts w:ascii="Arial" w:cs="Arial" w:eastAsia="Arial" w:hAnsi="Arial"/>
                <w:sz w:val="21"/>
                <w:szCs w:val="21"/>
                <w:color w:val="auto"/>
                <w:w w:val="91"/>
              </w:rPr>
              <w:t>Other</w:t>
            </w:r>
          </w:p>
        </w:tc>
      </w:tr>
      <w:tr>
        <w:trPr>
          <w:trHeight w:val="227"/>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233"/>
              <w:spacing w:after="0" w:line="227" w:lineRule="exact"/>
              <w:rPr>
                <w:sz w:val="20"/>
                <w:szCs w:val="20"/>
                <w:color w:val="auto"/>
              </w:rPr>
            </w:pPr>
            <w:r>
              <w:rPr>
                <w:rFonts w:ascii="Arial" w:cs="Arial" w:eastAsia="Arial" w:hAnsi="Arial"/>
                <w:sz w:val="21"/>
                <w:szCs w:val="21"/>
                <w:color w:val="auto"/>
                <w:w w:val="97"/>
              </w:rPr>
              <w:t>Pension</w:t>
            </w:r>
          </w:p>
        </w:tc>
        <w:tc>
          <w:tcPr>
            <w:tcW w:w="220" w:type="dxa"/>
            <w:vAlign w:val="bottom"/>
          </w:tcPr>
          <w:p>
            <w:pPr>
              <w:spacing w:after="0"/>
              <w:rPr>
                <w:sz w:val="19"/>
                <w:szCs w:val="19"/>
                <w:color w:val="auto"/>
              </w:rPr>
            </w:pPr>
          </w:p>
        </w:tc>
        <w:tc>
          <w:tcPr>
            <w:tcW w:w="1840" w:type="dxa"/>
            <w:vAlign w:val="bottom"/>
            <w:gridSpan w:val="2"/>
          </w:tcPr>
          <w:p>
            <w:pPr>
              <w:spacing w:after="0" w:line="227" w:lineRule="exact"/>
              <w:rPr>
                <w:sz w:val="20"/>
                <w:szCs w:val="20"/>
                <w:color w:val="auto"/>
              </w:rPr>
            </w:pPr>
            <w:r>
              <w:rPr>
                <w:rFonts w:ascii="Arial" w:cs="Arial" w:eastAsia="Arial" w:hAnsi="Arial"/>
                <w:sz w:val="21"/>
                <w:szCs w:val="21"/>
                <w:color w:val="auto"/>
                <w:w w:val="93"/>
              </w:rPr>
              <w:t>Other Postretirement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73"/>
              <w:spacing w:after="0" w:line="227" w:lineRule="exact"/>
              <w:rPr>
                <w:sz w:val="20"/>
                <w:szCs w:val="20"/>
                <w:color w:val="auto"/>
              </w:rPr>
            </w:pPr>
            <w:r>
              <w:rPr>
                <w:rFonts w:ascii="Arial" w:cs="Arial" w:eastAsia="Arial" w:hAnsi="Arial"/>
                <w:sz w:val="21"/>
                <w:szCs w:val="21"/>
                <w:color w:val="auto"/>
                <w:w w:val="90"/>
              </w:rPr>
              <w:t>Postretirement</w:t>
            </w:r>
          </w:p>
        </w:tc>
      </w:tr>
      <w:tr>
        <w:trPr>
          <w:trHeight w:val="249"/>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73"/>
              <w:spacing w:after="0"/>
              <w:rPr>
                <w:sz w:val="20"/>
                <w:szCs w:val="20"/>
                <w:color w:val="auto"/>
              </w:rPr>
            </w:pPr>
            <w:r>
              <w:rPr>
                <w:rFonts w:ascii="Arial" w:cs="Arial" w:eastAsia="Arial" w:hAnsi="Arial"/>
                <w:sz w:val="21"/>
                <w:szCs w:val="21"/>
                <w:color w:val="auto"/>
              </w:rPr>
              <w:t>Benefits</w:t>
            </w:r>
          </w:p>
        </w:tc>
        <w:tc>
          <w:tcPr>
            <w:tcW w:w="22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21"/>
                <w:szCs w:val="21"/>
                <w:color w:val="auto"/>
                <w:w w:val="97"/>
              </w:rPr>
              <w:t>Benefits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gridSpan w:val="3"/>
          </w:tcPr>
          <w:p>
            <w:pPr>
              <w:ind w:left="40"/>
              <w:spacing w:after="0"/>
              <w:rPr>
                <w:sz w:val="20"/>
                <w:szCs w:val="20"/>
                <w:color w:val="auto"/>
              </w:rPr>
            </w:pPr>
            <w:r>
              <w:rPr>
                <w:rFonts w:ascii="Arial" w:cs="Arial" w:eastAsia="Arial" w:hAnsi="Arial"/>
                <w:sz w:val="21"/>
                <w:szCs w:val="21"/>
                <w:color w:val="auto"/>
              </w:rPr>
              <w:t>Pension Benefits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ind w:left="300"/>
              <w:spacing w:after="0"/>
              <w:rPr>
                <w:sz w:val="20"/>
                <w:szCs w:val="20"/>
                <w:color w:val="auto"/>
              </w:rPr>
            </w:pPr>
            <w:r>
              <w:rPr>
                <w:rFonts w:ascii="Arial" w:cs="Arial" w:eastAsia="Arial" w:hAnsi="Arial"/>
                <w:sz w:val="21"/>
                <w:szCs w:val="21"/>
                <w:color w:val="auto"/>
              </w:rPr>
              <w:t>Benefits</w:t>
            </w:r>
          </w:p>
        </w:tc>
      </w:tr>
      <w:tr>
        <w:trPr>
          <w:trHeight w:val="221"/>
        </w:trPr>
        <w:tc>
          <w:tcPr>
            <w:tcW w:w="4280" w:type="dxa"/>
            <w:vAlign w:val="bottom"/>
            <w:tcBorders>
              <w:top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Service cost</w:t>
            </w:r>
          </w:p>
        </w:tc>
        <w:tc>
          <w:tcPr>
            <w:tcW w:w="2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w w:val="85"/>
              </w:rPr>
              <w:t>$</w:t>
            </w:r>
          </w:p>
        </w:tc>
        <w:tc>
          <w:tcPr>
            <w:tcW w:w="11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226</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line="221" w:lineRule="exact"/>
              <w:rPr>
                <w:sz w:val="20"/>
                <w:szCs w:val="20"/>
                <w:color w:val="auto"/>
              </w:rPr>
            </w:pPr>
            <w:r>
              <w:rPr>
                <w:rFonts w:ascii="Arial" w:cs="Arial" w:eastAsia="Arial" w:hAnsi="Arial"/>
                <w:sz w:val="21"/>
                <w:szCs w:val="21"/>
                <w:color w:val="auto"/>
              </w:rPr>
              <w:t>$</w:t>
            </w:r>
          </w:p>
        </w:tc>
        <w:tc>
          <w:tcPr>
            <w:tcW w:w="520" w:type="dxa"/>
            <w:vAlign w:val="bottom"/>
            <w:tcBorders>
              <w:top w:val="single" w:sz="8" w:color="auto"/>
            </w:tcBorders>
            <w:shd w:val="clear" w:color="auto" w:fill="CCEEFF"/>
          </w:tcPr>
          <w:p>
            <w:pPr>
              <w:jc w:val="center"/>
              <w:spacing w:after="0" w:line="221" w:lineRule="exact"/>
              <w:rPr>
                <w:sz w:val="20"/>
                <w:szCs w:val="20"/>
                <w:color w:val="auto"/>
              </w:rPr>
            </w:pPr>
            <w:r>
              <w:rPr>
                <w:rFonts w:ascii="Arial" w:cs="Arial" w:eastAsia="Arial" w:hAnsi="Arial"/>
                <w:sz w:val="21"/>
                <w:szCs w:val="21"/>
                <w:color w:val="auto"/>
                <w:w w:val="91"/>
              </w:rPr>
              <w:t>441</w:t>
            </w:r>
          </w:p>
        </w:tc>
        <w:tc>
          <w:tcPr>
            <w:tcW w:w="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7"/>
              <w:spacing w:after="0" w:line="221"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266</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tcBorders>
            <w:shd w:val="clear" w:color="auto" w:fill="CCEEFF"/>
          </w:tcPr>
          <w:p>
            <w:pPr>
              <w:jc w:val="center"/>
              <w:ind w:left="873"/>
              <w:spacing w:after="0" w:line="221" w:lineRule="exact"/>
              <w:rPr>
                <w:sz w:val="20"/>
                <w:szCs w:val="20"/>
                <w:color w:val="auto"/>
              </w:rPr>
            </w:pPr>
            <w:r>
              <w:rPr>
                <w:rFonts w:ascii="Arial" w:cs="Arial" w:eastAsia="Arial" w:hAnsi="Arial"/>
                <w:sz w:val="21"/>
                <w:szCs w:val="21"/>
                <w:color w:val="auto"/>
                <w:w w:val="91"/>
              </w:rPr>
              <w:t>518</w:t>
            </w:r>
          </w:p>
        </w:tc>
      </w:tr>
      <w:tr>
        <w:trPr>
          <w:trHeight w:val="227"/>
        </w:trPr>
        <w:tc>
          <w:tcPr>
            <w:tcW w:w="4280" w:type="dxa"/>
            <w:vAlign w:val="bottom"/>
          </w:tcPr>
          <w:p>
            <w:pPr>
              <w:spacing w:after="0" w:line="227" w:lineRule="exact"/>
              <w:rPr>
                <w:sz w:val="20"/>
                <w:szCs w:val="20"/>
                <w:color w:val="auto"/>
              </w:rPr>
            </w:pPr>
            <w:r>
              <w:rPr>
                <w:rFonts w:ascii="Arial" w:cs="Arial" w:eastAsia="Arial" w:hAnsi="Arial"/>
                <w:sz w:val="21"/>
                <w:szCs w:val="21"/>
                <w:color w:val="auto"/>
              </w:rPr>
              <w:t>Interest cost</w:t>
            </w:r>
          </w:p>
        </w:tc>
        <w:tc>
          <w:tcPr>
            <w:tcW w:w="20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Arial" w:cs="Arial" w:eastAsia="Arial" w:hAnsi="Arial"/>
                <w:sz w:val="21"/>
                <w:szCs w:val="21"/>
                <w:color w:val="auto"/>
              </w:rPr>
              <w:t>1,090</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jc w:val="center"/>
              <w:spacing w:after="0" w:line="227" w:lineRule="exact"/>
              <w:rPr>
                <w:sz w:val="20"/>
                <w:szCs w:val="20"/>
                <w:color w:val="auto"/>
              </w:rPr>
            </w:pPr>
            <w:r>
              <w:rPr>
                <w:rFonts w:ascii="Arial" w:cs="Arial" w:eastAsia="Arial" w:hAnsi="Arial"/>
                <w:sz w:val="21"/>
                <w:szCs w:val="21"/>
                <w:color w:val="auto"/>
                <w:w w:val="91"/>
              </w:rPr>
              <w:t>309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line="227" w:lineRule="exact"/>
              <w:rPr>
                <w:sz w:val="20"/>
                <w:szCs w:val="20"/>
                <w:color w:val="auto"/>
              </w:rPr>
            </w:pPr>
            <w:r>
              <w:rPr>
                <w:rFonts w:ascii="Arial" w:cs="Arial" w:eastAsia="Arial" w:hAnsi="Arial"/>
                <w:sz w:val="21"/>
                <w:szCs w:val="21"/>
                <w:color w:val="auto"/>
              </w:rPr>
              <w:t>1,281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left="873"/>
              <w:spacing w:after="0" w:line="227" w:lineRule="exact"/>
              <w:rPr>
                <w:sz w:val="20"/>
                <w:szCs w:val="20"/>
                <w:color w:val="auto"/>
              </w:rPr>
            </w:pPr>
            <w:r>
              <w:rPr>
                <w:rFonts w:ascii="Arial" w:cs="Arial" w:eastAsia="Arial" w:hAnsi="Arial"/>
                <w:sz w:val="21"/>
                <w:szCs w:val="21"/>
                <w:color w:val="auto"/>
                <w:w w:val="91"/>
              </w:rPr>
              <w:t>363</w:t>
            </w:r>
          </w:p>
        </w:tc>
      </w:tr>
      <w:tr>
        <w:trPr>
          <w:trHeight w:val="227"/>
        </w:trPr>
        <w:tc>
          <w:tcPr>
            <w:tcW w:w="428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Expected return 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(1,719)</w:t>
            </w:r>
          </w:p>
        </w:tc>
        <w:tc>
          <w:tcPr>
            <w:tcW w:w="2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line="227" w:lineRule="exact"/>
              <w:rPr>
                <w:sz w:val="20"/>
                <w:szCs w:val="20"/>
                <w:color w:val="auto"/>
              </w:rPr>
            </w:pPr>
            <w:r>
              <w:rPr>
                <w:rFonts w:ascii="Arial" w:cs="Arial" w:eastAsia="Arial" w:hAnsi="Arial"/>
                <w:sz w:val="21"/>
                <w:szCs w:val="21"/>
                <w:color w:val="auto"/>
                <w:w w:val="93"/>
              </w:rPr>
              <w:t>(432)</w:t>
            </w:r>
          </w:p>
        </w:tc>
        <w:tc>
          <w:tcPr>
            <w:tcW w:w="3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(2,021)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853"/>
              <w:spacing w:after="0" w:line="227" w:lineRule="exact"/>
              <w:rPr>
                <w:sz w:val="20"/>
                <w:szCs w:val="20"/>
                <w:color w:val="auto"/>
              </w:rPr>
            </w:pPr>
            <w:r>
              <w:rPr>
                <w:rFonts w:ascii="Arial" w:cs="Arial" w:eastAsia="Arial" w:hAnsi="Arial"/>
                <w:sz w:val="21"/>
                <w:szCs w:val="21"/>
                <w:color w:val="auto"/>
                <w:w w:val="93"/>
              </w:rPr>
              <w:t>(507)</w:t>
            </w:r>
          </w:p>
        </w:tc>
      </w:tr>
      <w:tr>
        <w:trPr>
          <w:trHeight w:val="221"/>
        </w:trPr>
        <w:tc>
          <w:tcPr>
            <w:tcW w:w="4280" w:type="dxa"/>
            <w:vAlign w:val="bottom"/>
          </w:tcPr>
          <w:p>
            <w:pPr>
              <w:spacing w:after="0" w:line="221" w:lineRule="exact"/>
              <w:rPr>
                <w:sz w:val="20"/>
                <w:szCs w:val="20"/>
                <w:color w:val="auto"/>
              </w:rPr>
            </w:pPr>
            <w:r>
              <w:rPr>
                <w:rFonts w:ascii="Arial" w:cs="Arial" w:eastAsia="Arial" w:hAnsi="Arial"/>
                <w:sz w:val="21"/>
                <w:szCs w:val="21"/>
                <w:color w:val="auto"/>
              </w:rPr>
              <w:t>Net periodic benefit (income) cost</w:t>
            </w: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w w:val="85"/>
              </w:rPr>
              <w:t>$</w:t>
            </w:r>
          </w:p>
        </w:tc>
        <w:tc>
          <w:tcPr>
            <w:tcW w:w="1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(403)</w:t>
            </w:r>
          </w:p>
        </w:tc>
        <w:tc>
          <w:tcPr>
            <w:tcW w:w="220" w:type="dxa"/>
            <w:vAlign w:val="bottom"/>
          </w:tcPr>
          <w:p>
            <w:pPr>
              <w:spacing w:after="0"/>
              <w:rPr>
                <w:sz w:val="19"/>
                <w:szCs w:val="19"/>
                <w:color w:val="auto"/>
              </w:rPr>
            </w:pPr>
          </w:p>
        </w:tc>
        <w:tc>
          <w:tcPr>
            <w:tcW w:w="1320" w:type="dxa"/>
            <w:vAlign w:val="bottom"/>
            <w:tcBorders>
              <w:bottom w:val="single" w:sz="8" w:color="auto"/>
            </w:tcBorders>
          </w:tcPr>
          <w:p>
            <w:pPr>
              <w:spacing w:after="0" w:line="221" w:lineRule="exact"/>
              <w:rPr>
                <w:sz w:val="20"/>
                <w:szCs w:val="20"/>
                <w:color w:val="auto"/>
              </w:rPr>
            </w:pPr>
            <w:r>
              <w:rPr>
                <w:rFonts w:ascii="Arial" w:cs="Arial" w:eastAsia="Arial" w:hAnsi="Arial"/>
                <w:sz w:val="21"/>
                <w:szCs w:val="21"/>
                <w:color w:val="auto"/>
              </w:rPr>
              <w:t>$</w:t>
            </w:r>
          </w:p>
        </w:tc>
        <w:tc>
          <w:tcPr>
            <w:tcW w:w="52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21"/>
                <w:szCs w:val="21"/>
                <w:color w:val="auto"/>
                <w:w w:val="91"/>
              </w:rPr>
              <w:t>318</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ind w:right="257"/>
              <w:spacing w:after="0" w:line="221"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(474)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tcPr>
          <w:p>
            <w:pPr>
              <w:jc w:val="center"/>
              <w:ind w:left="873"/>
              <w:spacing w:after="0" w:line="221" w:lineRule="exact"/>
              <w:rPr>
                <w:sz w:val="20"/>
                <w:szCs w:val="20"/>
                <w:color w:val="auto"/>
              </w:rPr>
            </w:pPr>
            <w:r>
              <w:rPr>
                <w:rFonts w:ascii="Arial" w:cs="Arial" w:eastAsia="Arial" w:hAnsi="Arial"/>
                <w:sz w:val="21"/>
                <w:szCs w:val="21"/>
                <w:color w:val="auto"/>
                <w:w w:val="91"/>
              </w:rPr>
              <w:t>374</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40"/>
        <w:spacing w:after="0" w:line="256" w:lineRule="auto"/>
        <w:rPr>
          <w:sz w:val="20"/>
          <w:szCs w:val="20"/>
          <w:color w:val="auto"/>
        </w:rPr>
      </w:pPr>
      <w:r>
        <w:rPr>
          <w:rFonts w:ascii="Arial" w:cs="Arial" w:eastAsia="Arial" w:hAnsi="Arial"/>
          <w:sz w:val="21"/>
          <w:szCs w:val="21"/>
          <w:color w:val="auto"/>
        </w:rPr>
        <w:t>On April 1, 2020, the Company merged the pension plans acquired in the Peoples Gas Acquisition into the Company’s Pension Plan.</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12 – </w:t>
      </w:r>
      <w:r>
        <w:rPr>
          <w:rFonts w:ascii="Arial" w:cs="Arial" w:eastAsia="Arial" w:hAnsi="Arial"/>
          <w:sz w:val="21"/>
          <w:szCs w:val="21"/>
          <w:b w:val="1"/>
          <w:bCs w:val="1"/>
          <w:i w:val="1"/>
          <w:iCs w:val="1"/>
          <w:color w:val="auto"/>
        </w:rPr>
        <w:t>Rate Activity</w:t>
      </w: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During the first six months of 2020, the Company’s water and wastewater utility operating divisions in Indiana and Ohio were granted base rate increases designed to increase total operating revenues on an annual basis by $1,054. Further, during the first six months of 2020, the Company’s water and wastewater utility operating divisions in Illinois, North Carolina, and Virginia received approval to bill infrastructure rehabilitation surcharges designed to increase total operating revenues on an annual basis by $4,254.</w:t>
      </w:r>
    </w:p>
    <w:p>
      <w:pPr>
        <w:spacing w:after="0" w:line="15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In August 2018, Aqua Pennsylvania filed for a base rate increase in water and wastewater rates for its customers. In May 2019 the Company received an order from the Pennsylvania Public Utility Commission resulting in an increase of $47,000 in annual revenue, and new rates went into effect on May 24, 2019. The rates in effect at the time of the filing also included $29,493 in Distribution System Improvement Charges (“DSIC”), which was 7.5% above prior base rates. Consequently, the aggregate base rates increased by $76,493 since the last base rate increase and the DSIC was reset to zero.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13 – </w:t>
      </w:r>
      <w:r>
        <w:rPr>
          <w:rFonts w:ascii="Arial" w:cs="Arial" w:eastAsia="Arial" w:hAnsi="Arial"/>
          <w:sz w:val="21"/>
          <w:szCs w:val="21"/>
          <w:b w:val="1"/>
          <w:bCs w:val="1"/>
          <w:i w:val="1"/>
          <w:iCs w:val="1"/>
          <w:color w:val="auto"/>
        </w:rPr>
        <w:t>Taxes Other than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the components of taxes other than income taxes: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4"/>
          </w:tcPr>
          <w:p>
            <w:pPr>
              <w:jc w:val="right"/>
              <w:ind w:right="573"/>
              <w:spacing w:after="0"/>
              <w:rPr>
                <w:sz w:val="20"/>
                <w:szCs w:val="20"/>
                <w:color w:val="auto"/>
              </w:rPr>
            </w:pPr>
            <w:r>
              <w:rPr>
                <w:rFonts w:ascii="Arial" w:cs="Arial" w:eastAsia="Arial" w:hAnsi="Arial"/>
                <w:sz w:val="21"/>
                <w:szCs w:val="21"/>
                <w:color w:val="auto"/>
              </w:rPr>
              <w:t>Three Months Ended</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4"/>
          </w:tcPr>
          <w:p>
            <w:pPr>
              <w:jc w:val="right"/>
              <w:ind w:right="793"/>
              <w:spacing w:after="0"/>
              <w:rPr>
                <w:sz w:val="20"/>
                <w:szCs w:val="20"/>
                <w:color w:val="auto"/>
              </w:rPr>
            </w:pPr>
            <w:r>
              <w:rPr>
                <w:rFonts w:ascii="Arial" w:cs="Arial" w:eastAsia="Arial" w:hAnsi="Arial"/>
                <w:sz w:val="21"/>
                <w:szCs w:val="21"/>
                <w:color w:val="auto"/>
              </w:rPr>
              <w:t>Six Months Ended</w:t>
            </w:r>
          </w:p>
        </w:tc>
      </w:tr>
      <w:tr>
        <w:trPr>
          <w:trHeight w:val="249"/>
        </w:trPr>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June 30,</w:t>
            </w:r>
          </w:p>
        </w:tc>
        <w:tc>
          <w:tcPr>
            <w:tcW w:w="1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21"/>
                <w:szCs w:val="21"/>
                <w:color w:val="auto"/>
              </w:rPr>
              <w:t>June 30,</w:t>
            </w:r>
          </w:p>
        </w:tc>
        <w:tc>
          <w:tcPr>
            <w:tcW w:w="1180" w:type="dxa"/>
            <w:vAlign w:val="bottom"/>
            <w:tcBorders>
              <w:bottom w:val="single" w:sz="8" w:color="auto"/>
            </w:tcBorders>
          </w:tcPr>
          <w:p>
            <w:pPr>
              <w:spacing w:after="0"/>
              <w:rPr>
                <w:sz w:val="21"/>
                <w:szCs w:val="21"/>
                <w:color w:val="auto"/>
              </w:rPr>
            </w:pPr>
          </w:p>
        </w:tc>
      </w:tr>
      <w:tr>
        <w:trPr>
          <w:trHeight w:val="221"/>
        </w:trPr>
        <w:tc>
          <w:tcPr>
            <w:tcW w:w="4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line="221" w:lineRule="exact"/>
              <w:rPr>
                <w:sz w:val="20"/>
                <w:szCs w:val="20"/>
                <w:color w:val="auto"/>
              </w:rPr>
            </w:pPr>
            <w:r>
              <w:rPr>
                <w:rFonts w:ascii="Arial" w:cs="Arial" w:eastAsia="Arial" w:hAnsi="Arial"/>
                <w:sz w:val="21"/>
                <w:szCs w:val="21"/>
                <w:color w:val="auto"/>
              </w:rPr>
              <w:t>2019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3"/>
              <w:spacing w:after="0" w:line="221" w:lineRule="exact"/>
              <w:rPr>
                <w:sz w:val="20"/>
                <w:szCs w:val="20"/>
                <w:color w:val="auto"/>
              </w:rPr>
            </w:pPr>
            <w:r>
              <w:rPr>
                <w:rFonts w:ascii="Arial" w:cs="Arial" w:eastAsia="Arial" w:hAnsi="Arial"/>
                <w:sz w:val="21"/>
                <w:szCs w:val="21"/>
                <w:color w:val="auto"/>
              </w:rPr>
              <w:t>2020</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3"/>
              <w:spacing w:after="0" w:line="221" w:lineRule="exact"/>
              <w:rPr>
                <w:sz w:val="20"/>
                <w:szCs w:val="20"/>
                <w:color w:val="auto"/>
              </w:rPr>
            </w:pPr>
            <w:r>
              <w:rPr>
                <w:rFonts w:ascii="Arial" w:cs="Arial" w:eastAsia="Arial" w:hAnsi="Arial"/>
                <w:sz w:val="21"/>
                <w:szCs w:val="21"/>
                <w:color w:val="auto"/>
              </w:rPr>
              <w:t>2019</w:t>
            </w:r>
          </w:p>
        </w:tc>
      </w:tr>
      <w:tr>
        <w:trPr>
          <w:trHeight w:val="221"/>
        </w:trPr>
        <w:tc>
          <w:tcPr>
            <w:tcW w:w="444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Property</w:t>
            </w:r>
          </w:p>
        </w:tc>
        <w:tc>
          <w:tcPr>
            <w:tcW w:w="280" w:type="dxa"/>
            <w:vAlign w:val="bottom"/>
            <w:shd w:val="clear" w:color="auto" w:fill="CCEEFF"/>
          </w:tcPr>
          <w:p>
            <w:pPr>
              <w:jc w:val="right"/>
              <w:ind w:right="78"/>
              <w:spacing w:after="0" w:line="221"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8,275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8"/>
              <w:spacing w:after="0" w:line="221"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6,929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3"/>
              <w:spacing w:after="0" w:line="221" w:lineRule="exact"/>
              <w:rPr>
                <w:sz w:val="20"/>
                <w:szCs w:val="20"/>
                <w:color w:val="auto"/>
              </w:rPr>
            </w:pPr>
            <w:r>
              <w:rPr>
                <w:rFonts w:ascii="Arial" w:cs="Arial" w:eastAsia="Arial" w:hAnsi="Arial"/>
                <w:sz w:val="21"/>
                <w:szCs w:val="21"/>
                <w:color w:val="auto"/>
                <w:w w:val="85"/>
              </w:rPr>
              <w:t>$</w:t>
            </w:r>
          </w:p>
        </w:tc>
        <w:tc>
          <w:tcPr>
            <w:tcW w:w="126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15,308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8"/>
              <w:spacing w:after="0" w:line="221"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13,395</w:t>
            </w:r>
          </w:p>
        </w:tc>
      </w:tr>
      <w:tr>
        <w:trPr>
          <w:trHeight w:val="227"/>
        </w:trPr>
        <w:tc>
          <w:tcPr>
            <w:tcW w:w="4440" w:type="dxa"/>
            <w:vAlign w:val="bottom"/>
          </w:tcPr>
          <w:p>
            <w:pPr>
              <w:spacing w:after="0" w:line="227" w:lineRule="exact"/>
              <w:rPr>
                <w:sz w:val="20"/>
                <w:szCs w:val="20"/>
                <w:color w:val="auto"/>
              </w:rPr>
            </w:pPr>
            <w:r>
              <w:rPr>
                <w:rFonts w:ascii="Arial" w:cs="Arial" w:eastAsia="Arial" w:hAnsi="Arial"/>
                <w:sz w:val="21"/>
                <w:szCs w:val="21"/>
                <w:color w:val="auto"/>
              </w:rPr>
              <w:t>Gross receipts, excise and franchise</w:t>
            </w:r>
          </w:p>
        </w:tc>
        <w:tc>
          <w:tcPr>
            <w:tcW w:w="28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Arial" w:cs="Arial" w:eastAsia="Arial" w:hAnsi="Arial"/>
                <w:sz w:val="21"/>
                <w:szCs w:val="21"/>
                <w:color w:val="auto"/>
              </w:rPr>
              <w:t>3,579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Arial" w:cs="Arial" w:eastAsia="Arial" w:hAnsi="Arial"/>
                <w:sz w:val="21"/>
                <w:szCs w:val="21"/>
                <w:color w:val="auto"/>
              </w:rPr>
              <w:t>3,538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6,701</w:t>
            </w:r>
          </w:p>
        </w:tc>
        <w:tc>
          <w:tcPr>
            <w:tcW w:w="420" w:type="dxa"/>
            <w:vAlign w:val="bottom"/>
          </w:tcPr>
          <w:p>
            <w:pPr>
              <w:spacing w:after="0"/>
              <w:rPr>
                <w:sz w:val="19"/>
                <w:szCs w:val="19"/>
                <w:color w:val="auto"/>
              </w:rPr>
            </w:pPr>
          </w:p>
        </w:tc>
        <w:tc>
          <w:tcPr>
            <w:tcW w:w="1180" w:type="dxa"/>
            <w:vAlign w:val="bottom"/>
          </w:tcPr>
          <w:p>
            <w:pPr>
              <w:jc w:val="right"/>
              <w:spacing w:after="0" w:line="227" w:lineRule="exact"/>
              <w:rPr>
                <w:sz w:val="20"/>
                <w:szCs w:val="20"/>
                <w:color w:val="auto"/>
              </w:rPr>
            </w:pPr>
            <w:r>
              <w:rPr>
                <w:rFonts w:ascii="Arial" w:cs="Arial" w:eastAsia="Arial" w:hAnsi="Arial"/>
                <w:sz w:val="21"/>
                <w:szCs w:val="21"/>
                <w:color w:val="auto"/>
              </w:rPr>
              <w:t>6,757</w:t>
            </w:r>
          </w:p>
        </w:tc>
      </w:tr>
      <w:tr>
        <w:trPr>
          <w:trHeight w:val="227"/>
        </w:trPr>
        <w:tc>
          <w:tcPr>
            <w:tcW w:w="444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Payroll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4,693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2,291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8,973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5,772</w:t>
            </w:r>
          </w:p>
        </w:tc>
      </w:tr>
      <w:tr>
        <w:trPr>
          <w:trHeight w:val="227"/>
        </w:trPr>
        <w:tc>
          <w:tcPr>
            <w:tcW w:w="4440" w:type="dxa"/>
            <w:vAlign w:val="bottom"/>
          </w:tcPr>
          <w:p>
            <w:pPr>
              <w:spacing w:after="0" w:line="227" w:lineRule="exact"/>
              <w:rPr>
                <w:sz w:val="20"/>
                <w:szCs w:val="20"/>
                <w:color w:val="auto"/>
              </w:rPr>
            </w:pPr>
            <w:r>
              <w:rPr>
                <w:rFonts w:ascii="Arial" w:cs="Arial" w:eastAsia="Arial" w:hAnsi="Arial"/>
                <w:sz w:val="21"/>
                <w:szCs w:val="21"/>
                <w:color w:val="auto"/>
              </w:rPr>
              <w:t>Regulatory assessments</w:t>
            </w:r>
          </w:p>
        </w:tc>
        <w:tc>
          <w:tcPr>
            <w:tcW w:w="28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Arial" w:cs="Arial" w:eastAsia="Arial" w:hAnsi="Arial"/>
                <w:sz w:val="21"/>
                <w:szCs w:val="21"/>
                <w:color w:val="auto"/>
              </w:rPr>
              <w:t>698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Arial" w:cs="Arial" w:eastAsia="Arial" w:hAnsi="Arial"/>
                <w:sz w:val="21"/>
                <w:szCs w:val="21"/>
                <w:color w:val="auto"/>
              </w:rPr>
              <w:t>748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1,398</w:t>
            </w:r>
          </w:p>
        </w:tc>
        <w:tc>
          <w:tcPr>
            <w:tcW w:w="420" w:type="dxa"/>
            <w:vAlign w:val="bottom"/>
          </w:tcPr>
          <w:p>
            <w:pPr>
              <w:spacing w:after="0"/>
              <w:rPr>
                <w:sz w:val="19"/>
                <w:szCs w:val="19"/>
                <w:color w:val="auto"/>
              </w:rPr>
            </w:pPr>
          </w:p>
        </w:tc>
        <w:tc>
          <w:tcPr>
            <w:tcW w:w="1180" w:type="dxa"/>
            <w:vAlign w:val="bottom"/>
          </w:tcPr>
          <w:p>
            <w:pPr>
              <w:jc w:val="right"/>
              <w:spacing w:after="0" w:line="227" w:lineRule="exact"/>
              <w:rPr>
                <w:sz w:val="20"/>
                <w:szCs w:val="20"/>
                <w:color w:val="auto"/>
              </w:rPr>
            </w:pPr>
            <w:r>
              <w:rPr>
                <w:rFonts w:ascii="Arial" w:cs="Arial" w:eastAsia="Arial" w:hAnsi="Arial"/>
                <w:sz w:val="21"/>
                <w:szCs w:val="21"/>
                <w:color w:val="auto"/>
              </w:rPr>
              <w:t>1,495</w:t>
            </w:r>
          </w:p>
        </w:tc>
      </w:tr>
      <w:tr>
        <w:trPr>
          <w:trHeight w:val="227"/>
        </w:trPr>
        <w:tc>
          <w:tcPr>
            <w:tcW w:w="444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Pumping fees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1,487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1,272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227" w:lineRule="exact"/>
              <w:rPr>
                <w:sz w:val="20"/>
                <w:szCs w:val="20"/>
                <w:color w:val="auto"/>
              </w:rPr>
            </w:pPr>
            <w:r>
              <w:rPr>
                <w:rFonts w:ascii="Arial" w:cs="Arial" w:eastAsia="Arial" w:hAnsi="Arial"/>
                <w:sz w:val="21"/>
                <w:szCs w:val="21"/>
                <w:color w:val="auto"/>
              </w:rPr>
              <w:t>2,568</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2,241</w:t>
            </w:r>
          </w:p>
        </w:tc>
      </w:tr>
      <w:tr>
        <w:trPr>
          <w:trHeight w:val="227"/>
        </w:trPr>
        <w:tc>
          <w:tcPr>
            <w:tcW w:w="4440" w:type="dxa"/>
            <w:vAlign w:val="bottom"/>
          </w:tcPr>
          <w:p>
            <w:pPr>
              <w:spacing w:after="0" w:line="227" w:lineRule="exact"/>
              <w:rPr>
                <w:sz w:val="20"/>
                <w:szCs w:val="20"/>
                <w:color w:val="auto"/>
              </w:rPr>
            </w:pPr>
            <w:r>
              <w:rPr>
                <w:rFonts w:ascii="Arial" w:cs="Arial" w:eastAsia="Arial" w:hAnsi="Arial"/>
                <w:sz w:val="21"/>
                <w:szCs w:val="21"/>
                <w:color w:val="auto"/>
              </w:rPr>
              <w:t>Other</w:t>
            </w:r>
          </w:p>
        </w:tc>
        <w:tc>
          <w:tcPr>
            <w:tcW w:w="28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Arial" w:cs="Arial" w:eastAsia="Arial" w:hAnsi="Arial"/>
                <w:sz w:val="21"/>
                <w:szCs w:val="21"/>
                <w:color w:val="auto"/>
              </w:rPr>
              <w:t>701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Arial" w:cs="Arial" w:eastAsia="Arial" w:hAnsi="Arial"/>
                <w:sz w:val="21"/>
                <w:szCs w:val="21"/>
                <w:color w:val="auto"/>
              </w:rPr>
              <w:t>90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line="227" w:lineRule="exact"/>
              <w:rPr>
                <w:sz w:val="20"/>
                <w:szCs w:val="20"/>
                <w:color w:val="auto"/>
              </w:rPr>
            </w:pPr>
            <w:r>
              <w:rPr>
                <w:rFonts w:ascii="Arial" w:cs="Arial" w:eastAsia="Arial" w:hAnsi="Arial"/>
                <w:sz w:val="21"/>
                <w:szCs w:val="21"/>
                <w:color w:val="auto"/>
              </w:rPr>
              <w:t>921</w:t>
            </w:r>
          </w:p>
        </w:tc>
        <w:tc>
          <w:tcPr>
            <w:tcW w:w="420" w:type="dxa"/>
            <w:vAlign w:val="bottom"/>
          </w:tcPr>
          <w:p>
            <w:pPr>
              <w:spacing w:after="0"/>
              <w:rPr>
                <w:sz w:val="19"/>
                <w:szCs w:val="19"/>
                <w:color w:val="auto"/>
              </w:rPr>
            </w:pPr>
          </w:p>
        </w:tc>
        <w:tc>
          <w:tcPr>
            <w:tcW w:w="1180" w:type="dxa"/>
            <w:vAlign w:val="bottom"/>
          </w:tcPr>
          <w:p>
            <w:pPr>
              <w:jc w:val="right"/>
              <w:spacing w:after="0" w:line="227" w:lineRule="exact"/>
              <w:rPr>
                <w:sz w:val="20"/>
                <w:szCs w:val="20"/>
                <w:color w:val="auto"/>
              </w:rPr>
            </w:pPr>
            <w:r>
              <w:rPr>
                <w:rFonts w:ascii="Arial" w:cs="Arial" w:eastAsia="Arial" w:hAnsi="Arial"/>
                <w:sz w:val="21"/>
                <w:szCs w:val="21"/>
                <w:color w:val="auto"/>
              </w:rPr>
              <w:t>177</w:t>
            </w:r>
          </w:p>
        </w:tc>
      </w:tr>
      <w:tr>
        <w:trPr>
          <w:trHeight w:val="221"/>
        </w:trPr>
        <w:tc>
          <w:tcPr>
            <w:tcW w:w="4440" w:type="dxa"/>
            <w:vAlign w:val="bottom"/>
            <w:tcBorders>
              <w:top w:val="single" w:sz="8" w:color="CCEEFF"/>
              <w:bottom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Total taxes other than income</w:t>
            </w:r>
          </w:p>
        </w:tc>
        <w:tc>
          <w:tcPr>
            <w:tcW w:w="280" w:type="dxa"/>
            <w:vAlign w:val="bottom"/>
            <w:tcBorders>
              <w:top w:val="single" w:sz="8" w:color="auto"/>
              <w:bottom w:val="single" w:sz="8" w:color="auto"/>
            </w:tcBorders>
            <w:shd w:val="clear" w:color="auto" w:fill="CCEEFF"/>
          </w:tcPr>
          <w:p>
            <w:pPr>
              <w:jc w:val="right"/>
              <w:ind w:right="78"/>
              <w:spacing w:after="0" w:line="221"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19,433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8"/>
              <w:spacing w:after="0" w:line="221"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14,868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13"/>
              <w:spacing w:after="0" w:line="221" w:lineRule="exact"/>
              <w:rPr>
                <w:sz w:val="20"/>
                <w:szCs w:val="20"/>
                <w:color w:val="auto"/>
              </w:rPr>
            </w:pPr>
            <w:r>
              <w:rPr>
                <w:rFonts w:ascii="Arial" w:cs="Arial" w:eastAsia="Arial" w:hAnsi="Arial"/>
                <w:sz w:val="21"/>
                <w:szCs w:val="21"/>
                <w:color w:val="auto"/>
                <w:w w:val="85"/>
              </w:rPr>
              <w:t>$</w:t>
            </w:r>
          </w:p>
        </w:tc>
        <w:tc>
          <w:tcPr>
            <w:tcW w:w="126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35,869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8"/>
              <w:spacing w:after="0" w:line="221"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29,837</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14 – </w:t>
      </w:r>
      <w:r>
        <w:rPr>
          <w:rFonts w:ascii="Arial" w:cs="Arial" w:eastAsia="Arial" w:hAnsi="Arial"/>
          <w:sz w:val="21"/>
          <w:szCs w:val="21"/>
          <w:b w:val="1"/>
          <w:bCs w:val="1"/>
          <w:i w:val="1"/>
          <w:iCs w:val="1"/>
          <w:color w:val="auto"/>
        </w:rPr>
        <w:t>Segment Information</w:t>
      </w:r>
    </w:p>
    <w:p>
      <w:pPr>
        <w:spacing w:after="0" w:line="21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20"/>
          <w:szCs w:val="20"/>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Aqua Infrastructure provides non-utility raw water supply services for firms in the natural gas drilling industry. Aqua Resources manages a water system operating and maintenance contract and offers, through a third-party, water and sewer service line protection solutions and repair services to households. In addition to these segments, Other is comprised of business activities not included in the reportable segments, including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spacing w:after="0" w:line="241" w:lineRule="auto"/>
        <w:rPr>
          <w:sz w:val="20"/>
          <w:szCs w:val="20"/>
          <w:color w:val="auto"/>
        </w:rPr>
      </w:pPr>
      <w:r>
        <w:rPr>
          <w:rFonts w:ascii="Arial" w:cs="Arial" w:eastAsia="Arial" w:hAnsi="Arial"/>
          <w:sz w:val="21"/>
          <w:szCs w:val="21"/>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6"/>
          </w:tcPr>
          <w:p>
            <w:pPr>
              <w:jc w:val="center"/>
              <w:ind w:right="480"/>
              <w:spacing w:after="0"/>
              <w:rPr>
                <w:sz w:val="20"/>
                <w:szCs w:val="20"/>
                <w:color w:val="auto"/>
              </w:rPr>
            </w:pPr>
            <w:r>
              <w:rPr>
                <w:rFonts w:ascii="Arial" w:cs="Arial" w:eastAsia="Arial" w:hAnsi="Arial"/>
                <w:sz w:val="14"/>
                <w:szCs w:val="14"/>
                <w:color w:val="auto"/>
                <w:w w:val="93"/>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6"/>
          </w:tcPr>
          <w:p>
            <w:pPr>
              <w:jc w:val="center"/>
              <w:ind w:right="89"/>
              <w:spacing w:after="0"/>
              <w:rPr>
                <w:sz w:val="20"/>
                <w:szCs w:val="20"/>
                <w:color w:val="auto"/>
              </w:rPr>
            </w:pPr>
            <w:r>
              <w:rPr>
                <w:rFonts w:ascii="Arial" w:cs="Arial" w:eastAsia="Arial" w:hAnsi="Arial"/>
                <w:sz w:val="14"/>
                <w:szCs w:val="14"/>
                <w:color w:val="auto"/>
                <w:w w:val="93"/>
              </w:rPr>
              <w:t>Three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242"/>
              <w:spacing w:after="0"/>
              <w:rPr>
                <w:sz w:val="20"/>
                <w:szCs w:val="20"/>
                <w:color w:val="auto"/>
              </w:rPr>
            </w:pPr>
            <w:r>
              <w:rPr>
                <w:rFonts w:ascii="Arial" w:cs="Arial" w:eastAsia="Arial" w:hAnsi="Arial"/>
                <w:sz w:val="14"/>
                <w:szCs w:val="14"/>
                <w:color w:val="auto"/>
                <w:w w:val="87"/>
              </w:rPr>
              <w:t>June 30, 2020</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7"/>
              </w:rPr>
              <w:t>June 30, 2019</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2"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right="200"/>
              <w:spacing w:after="0" w:line="122" w:lineRule="exact"/>
              <w:rPr>
                <w:sz w:val="20"/>
                <w:szCs w:val="20"/>
                <w:color w:val="auto"/>
              </w:rPr>
            </w:pPr>
            <w:r>
              <w:rPr>
                <w:rFonts w:ascii="Arial" w:cs="Arial" w:eastAsia="Arial" w:hAnsi="Arial"/>
                <w:sz w:val="14"/>
                <w:szCs w:val="14"/>
                <w:color w:val="auto"/>
                <w:w w:val="90"/>
              </w:rPr>
              <w:t>Regulated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Water</w:t>
            </w:r>
          </w:p>
        </w:tc>
        <w:tc>
          <w:tcPr>
            <w:tcW w:w="1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Natural Gas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w w:val="92"/>
              </w:rPr>
              <w:t>Consolidated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Water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140"/>
        </w:trPr>
        <w:tc>
          <w:tcPr>
            <w:tcW w:w="35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Operating revenues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234,086</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146,880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3,502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384,468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218,006</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886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CEEFF"/>
          </w:tcPr>
          <w:p>
            <w:pPr>
              <w:jc w:val="right"/>
              <w:ind w:right="20"/>
              <w:spacing w:after="0" w:line="141" w:lineRule="exact"/>
              <w:rPr>
                <w:sz w:val="20"/>
                <w:szCs w:val="20"/>
                <w:color w:val="auto"/>
              </w:rPr>
            </w:pPr>
            <w:r>
              <w:rPr>
                <w:rFonts w:ascii="Arial" w:cs="Arial" w:eastAsia="Arial" w:hAnsi="Arial"/>
                <w:sz w:val="14"/>
                <w:szCs w:val="14"/>
                <w:color w:val="auto"/>
              </w:rPr>
              <w:t>218,892</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Operations and maintenance expense</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76,645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50,876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1,083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128,604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74,082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12,363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86,445</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Purchased gas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41,593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1,827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42,748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25,727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1,417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69,892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36,412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36,630</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99,794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24,693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123,119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93,112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(12,163)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80,949</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25,970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9,334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16,166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51,470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24,067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(758)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23,309</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Allowance for funds used during construction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3,611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Change in fair value of interest rate swap agreements</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(11,040)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(11,040)</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Equity earnings in joint venture</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1,240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Provision for income taxes (benefit)</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7,194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(2,399)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(4,333)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462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1,780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(3,951)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68,995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17,999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(12,365)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74,629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69,579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(14,676)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54,903</w:t>
            </w:r>
          </w:p>
        </w:tc>
        <w:tc>
          <w:tcPr>
            <w:tcW w:w="0" w:type="dxa"/>
            <w:vAlign w:val="bottom"/>
          </w:tcPr>
          <w:p>
            <w:pPr>
              <w:spacing w:after="0"/>
              <w:rPr>
                <w:sz w:val="1"/>
                <w:szCs w:val="1"/>
                <w:color w:val="auto"/>
              </w:rPr>
            </w:pPr>
          </w:p>
        </w:tc>
      </w:tr>
      <w:tr>
        <w:trPr>
          <w:trHeight w:val="276"/>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6"/>
          </w:tcPr>
          <w:p>
            <w:pPr>
              <w:jc w:val="center"/>
              <w:ind w:right="480"/>
              <w:spacing w:after="0"/>
              <w:rPr>
                <w:sz w:val="20"/>
                <w:szCs w:val="20"/>
                <w:color w:val="auto"/>
              </w:rPr>
            </w:pPr>
            <w:r>
              <w:rPr>
                <w:rFonts w:ascii="Arial" w:cs="Arial" w:eastAsia="Arial" w:hAnsi="Arial"/>
                <w:sz w:val="14"/>
                <w:szCs w:val="14"/>
                <w:color w:val="auto"/>
                <w:w w:val="93"/>
              </w:rPr>
              <w:t>Six Months Ended</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color w:val="auto"/>
                <w:w w:val="93"/>
              </w:rPr>
              <w:t>Six Months Ended</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242"/>
              <w:spacing w:after="0"/>
              <w:rPr>
                <w:sz w:val="20"/>
                <w:szCs w:val="20"/>
                <w:color w:val="auto"/>
              </w:rPr>
            </w:pPr>
            <w:r>
              <w:rPr>
                <w:rFonts w:ascii="Arial" w:cs="Arial" w:eastAsia="Arial" w:hAnsi="Arial"/>
                <w:sz w:val="14"/>
                <w:szCs w:val="14"/>
                <w:color w:val="auto"/>
                <w:w w:val="87"/>
              </w:rPr>
              <w:t>June 30, 2020</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7"/>
              </w:rPr>
              <w:t>June 30, 2019</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2"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right="200"/>
              <w:spacing w:after="0" w:line="122" w:lineRule="exact"/>
              <w:rPr>
                <w:sz w:val="20"/>
                <w:szCs w:val="20"/>
                <w:color w:val="auto"/>
              </w:rPr>
            </w:pPr>
            <w:r>
              <w:rPr>
                <w:rFonts w:ascii="Arial" w:cs="Arial" w:eastAsia="Arial" w:hAnsi="Arial"/>
                <w:sz w:val="14"/>
                <w:szCs w:val="14"/>
                <w:color w:val="auto"/>
                <w:w w:val="90"/>
              </w:rPr>
              <w:t>Regulated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Water</w:t>
            </w:r>
          </w:p>
        </w:tc>
        <w:tc>
          <w:tcPr>
            <w:tcW w:w="1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Natural Gas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w w:val="92"/>
              </w:rPr>
              <w:t>Consolidated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Water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140"/>
        </w:trPr>
        <w:tc>
          <w:tcPr>
            <w:tcW w:w="35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Operating revenues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450,283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184,915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4,855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640,053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418,226</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1,798</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CEEFF"/>
          </w:tcPr>
          <w:p>
            <w:pPr>
              <w:jc w:val="right"/>
              <w:ind w:right="20"/>
              <w:spacing w:after="0" w:line="141" w:lineRule="exact"/>
              <w:rPr>
                <w:sz w:val="20"/>
                <w:szCs w:val="20"/>
                <w:color w:val="auto"/>
              </w:rPr>
            </w:pPr>
            <w:r>
              <w:rPr>
                <w:rFonts w:ascii="Arial" w:cs="Arial" w:eastAsia="Arial" w:hAnsi="Arial"/>
                <w:sz w:val="14"/>
                <w:szCs w:val="14"/>
                <w:color w:val="auto"/>
              </w:rPr>
              <w:t>420,024</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Operations and maintenance expense</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150,339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59,533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25,369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235,241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148,420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17,339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165,759</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Purchased gas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53,966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56,190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84,259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30,234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1,644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116,137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75,671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369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76,040</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186,300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36,530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(26,214)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196,616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165,765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(17,377)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148,388</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51,505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11,926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18,126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81,557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47,725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3,434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51,159</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Allowance for funds used during construction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7,667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7,667</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Change in fair value of interest rate swap agreements</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23,742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23,742</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Equity earnings in joint venture</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1,783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147"/>
        </w:trPr>
        <w:tc>
          <w:tcPr>
            <w:tcW w:w="3500" w:type="dxa"/>
            <w:vAlign w:val="bottom"/>
          </w:tcPr>
          <w:p>
            <w:pPr>
              <w:spacing w:after="0" w:line="147" w:lineRule="exact"/>
              <w:rPr>
                <w:sz w:val="20"/>
                <w:szCs w:val="20"/>
                <w:color w:val="auto"/>
              </w:rPr>
            </w:pPr>
            <w:r>
              <w:rPr>
                <w:rFonts w:ascii="Arial" w:cs="Arial" w:eastAsia="Arial" w:hAnsi="Arial"/>
                <w:sz w:val="14"/>
                <w:szCs w:val="14"/>
                <w:color w:val="auto"/>
              </w:rPr>
              <w:t>Provision for income taxes (benefit)</w:t>
            </w:r>
          </w:p>
        </w:tc>
        <w:tc>
          <w:tcPr>
            <w:tcW w:w="1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10,321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(5,820)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(11,163)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(6,662)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2,731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(13,072)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(10,341)</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128,929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31,535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(34,054)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126,410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121,520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(49,693)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71,827</w:t>
            </w:r>
          </w:p>
        </w:tc>
        <w:tc>
          <w:tcPr>
            <w:tcW w:w="0" w:type="dxa"/>
            <w:vAlign w:val="bottom"/>
          </w:tcPr>
          <w:p>
            <w:pPr>
              <w:spacing w:after="0"/>
              <w:rPr>
                <w:sz w:val="1"/>
                <w:szCs w:val="1"/>
                <w:color w:val="auto"/>
              </w:rPr>
            </w:pPr>
          </w:p>
        </w:tc>
      </w:tr>
      <w:tr>
        <w:trPr>
          <w:trHeight w:val="181"/>
        </w:trPr>
        <w:tc>
          <w:tcPr>
            <w:tcW w:w="3500" w:type="dxa"/>
            <w:vAlign w:val="bottom"/>
          </w:tcPr>
          <w:p>
            <w:pPr>
              <w:spacing w:after="0"/>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217,373</w:t>
            </w:r>
          </w:p>
        </w:tc>
        <w:tc>
          <w:tcPr>
            <w:tcW w:w="1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75,458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293,090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269,171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269,171</w:t>
            </w:r>
          </w:p>
        </w:tc>
        <w:tc>
          <w:tcPr>
            <w:tcW w:w="0" w:type="dxa"/>
            <w:vAlign w:val="bottom"/>
          </w:tcPr>
          <w:p>
            <w:pPr>
              <w:spacing w:after="0"/>
              <w:rPr>
                <w:sz w:val="1"/>
                <w:szCs w:val="1"/>
                <w:color w:val="auto"/>
              </w:rPr>
            </w:pPr>
          </w:p>
        </w:tc>
      </w:tr>
      <w:tr>
        <w:trPr>
          <w:trHeight w:val="573"/>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21"/>
                <w:szCs w:val="21"/>
                <w:color w:val="auto"/>
                <w:w w:val="94"/>
              </w:rPr>
              <w:t>June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6"/>
          </w:tcPr>
          <w:p>
            <w:pPr>
              <w:jc w:val="right"/>
              <w:ind w:right="49"/>
              <w:spacing w:after="0"/>
              <w:rPr>
                <w:sz w:val="20"/>
                <w:szCs w:val="20"/>
                <w:color w:val="auto"/>
              </w:rPr>
            </w:pPr>
            <w:r>
              <w:rPr>
                <w:rFonts w:ascii="Arial" w:cs="Arial" w:eastAsia="Arial" w:hAnsi="Arial"/>
                <w:sz w:val="21"/>
                <w:szCs w:val="21"/>
                <w:color w:val="auto"/>
                <w:w w:val="97"/>
              </w:rPr>
              <w:t>December 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500" w:type="dxa"/>
            <w:vAlign w:val="bottom"/>
            <w:vMerge w:val="restart"/>
          </w:tcPr>
          <w:p>
            <w:pPr>
              <w:spacing w:after="0"/>
              <w:rPr>
                <w:sz w:val="20"/>
                <w:szCs w:val="20"/>
                <w:color w:val="auto"/>
              </w:rPr>
            </w:pPr>
            <w:r>
              <w:rPr>
                <w:rFonts w:ascii="Arial" w:cs="Arial" w:eastAsia="Arial" w:hAnsi="Arial"/>
                <w:sz w:val="21"/>
                <w:szCs w:val="21"/>
                <w:color w:val="auto"/>
              </w:rPr>
              <w:t>Total assets: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21"/>
                <w:szCs w:val="21"/>
                <w:color w:val="auto"/>
              </w:rPr>
              <w:t>2020</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67"/>
              <w:spacing w:after="0"/>
              <w:rPr>
                <w:sz w:val="20"/>
                <w:szCs w:val="20"/>
                <w:color w:val="auto"/>
              </w:rPr>
            </w:pPr>
            <w:r>
              <w:rPr>
                <w:rFonts w:ascii="Arial" w:cs="Arial" w:eastAsia="Arial" w:hAnsi="Arial"/>
                <w:sz w:val="21"/>
                <w:szCs w:val="21"/>
                <w:color w:val="auto"/>
              </w:rPr>
              <w:t>2019</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Regulated water</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2"/>
              <w:spacing w:after="0" w:line="227" w:lineRule="exact"/>
              <w:rPr>
                <w:sz w:val="20"/>
                <w:szCs w:val="20"/>
                <w:color w:val="auto"/>
              </w:rPr>
            </w:pPr>
            <w:r>
              <w:rPr>
                <w:rFonts w:ascii="Arial" w:cs="Arial" w:eastAsia="Arial" w:hAnsi="Arial"/>
                <w:sz w:val="21"/>
                <w:szCs w:val="21"/>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line="227" w:lineRule="exact"/>
              <w:rPr>
                <w:sz w:val="20"/>
                <w:szCs w:val="20"/>
                <w:color w:val="auto"/>
              </w:rPr>
            </w:pPr>
            <w:r>
              <w:rPr>
                <w:rFonts w:ascii="Arial" w:cs="Arial" w:eastAsia="Arial" w:hAnsi="Arial"/>
                <w:sz w:val="21"/>
                <w:szCs w:val="21"/>
                <w:color w:val="auto"/>
                <w:w w:val="89"/>
              </w:rPr>
              <w:t>7,563,782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8"/>
              <w:spacing w:after="0" w:line="227" w:lineRule="exact"/>
              <w:rPr>
                <w:sz w:val="20"/>
                <w:szCs w:val="20"/>
                <w:color w:val="auto"/>
              </w:rPr>
            </w:pPr>
            <w:r>
              <w:rPr>
                <w:rFonts w:ascii="Arial" w:cs="Arial" w:eastAsia="Arial" w:hAnsi="Arial"/>
                <w:sz w:val="21"/>
                <w:szCs w:val="21"/>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line="227" w:lineRule="exact"/>
              <w:rPr>
                <w:sz w:val="20"/>
                <w:szCs w:val="20"/>
                <w:color w:val="auto"/>
              </w:rPr>
            </w:pPr>
            <w:r>
              <w:rPr>
                <w:rFonts w:ascii="Arial" w:cs="Arial" w:eastAsia="Arial" w:hAnsi="Arial"/>
                <w:sz w:val="21"/>
                <w:szCs w:val="21"/>
                <w:color w:val="auto"/>
                <w:w w:val="92"/>
              </w:rPr>
              <w:t>7,269,404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00"/>
              <w:spacing w:after="0" w:line="227" w:lineRule="exact"/>
              <w:rPr>
                <w:sz w:val="20"/>
                <w:szCs w:val="20"/>
                <w:color w:val="auto"/>
              </w:rPr>
            </w:pPr>
            <w:r>
              <w:rPr>
                <w:rFonts w:ascii="Arial" w:cs="Arial" w:eastAsia="Arial" w:hAnsi="Arial"/>
                <w:sz w:val="21"/>
                <w:szCs w:val="21"/>
                <w:color w:val="auto"/>
              </w:rPr>
              <w:t>Regulated natural gas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line="227" w:lineRule="exact"/>
              <w:rPr>
                <w:sz w:val="20"/>
                <w:szCs w:val="20"/>
                <w:color w:val="auto"/>
              </w:rPr>
            </w:pPr>
            <w:r>
              <w:rPr>
                <w:rFonts w:ascii="Arial" w:cs="Arial" w:eastAsia="Arial" w:hAnsi="Arial"/>
                <w:sz w:val="21"/>
                <w:szCs w:val="21"/>
                <w:color w:val="auto"/>
                <w:w w:val="89"/>
              </w:rPr>
              <w:t>5,156,642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00"/>
              <w:spacing w:after="0" w:line="227" w:lineRule="exact"/>
              <w:rPr>
                <w:sz w:val="20"/>
                <w:szCs w:val="20"/>
                <w:color w:val="auto"/>
              </w:rPr>
            </w:pPr>
            <w:r>
              <w:rPr>
                <w:rFonts w:ascii="Arial" w:cs="Arial" w:eastAsia="Arial" w:hAnsi="Arial"/>
                <w:sz w:val="21"/>
                <w:szCs w:val="21"/>
                <w:color w:val="auto"/>
              </w:rPr>
              <w:t>Other</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line="227" w:lineRule="exact"/>
              <w:rPr>
                <w:sz w:val="20"/>
                <w:szCs w:val="20"/>
                <w:color w:val="auto"/>
              </w:rPr>
            </w:pPr>
            <w:r>
              <w:rPr>
                <w:rFonts w:ascii="Arial" w:cs="Arial" w:eastAsia="Arial" w:hAnsi="Arial"/>
                <w:sz w:val="21"/>
                <w:szCs w:val="21"/>
                <w:color w:val="auto"/>
              </w:rPr>
              <w:t>307,984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line="227" w:lineRule="exact"/>
              <w:rPr>
                <w:sz w:val="20"/>
                <w:szCs w:val="20"/>
                <w:color w:val="auto"/>
              </w:rPr>
            </w:pPr>
            <w:r>
              <w:rPr>
                <w:rFonts w:ascii="Arial" w:cs="Arial" w:eastAsia="Arial" w:hAnsi="Arial"/>
                <w:sz w:val="21"/>
                <w:szCs w:val="21"/>
                <w:color w:val="auto"/>
                <w:w w:val="92"/>
              </w:rPr>
              <w:t>2,092,581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00" w:type="dxa"/>
            <w:vAlign w:val="bottom"/>
          </w:tcPr>
          <w:p>
            <w:pPr>
              <w:ind w:left="100"/>
              <w:spacing w:after="0" w:line="221" w:lineRule="exact"/>
              <w:rPr>
                <w:sz w:val="20"/>
                <w:szCs w:val="20"/>
                <w:color w:val="auto"/>
              </w:rPr>
            </w:pPr>
            <w:r>
              <w:rPr>
                <w:rFonts w:ascii="Arial" w:cs="Arial" w:eastAsia="Arial" w:hAnsi="Arial"/>
                <w:sz w:val="21"/>
                <w:szCs w:val="21"/>
                <w:color w:val="auto"/>
              </w:rPr>
              <w:t>Consolidated</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402"/>
              <w:spacing w:after="0" w:line="221" w:lineRule="exact"/>
              <w:rPr>
                <w:sz w:val="20"/>
                <w:szCs w:val="20"/>
                <w:color w:val="auto"/>
              </w:rPr>
            </w:pPr>
            <w:r>
              <w:rPr>
                <w:rFonts w:ascii="Arial" w:cs="Arial" w:eastAsia="Arial" w:hAnsi="Arial"/>
                <w:sz w:val="21"/>
                <w:szCs w:val="21"/>
                <w:color w:val="auto"/>
                <w:w w:val="85"/>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80"/>
              <w:spacing w:after="0" w:line="221" w:lineRule="exact"/>
              <w:rPr>
                <w:sz w:val="20"/>
                <w:szCs w:val="20"/>
                <w:color w:val="auto"/>
              </w:rPr>
            </w:pPr>
            <w:r>
              <w:rPr>
                <w:rFonts w:ascii="Arial" w:cs="Arial" w:eastAsia="Arial" w:hAnsi="Arial"/>
                <w:sz w:val="21"/>
                <w:szCs w:val="21"/>
                <w:color w:val="auto"/>
                <w:w w:val="95"/>
              </w:rPr>
              <w:t>13,028,408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3"/>
          </w:tcPr>
          <w:p>
            <w:pPr>
              <w:jc w:val="right"/>
              <w:spacing w:after="0" w:line="221" w:lineRule="exact"/>
              <w:rPr>
                <w:sz w:val="20"/>
                <w:szCs w:val="20"/>
                <w:color w:val="auto"/>
              </w:rPr>
            </w:pPr>
            <w:r>
              <w:rPr>
                <w:rFonts w:ascii="Arial" w:cs="Arial" w:eastAsia="Arial" w:hAnsi="Arial"/>
                <w:sz w:val="21"/>
                <w:szCs w:val="21"/>
                <w:color w:val="auto"/>
                <w:w w:val="92"/>
              </w:rPr>
              <w:t>9,361,985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15 – </w:t>
      </w:r>
      <w:r>
        <w:rPr>
          <w:rFonts w:ascii="Arial" w:cs="Arial" w:eastAsia="Arial" w:hAnsi="Arial"/>
          <w:sz w:val="21"/>
          <w:szCs w:val="21"/>
          <w:b w:val="1"/>
          <w:bCs w:val="1"/>
          <w:i w:val="1"/>
          <w:iCs w:val="1"/>
          <w:color w:val="auto"/>
        </w:rPr>
        <w:t>Commitments and Contingencies</w:t>
      </w: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2020, the aggregate amount of $21,561 is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5" w:name="page36"/>
    <w:bookmarkEnd w:id="35"/>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40" w:right="242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94"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June 30, 2020, estimates that approximately $9,083 of the amount accrued for these matters are probable of recovery through insurance, which amount is also reported in the Company’s consolidated balance sheet as deferred charges and other assets, net.</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During a portion of 2019, the Company initiated a do not consume advisory for some of its water customers in one division served by the Company’s Illinois subsidiary. Although the Company had determined that it is reasonably possible that a fine or penalty may be incurred, it cannot estimate the possible range of loss at this time and no liability has been accrued for these future costs.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plans to vigorously defend against this claim. A claim for the expenses incurred related to such claim has been submitted to the Company’s insurance carrier for potential recovery of a portion of these costs, and subsequent to June 30, 2020,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47" w:lineRule="exact"/>
        <w:rPr>
          <w:sz w:val="20"/>
          <w:szCs w:val="20"/>
          <w:color w:val="auto"/>
        </w:rPr>
      </w:pPr>
    </w:p>
    <w:p>
      <w:pPr>
        <w:ind w:right="480"/>
        <w:spacing w:after="0" w:line="237" w:lineRule="auto"/>
        <w:rPr>
          <w:sz w:val="20"/>
          <w:szCs w:val="20"/>
          <w:color w:val="auto"/>
        </w:rPr>
      </w:pPr>
      <w:r>
        <w:rPr>
          <w:rFonts w:ascii="Arial" w:cs="Arial" w:eastAsia="Arial" w:hAnsi="Arial"/>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$1,852 at June 30, 2020 and represents a reserve for unpaid claim costs, including an estimate for the cost of incurred but not reported claims.</w:t>
      </w: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the year 2020 to its natural gas utility customers and water and wastewater customers served by Aqua Pennsylvania, Inc. The Company expects to grant the customer rate credits to its water and wastewater</w:t>
      </w:r>
    </w:p>
    <w:p>
      <w:pPr>
        <w:jc w:val="center"/>
        <w:ind w:right="-39"/>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40" w:right="242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94" w:lineRule="exact"/>
        <w:rPr>
          <w:sz w:val="20"/>
          <w:szCs w:val="20"/>
          <w:color w:val="auto"/>
        </w:rPr>
      </w:pPr>
    </w:p>
    <w:p>
      <w:pPr>
        <w:ind w:right="140"/>
        <w:spacing w:after="0" w:line="451" w:lineRule="auto"/>
        <w:rPr>
          <w:sz w:val="20"/>
          <w:szCs w:val="20"/>
          <w:color w:val="auto"/>
        </w:rPr>
      </w:pPr>
      <w:r>
        <w:rPr>
          <w:rFonts w:ascii="Arial" w:cs="Arial" w:eastAsia="Arial" w:hAnsi="Arial"/>
          <w:sz w:val="21"/>
          <w:szCs w:val="21"/>
          <w:color w:val="auto"/>
        </w:rPr>
        <w:t xml:space="preserve">customers during the third quarter of 2020, and natural gas utility customers will be granted a credit in the fourth quarter of 2020. </w:t>
      </w:r>
      <w:r>
        <w:rPr>
          <w:rFonts w:ascii="Arial" w:cs="Arial" w:eastAsia="Arial" w:hAnsi="Arial"/>
          <w:sz w:val="21"/>
          <w:szCs w:val="21"/>
          <w:b w:val="1"/>
          <w:bCs w:val="1"/>
          <w:color w:val="auto"/>
        </w:rPr>
        <w:t xml:space="preserve">Note 16 – </w:t>
      </w:r>
      <w:r>
        <w:rPr>
          <w:rFonts w:ascii="Arial" w:cs="Arial" w:eastAsia="Arial" w:hAnsi="Arial"/>
          <w:sz w:val="21"/>
          <w:szCs w:val="21"/>
          <w:b w:val="1"/>
          <w:bCs w:val="1"/>
          <w:i w:val="1"/>
          <w:iCs w:val="1"/>
          <w:color w:val="auto"/>
        </w:rPr>
        <w:t>Income Taxes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On March 16, 2020, the Company completed the Peoples Gas Acquisition. On March 31, 2020, the Company changed the method of tax accounting for certain qualifying infrastructure investments at its Peoples Natural Gas subsidiary, our 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2020 Federal Tax Return to be filed in October 2021. As a result, the Company has estimated a portion of its infrastructure investment at Peoples Natural Gas since the acquisition date that will qualify as a utility system repairs deduction for 2020. Consistent with the Company’s accounting for differences between book and tax expenditures in Pennsylvania, the Company is utilizing the flow-through method to account for this timing difference and has reduced income tax expense in the second quarter of 2020 by $5,238 and $11,176 for the six months ended June 30, 2020. In addition, the calculation to determine the income tax benefits for qualifying capital expenditures made prior to March 16, 2020 (“catch-up adjustment”) has not yet been finalized. When the analysis is complete, the Company intends to record a regulatory liability for these tax benefits that will remain on the consolidated balance sheet pending regulatory guidance.</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Company’s effective tax rate was 0.6% and (4.1)% and (5.6)% and (16.8)% for the three and six months ended June 30, 2020 and 2019, respectively. The increase in the effective tax rate for these periods can be attributed to an increase in our income before income taxes as compared to the prior period. The statutory Federal tax rate is 21% for three and six months ended June 30, 2020 and 2019. For states with a corporate net income tax, the state corporate net income tax rates range from 2.5% to 9.99% for all periods presented. In determining its interim tax provision, the Company reflects its estimated permanent and flow-through tax differences for the taxable year, including the basis difference for the adoption of the tangible property regulations. Qualifying utility asset improvement costs and the amortization of excess deferred income taxes caused the year-to-date effective tax rate to be significantly different from the statutory rate.</w:t>
      </w:r>
    </w:p>
    <w:p>
      <w:pPr>
        <w:spacing w:after="0" w:line="183"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In connection with the completion of the Peoples Gas Acquisition, in the event the Company identifies changes to acquired deferred tax asset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the offset will be an adjustment to goodwill. The Company records all other changes to deferred tax asset valuation allowances and liabilities related to uncertain tax positions in current-period income tax expense.</w:t>
      </w:r>
    </w:p>
    <w:p>
      <w:pPr>
        <w:spacing w:after="0" w:line="185" w:lineRule="exact"/>
        <w:rPr>
          <w:sz w:val="20"/>
          <w:szCs w:val="20"/>
          <w:color w:val="auto"/>
        </w:rPr>
      </w:pPr>
    </w:p>
    <w:p>
      <w:pPr>
        <w:ind w:right="200"/>
        <w:spacing w:after="0" w:line="254" w:lineRule="auto"/>
        <w:rPr>
          <w:sz w:val="20"/>
          <w:szCs w:val="20"/>
          <w:color w:val="auto"/>
        </w:rPr>
      </w:pPr>
      <w:r>
        <w:rPr>
          <w:rFonts w:ascii="Arial" w:cs="Arial" w:eastAsia="Arial" w:hAnsi="Arial"/>
          <w:sz w:val="19"/>
          <w:szCs w:val="19"/>
          <w:color w:val="auto"/>
        </w:rPr>
        <w:t>In response to COVID-19, President Donald Trump signed into law the Coronavirus Aid, Relief, and Economic Security (“CARES”) Act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left="360" w:right="2400"/>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394"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Security taxes, technical corrections from prior tax legislation for tax depreciation of certain qualified improvement property, and the creation of certain refundable employee retention credits. We evaluated the provisions of the CARES Act and do not anticipate that the associated impacts, if any, will have a material effect on our financial position or liquidity.</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Note 17 – </w:t>
      </w:r>
      <w:r>
        <w:rPr>
          <w:rFonts w:ascii="Arial" w:cs="Arial" w:eastAsia="Arial" w:hAnsi="Arial"/>
          <w:sz w:val="21"/>
          <w:szCs w:val="21"/>
          <w:b w:val="1"/>
          <w:bCs w:val="1"/>
          <w:i w:val="1"/>
          <w:iCs w:val="1"/>
          <w:color w:val="auto"/>
        </w:rPr>
        <w:t>Recent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Pronouncements to be adopted upon the effective date:</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The accounting guidance was effective upon issuance and generally can be applied to applicable contract modifications through December 31, 2022. The Company is evaluating the impact of this accounting guidance.</w:t>
      </w:r>
    </w:p>
    <w:p>
      <w:pPr>
        <w:spacing w:after="0" w:line="187"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The updated accounting guidance is effective for fiscal years beginning after December 15, 2020 and interim periods within those fiscal years with early adoption permitted. The Company is evaluating the requirements of the updated guidance to determine the impact of adoption.</w:t>
      </w:r>
    </w:p>
    <w:p>
      <w:pPr>
        <w:spacing w:after="0" w:line="18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In August 2018, the FASB issued updated accounting guidance that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Pronouncements adopted during the year:</w:t>
      </w:r>
    </w:p>
    <w:p>
      <w:pPr>
        <w:spacing w:after="0" w:line="213" w:lineRule="exact"/>
        <w:rPr>
          <w:sz w:val="20"/>
          <w:szCs w:val="20"/>
          <w:color w:val="auto"/>
        </w:rPr>
      </w:pPr>
    </w:p>
    <w:p>
      <w:pPr>
        <w:ind w:right="60"/>
        <w:spacing w:after="0" w:line="232" w:lineRule="auto"/>
        <w:rPr>
          <w:sz w:val="20"/>
          <w:szCs w:val="20"/>
          <w:color w:val="auto"/>
        </w:rPr>
      </w:pPr>
      <w:r>
        <w:rPr>
          <w:rFonts w:ascii="Arial" w:cs="Arial" w:eastAsia="Arial" w:hAnsi="Arial"/>
          <w:sz w:val="21"/>
          <w:szCs w:val="21"/>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On January 1, 2020, we adopted the new guidance prospectively, which did not have a material impact on our consolidated financial statements.</w:t>
      </w:r>
    </w:p>
    <w:p>
      <w:pPr>
        <w:spacing w:after="0" w:line="185"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In August 2018, the FASB issued updated accounting guidance that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On January 1, 2020, we adopted the new guidance, which did not have an impact on our consolidated financial statements.</w:t>
      </w:r>
    </w:p>
    <w:p>
      <w:pPr>
        <w:spacing w:after="0" w:line="185"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On January 1, 2020, we adopted the new guidance,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ESSENTIAL UTILITIES, INC. AND SUBSIDIARIES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MANAGEMENT’S DISCUSSION AND ANALYSIS OF</w:t>
      </w:r>
    </w:p>
    <w:p>
      <w:pPr>
        <w:jc w:val="center"/>
        <w:ind w:right="60"/>
        <w:spacing w:after="0" w:line="229" w:lineRule="auto"/>
        <w:rPr>
          <w:sz w:val="20"/>
          <w:szCs w:val="20"/>
          <w:color w:val="auto"/>
        </w:rPr>
      </w:pPr>
      <w:r>
        <w:rPr>
          <w:rFonts w:ascii="Arial" w:cs="Arial" w:eastAsia="Arial" w:hAnsi="Arial"/>
          <w:sz w:val="21"/>
          <w:szCs w:val="21"/>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Item 2 – Management’s Discussion and Analysis of Financial Condition and Results of Operations</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1"/>
          <w:szCs w:val="21"/>
          <w:u w:val="single" w:color="auto"/>
          <w:color w:val="auto"/>
        </w:rPr>
        <w:t>Forward-looking Statements</w:t>
      </w:r>
    </w:p>
    <w:p>
      <w:pPr>
        <w:spacing w:after="0" w:line="213" w:lineRule="exact"/>
        <w:rPr>
          <w:sz w:val="20"/>
          <w:szCs w:val="20"/>
          <w:color w:val="auto"/>
        </w:rPr>
      </w:pPr>
    </w:p>
    <w:p>
      <w:pPr>
        <w:ind w:right="20"/>
        <w:spacing w:after="0"/>
        <w:rPr>
          <w:sz w:val="20"/>
          <w:szCs w:val="20"/>
          <w:color w:val="auto"/>
        </w:rPr>
      </w:pPr>
      <w:r>
        <w:rPr>
          <w:rFonts w:ascii="Arial" w:cs="Arial" w:eastAsia="Arial" w:hAnsi="Arial"/>
          <w:sz w:val="20"/>
          <w:szCs w:val="20"/>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COVID-19,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2019 under the captions “Risk Factors” and “Management’s Discussion and Analysis of Financial Condition and Results of Operations” and elsewhere in such report and those included under the captions “Risk Factors” in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General Information</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Essential Utilities, Inc. (“we”, “us”, “our” or the “Company”), a Pennsylvania corporation, is the holding company for regulated utilities providing water, wastewater, or natural gas services to what we estimate to be almost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other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Aqua Infrastructure provides non-utility raw water supply services for firms in the natural gas drilling industry. Aqua Resources manages a water system operating and maintenance contract, and offers, through a third-party, water and sewer service line protection solutions and repair services to households. The non-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regulated subsidiaries of Peoples provide utility service line protection solutions and repair services to households and operates gas marketing and production entities.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Essential Utilities, Inc., which prior to its name change in February 2020 was known as Aqua America, Inc.,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operations in Ohio in 2012, and the March 16, 2020 acquisition of Peoples, a Pittsburgh, Pennsylvania based natural gas distribution company. Since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regulated water and wastewater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natural gas utilities, and other regulated utilities, and to opportunistically pursue growth ventures in select market-based activities, such as infrastructure opportunities that are supplementary and complementary to our regulated businesses.</w:t>
      </w:r>
    </w:p>
    <w:p>
      <w:pPr>
        <w:spacing w:after="0" w:line="173" w:lineRule="exact"/>
        <w:rPr>
          <w:sz w:val="20"/>
          <w:szCs w:val="20"/>
          <w:color w:val="auto"/>
        </w:rPr>
      </w:pPr>
    </w:p>
    <w:p>
      <w:pPr>
        <w:ind w:right="700"/>
        <w:spacing w:after="0" w:line="256" w:lineRule="auto"/>
        <w:rPr>
          <w:sz w:val="20"/>
          <w:szCs w:val="20"/>
          <w:color w:val="auto"/>
        </w:rPr>
      </w:pPr>
      <w:r>
        <w:rPr>
          <w:rFonts w:ascii="Arial" w:cs="Arial" w:eastAsia="Arial" w:hAnsi="Arial"/>
          <w:sz w:val="21"/>
          <w:szCs w:val="21"/>
          <w:i w:val="1"/>
          <w:iCs w:val="1"/>
          <w:color w:val="auto"/>
        </w:rPr>
        <w:t>The following discussion and analysis of our financial condition and results of operations should be read together with our consolidated financial statements and related notes.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Recent Developments – COVID-19</w:t>
      </w:r>
    </w:p>
    <w:p>
      <w:pPr>
        <w:spacing w:after="0" w:line="213" w:lineRule="exact"/>
        <w:rPr>
          <w:sz w:val="20"/>
          <w:szCs w:val="20"/>
          <w:color w:val="auto"/>
        </w:rPr>
      </w:pPr>
    </w:p>
    <w:p>
      <w:pPr>
        <w:jc w:val="both"/>
        <w:ind w:right="200"/>
        <w:spacing w:after="0" w:line="241" w:lineRule="auto"/>
        <w:rPr>
          <w:sz w:val="20"/>
          <w:szCs w:val="20"/>
          <w:color w:val="auto"/>
        </w:rPr>
      </w:pPr>
      <w:r>
        <w:rPr>
          <w:rFonts w:ascii="Arial" w:cs="Arial" w:eastAsia="Arial" w:hAnsi="Arial"/>
          <w:sz w:val="21"/>
          <w:szCs w:val="21"/>
          <w:color w:val="auto"/>
        </w:rPr>
        <w:t>The impact of the global outbreak of the current novel coronavirus (“COVID-19”) pandemic has created significant volatility in the global economy and led to reduced economic activity. We are monitoring the global outbreak of COVID-19 and taking steps to mitigate the potential risks to our employees and our customers posed by its spread.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We provide a critical service to our customers, which means that it is paramount that we keep our employees who operate the business safe and informed. For example, we have taken precautions with regard to employee and facility hygiene, imposed travel restrictions on our employees and at time have directed our employees to work remotely wherever possible depending on the operating location and status of state and local regulations. We have implemented additional protocols for required work within customers’ premises to protect our employees, our customers and the public. Additionally, we have assessed and updated, where appropriate, our existing business continuity plan in the context of this pandemic, including our recent acquisition of Peoples. We also worked with our suppliers to understand the potential impacts to our supply chain. At this time, no material risks to our supply chain have been identified; however, if there were global shortages it could impact our maintenance and capital programs and the effects of any such impact cannot currently be anticipated. We continue to implement strong physical and cyber-security measures in an effort to ensure that our systems remain functional in order to both serve our operational needs with a remote workforce and maintain uninterrupted service to our customers. To maximize our financial flexibility in light of the uncertainty surrounding the impact of the COVID-19 pandemic, we entered into a credit agreement on April 3, 2020, which provided the Company with a short-term borrowing facility of $500,000 in unsecured term loans, which was drawn, and subsequent to the Company’s $1,100,000 issuance of long-term debt on April 13, 2020, in May and June of 2020 the Company repaid $300,000 and $200,000 of the term loan, respectively, and based on the Company’s ability to access financial markets we terminated the facility.</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This continues to be a rapidly evolving situation, and we will continue to monitor developments affecting our business, workforce, and suppliers and take additional precautions as we believe are warranted. We are actively monitoring our utility billings and have noticed increases in residential customer usage offset by decreases in commercial and industrial usage. In response to concerns about customer economic hardship and affordability during the COVID-19 health crisis,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Some public utility commission are issuing guidance for utilities to defer COVID-19 expenses in anticipation of seeking recovery in a future rate proceeding, and we are currently evaluating the impact of this guidance. We are continuing with our capital investment program, and based on the current situation, continue to believe we are able to complete the planned projects and improvements to our utility infrastructure. Despite our efforts, the ultimate impact to the Company of COVID-19 also depends on factors beyond our knowledge or control, including the duration and severity of this outbreak as well as third-party actions taken to contain its spread and mitigate its public health effects. Although we have experienced that some of our customers are facing economic hardships due to various impacts of COVID-19 and may be unable to pay for our utility services, we do not currently anticipate a significant impact to our financial position, results of operations or cash flows as a result of the COVID-19 pandemic.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9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1"/>
          <w:szCs w:val="21"/>
          <w:u w:val="single" w:color="auto"/>
          <w:color w:val="auto"/>
        </w:rPr>
        <w:t>Financial Condition</w:t>
      </w: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With the exception of periods in 2019 when the proceeds from the April 2019 financings were held as cash pending completion of the Peoples Gas Acquisition,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During the first six months of 2020, we incurred $293,090 of capital expenditures, expended $3,465,344 for the acquisition of Peoples Natural Gas, $28,504 for the acquisition of water and wastewater utility systems, issued $729,301 of common stock in a private placement, $2,838,664 of long-term debt, and repaid debt and made sinking fund contributions and other loan repayments of $1,627,300. The capital expenditures were related to new and replacement water, wastewater, and natural gas mains, improvements to treatment plants, tanks, hydrants, and service lines, well and booster improvements, and other enhancements and improvements. The issuance of common stock and long-term debt was comprised principally of the issuance of $1,100,000 of long-term debt on April 13, 2020, the permanent financing to complete our acquisition of Peoples, and funds borrowed under our revolving credit facility. The repayment of debt and sinking fund contributions and other loan repayments was comprised principally of the repayment of funds borrowed under our revolving credit facility.</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closing. There is a dispute between the parties regarding this adjustment and it’s expected the matter will be resolved in accordance with the provisions of the purchase agreement. Peoples is headquartered in Pittsburgh, Pennsylvania and serves approximately 747,000 natural gas utility customers in western Pennsylvania, West Virginia, and Kentucky. The estimated purchase price paid by the Company was determined based on a base price of $4,275,000, which was adjusted by $43,935 for an estimated change in working capital, certain capital expenditures of $247,500, and the assumption of $1,101,091 of indebtedness as of the closing date, consisting of $920,091 of senior notes and $181,000 of short-term debt. The acquisition was financed through a series of financing transactions that included the issuance of common stock from a public offering and a private placement, a tangible equity unit offering, and short and long-term debt. Refer to Note 6 – </w:t>
      </w:r>
      <w:r>
        <w:rPr>
          <w:rFonts w:ascii="Arial" w:cs="Arial" w:eastAsia="Arial" w:hAnsi="Arial"/>
          <w:sz w:val="20"/>
          <w:szCs w:val="20"/>
          <w:i w:val="1"/>
          <w:iCs w:val="1"/>
          <w:color w:val="auto"/>
        </w:rPr>
        <w:t>Capitalization</w:t>
      </w:r>
      <w:r>
        <w:rPr>
          <w:rFonts w:ascii="Arial" w:cs="Arial" w:eastAsia="Arial" w:hAnsi="Arial"/>
          <w:sz w:val="20"/>
          <w:szCs w:val="20"/>
          <w:color w:val="auto"/>
        </w:rPr>
        <w:t xml:space="preserve"> to the consolidated financial statements for further information on these financings.</w:t>
      </w:r>
    </w:p>
    <w:p>
      <w:pPr>
        <w:spacing w:after="0" w:line="193" w:lineRule="exact"/>
        <w:rPr>
          <w:sz w:val="20"/>
          <w:szCs w:val="20"/>
          <w:color w:val="auto"/>
        </w:rPr>
      </w:pPr>
    </w:p>
    <w:p>
      <w:pPr>
        <w:ind w:right="60"/>
        <w:spacing w:after="0" w:line="231" w:lineRule="auto"/>
        <w:rPr>
          <w:sz w:val="20"/>
          <w:szCs w:val="20"/>
          <w:color w:val="auto"/>
        </w:rPr>
      </w:pPr>
      <w:r>
        <w:rPr>
          <w:rFonts w:ascii="Arial" w:cs="Arial" w:eastAsia="Arial" w:hAnsi="Arial"/>
          <w:sz w:val="21"/>
          <w:szCs w:val="21"/>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3" w:name="page44"/>
    <w:bookmarkEnd w:id="43"/>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Company and Peoples. On March 16, 2020, as a result of our completion of the Peoples Gas Acquisition, the Company terminated the Bridge Commitment.</w:t>
      </w:r>
    </w:p>
    <w:p>
      <w:pPr>
        <w:spacing w:after="0" w:line="16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the year 2020 to its natural gas utility customers and water and wastewater customers served by Aqua Pennsylvania. The Company expects to grant the customer rate credits to its water and wastewater customers during the third quarter of 2020, and natural gas utility customers will be granted a credit in the fourth quarter of 2020.</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On May 18, 2019, the Company redeemed $313,500 of the Company’s outstanding notes that had maturities ranging from 2019-2037 and interest rates ranging from 3.57-5.83%. Additionally, the redemption of senior unsecured notes was subject to a make whole payment of $25,237, and $18,528 of this payment was expensed and was presented in the consolidated statements of operations and comprehensive income on the line item “loss on debt extinguishment.” The balance of the payment, or $6,709, was deferred, as a regulatory asset, as it represents an amount by which the Company expects to receive prospective rate recovery.</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$900,000 of long-term debt used to finance a portion of the purchase price of this acquisition and redeem $313,500 of the Company’s existing debt. Refer to Note 7 – </w:t>
      </w:r>
      <w:r>
        <w:rPr>
          <w:rFonts w:ascii="Arial" w:cs="Arial" w:eastAsia="Arial" w:hAnsi="Arial"/>
          <w:sz w:val="20"/>
          <w:szCs w:val="20"/>
          <w:i w:val="1"/>
          <w:iCs w:val="1"/>
          <w:color w:val="auto"/>
        </w:rPr>
        <w:t>Interest Rate Swap Agreements</w:t>
      </w:r>
      <w:r>
        <w:rPr>
          <w:rFonts w:ascii="Arial" w:cs="Arial" w:eastAsia="Arial" w:hAnsi="Arial"/>
          <w:sz w:val="20"/>
          <w:szCs w:val="20"/>
          <w:color w:val="auto"/>
        </w:rPr>
        <w:t xml:space="preserve"> to the consolidated financial statements in this report for further information. The interest rate swaps did not qualify for hedge accounting and any changes in the fair value of the swaps was included in our earnings.</w:t>
      </w:r>
    </w:p>
    <w:p>
      <w:pPr>
        <w:spacing w:after="0" w:line="177"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At June 30, 2020, we had $7,227 of cash and cash equivalents compared to $1,868,922 at December 31, 2019. The cash and cash equivalents balance at December 31, 2019 included a portion of the proceeds from the April 2019 financings that were held in an interest-bearing account prior to closing of the Peoples Gas Acquisition on March 16, 2020. During the first six months of 2020, we used the proceeds on deposit from the April 2019 financings as well as the proceeds from the issuance of common stock, long-term debt, and internally generated funds to fund the cash requirements discussed above and to pay dividends.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At June 30, 2020, our $1,000,000 unsecured revolving credit facility, which expires in December 2023, had $956,095 available for borrowing. Additionally, at June 30, 2020, we had short-term lines of credit of $135,500, of which $120,500 was available for borrowing. One of our short-term lines of credit is an Aqua Pennsylvania $100,000 364-day unsecured revolving credit facility with four banks, which is used to provide working capital, and as of June 30, 2020, $85,000 was available for borrowing. Our short-term lines of credit of $135,500 are subject to renewal on an annual basis. Although we believe we will be able to renew these facilities, there is no assurance that they will be renewed, or what the terms of any such renewal will be. Additionally, on March 13, 2020, the Company entered into a 364 day $150,000 credit agreement pursuant to which the Company borrowed $150,000, which was used to fund a portion of the Peoples Gas Acquisition, in lieu of additional borrowings under our revolving credit facility, and was subsequently paid off in April 2020.</w:t>
      </w:r>
    </w:p>
    <w:p>
      <w:pPr>
        <w:spacing w:after="0" w:line="187"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On April 3, 2020, the Company entered into a credit agreement that provided the Company with a short-term borrowing facility of $500,000 in unsecured term loans, which was drawn and matures on April 2, 2021. The Company used the proceeds from the term loans for general corporate purposes and to strengthen its liquidity and cash position, and maximize its financial flexibility in light of the uncertainty surrounding the impact of the COVID-19 pandemic. In May and June 2020, the Company repaid $300,000 and $200,000 of the term loan, respectively, and based on the Company’s ability to access financial markets we terminated the facility.</w:t>
      </w:r>
    </w:p>
    <w:p>
      <w:pPr>
        <w:spacing w:after="0" w:line="185" w:lineRule="exact"/>
        <w:rPr>
          <w:sz w:val="20"/>
          <w:szCs w:val="20"/>
          <w:color w:val="auto"/>
        </w:rPr>
      </w:pPr>
    </w:p>
    <w:p>
      <w:pPr>
        <w:ind w:right="80"/>
        <w:spacing w:after="0" w:line="234" w:lineRule="auto"/>
        <w:rPr>
          <w:sz w:val="20"/>
          <w:szCs w:val="20"/>
          <w:color w:val="auto"/>
        </w:rPr>
      </w:pPr>
      <w:r>
        <w:rPr>
          <w:rFonts w:ascii="Arial" w:cs="Arial" w:eastAsia="Arial" w:hAnsi="Arial"/>
          <w:sz w:val="21"/>
          <w:szCs w:val="21"/>
          <w:color w:val="auto"/>
        </w:rPr>
        <w:t>On April 13, 2020, the Company issued $1,100,000 of long-term debt,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by the Company on March 13, 2020, and to repay a portion of the borrowings under our existing five year unsecured revolving credit agreement.</w:t>
      </w:r>
    </w:p>
    <w:p>
      <w:pPr>
        <w:spacing w:after="0" w:line="187" w:lineRule="exact"/>
        <w:rPr>
          <w:sz w:val="20"/>
          <w:szCs w:val="20"/>
          <w:color w:val="auto"/>
        </w:rPr>
      </w:pPr>
    </w:p>
    <w:p>
      <w:pPr>
        <w:ind w:right="100"/>
        <w:spacing w:after="0" w:line="241" w:lineRule="auto"/>
        <w:rPr>
          <w:sz w:val="20"/>
          <w:szCs w:val="20"/>
          <w:color w:val="auto"/>
        </w:rPr>
      </w:pPr>
      <w:r>
        <w:rPr>
          <w:rFonts w:ascii="Arial" w:cs="Arial" w:eastAsia="Arial" w:hAnsi="Arial"/>
          <w:sz w:val="21"/>
          <w:szCs w:val="21"/>
          <w:color w:val="auto"/>
        </w:rPr>
        <w:t>On May 1,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82" w:lineRule="exact"/>
        <w:rPr>
          <w:sz w:val="20"/>
          <w:szCs w:val="20"/>
          <w:color w:val="auto"/>
        </w:rPr>
      </w:pPr>
    </w:p>
    <w:p>
      <w:pPr>
        <w:ind w:left="4100"/>
        <w:spacing w:after="0"/>
        <w:rPr>
          <w:sz w:val="20"/>
          <w:szCs w:val="20"/>
          <w:color w:val="auto"/>
        </w:rPr>
      </w:pPr>
      <w:r>
        <w:rPr>
          <w:rFonts w:ascii="Arial" w:cs="Arial" w:eastAsia="Arial" w:hAnsi="Arial"/>
          <w:sz w:val="21"/>
          <w:szCs w:val="21"/>
          <w:u w:val="single" w:color="auto"/>
          <w:color w:val="auto"/>
        </w:rPr>
        <w:t>Consolidated Results of Operations</w:t>
      </w:r>
    </w:p>
    <w:p>
      <w:pPr>
        <w:spacing w:after="0" w:line="213" w:lineRule="exact"/>
        <w:rPr>
          <w:sz w:val="20"/>
          <w:szCs w:val="20"/>
          <w:color w:val="auto"/>
        </w:rPr>
      </w:pPr>
    </w:p>
    <w:p>
      <w:pPr>
        <w:ind w:left="2440"/>
        <w:spacing w:after="0"/>
        <w:rPr>
          <w:sz w:val="20"/>
          <w:szCs w:val="20"/>
          <w:color w:val="auto"/>
        </w:rPr>
      </w:pPr>
      <w:r>
        <w:rPr>
          <w:rFonts w:ascii="Arial" w:cs="Arial" w:eastAsia="Arial" w:hAnsi="Arial"/>
          <w:sz w:val="21"/>
          <w:szCs w:val="21"/>
          <w:u w:val="single" w:color="auto"/>
          <w:color w:val="auto"/>
        </w:rPr>
        <w:t>Analysis of Second Quarter of 2020 Compared to Second Quarter of 2019</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Revenues increased by $165,576 or 75.6%, primarily due to:</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natural gas revenues of $149,637 associated with the Peoples Gas Acquisition;</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an increase in water and wastewater rates, net of infrastructure rehabilitation surcharges, of $7,584;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5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00" w:right="280"/>
        <w:spacing w:after="0" w:line="234" w:lineRule="auto"/>
        <w:rPr>
          <w:sz w:val="20"/>
          <w:szCs w:val="20"/>
          <w:color w:val="auto"/>
        </w:rPr>
      </w:pPr>
      <w:r>
        <w:rPr>
          <w:rFonts w:ascii="Arial" w:cs="Arial" w:eastAsia="Arial" w:hAnsi="Arial"/>
          <w:sz w:val="21"/>
          <w:szCs w:val="21"/>
          <w:color w:val="auto"/>
        </w:rPr>
        <w:t>an increase in customer water consumption associated with increased residential usage, which is offset by a decrease in customer water consumption for commercial and industrial customers; and</w:t>
      </w:r>
    </w:p>
    <w:p>
      <w:pPr>
        <w:spacing w:after="0" w:line="2" w:lineRule="exact"/>
        <w:rPr>
          <w:sz w:val="20"/>
          <w:szCs w:val="20"/>
          <w:color w:val="auto"/>
        </w:rPr>
      </w:pPr>
    </w:p>
    <w:p>
      <w:pPr>
        <w:ind w:left="700" w:right="100"/>
        <w:spacing w:after="0" w:line="225" w:lineRule="auto"/>
        <w:rPr>
          <w:sz w:val="20"/>
          <w:szCs w:val="20"/>
          <w:color w:val="auto"/>
        </w:rPr>
      </w:pPr>
      <w:r>
        <w:rPr>
          <w:rFonts w:ascii="Arial" w:cs="Arial" w:eastAsia="Arial" w:hAnsi="Arial"/>
          <w:sz w:val="21"/>
          <w:szCs w:val="21"/>
          <w:color w:val="auto"/>
        </w:rPr>
        <w:t>additional water and wastewater revenues of $3,661 associated with a larger customer base due to utility acquisitions and organic growth; offset by</w:t>
      </w:r>
    </w:p>
    <w:p>
      <w:pPr>
        <w:spacing w:after="0" w:line="2" w:lineRule="exact"/>
        <w:rPr>
          <w:sz w:val="20"/>
          <w:szCs w:val="20"/>
          <w:color w:val="auto"/>
        </w:rPr>
      </w:pPr>
    </w:p>
    <w:p>
      <w:pPr>
        <w:ind w:left="700" w:right="520"/>
        <w:spacing w:after="0" w:line="263" w:lineRule="auto"/>
        <w:rPr>
          <w:sz w:val="20"/>
          <w:szCs w:val="20"/>
          <w:color w:val="auto"/>
        </w:rPr>
      </w:pPr>
      <w:r>
        <w:rPr>
          <w:rFonts w:ascii="Arial" w:cs="Arial" w:eastAsia="Arial" w:hAnsi="Arial"/>
          <w:sz w:val="20"/>
          <w:szCs w:val="20"/>
          <w:color w:val="auto"/>
        </w:rPr>
        <w:t>a decrease in water revenues of $449 as a result of an advisory for some of our water utility customers served by our Illinois subsidiary. We expect this decrease in revenues to continue into the second half of 2020.</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Operations and maintenance expenses increased by $42,159 or 48.8%, primarily due to:</w:t>
      </w:r>
    </w:p>
    <w:p>
      <w:pPr>
        <w:spacing w:after="0" w:line="213" w:lineRule="exact"/>
        <w:rPr>
          <w:sz w:val="20"/>
          <w:szCs w:val="20"/>
          <w:color w:val="auto"/>
        </w:rPr>
      </w:pPr>
    </w:p>
    <w:p>
      <w:pPr>
        <w:ind w:left="700" w:right="200"/>
        <w:spacing w:after="0" w:line="234" w:lineRule="auto"/>
        <w:rPr>
          <w:sz w:val="20"/>
          <w:szCs w:val="20"/>
          <w:color w:val="auto"/>
        </w:rPr>
      </w:pPr>
      <w:r>
        <w:rPr>
          <w:rFonts w:ascii="Arial" w:cs="Arial" w:eastAsia="Arial" w:hAnsi="Arial"/>
          <w:sz w:val="21"/>
          <w:szCs w:val="21"/>
          <w:color w:val="auto"/>
        </w:rPr>
        <w:t>operating costs of $52,757 associated with the Peoples Gas Acquisition, including expenses attributed to the COVID-19 pandemic of $1,041;</w:t>
      </w:r>
    </w:p>
    <w:p>
      <w:pPr>
        <w:spacing w:after="0" w:line="2" w:lineRule="exact"/>
        <w:rPr>
          <w:sz w:val="20"/>
          <w:szCs w:val="20"/>
          <w:color w:val="auto"/>
        </w:rPr>
      </w:pPr>
    </w:p>
    <w:p>
      <w:pPr>
        <w:ind w:left="700" w:right="220"/>
        <w:spacing w:after="0" w:line="237" w:lineRule="auto"/>
        <w:rPr>
          <w:sz w:val="20"/>
          <w:szCs w:val="20"/>
          <w:color w:val="auto"/>
        </w:rPr>
      </w:pPr>
      <w:r>
        <w:rPr>
          <w:rFonts w:ascii="Arial" w:cs="Arial" w:eastAsia="Arial" w:hAnsi="Arial"/>
          <w:sz w:val="20"/>
          <w:szCs w:val="20"/>
          <w:color w:val="auto"/>
        </w:rPr>
        <w:t>additional expenses of $1,880 associated with the COVID-19 pandemic for our water utility operations consisting primarily of bad debt expense of $1,810, and the purchase of personal protective equipment and disinfecting supplies of $566, which are offset by decreases in travel expenses, office supplies, and office utility expenses;</w:t>
      </w:r>
    </w:p>
    <w:p>
      <w:pPr>
        <w:spacing w:after="0" w:line="1" w:lineRule="exact"/>
        <w:rPr>
          <w:sz w:val="20"/>
          <w:szCs w:val="20"/>
          <w:color w:val="auto"/>
        </w:rPr>
      </w:pPr>
    </w:p>
    <w:p>
      <w:pPr>
        <w:ind w:left="700" w:right="280"/>
        <w:spacing w:after="0" w:line="225" w:lineRule="auto"/>
        <w:rPr>
          <w:sz w:val="20"/>
          <w:szCs w:val="20"/>
          <w:color w:val="auto"/>
        </w:rPr>
      </w:pPr>
      <w:r>
        <w:rPr>
          <w:rFonts w:ascii="Arial" w:cs="Arial" w:eastAsia="Arial" w:hAnsi="Arial"/>
          <w:sz w:val="21"/>
          <w:szCs w:val="21"/>
          <w:color w:val="auto"/>
        </w:rPr>
        <w:t>additional operating costs associated with acquired and pending acquisitions of water and wastewater utility systems of $838; and</w:t>
      </w:r>
    </w:p>
    <w:p>
      <w:pPr>
        <w:spacing w:after="0" w:line="2" w:lineRule="exact"/>
        <w:rPr>
          <w:sz w:val="20"/>
          <w:szCs w:val="20"/>
          <w:color w:val="auto"/>
        </w:rPr>
      </w:pPr>
    </w:p>
    <w:p>
      <w:pPr>
        <w:jc w:val="both"/>
        <w:ind w:left="700" w:right="140"/>
        <w:spacing w:after="0" w:line="225" w:lineRule="auto"/>
        <w:rPr>
          <w:sz w:val="20"/>
          <w:szCs w:val="20"/>
          <w:color w:val="auto"/>
        </w:rPr>
      </w:pPr>
      <w:r>
        <w:rPr>
          <w:rFonts w:ascii="Arial" w:cs="Arial" w:eastAsia="Arial" w:hAnsi="Arial"/>
          <w:sz w:val="21"/>
          <w:szCs w:val="21"/>
          <w:color w:val="auto"/>
        </w:rPr>
        <w:t>expenses of $452 associated with remediating an advisory for some of our water utility customers served by our Illinois subsidiary. We expect that the expenses associated with remediating the advisory to continue in the second half of 2020; offset by</w:t>
      </w:r>
    </w:p>
    <w:p>
      <w:pPr>
        <w:spacing w:after="0" w:line="3" w:lineRule="exact"/>
        <w:rPr>
          <w:sz w:val="20"/>
          <w:szCs w:val="20"/>
          <w:color w:val="auto"/>
        </w:rPr>
      </w:pPr>
    </w:p>
    <w:p>
      <w:pPr>
        <w:ind w:left="700"/>
        <w:spacing w:after="0" w:line="225" w:lineRule="auto"/>
        <w:rPr>
          <w:sz w:val="20"/>
          <w:szCs w:val="20"/>
          <w:color w:val="auto"/>
        </w:rPr>
      </w:pPr>
      <w:r>
        <w:rPr>
          <w:rFonts w:ascii="Arial" w:cs="Arial" w:eastAsia="Arial" w:hAnsi="Arial"/>
          <w:sz w:val="21"/>
          <w:szCs w:val="21"/>
          <w:color w:val="auto"/>
        </w:rPr>
        <w:t>the prior year effect of transaction expenses of $12,744 in the second quarter of 2019 for the Peoples Gas Acquisition, primarily representing expenses associated with investment banking fees, employee related expenses, obtaining regulatory approvals, legal expenses and integration planning; and</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 decrease in our self-insured employee medical plan benefits of $1,686.</w:t>
      </w:r>
    </w:p>
    <w:p>
      <w:pPr>
        <w:spacing w:after="0" w:line="75"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20"/>
        <w:spacing w:after="0" w:line="256" w:lineRule="auto"/>
        <w:rPr>
          <w:sz w:val="20"/>
          <w:szCs w:val="20"/>
          <w:color w:val="auto"/>
        </w:rPr>
      </w:pPr>
      <w:r>
        <w:rPr>
          <w:rFonts w:ascii="Arial" w:cs="Arial" w:eastAsia="Arial" w:hAnsi="Arial"/>
          <w:sz w:val="21"/>
          <w:szCs w:val="21"/>
          <w:color w:val="auto"/>
        </w:rPr>
        <w:t>Purchased gas of $43,420 in the second quarter of 2020 represents the cost of gas sold by Peoples during the period since the acquisition date of March 16, 2020. There were no corresponding amounts in prior periods.</w:t>
      </w:r>
    </w:p>
    <w:p>
      <w:pPr>
        <w:spacing w:after="0" w:line="167" w:lineRule="exact"/>
        <w:rPr>
          <w:sz w:val="20"/>
          <w:szCs w:val="20"/>
          <w:color w:val="auto"/>
        </w:rPr>
      </w:pPr>
    </w:p>
    <w:p>
      <w:pPr>
        <w:ind w:right="620"/>
        <w:spacing w:after="0" w:line="281" w:lineRule="auto"/>
        <w:rPr>
          <w:sz w:val="20"/>
          <w:szCs w:val="20"/>
          <w:color w:val="auto"/>
        </w:rPr>
      </w:pPr>
      <w:r>
        <w:rPr>
          <w:rFonts w:ascii="Arial" w:cs="Arial" w:eastAsia="Arial" w:hAnsi="Arial"/>
          <w:sz w:val="20"/>
          <w:szCs w:val="20"/>
          <w:color w:val="auto"/>
        </w:rPr>
        <w:t>Depreciation expense increased by $28,375 or 71.7%, primarily due to depreciation expense of $25,481 associated with our completion of the Peoples Gas Acquisition and the utility plant placed in service since June 30, 2019.</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21"/>
          <w:szCs w:val="21"/>
          <w:color w:val="auto"/>
        </w:rPr>
        <w:t>Amortization increased by $4,887 primarily due to the prior year effect of a favorable one-time adjustment recorded in the second quarter of 2019 resulting from a rate order received for our Pennsylvania water subsidiary.</w:t>
      </w:r>
    </w:p>
    <w:p>
      <w:pPr>
        <w:spacing w:after="0" w:line="167" w:lineRule="exact"/>
        <w:rPr>
          <w:sz w:val="20"/>
          <w:szCs w:val="20"/>
          <w:color w:val="auto"/>
        </w:rPr>
      </w:pPr>
    </w:p>
    <w:p>
      <w:pPr>
        <w:ind w:right="300"/>
        <w:spacing w:after="0" w:line="309" w:lineRule="auto"/>
        <w:rPr>
          <w:sz w:val="20"/>
          <w:szCs w:val="20"/>
          <w:color w:val="auto"/>
        </w:rPr>
      </w:pPr>
      <w:r>
        <w:rPr>
          <w:rFonts w:ascii="Arial" w:cs="Arial" w:eastAsia="Arial" w:hAnsi="Arial"/>
          <w:sz w:val="19"/>
          <w:szCs w:val="19"/>
          <w:color w:val="auto"/>
        </w:rPr>
        <w:t>Taxes other than income taxes increased by $4,565 or 30.7%, primarily due to increases in payroll taxes of $2,402 and property taxes of $1,346 resulting from additional expenses associated with acquired operations including the Peoples Gas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increased by $19,939 or 62.8%, primarily due to the following items: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an increase in average borrowings;</w:t>
      </w:r>
    </w:p>
    <w:p>
      <w:pPr>
        <w:ind w:left="700"/>
        <w:spacing w:after="0" w:line="229" w:lineRule="auto"/>
        <w:rPr>
          <w:sz w:val="20"/>
          <w:szCs w:val="20"/>
          <w:color w:val="auto"/>
        </w:rPr>
      </w:pPr>
      <w:r>
        <w:rPr>
          <w:rFonts w:ascii="Arial" w:cs="Arial" w:eastAsia="Arial" w:hAnsi="Arial"/>
          <w:sz w:val="21"/>
          <w:szCs w:val="21"/>
          <w:color w:val="auto"/>
        </w:rPr>
        <w:t>interest of $9,334 on debt assumed in the Peoples Gas Acquisition;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interest of $1,399 on the Company’s $500,000 term loan to provide liquidity during the COVID-19 pandemic, which was</w:t>
      </w:r>
    </w:p>
    <w:p>
      <w:pPr>
        <w:ind w:left="700"/>
        <w:spacing w:after="0" w:line="234" w:lineRule="auto"/>
        <w:rPr>
          <w:sz w:val="20"/>
          <w:szCs w:val="20"/>
          <w:color w:val="auto"/>
        </w:rPr>
      </w:pPr>
      <w:r>
        <w:rPr>
          <w:rFonts w:ascii="Arial" w:cs="Arial" w:eastAsia="Arial" w:hAnsi="Arial"/>
          <w:sz w:val="21"/>
          <w:szCs w:val="21"/>
          <w:color w:val="auto"/>
        </w:rPr>
        <w:t>repaid in May and June 2020; offset by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 decrease in our effective interest rate.</w:t>
      </w:r>
    </w:p>
    <w:p>
      <w:pPr>
        <w:spacing w:after="0" w:line="302"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Interest income decreased by $8,222 or 97.7%, primarily due to the utilization of the proceeds held from our April 2019 equity and debt offerings to close the Peoples Gas Acquisition on March 16, 2020.</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21"/>
          <w:szCs w:val="21"/>
          <w:color w:val="auto"/>
        </w:rPr>
        <w:t>Allowance for funds used during construction (“AFUDC”) decreased by $1,381 due to a decrease in the average balance of utility plant construction work in progress, to which AFUDC is applied.</w:t>
      </w:r>
    </w:p>
    <w:p>
      <w:pPr>
        <w:spacing w:after="0" w:line="167" w:lineRule="exact"/>
        <w:rPr>
          <w:sz w:val="20"/>
          <w:szCs w:val="20"/>
          <w:color w:val="auto"/>
        </w:rPr>
      </w:pPr>
    </w:p>
    <w:p>
      <w:pPr>
        <w:ind w:right="500"/>
        <w:spacing w:after="0" w:line="234" w:lineRule="auto"/>
        <w:rPr>
          <w:sz w:val="20"/>
          <w:szCs w:val="20"/>
          <w:color w:val="auto"/>
        </w:rPr>
      </w:pPr>
      <w:r>
        <w:rPr>
          <w:rFonts w:ascii="Arial" w:cs="Arial" w:eastAsia="Arial" w:hAnsi="Arial"/>
          <w:sz w:val="21"/>
          <w:szCs w:val="21"/>
          <w:color w:val="auto"/>
        </w:rPr>
        <w:t>The decrease in the change in the fair value of interest rate swap agreements of $11,040 represents the prior year effect of the income recognized on the mark-to-market adjustment recognized in the second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3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 thousands of dollars, except per share amounts)</w:t>
      </w:r>
    </w:p>
    <w:p>
      <w:pPr>
        <w:spacing w:after="0" w:line="195" w:lineRule="exact"/>
        <w:rPr>
          <w:sz w:val="20"/>
          <w:szCs w:val="20"/>
          <w:color w:val="auto"/>
        </w:rPr>
      </w:pPr>
    </w:p>
    <w:p>
      <w:pPr>
        <w:ind w:right="460"/>
        <w:spacing w:after="0" w:line="256" w:lineRule="auto"/>
        <w:rPr>
          <w:sz w:val="20"/>
          <w:szCs w:val="20"/>
          <w:color w:val="auto"/>
        </w:rPr>
      </w:pPr>
      <w:r>
        <w:rPr>
          <w:rFonts w:ascii="Arial" w:cs="Arial" w:eastAsia="Arial" w:hAnsi="Arial"/>
          <w:sz w:val="21"/>
          <w:szCs w:val="21"/>
          <w:color w:val="auto"/>
        </w:rPr>
        <w:t>quarter of 2019 of our interest rate swap agreement, which was entered into on October 23, 2018 and was settled on April 24, 2019.</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21"/>
          <w:szCs w:val="21"/>
          <w:color w:val="auto"/>
        </w:rPr>
        <w:t>The loss on debt extinguishment of $18,935 incurred in the second quarter of 2019 resulted from the extinguishment of $313,500 of existing debt that was refinanced in May 2019.</w:t>
      </w:r>
    </w:p>
    <w:p>
      <w:pPr>
        <w:spacing w:after="0" w:line="167" w:lineRule="exact"/>
        <w:rPr>
          <w:sz w:val="20"/>
          <w:szCs w:val="20"/>
          <w:color w:val="auto"/>
        </w:rPr>
      </w:pPr>
    </w:p>
    <w:p>
      <w:pPr>
        <w:ind w:right="320"/>
        <w:spacing w:after="0" w:line="256" w:lineRule="auto"/>
        <w:rPr>
          <w:sz w:val="20"/>
          <w:szCs w:val="20"/>
          <w:color w:val="auto"/>
        </w:rPr>
      </w:pPr>
      <w:r>
        <w:rPr>
          <w:rFonts w:ascii="Arial" w:cs="Arial" w:eastAsia="Arial" w:hAnsi="Arial"/>
          <w:sz w:val="21"/>
          <w:szCs w:val="21"/>
          <w:color w:val="auto"/>
        </w:rPr>
        <w:t>Equity earnings in joint venture decreased by $770 due to a decrease in the sale of raw water to firms in the natural gas drilling industry.</w:t>
      </w:r>
    </w:p>
    <w:p>
      <w:pPr>
        <w:spacing w:after="0" w:line="167" w:lineRule="exact"/>
        <w:rPr>
          <w:sz w:val="20"/>
          <w:szCs w:val="20"/>
          <w:color w:val="auto"/>
        </w:rPr>
      </w:pPr>
    </w:p>
    <w:p>
      <w:pPr>
        <w:ind w:right="400"/>
        <w:spacing w:after="0" w:line="256" w:lineRule="auto"/>
        <w:rPr>
          <w:sz w:val="20"/>
          <w:szCs w:val="20"/>
          <w:color w:val="auto"/>
        </w:rPr>
      </w:pPr>
      <w:r>
        <w:rPr>
          <w:rFonts w:ascii="Arial" w:cs="Arial" w:eastAsia="Arial" w:hAnsi="Arial"/>
          <w:sz w:val="21"/>
          <w:szCs w:val="21"/>
          <w:color w:val="auto"/>
        </w:rPr>
        <w:t>Other decreased by $2,634 primarily due to an decrease in the non-service cost components of our net benefit cost for pension benefits.</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Our effective income tax rate was 0.6% in the second quarter of 2020 and (4.1)% in the second quarter of 2019. The effective income tax rate increased due to the increase in our income before income taxes of $22,359. The Company’s provision for income taxes represents an income tax benefit due to the effects of tax deductions recognized for certain qualifying infrastructure improvements for Aqua Pennsylvania and Peoples. On March 31, 2020, we changed the method of tax accounting for certain qualifying infrastructure investments at Peoples Natural Gas, our largest natural gas subsidiary in Pennsylvania, which provided for a reduction to income tax expense of $5,238 due to the flow-through treatment of the current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Net income increased by $19,726 primarily as a result of the factors described above.</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21"/>
          <w:szCs w:val="21"/>
          <w:u w:val="single" w:color="auto"/>
          <w:color w:val="auto"/>
        </w:rPr>
        <w:t>Analysis of First Six Months of 2020 Compared to First Six Months of 2019</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Revenues increased by $220,029 or 52.4%, primarily due to:</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natural gas revenues of $188,181 associated with the Peoples Gas Acquisition;</w:t>
      </w:r>
    </w:p>
    <w:p>
      <w:pPr>
        <w:ind w:left="700"/>
        <w:spacing w:after="0" w:line="229" w:lineRule="auto"/>
        <w:rPr>
          <w:sz w:val="20"/>
          <w:szCs w:val="20"/>
          <w:color w:val="auto"/>
        </w:rPr>
      </w:pPr>
      <w:r>
        <w:rPr>
          <w:rFonts w:ascii="Arial" w:cs="Arial" w:eastAsia="Arial" w:hAnsi="Arial"/>
          <w:sz w:val="21"/>
          <w:szCs w:val="21"/>
          <w:color w:val="auto"/>
        </w:rPr>
        <w:t>an increase in water and wastewater rates, net of infrastructure rehabilitation surcharges, of $20,552;</w:t>
      </w:r>
    </w:p>
    <w:p>
      <w:pPr>
        <w:spacing w:after="0" w:line="1" w:lineRule="exact"/>
        <w:rPr>
          <w:sz w:val="20"/>
          <w:szCs w:val="20"/>
          <w:color w:val="auto"/>
        </w:rPr>
      </w:pPr>
    </w:p>
    <w:p>
      <w:pPr>
        <w:ind w:left="700" w:right="120"/>
        <w:spacing w:after="0" w:line="225" w:lineRule="auto"/>
        <w:rPr>
          <w:sz w:val="20"/>
          <w:szCs w:val="20"/>
          <w:color w:val="auto"/>
        </w:rPr>
      </w:pPr>
      <w:r>
        <w:rPr>
          <w:rFonts w:ascii="Arial" w:cs="Arial" w:eastAsia="Arial" w:hAnsi="Arial"/>
          <w:sz w:val="21"/>
          <w:szCs w:val="21"/>
          <w:color w:val="auto"/>
        </w:rPr>
        <w:t>additional water and wastewater revenues of $7,453 associated with a larger customer base due to utility acquisitions and organic growth; and</w:t>
      </w:r>
    </w:p>
    <w:p>
      <w:pPr>
        <w:spacing w:after="0" w:line="2" w:lineRule="exact"/>
        <w:rPr>
          <w:sz w:val="20"/>
          <w:szCs w:val="20"/>
          <w:color w:val="auto"/>
        </w:rPr>
      </w:pPr>
    </w:p>
    <w:p>
      <w:pPr>
        <w:ind w:left="700" w:right="300"/>
        <w:spacing w:after="0" w:line="225" w:lineRule="auto"/>
        <w:rPr>
          <w:sz w:val="20"/>
          <w:szCs w:val="20"/>
          <w:color w:val="auto"/>
        </w:rPr>
      </w:pPr>
      <w:r>
        <w:rPr>
          <w:rFonts w:ascii="Arial" w:cs="Arial" w:eastAsia="Arial" w:hAnsi="Arial"/>
          <w:sz w:val="21"/>
          <w:szCs w:val="21"/>
          <w:color w:val="auto"/>
        </w:rPr>
        <w:t>an increase in customer water consumption associated with increased residential usage, which is offset by a decrease in customer water consumption for commercial and industrial customers; offset by</w:t>
      </w:r>
    </w:p>
    <w:p>
      <w:pPr>
        <w:spacing w:after="0" w:line="2" w:lineRule="exact"/>
        <w:rPr>
          <w:sz w:val="20"/>
          <w:szCs w:val="20"/>
          <w:color w:val="auto"/>
        </w:rPr>
      </w:pPr>
    </w:p>
    <w:p>
      <w:pPr>
        <w:ind w:left="700" w:right="540"/>
        <w:spacing w:after="0" w:line="263" w:lineRule="auto"/>
        <w:rPr>
          <w:sz w:val="20"/>
          <w:szCs w:val="20"/>
          <w:color w:val="auto"/>
        </w:rPr>
      </w:pPr>
      <w:r>
        <w:rPr>
          <w:rFonts w:ascii="Arial" w:cs="Arial" w:eastAsia="Arial" w:hAnsi="Arial"/>
          <w:sz w:val="20"/>
          <w:szCs w:val="20"/>
          <w:color w:val="auto"/>
        </w:rPr>
        <w:t>a decrease in water revenues of $748 as a result of an advisory for some of our water utility customers served by our Illinois subsidiary. We expect this decrease in revenues to continue into the second half of 2020.</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5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Operations and maintenance expenses increased by $69,482 or 41.9%, primarily due to:</w:t>
      </w:r>
    </w:p>
    <w:p>
      <w:pPr>
        <w:spacing w:after="0" w:line="213" w:lineRule="exact"/>
        <w:rPr>
          <w:sz w:val="20"/>
          <w:szCs w:val="20"/>
          <w:color w:val="auto"/>
        </w:rPr>
      </w:pPr>
    </w:p>
    <w:p>
      <w:pPr>
        <w:ind w:left="700" w:right="200"/>
        <w:spacing w:after="0" w:line="234" w:lineRule="auto"/>
        <w:rPr>
          <w:sz w:val="20"/>
          <w:szCs w:val="20"/>
          <w:color w:val="auto"/>
        </w:rPr>
      </w:pPr>
      <w:r>
        <w:rPr>
          <w:rFonts w:ascii="Arial" w:cs="Arial" w:eastAsia="Arial" w:hAnsi="Arial"/>
          <w:sz w:val="21"/>
          <w:szCs w:val="21"/>
          <w:color w:val="auto"/>
        </w:rPr>
        <w:t>operating costs of $61,580 associated with the Peoples Gas Acquisition, including expenses attributed to the COVID-19 pandemic of $1,110;</w:t>
      </w:r>
    </w:p>
    <w:p>
      <w:pPr>
        <w:spacing w:after="0" w:line="2" w:lineRule="exact"/>
        <w:rPr>
          <w:sz w:val="20"/>
          <w:szCs w:val="20"/>
          <w:color w:val="auto"/>
        </w:rPr>
      </w:pPr>
    </w:p>
    <w:p>
      <w:pPr>
        <w:jc w:val="both"/>
        <w:ind w:left="700"/>
        <w:spacing w:after="0" w:line="237" w:lineRule="auto"/>
        <w:rPr>
          <w:sz w:val="20"/>
          <w:szCs w:val="20"/>
          <w:color w:val="auto"/>
        </w:rPr>
      </w:pPr>
      <w:r>
        <w:rPr>
          <w:rFonts w:ascii="Arial" w:cs="Arial" w:eastAsia="Arial" w:hAnsi="Arial"/>
          <w:sz w:val="20"/>
          <w:szCs w:val="20"/>
          <w:color w:val="auto"/>
        </w:rPr>
        <w:t>transaction expenses of $25,397 incurred in the first six months of 2020 as compared to $19,390 in the first six months of 2019 for the Peoples Gas Acquisition, primarily representing expenses associated with investment banking fees, employee related expenses, obtaining regulatory approvals, legal expenses and integration planning;</w:t>
      </w:r>
    </w:p>
    <w:p>
      <w:pPr>
        <w:spacing w:after="0" w:line="1" w:lineRule="exact"/>
        <w:rPr>
          <w:sz w:val="20"/>
          <w:szCs w:val="20"/>
          <w:color w:val="auto"/>
        </w:rPr>
      </w:pPr>
    </w:p>
    <w:p>
      <w:pPr>
        <w:ind w:left="700" w:right="280"/>
        <w:spacing w:after="0" w:line="225" w:lineRule="auto"/>
        <w:rPr>
          <w:sz w:val="20"/>
          <w:szCs w:val="20"/>
          <w:color w:val="auto"/>
        </w:rPr>
      </w:pPr>
      <w:r>
        <w:rPr>
          <w:rFonts w:ascii="Arial" w:cs="Arial" w:eastAsia="Arial" w:hAnsi="Arial"/>
          <w:sz w:val="21"/>
          <w:szCs w:val="21"/>
          <w:color w:val="auto"/>
        </w:rPr>
        <w:t>additional operating costs associated with acquired and pending acquisitions of water and wastewater utility systems of $2,327;</w:t>
      </w:r>
    </w:p>
    <w:p>
      <w:pPr>
        <w:spacing w:after="0" w:line="2" w:lineRule="exact"/>
        <w:rPr>
          <w:sz w:val="20"/>
          <w:szCs w:val="20"/>
          <w:color w:val="auto"/>
        </w:rPr>
      </w:pPr>
    </w:p>
    <w:p>
      <w:pPr>
        <w:ind w:left="700" w:right="40"/>
        <w:spacing w:after="0" w:line="237" w:lineRule="auto"/>
        <w:rPr>
          <w:sz w:val="20"/>
          <w:szCs w:val="20"/>
          <w:color w:val="auto"/>
        </w:rPr>
      </w:pPr>
      <w:r>
        <w:rPr>
          <w:rFonts w:ascii="Arial" w:cs="Arial" w:eastAsia="Arial" w:hAnsi="Arial"/>
          <w:sz w:val="20"/>
          <w:szCs w:val="20"/>
          <w:color w:val="auto"/>
        </w:rPr>
        <w:t>additional expenses of $2,024 associated with the COVID-19 pandemic for our water utility operations consisting primarily of bad debt expense of $1,810, the purchase of personal protective equipment and disinfecting supplies of $641, which are offset by decreases in travel expenses, office supplies, and office utility expenses; and</w:t>
      </w:r>
    </w:p>
    <w:p>
      <w:pPr>
        <w:spacing w:after="0" w:line="1" w:lineRule="exact"/>
        <w:rPr>
          <w:sz w:val="20"/>
          <w:szCs w:val="20"/>
          <w:color w:val="auto"/>
        </w:rPr>
      </w:pPr>
    </w:p>
    <w:p>
      <w:pPr>
        <w:jc w:val="both"/>
        <w:ind w:left="700" w:right="80"/>
        <w:spacing w:after="0" w:line="225" w:lineRule="auto"/>
        <w:rPr>
          <w:sz w:val="20"/>
          <w:szCs w:val="20"/>
          <w:color w:val="auto"/>
        </w:rPr>
      </w:pPr>
      <w:r>
        <w:rPr>
          <w:rFonts w:ascii="Arial" w:cs="Arial" w:eastAsia="Arial" w:hAnsi="Arial"/>
          <w:sz w:val="21"/>
          <w:szCs w:val="21"/>
          <w:color w:val="auto"/>
        </w:rPr>
        <w:t>expenses of $1,057 associated with remediating an advisory for some of our water utility customers served by our Illinois subsidiary. We expect that the expenses associated with remediating the advisory to continue in the second half of 2020; offset by</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 decrease in our self-insured employee medical plan benefits of $1,177.</w:t>
      </w:r>
    </w:p>
    <w:p>
      <w:pPr>
        <w:spacing w:after="0" w:line="302" w:lineRule="exact"/>
        <w:rPr>
          <w:sz w:val="20"/>
          <w:szCs w:val="20"/>
          <w:color w:val="auto"/>
        </w:rPr>
      </w:pPr>
    </w:p>
    <w:p>
      <w:pPr>
        <w:ind w:right="460"/>
        <w:spacing w:after="0" w:line="256" w:lineRule="auto"/>
        <w:rPr>
          <w:sz w:val="20"/>
          <w:szCs w:val="20"/>
          <w:color w:val="auto"/>
        </w:rPr>
      </w:pPr>
      <w:r>
        <w:rPr>
          <w:rFonts w:ascii="Arial" w:cs="Arial" w:eastAsia="Arial" w:hAnsi="Arial"/>
          <w:sz w:val="21"/>
          <w:szCs w:val="21"/>
          <w:color w:val="auto"/>
        </w:rPr>
        <w:t>Purchased gas of $56,190 represents the cost of gas sold by Peoples during the period since the acquisition date of March 16, 2020. There were no corresponding amounts in prior periods.</w:t>
      </w:r>
    </w:p>
    <w:p>
      <w:pPr>
        <w:spacing w:after="0" w:line="167" w:lineRule="exact"/>
        <w:rPr>
          <w:sz w:val="20"/>
          <w:szCs w:val="20"/>
          <w:color w:val="auto"/>
        </w:rPr>
      </w:pPr>
    </w:p>
    <w:p>
      <w:pPr>
        <w:ind w:right="580"/>
        <w:spacing w:after="0" w:line="281" w:lineRule="auto"/>
        <w:rPr>
          <w:sz w:val="20"/>
          <w:szCs w:val="20"/>
          <w:color w:val="auto"/>
        </w:rPr>
      </w:pPr>
      <w:r>
        <w:rPr>
          <w:rFonts w:ascii="Arial" w:cs="Arial" w:eastAsia="Arial" w:hAnsi="Arial"/>
          <w:sz w:val="20"/>
          <w:szCs w:val="20"/>
          <w:color w:val="auto"/>
        </w:rPr>
        <w:t>Depreciation expense increased by $34,867 or 44.3%, primarily due to depreciation expense of $29,854 associated with our completion of the Peoples Gas Acquisition and the utility plant placed in service since June 30, 2019.</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auto"/>
        </w:rPr>
        <w:t>Amortization increased by $5,230 primarily due to the prior year effect of a favorable one-time adjustment recorded in the second quarter of 2019 resulting from a rate order received for our Pennsylvania water subsidiary.</w:t>
      </w:r>
    </w:p>
    <w:p>
      <w:pPr>
        <w:spacing w:after="0" w:line="167" w:lineRule="exact"/>
        <w:rPr>
          <w:sz w:val="20"/>
          <w:szCs w:val="20"/>
          <w:color w:val="auto"/>
        </w:rPr>
      </w:pPr>
    </w:p>
    <w:p>
      <w:pPr>
        <w:ind w:right="260"/>
        <w:spacing w:after="0" w:line="309" w:lineRule="auto"/>
        <w:rPr>
          <w:sz w:val="20"/>
          <w:szCs w:val="20"/>
          <w:color w:val="auto"/>
        </w:rPr>
      </w:pPr>
      <w:r>
        <w:rPr>
          <w:rFonts w:ascii="Arial" w:cs="Arial" w:eastAsia="Arial" w:hAnsi="Arial"/>
          <w:sz w:val="19"/>
          <w:szCs w:val="19"/>
          <w:color w:val="auto"/>
        </w:rPr>
        <w:t>Taxes other than income taxes increased by $6,032 or 20.2%, primarily due to increases in payroll taxes of $3,201 and property taxes of $1,913 resulting from additional expenses associated with acquired operations including the Peoples Gas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increased by $27,192 or 45.6%, primarily due to the following items: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an increase in average borrowings;</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interest of $11,221 on debt assumed in the Peoples Gas Acquisition;</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9" w:name="page50"/>
    <w:bookmarkEnd w:id="49"/>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00" w:right="40"/>
        <w:spacing w:after="0" w:line="234" w:lineRule="auto"/>
        <w:rPr>
          <w:sz w:val="20"/>
          <w:szCs w:val="20"/>
          <w:color w:val="auto"/>
        </w:rPr>
      </w:pPr>
      <w:r>
        <w:rPr>
          <w:rFonts w:ascii="Arial" w:cs="Arial" w:eastAsia="Arial" w:hAnsi="Arial"/>
          <w:sz w:val="21"/>
          <w:szCs w:val="21"/>
          <w:color w:val="auto"/>
        </w:rPr>
        <w:t>pre-acquisition interest expense of $3,959 from the issuance of $900,000 long-term debt and $119,081 of amortizing notes in April 2019 to partially fund the Peoples Gas Acquisition; and</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interest of $1,399 on the Company’s $500,000 term loan to provide liquidity during the COVID-19 pandemic, which was</w:t>
      </w:r>
    </w:p>
    <w:p>
      <w:pPr>
        <w:ind w:left="700"/>
        <w:spacing w:after="0" w:line="234" w:lineRule="auto"/>
        <w:rPr>
          <w:sz w:val="20"/>
          <w:szCs w:val="20"/>
          <w:color w:val="auto"/>
        </w:rPr>
      </w:pPr>
      <w:r>
        <w:rPr>
          <w:rFonts w:ascii="Arial" w:cs="Arial" w:eastAsia="Arial" w:hAnsi="Arial"/>
          <w:sz w:val="21"/>
          <w:szCs w:val="21"/>
          <w:color w:val="auto"/>
        </w:rPr>
        <w:t>repaid in May and June 2020; offset by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 decrease in our effective interest rate.</w:t>
      </w:r>
    </w:p>
    <w:p>
      <w:pPr>
        <w:spacing w:after="0" w:line="302"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Interest income decreased by $3,206 or 38.0%, primarily due to the utilization of the proceeds held from our April 2019 equity and debt offerings to close the Peoples Gas Acquisition on March 16, 2020.</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21"/>
          <w:szCs w:val="21"/>
          <w:color w:val="auto"/>
        </w:rPr>
        <w:t>Allowance for funds used during construction (“AFUDC”) decreased by $2,489 due to a decrease in the average balance of utility plant construction work in progress, to which AFUDC is applied.</w:t>
      </w:r>
    </w:p>
    <w:p>
      <w:pPr>
        <w:spacing w:after="0" w:line="167" w:lineRule="exact"/>
        <w:rPr>
          <w:sz w:val="20"/>
          <w:szCs w:val="20"/>
          <w:color w:val="auto"/>
        </w:rPr>
      </w:pPr>
    </w:p>
    <w:p>
      <w:pPr>
        <w:ind w:right="420"/>
        <w:spacing w:after="0" w:line="241" w:lineRule="auto"/>
        <w:rPr>
          <w:sz w:val="20"/>
          <w:szCs w:val="20"/>
          <w:color w:val="auto"/>
        </w:rPr>
      </w:pPr>
      <w:r>
        <w:rPr>
          <w:rFonts w:ascii="Arial" w:cs="Arial" w:eastAsia="Arial" w:hAnsi="Arial"/>
          <w:sz w:val="21"/>
          <w:szCs w:val="21"/>
          <w:color w:val="auto"/>
        </w:rPr>
        <w:t>The increase in the change in the fair value of interest rate swap agreements of $23,742 represents the prior year effect of the expense recognized on the mark-to-market adjustment recognized during the first six months of 2019 of our interest rate swap agreement, which was entered into on October 23, 2018 and was settled on April 24, 2019.</w:t>
      </w:r>
    </w:p>
    <w:p>
      <w:pPr>
        <w:spacing w:after="0" w:line="182"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color w:val="auto"/>
        </w:rPr>
        <w:t>The loss on debt extinguishment of $18,935 incurred in the second quarter of 2019 resulted from the extinguishment of $313,500 of existing debt that was refinanced in May 2019.</w:t>
      </w:r>
    </w:p>
    <w:p>
      <w:pPr>
        <w:spacing w:after="0" w:line="167" w:lineRule="exact"/>
        <w:rPr>
          <w:sz w:val="20"/>
          <w:szCs w:val="20"/>
          <w:color w:val="auto"/>
        </w:rPr>
      </w:pPr>
    </w:p>
    <w:p>
      <w:pPr>
        <w:ind w:right="180"/>
        <w:spacing w:after="0" w:line="256" w:lineRule="auto"/>
        <w:rPr>
          <w:sz w:val="20"/>
          <w:szCs w:val="20"/>
          <w:color w:val="auto"/>
        </w:rPr>
      </w:pPr>
      <w:r>
        <w:rPr>
          <w:rFonts w:ascii="Arial" w:cs="Arial" w:eastAsia="Arial" w:hAnsi="Arial"/>
          <w:sz w:val="21"/>
          <w:szCs w:val="21"/>
          <w:color w:val="auto"/>
        </w:rPr>
        <w:t>Equity earnings in joint venture decreased by $1,440 due to a decrease in the sale of raw water to firms in the natural gas drilling industry.</w:t>
      </w:r>
    </w:p>
    <w:p>
      <w:pPr>
        <w:spacing w:after="0" w:line="167" w:lineRule="exact"/>
        <w:rPr>
          <w:sz w:val="20"/>
          <w:szCs w:val="20"/>
          <w:color w:val="auto"/>
        </w:rPr>
      </w:pPr>
    </w:p>
    <w:p>
      <w:pPr>
        <w:ind w:right="420"/>
        <w:spacing w:after="0" w:line="256" w:lineRule="auto"/>
        <w:rPr>
          <w:sz w:val="20"/>
          <w:szCs w:val="20"/>
          <w:color w:val="auto"/>
        </w:rPr>
      </w:pPr>
      <w:r>
        <w:rPr>
          <w:rFonts w:ascii="Arial" w:cs="Arial" w:eastAsia="Arial" w:hAnsi="Arial"/>
          <w:sz w:val="21"/>
          <w:szCs w:val="21"/>
          <w:color w:val="auto"/>
        </w:rPr>
        <w:t>Other decreased by $1,827 primarily due to an decrease in the non-service cost components of our net benefit cost for pension benefits.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Our effective income tax rate was (5.6)% in the first six months of 2020 and (16.8)% in the first six months of 2019. The effective income tax rate increased due to the increase in our income before income taxes of $58,262. The Company’s provision for income taxes represents an income tax benefit due to the effects of tax deductions recognized for certain qualifying infrastructure improvements for Aqua Pennsylvania and Peoples. On March 31, 2020, we changed the method of tax accounting for certain qualifying infrastructure investments at Peoples Natural Gas, our largest natural gas subsidiary in Pennsylvania, which provided for a reduction to income tax expense of $11,176 due to the flow-through treatment of the current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Net income increased by $54,583 primarily as a result of the factors described above.</w:t>
      </w:r>
    </w:p>
    <w:p>
      <w:pPr>
        <w:spacing w:after="0" w:line="213" w:lineRule="exact"/>
        <w:rPr>
          <w:sz w:val="20"/>
          <w:szCs w:val="20"/>
          <w:color w:val="auto"/>
        </w:rPr>
      </w:pPr>
    </w:p>
    <w:p>
      <w:pPr>
        <w:ind w:left="3480"/>
        <w:spacing w:after="0"/>
        <w:rPr>
          <w:sz w:val="20"/>
          <w:szCs w:val="20"/>
          <w:color w:val="auto"/>
        </w:rPr>
      </w:pPr>
      <w:r>
        <w:rPr>
          <w:rFonts w:ascii="Arial" w:cs="Arial" w:eastAsia="Arial" w:hAnsi="Arial"/>
          <w:sz w:val="21"/>
          <w:szCs w:val="21"/>
          <w:u w:val="single" w:color="auto"/>
          <w:color w:val="auto"/>
        </w:rPr>
        <w:t>Results of Operations – Regulated Water Segment</w:t>
      </w:r>
    </w:p>
    <w:p>
      <w:pPr>
        <w:spacing w:after="0" w:line="213" w:lineRule="exact"/>
        <w:rPr>
          <w:sz w:val="20"/>
          <w:szCs w:val="20"/>
          <w:color w:val="auto"/>
        </w:rPr>
      </w:pPr>
    </w:p>
    <w:p>
      <w:pPr>
        <w:ind w:right="380"/>
        <w:spacing w:after="0" w:line="234" w:lineRule="auto"/>
        <w:rPr>
          <w:sz w:val="20"/>
          <w:szCs w:val="20"/>
          <w:color w:val="auto"/>
        </w:rPr>
      </w:pPr>
      <w:r>
        <w:rPr>
          <w:rFonts w:ascii="Arial" w:cs="Arial" w:eastAsia="Arial" w:hAnsi="Arial"/>
          <w:sz w:val="21"/>
          <w:szCs w:val="21"/>
          <w:color w:val="auto"/>
        </w:rPr>
        <w:t>Our Regulated Water segment is comprised of eight operating segments representing its water and wastewater regulated utility companies which are organized by the states where the Company provides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 thousands of dollars, except per share amounts)</w:t>
      </w:r>
    </w:p>
    <w:p>
      <w:pPr>
        <w:spacing w:after="0" w:line="195" w:lineRule="exact"/>
        <w:rPr>
          <w:sz w:val="20"/>
          <w:szCs w:val="20"/>
          <w:color w:val="auto"/>
        </w:rPr>
      </w:pPr>
    </w:p>
    <w:p>
      <w:pPr>
        <w:ind w:right="160"/>
        <w:spacing w:after="0" w:line="256" w:lineRule="auto"/>
        <w:rPr>
          <w:sz w:val="20"/>
          <w:szCs w:val="20"/>
          <w:color w:val="auto"/>
        </w:rPr>
      </w:pPr>
      <w:r>
        <w:rPr>
          <w:rFonts w:ascii="Arial" w:cs="Arial" w:eastAsia="Arial" w:hAnsi="Arial"/>
          <w:sz w:val="21"/>
          <w:szCs w:val="21"/>
          <w:color w:val="auto"/>
        </w:rPr>
        <w:t>water and wastewater services. The Regulated Water segment is aggregated into one reportable segment and for a discussion and analysis of the segment operating results, refer to the consolidated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Results of Operations – Regulated Natural Gas Segment</w:t>
      </w:r>
    </w:p>
    <w:p>
      <w:pPr>
        <w:spacing w:after="0" w:line="213"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Upon closing on the Peoples Gas Acquisition on March 16, 2020, the operating results since the acquisition date comprises our Regulated Natural Gas segment. 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62"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does not impact gross margin or operating income. Management uses gross margin, a non-GAAP financial measure, defined as operating revenues less purchased gas expense, to analyze the financial performance of our Regulated Natural Gas segment’s financial performance, as management believes gross margin provides a meaningful basis for evaluating our natural gas utility operations since purchased gas expenses are included in operating revenue and passed through to customers. The following table includes the operating results for our Regulated Natural Gas segment for the period since the acquisition date of March 16,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2"/>
          </w:tcPr>
          <w:p>
            <w:pPr>
              <w:jc w:val="center"/>
              <w:ind w:right="620"/>
              <w:spacing w:after="0"/>
              <w:rPr>
                <w:sz w:val="20"/>
                <w:szCs w:val="20"/>
                <w:color w:val="auto"/>
              </w:rPr>
            </w:pPr>
            <w:r>
              <w:rPr>
                <w:rFonts w:ascii="Arial" w:cs="Arial" w:eastAsia="Arial" w:hAnsi="Arial"/>
                <w:sz w:val="21"/>
                <w:szCs w:val="21"/>
                <w:color w:val="auto"/>
                <w:w w:val="91"/>
              </w:rPr>
              <w:t>Three Months Ended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jc w:val="right"/>
              <w:ind w:right="533"/>
              <w:spacing w:after="0"/>
              <w:rPr>
                <w:sz w:val="20"/>
                <w:szCs w:val="20"/>
                <w:color w:val="auto"/>
              </w:rPr>
            </w:pPr>
            <w:r>
              <w:rPr>
                <w:rFonts w:ascii="Arial" w:cs="Arial" w:eastAsia="Arial" w:hAnsi="Arial"/>
                <w:sz w:val="21"/>
                <w:szCs w:val="21"/>
                <w:color w:val="auto"/>
              </w:rPr>
              <w:t>Six Months Ended</w:t>
            </w:r>
          </w:p>
        </w:tc>
      </w:tr>
      <w:tr>
        <w:trPr>
          <w:trHeight w:val="249"/>
        </w:trPr>
        <w:tc>
          <w:tcPr>
            <w:tcW w:w="4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20" w:type="dxa"/>
            <w:vAlign w:val="bottom"/>
            <w:gridSpan w:val="2"/>
          </w:tcPr>
          <w:p>
            <w:pPr>
              <w:jc w:val="center"/>
              <w:ind w:right="620"/>
              <w:spacing w:after="0"/>
              <w:rPr>
                <w:sz w:val="20"/>
                <w:szCs w:val="20"/>
                <w:color w:val="auto"/>
              </w:rPr>
            </w:pPr>
            <w:r>
              <w:rPr>
                <w:rFonts w:ascii="Arial" w:cs="Arial" w:eastAsia="Arial" w:hAnsi="Arial"/>
                <w:sz w:val="21"/>
                <w:szCs w:val="21"/>
                <w:color w:val="auto"/>
                <w:w w:val="90"/>
              </w:rPr>
              <w:t>June 30, 2020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00" w:type="dxa"/>
            <w:vAlign w:val="bottom"/>
          </w:tcPr>
          <w:p>
            <w:pPr>
              <w:jc w:val="right"/>
              <w:ind w:right="733"/>
              <w:spacing w:after="0"/>
              <w:rPr>
                <w:sz w:val="20"/>
                <w:szCs w:val="20"/>
                <w:color w:val="auto"/>
              </w:rPr>
            </w:pPr>
            <w:r>
              <w:rPr>
                <w:rFonts w:ascii="Arial" w:cs="Arial" w:eastAsia="Arial" w:hAnsi="Arial"/>
                <w:sz w:val="21"/>
                <w:szCs w:val="21"/>
                <w:color w:val="auto"/>
              </w:rPr>
              <w:t>June 30, 2020</w:t>
            </w:r>
          </w:p>
        </w:tc>
      </w:tr>
      <w:tr>
        <w:trPr>
          <w:trHeight w:val="221"/>
        </w:trPr>
        <w:tc>
          <w:tcPr>
            <w:tcW w:w="4020" w:type="dxa"/>
            <w:vAlign w:val="bottom"/>
            <w:tcBorders>
              <w:top w:val="single" w:sz="8" w:color="CCEEFF"/>
            </w:tcBorders>
            <w:shd w:val="clear" w:color="auto" w:fill="CCEEFF"/>
          </w:tcPr>
          <w:p>
            <w:pPr>
              <w:spacing w:after="0" w:line="221" w:lineRule="exact"/>
              <w:rPr>
                <w:sz w:val="20"/>
                <w:szCs w:val="20"/>
                <w:color w:val="auto"/>
              </w:rPr>
            </w:pPr>
            <w:r>
              <w:rPr>
                <w:rFonts w:ascii="Arial" w:cs="Arial" w:eastAsia="Arial" w:hAnsi="Arial"/>
                <w:sz w:val="21"/>
                <w:szCs w:val="21"/>
                <w:color w:val="auto"/>
              </w:rPr>
              <w:t>Operating revenues</w:t>
            </w:r>
          </w:p>
        </w:tc>
        <w:tc>
          <w:tcPr>
            <w:tcW w:w="9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73"/>
              <w:spacing w:after="0" w:line="221" w:lineRule="exact"/>
              <w:rPr>
                <w:sz w:val="20"/>
                <w:szCs w:val="20"/>
                <w:color w:val="auto"/>
              </w:rPr>
            </w:pPr>
            <w:r>
              <w:rPr>
                <w:rFonts w:ascii="Arial" w:cs="Arial" w:eastAsia="Arial" w:hAnsi="Arial"/>
                <w:sz w:val="21"/>
                <w:szCs w:val="21"/>
                <w:color w:val="auto"/>
                <w:w w:val="85"/>
              </w:rPr>
              <w:t>$</w:t>
            </w:r>
          </w:p>
        </w:tc>
        <w:tc>
          <w:tcPr>
            <w:tcW w:w="278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146,880</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500" w:type="dxa"/>
            <w:vAlign w:val="bottom"/>
            <w:tcBorders>
              <w:top w:val="single" w:sz="8" w:color="auto"/>
            </w:tcBorders>
            <w:shd w:val="clear" w:color="auto" w:fill="CCEEFF"/>
          </w:tcPr>
          <w:p>
            <w:pPr>
              <w:jc w:val="right"/>
              <w:spacing w:after="0" w:line="221" w:lineRule="exact"/>
              <w:rPr>
                <w:sz w:val="20"/>
                <w:szCs w:val="20"/>
                <w:color w:val="auto"/>
              </w:rPr>
            </w:pPr>
            <w:r>
              <w:rPr>
                <w:rFonts w:ascii="Arial" w:cs="Arial" w:eastAsia="Arial" w:hAnsi="Arial"/>
                <w:sz w:val="21"/>
                <w:szCs w:val="21"/>
                <w:color w:val="auto"/>
              </w:rPr>
              <w:t>184,915</w:t>
            </w:r>
          </w:p>
        </w:tc>
      </w:tr>
      <w:tr>
        <w:trPr>
          <w:trHeight w:val="227"/>
        </w:trPr>
        <w:tc>
          <w:tcPr>
            <w:tcW w:w="4020" w:type="dxa"/>
            <w:vAlign w:val="bottom"/>
            <w:tcBorders>
              <w:bottom w:val="single" w:sz="8" w:color="CCEEFF"/>
            </w:tcBorders>
          </w:tcPr>
          <w:p>
            <w:pPr>
              <w:spacing w:after="0" w:line="227" w:lineRule="exact"/>
              <w:rPr>
                <w:sz w:val="20"/>
                <w:szCs w:val="20"/>
                <w:color w:val="auto"/>
              </w:rPr>
            </w:pPr>
            <w:r>
              <w:rPr>
                <w:rFonts w:ascii="Arial" w:cs="Arial" w:eastAsia="Arial" w:hAnsi="Arial"/>
                <w:sz w:val="21"/>
                <w:szCs w:val="21"/>
                <w:color w:val="auto"/>
              </w:rPr>
              <w:t>Purchased gas</w:t>
            </w:r>
          </w:p>
        </w:tc>
        <w:tc>
          <w:tcPr>
            <w:tcW w:w="9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41,593</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53,966</w:t>
            </w:r>
          </w:p>
        </w:tc>
      </w:tr>
      <w:tr>
        <w:trPr>
          <w:trHeight w:val="221"/>
        </w:trPr>
        <w:tc>
          <w:tcPr>
            <w:tcW w:w="4020" w:type="dxa"/>
            <w:vAlign w:val="bottom"/>
            <w:shd w:val="clear" w:color="auto" w:fill="CCEEFF"/>
          </w:tcPr>
          <w:p>
            <w:pPr>
              <w:spacing w:after="0" w:line="221" w:lineRule="exact"/>
              <w:rPr>
                <w:sz w:val="20"/>
                <w:szCs w:val="20"/>
                <w:color w:val="auto"/>
              </w:rPr>
            </w:pPr>
            <w:r>
              <w:rPr>
                <w:rFonts w:ascii="Arial" w:cs="Arial" w:eastAsia="Arial" w:hAnsi="Arial"/>
                <w:sz w:val="21"/>
                <w:szCs w:val="21"/>
                <w:color w:val="auto"/>
              </w:rPr>
              <w:t>Gross margin (non-GAAP)</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105,287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line="221" w:lineRule="exact"/>
              <w:rPr>
                <w:sz w:val="20"/>
                <w:szCs w:val="20"/>
                <w:color w:val="auto"/>
              </w:rPr>
            </w:pPr>
            <w:r>
              <w:rPr>
                <w:rFonts w:ascii="Arial" w:cs="Arial" w:eastAsia="Arial" w:hAnsi="Arial"/>
                <w:sz w:val="21"/>
                <w:szCs w:val="21"/>
                <w:color w:val="auto"/>
              </w:rPr>
              <w:t>130,949</w:t>
            </w:r>
          </w:p>
        </w:tc>
      </w:tr>
      <w:tr>
        <w:trPr>
          <w:trHeight w:val="227"/>
        </w:trPr>
        <w:tc>
          <w:tcPr>
            <w:tcW w:w="4020" w:type="dxa"/>
            <w:vAlign w:val="bottom"/>
          </w:tcPr>
          <w:p>
            <w:pPr>
              <w:spacing w:after="0" w:line="227" w:lineRule="exact"/>
              <w:rPr>
                <w:sz w:val="20"/>
                <w:szCs w:val="20"/>
                <w:color w:val="auto"/>
              </w:rPr>
            </w:pPr>
            <w:r>
              <w:rPr>
                <w:rFonts w:ascii="Arial" w:cs="Arial" w:eastAsia="Arial" w:hAnsi="Arial"/>
                <w:sz w:val="21"/>
                <w:szCs w:val="21"/>
                <w:color w:val="auto"/>
              </w:rPr>
              <w:t>Operations and maintenance</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80" w:type="dxa"/>
            <w:vAlign w:val="bottom"/>
          </w:tcPr>
          <w:p>
            <w:pPr>
              <w:jc w:val="right"/>
              <w:spacing w:after="0" w:line="227" w:lineRule="exact"/>
              <w:rPr>
                <w:sz w:val="20"/>
                <w:szCs w:val="20"/>
                <w:color w:val="auto"/>
              </w:rPr>
            </w:pPr>
            <w:r>
              <w:rPr>
                <w:rFonts w:ascii="Arial" w:cs="Arial" w:eastAsia="Arial" w:hAnsi="Arial"/>
                <w:sz w:val="21"/>
                <w:szCs w:val="21"/>
                <w:color w:val="auto"/>
              </w:rPr>
              <w:t>50,876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jc w:val="right"/>
              <w:spacing w:after="0" w:line="227" w:lineRule="exact"/>
              <w:rPr>
                <w:sz w:val="20"/>
                <w:szCs w:val="20"/>
                <w:color w:val="auto"/>
              </w:rPr>
            </w:pPr>
            <w:r>
              <w:rPr>
                <w:rFonts w:ascii="Arial" w:cs="Arial" w:eastAsia="Arial" w:hAnsi="Arial"/>
                <w:sz w:val="21"/>
                <w:szCs w:val="21"/>
                <w:color w:val="auto"/>
              </w:rPr>
              <w:t>59,533</w:t>
            </w:r>
          </w:p>
        </w:tc>
      </w:tr>
      <w:tr>
        <w:trPr>
          <w:trHeight w:val="227"/>
        </w:trPr>
        <w:tc>
          <w:tcPr>
            <w:tcW w:w="40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Depreciation</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25,460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29,828</w:t>
            </w:r>
          </w:p>
        </w:tc>
      </w:tr>
      <w:tr>
        <w:trPr>
          <w:trHeight w:val="227"/>
        </w:trPr>
        <w:tc>
          <w:tcPr>
            <w:tcW w:w="4020" w:type="dxa"/>
            <w:vAlign w:val="bottom"/>
          </w:tcPr>
          <w:p>
            <w:pPr>
              <w:spacing w:after="0" w:line="227" w:lineRule="exact"/>
              <w:rPr>
                <w:sz w:val="20"/>
                <w:szCs w:val="20"/>
                <w:color w:val="auto"/>
              </w:rPr>
            </w:pPr>
            <w:r>
              <w:rPr>
                <w:rFonts w:ascii="Arial" w:cs="Arial" w:eastAsia="Arial" w:hAnsi="Arial"/>
                <w:sz w:val="21"/>
                <w:szCs w:val="21"/>
                <w:color w:val="auto"/>
              </w:rPr>
              <w:t>Amortization</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80" w:type="dxa"/>
            <w:vAlign w:val="bottom"/>
          </w:tcPr>
          <w:p>
            <w:pPr>
              <w:jc w:val="right"/>
              <w:spacing w:after="0" w:line="227" w:lineRule="exact"/>
              <w:rPr>
                <w:sz w:val="20"/>
                <w:szCs w:val="20"/>
                <w:color w:val="auto"/>
              </w:rPr>
            </w:pPr>
            <w:r>
              <w:rPr>
                <w:rFonts w:ascii="Arial" w:cs="Arial" w:eastAsia="Arial" w:hAnsi="Arial"/>
                <w:sz w:val="21"/>
                <w:szCs w:val="21"/>
                <w:color w:val="auto"/>
              </w:rPr>
              <w:t>267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jc w:val="right"/>
              <w:spacing w:after="0" w:line="227" w:lineRule="exact"/>
              <w:rPr>
                <w:sz w:val="20"/>
                <w:szCs w:val="20"/>
                <w:color w:val="auto"/>
              </w:rPr>
            </w:pPr>
            <w:r>
              <w:rPr>
                <w:rFonts w:ascii="Arial" w:cs="Arial" w:eastAsia="Arial" w:hAnsi="Arial"/>
                <w:sz w:val="21"/>
                <w:szCs w:val="21"/>
                <w:color w:val="auto"/>
              </w:rPr>
              <w:t>405</w:t>
            </w:r>
          </w:p>
        </w:tc>
      </w:tr>
      <w:tr>
        <w:trPr>
          <w:trHeight w:val="227"/>
        </w:trPr>
        <w:tc>
          <w:tcPr>
            <w:tcW w:w="4020" w:type="dxa"/>
            <w:vAlign w:val="bottom"/>
            <w:shd w:val="clear" w:color="auto" w:fill="CCEEFF"/>
          </w:tcPr>
          <w:p>
            <w:pPr>
              <w:spacing w:after="0" w:line="227" w:lineRule="exact"/>
              <w:rPr>
                <w:sz w:val="20"/>
                <w:szCs w:val="20"/>
                <w:color w:val="auto"/>
              </w:rPr>
            </w:pPr>
            <w:r>
              <w:rPr>
                <w:rFonts w:ascii="Arial" w:cs="Arial" w:eastAsia="Arial" w:hAnsi="Arial"/>
                <w:sz w:val="21"/>
                <w:szCs w:val="21"/>
                <w:color w:val="auto"/>
              </w:rPr>
              <w:t>Taxes other than income taxes</w:t>
            </w:r>
          </w:p>
        </w:tc>
        <w:tc>
          <w:tcPr>
            <w:tcW w:w="9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3,991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line="227" w:lineRule="exact"/>
              <w:rPr>
                <w:sz w:val="20"/>
                <w:szCs w:val="20"/>
                <w:color w:val="auto"/>
              </w:rPr>
            </w:pPr>
            <w:r>
              <w:rPr>
                <w:rFonts w:ascii="Arial" w:cs="Arial" w:eastAsia="Arial" w:hAnsi="Arial"/>
                <w:sz w:val="21"/>
                <w:szCs w:val="21"/>
                <w:color w:val="auto"/>
              </w:rPr>
              <w:t>4,652</w:t>
            </w:r>
          </w:p>
        </w:tc>
      </w:tr>
      <w:tr>
        <w:trPr>
          <w:trHeight w:val="221"/>
        </w:trPr>
        <w:tc>
          <w:tcPr>
            <w:tcW w:w="4020" w:type="dxa"/>
            <w:vAlign w:val="bottom"/>
          </w:tcPr>
          <w:p>
            <w:pPr>
              <w:spacing w:after="0" w:line="221" w:lineRule="exact"/>
              <w:rPr>
                <w:sz w:val="20"/>
                <w:szCs w:val="20"/>
                <w:color w:val="auto"/>
              </w:rPr>
            </w:pPr>
            <w:r>
              <w:rPr>
                <w:rFonts w:ascii="Arial" w:cs="Arial" w:eastAsia="Arial" w:hAnsi="Arial"/>
                <w:sz w:val="21"/>
                <w:szCs w:val="21"/>
                <w:color w:val="auto"/>
              </w:rPr>
              <w:t>Operating income (GAAP measure)</w:t>
            </w:r>
          </w:p>
        </w:tc>
        <w:tc>
          <w:tcPr>
            <w:tcW w:w="940" w:type="dxa"/>
            <w:vAlign w:val="bottom"/>
          </w:tcPr>
          <w:p>
            <w:pPr>
              <w:spacing w:after="0"/>
              <w:rPr>
                <w:sz w:val="19"/>
                <w:szCs w:val="19"/>
                <w:color w:val="auto"/>
              </w:rPr>
            </w:pPr>
          </w:p>
        </w:tc>
        <w:tc>
          <w:tcPr>
            <w:tcW w:w="400" w:type="dxa"/>
            <w:vAlign w:val="bottom"/>
            <w:tcBorders>
              <w:bottom w:val="single" w:sz="8" w:color="auto"/>
            </w:tcBorders>
          </w:tcPr>
          <w:p>
            <w:pPr>
              <w:jc w:val="right"/>
              <w:ind w:right="173"/>
              <w:spacing w:after="0" w:line="221" w:lineRule="exact"/>
              <w:rPr>
                <w:sz w:val="20"/>
                <w:szCs w:val="20"/>
                <w:color w:val="auto"/>
              </w:rPr>
            </w:pPr>
            <w:r>
              <w:rPr>
                <w:rFonts w:ascii="Arial" w:cs="Arial" w:eastAsia="Arial" w:hAnsi="Arial"/>
                <w:sz w:val="21"/>
                <w:szCs w:val="21"/>
                <w:color w:val="auto"/>
                <w:w w:val="85"/>
              </w:rPr>
              <w:t>$</w:t>
            </w:r>
          </w:p>
        </w:tc>
        <w:tc>
          <w:tcPr>
            <w:tcW w:w="27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24,693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5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36,531</w:t>
            </w:r>
          </w:p>
        </w:tc>
      </w:tr>
      <w:tr>
        <w:trPr>
          <w:trHeight w:val="20"/>
        </w:trPr>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740"/>
        <w:spacing w:after="0" w:line="279" w:lineRule="auto"/>
        <w:rPr>
          <w:sz w:val="20"/>
          <w:szCs w:val="20"/>
          <w:color w:val="auto"/>
        </w:rPr>
      </w:pPr>
      <w:r>
        <w:rPr>
          <w:rFonts w:ascii="Arial" w:cs="Arial" w:eastAsia="Arial" w:hAnsi="Arial"/>
          <w:sz w:val="19"/>
          <w:szCs w:val="19"/>
          <w:color w:val="auto"/>
        </w:rPr>
        <w:t>The term gross margin is not intended to represent operating income, the most comparable GAAP financial measure, as an indicator of operating performance and should only be used in conjunction with income from operations. In addition, our measurement of gross margin is not necessarily comparable to similarly titled measures reported by other companies.</w:t>
      </w:r>
    </w:p>
    <w:p>
      <w:pPr>
        <w:spacing w:after="0" w:line="147" w:lineRule="exact"/>
        <w:rPr>
          <w:sz w:val="20"/>
          <w:szCs w:val="20"/>
          <w:color w:val="auto"/>
        </w:rPr>
      </w:pPr>
    </w:p>
    <w:p>
      <w:pPr>
        <w:ind w:right="100"/>
        <w:spacing w:after="0" w:line="231" w:lineRule="auto"/>
        <w:rPr>
          <w:sz w:val="20"/>
          <w:szCs w:val="20"/>
          <w:color w:val="auto"/>
        </w:rPr>
      </w:pPr>
      <w:r>
        <w:rPr>
          <w:rFonts w:ascii="Arial" w:cs="Arial" w:eastAsia="Arial" w:hAnsi="Arial"/>
          <w:sz w:val="21"/>
          <w:szCs w:val="21"/>
          <w:color w:val="auto"/>
        </w:rPr>
        <w:t>On March 31, 2020, we changed the method of tax accounting for certain qualifying infrastructure investments at Peoples Natural Gas, our largest natural gas subsidiary in Pennsylvania, which provided for a reduction to income tax expense of $11,176 due to the flow-through treatment of the current tax</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ESSENTIAL UTILITIES, INC. AND SUBSIDIARIES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MANAGEMENT’S DISCUSSION AND ANALYSIS OF</w:t>
      </w:r>
    </w:p>
    <w:p>
      <w:pPr>
        <w:jc w:val="center"/>
        <w:ind w:right="-19"/>
        <w:spacing w:after="0" w:line="229" w:lineRule="auto"/>
        <w:rPr>
          <w:sz w:val="20"/>
          <w:szCs w:val="20"/>
          <w:color w:val="auto"/>
        </w:rPr>
      </w:pPr>
      <w:r>
        <w:rPr>
          <w:rFonts w:ascii="Arial" w:cs="Arial" w:eastAsia="Arial" w:hAnsi="Arial"/>
          <w:sz w:val="21"/>
          <w:szCs w:val="21"/>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thousands of dollars, except per share amounts)</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benefits. In addition, since the date of acquisition of March 16, 2020, operating revenues of $188,181, operations and maintenance expenses of $61,580, and earnings of $31,753 were included in our consolidated operating results reflecting our regulated and non-regulated natural gas operations.</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1"/>
          <w:szCs w:val="21"/>
          <w:u w:val="single" w:color="auto"/>
          <w:color w:val="auto"/>
        </w:rPr>
        <w:t>Impact of Recent Accounting Pronouncements</w:t>
      </w: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21"/>
          <w:szCs w:val="21"/>
          <w:color w:val="auto"/>
        </w:rPr>
        <w:t xml:space="preserve">We describe the impact of recent accounting pronouncements in Note 17, </w:t>
      </w:r>
      <w:r>
        <w:rPr>
          <w:rFonts w:ascii="Arial" w:cs="Arial" w:eastAsia="Arial" w:hAnsi="Arial"/>
          <w:sz w:val="21"/>
          <w:szCs w:val="21"/>
          <w:i w:val="1"/>
          <w:iCs w:val="1"/>
          <w:color w:val="auto"/>
        </w:rPr>
        <w:t>Recent Accounting Pronouncements</w:t>
      </w:r>
      <w:r>
        <w:rPr>
          <w:rFonts w:ascii="Arial" w:cs="Arial" w:eastAsia="Arial" w:hAnsi="Arial"/>
          <w:sz w:val="21"/>
          <w:szCs w:val="21"/>
          <w:color w:val="auto"/>
        </w:rPr>
        <w:t>, to the consolidated financial statements in this report.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3 – Quantitative and Qualitative Disclosures About Market Risk</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We are subject to market risks in the normal course of business, including changes in interest rates and equity prices. Volatile equity market conditions arising from the COVID-19 pandemic may result in our pension and other post-retirement plans’ assets market values suffering a decline, which could increase our required cash contributions to the plans and expense in subsequent years. Refer to Item 7A of the Company’s Annual Report on Form 10-K for the year ended December 31, 2019, filed February 28, 2020, for additional information on market risks.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Item 4 – Controls and Procedures</w:t>
      </w:r>
    </w:p>
    <w:p>
      <w:pPr>
        <w:spacing w:after="0" w:line="213" w:lineRule="exact"/>
        <w:rPr>
          <w:sz w:val="20"/>
          <w:szCs w:val="20"/>
          <w:color w:val="auto"/>
        </w:rPr>
      </w:pPr>
    </w:p>
    <w:p>
      <w:pPr>
        <w:ind w:left="640" w:hanging="63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Evaluation of Disclosure Controls and Procedures</w:t>
      </w:r>
    </w:p>
    <w:p>
      <w:pPr>
        <w:spacing w:after="0" w:line="21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82" w:lineRule="exact"/>
        <w:rPr>
          <w:sz w:val="20"/>
          <w:szCs w:val="20"/>
          <w:color w:val="auto"/>
        </w:rPr>
      </w:pPr>
    </w:p>
    <w:p>
      <w:pPr>
        <w:ind w:left="640" w:hanging="63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w:t>
      </w:r>
    </w:p>
    <w:p>
      <w:pPr>
        <w:spacing w:after="0" w:line="213" w:lineRule="exact"/>
        <w:rPr>
          <w:sz w:val="20"/>
          <w:szCs w:val="20"/>
          <w:color w:val="auto"/>
        </w:rPr>
      </w:pPr>
    </w:p>
    <w:p>
      <w:pPr>
        <w:ind w:right="20"/>
        <w:spacing w:after="0" w:line="234" w:lineRule="auto"/>
        <w:rPr>
          <w:sz w:val="20"/>
          <w:szCs w:val="20"/>
          <w:color w:val="auto"/>
        </w:rPr>
      </w:pPr>
      <w:r>
        <w:rPr>
          <w:rFonts w:ascii="Arial" w:cs="Arial" w:eastAsia="Arial" w:hAnsi="Arial"/>
          <w:sz w:val="21"/>
          <w:szCs w:val="21"/>
          <w:color w:val="auto"/>
        </w:rPr>
        <w:t xml:space="preserve">On March 16, 2020, we completed the Peoples Gas Acquisition. For additional information refer to Note 3 – </w:t>
      </w:r>
      <w:r>
        <w:rPr>
          <w:rFonts w:ascii="Arial" w:cs="Arial" w:eastAsia="Arial" w:hAnsi="Arial"/>
          <w:sz w:val="21"/>
          <w:szCs w:val="21"/>
          <w:i w:val="1"/>
          <w:iCs w:val="1"/>
          <w:color w:val="auto"/>
        </w:rPr>
        <w:t>Acquisitions</w:t>
      </w:r>
      <w:r>
        <w:rPr>
          <w:rFonts w:ascii="Arial" w:cs="Arial" w:eastAsia="Arial" w:hAnsi="Arial"/>
          <w:sz w:val="21"/>
          <w:szCs w:val="21"/>
          <w:color w:val="auto"/>
        </w:rPr>
        <w:t xml:space="preserve"> to the consolidated financial statements included in this report. We consider this acquisition material to our business, financial condition, and results of operations, and believe the changes in our internal controls and procedures as a result of the Peoples Gas Acquisition have a material effect on our internal control over financial reporting. We are in the process of integrating Peoples internal controls over financial reporting.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Part II.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Item 1 – Legal Proceedings</w:t>
      </w:r>
    </w:p>
    <w:p>
      <w:pPr>
        <w:spacing w:after="0" w:line="213" w:lineRule="exact"/>
        <w:rPr>
          <w:sz w:val="20"/>
          <w:szCs w:val="20"/>
          <w:color w:val="auto"/>
        </w:rPr>
      </w:pPr>
    </w:p>
    <w:p>
      <w:pPr>
        <w:ind w:right="300"/>
        <w:spacing w:after="0" w:line="237" w:lineRule="auto"/>
        <w:rPr>
          <w:sz w:val="20"/>
          <w:szCs w:val="20"/>
          <w:color w:val="auto"/>
        </w:rPr>
      </w:pPr>
      <w:r>
        <w:rPr>
          <w:rFonts w:ascii="Arial" w:cs="Arial" w:eastAsia="Arial" w:hAnsi="Arial"/>
          <w:sz w:val="21"/>
          <w:szCs w:val="21"/>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1A – Risk Factors</w:t>
      </w:r>
    </w:p>
    <w:p>
      <w:pPr>
        <w:spacing w:after="0" w:line="213" w:lineRule="exact"/>
        <w:rPr>
          <w:sz w:val="20"/>
          <w:szCs w:val="20"/>
          <w:color w:val="auto"/>
        </w:rPr>
      </w:pPr>
    </w:p>
    <w:p>
      <w:pPr>
        <w:ind w:right="60"/>
        <w:spacing w:after="0" w:line="241" w:lineRule="auto"/>
        <w:rPr>
          <w:sz w:val="20"/>
          <w:szCs w:val="20"/>
          <w:color w:val="auto"/>
        </w:rPr>
      </w:pPr>
      <w:r>
        <w:rPr>
          <w:rFonts w:ascii="Arial" w:cs="Arial" w:eastAsia="Arial" w:hAnsi="Arial"/>
          <w:sz w:val="21"/>
          <w:szCs w:val="21"/>
          <w:color w:val="auto"/>
        </w:rPr>
        <w:t>Please review the risks disclosed in our Annual Report on Form 10-K for the year ended December 31, 2019, and in our Quarterly Report on Form 10-Q for the quarter ended March 31, 2020 under “Part 1, Item 1A – Risk Factors.” In addition, we provide the following risk factors related to our business: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b w:val="1"/>
          <w:bCs w:val="1"/>
          <w:i w:val="1"/>
          <w:iCs w:val="1"/>
          <w:color w:val="212529"/>
        </w:rPr>
        <w:t>Global or regional health pandemics, epidemics or similar public health threats, including COVID-19, could negatively impact our business, outlook, financial condition, results of operations and liquidity.</w:t>
      </w:r>
    </w:p>
    <w:p>
      <w:pPr>
        <w:spacing w:after="0" w:line="167"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212529"/>
        </w:rPr>
        <w:t>Our business and financial results could be negatively impacted by the COVID-19 pandemic or other pandemics, epidemics or similar public health threats. The severity, magnitude and duration of COVID-19 is uncertain, rapidly changing and hard to predict. In 2020, COVID-19 has significantly impacted economic activity and markets around the world, including in our service areas, and it could negatively impact our business in numerous ways, including, but not limited to, those outlined below:</w:t>
      </w:r>
    </w:p>
    <w:p>
      <w:pPr>
        <w:spacing w:after="0" w:line="157" w:lineRule="exact"/>
        <w:rPr>
          <w:sz w:val="20"/>
          <w:szCs w:val="20"/>
          <w:color w:val="auto"/>
        </w:rPr>
      </w:pPr>
    </w:p>
    <w:p>
      <w:pPr>
        <w:ind w:left="640" w:right="640"/>
        <w:spacing w:after="0" w:line="234" w:lineRule="auto"/>
        <w:rPr>
          <w:sz w:val="20"/>
          <w:szCs w:val="20"/>
          <w:color w:val="auto"/>
        </w:rPr>
      </w:pPr>
      <w:r>
        <w:rPr>
          <w:rFonts w:ascii="Arial" w:cs="Arial" w:eastAsia="Arial" w:hAnsi="Arial"/>
          <w:sz w:val="21"/>
          <w:szCs w:val="21"/>
          <w:color w:val="212529"/>
        </w:rPr>
        <w:t>we have experienced reduced demand from our commercial customers and shifts in demand for our regulated utility services;</w:t>
      </w:r>
    </w:p>
    <w:p>
      <w:pPr>
        <w:spacing w:after="0" w:line="2" w:lineRule="exact"/>
        <w:rPr>
          <w:sz w:val="20"/>
          <w:szCs w:val="20"/>
          <w:color w:val="auto"/>
        </w:rPr>
      </w:pPr>
    </w:p>
    <w:p>
      <w:pPr>
        <w:ind w:left="640"/>
        <w:spacing w:after="0" w:line="225" w:lineRule="auto"/>
        <w:rPr>
          <w:sz w:val="20"/>
          <w:szCs w:val="20"/>
          <w:color w:val="auto"/>
        </w:rPr>
      </w:pPr>
      <w:r>
        <w:rPr>
          <w:rFonts w:ascii="Arial" w:cs="Arial" w:eastAsia="Arial" w:hAnsi="Arial"/>
          <w:sz w:val="21"/>
          <w:szCs w:val="21"/>
          <w:color w:val="212529"/>
        </w:rPr>
        <w:t>our ability to maintain our service to customers may be impaired because of shutdowns and/or illness and travel restrictions among our employees or employees of other companies on whom we rely;</w:t>
      </w:r>
    </w:p>
    <w:p>
      <w:pPr>
        <w:spacing w:after="0" w:line="2" w:lineRule="exact"/>
        <w:rPr>
          <w:sz w:val="20"/>
          <w:szCs w:val="20"/>
          <w:color w:val="auto"/>
        </w:rPr>
      </w:pPr>
    </w:p>
    <w:p>
      <w:pPr>
        <w:ind w:left="640" w:right="500"/>
        <w:spacing w:after="0" w:line="237" w:lineRule="auto"/>
        <w:rPr>
          <w:sz w:val="20"/>
          <w:szCs w:val="20"/>
          <w:color w:val="auto"/>
        </w:rPr>
      </w:pPr>
      <w:r>
        <w:rPr>
          <w:rFonts w:ascii="Arial" w:cs="Arial" w:eastAsia="Arial" w:hAnsi="Arial"/>
          <w:sz w:val="20"/>
          <w:szCs w:val="20"/>
          <w:color w:val="212529"/>
        </w:rPr>
        <w:t>we have experienced delays in, or inability of some of our customers are unable to pay for our services, and we are temporarily limited in our ability to disconnect service for non-payment, and state regulators may impose bill deferral programs, all of which could impact our business, results of operations, liquidity and financial condition;</w:t>
      </w:r>
    </w:p>
    <w:p>
      <w:pPr>
        <w:spacing w:after="0" w:line="1" w:lineRule="exact"/>
        <w:rPr>
          <w:sz w:val="20"/>
          <w:szCs w:val="20"/>
          <w:color w:val="auto"/>
        </w:rPr>
      </w:pPr>
    </w:p>
    <w:p>
      <w:pPr>
        <w:jc w:val="both"/>
        <w:ind w:left="640" w:right="200"/>
        <w:spacing w:after="0" w:line="225" w:lineRule="auto"/>
        <w:rPr>
          <w:sz w:val="20"/>
          <w:szCs w:val="20"/>
          <w:color w:val="auto"/>
        </w:rPr>
      </w:pPr>
      <w:r>
        <w:rPr>
          <w:rFonts w:ascii="Arial" w:cs="Arial" w:eastAsia="Arial" w:hAnsi="Arial"/>
          <w:sz w:val="21"/>
          <w:szCs w:val="21"/>
          <w:color w:val="212529"/>
        </w:rPr>
        <w:t>the COVID-19 pandemic may limit or curtail significantly or entirely the ability of public utility commissions to approve or authorize applications and other requests we may make with respect to our regulated water and natural gas businesses; and</w:t>
      </w:r>
    </w:p>
    <w:p>
      <w:pPr>
        <w:spacing w:after="0" w:line="3" w:lineRule="exact"/>
        <w:rPr>
          <w:sz w:val="20"/>
          <w:szCs w:val="20"/>
          <w:color w:val="auto"/>
        </w:rPr>
      </w:pPr>
    </w:p>
    <w:p>
      <w:pPr>
        <w:ind w:left="640" w:right="280"/>
        <w:spacing w:after="0" w:line="239" w:lineRule="auto"/>
        <w:rPr>
          <w:sz w:val="20"/>
          <w:szCs w:val="20"/>
          <w:color w:val="auto"/>
        </w:rPr>
      </w:pPr>
      <w:r>
        <w:rPr>
          <w:rFonts w:ascii="Arial" w:cs="Arial" w:eastAsia="Arial" w:hAnsi="Arial"/>
          <w:sz w:val="21"/>
          <w:szCs w:val="21"/>
          <w:color w:val="212529"/>
        </w:rPr>
        <w:t>our supply chain and our ability to complete maintenance, repairs and capital programs, could be impacted, which could result in delays and/or increased costs.</w:t>
      </w:r>
    </w:p>
    <w:p>
      <w:pPr>
        <w:spacing w:after="0" w:line="290"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212529"/>
        </w:rPr>
        <w:t>These and other impacts of COVID-19 or other global or regional health pandemics, epidemics or similar public health threats could also have the effect of heightening many of the other risks described in “Risk Factors” in the Form 10-K and the other reports we file from time to time with the SEC. We might not be able to predict or respond to all impacts on a timely basis to prevent near- or long-term adverse impacts to our results of operations, financial condition and liquidity. The ultimate impact of COVID-19 on our business depends on factors beyond our knowledge or control, including the duration and severity of the outbreak as well as third-party actions taken to contain its spread and mitigate its public health effects. Any of these factors could have a negative impact on our business, outlook, financial condition, and results of operations, which impact could be material.</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auto"/>
        </w:rPr>
        <w:t>One of the important elements of our growth strategy is the acquisition of regulated utility systems. Any acquisition we decide to undertake may involve risks. Further, competition for acquisition opportunities from other regulated utilities, governmental entities, and strategic and financial buyers may hinder our ability to grow our business. Lastly, competition and industry trends could impact our ability to retain existing natural gas customers or acquire new customers, which could have an adverse impact on our business, results of operations and financial condition.</w:t>
      </w:r>
    </w:p>
    <w:p>
      <w:pPr>
        <w:spacing w:after="0" w:line="176" w:lineRule="exact"/>
        <w:rPr>
          <w:sz w:val="20"/>
          <w:szCs w:val="20"/>
          <w:color w:val="auto"/>
        </w:rPr>
      </w:pPr>
    </w:p>
    <w:p>
      <w:pPr>
        <w:ind w:right="20"/>
        <w:spacing w:after="0" w:line="234" w:lineRule="auto"/>
        <w:rPr>
          <w:sz w:val="20"/>
          <w:szCs w:val="20"/>
          <w:color w:val="auto"/>
        </w:rPr>
      </w:pPr>
      <w:r>
        <w:rPr>
          <w:rFonts w:ascii="Arial" w:cs="Arial" w:eastAsia="Arial" w:hAnsi="Arial"/>
          <w:sz w:val="21"/>
          <w:szCs w:val="21"/>
          <w:color w:val="auto"/>
        </w:rPr>
        <w:t>One important element of our growth strategy is the acquisition and integration of regulated utility systems in order to broaden our service areas. In addition, the acquisition of Peoples is an opportunity to broaden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services to include natural gas distribution and additional states of operation. We will not be able to acquire other businesses if we cannot identify suitable acquisition opportunities or reach mutually agreeable terms with acquisition candidates. It is our intent, when practical, to integrate any businesses we acquire with our existing operations. Investing in and integrating acquisitions could require us to incur significant costs and cause diversion of our management's time and resources, and we may be unable to successfully integrate our business with acquired businesses or to realize anticipate benefits of acquisitions. Acquisitions by us could also result in: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dilutive issuances of our equity securities;</w:t>
      </w:r>
    </w:p>
    <w:p>
      <w:pPr>
        <w:ind w:left="640" w:right="4540"/>
        <w:spacing w:after="0" w:line="212" w:lineRule="auto"/>
        <w:rPr>
          <w:sz w:val="20"/>
          <w:szCs w:val="20"/>
          <w:color w:val="auto"/>
        </w:rPr>
      </w:pPr>
      <w:r>
        <w:rPr>
          <w:rFonts w:ascii="Arial" w:cs="Arial" w:eastAsia="Arial" w:hAnsi="Arial"/>
          <w:sz w:val="21"/>
          <w:szCs w:val="21"/>
          <w:color w:val="auto"/>
        </w:rPr>
        <w:t>incurrence of debt, contingent liabilities, and environmental liabilities; unanticipated capital expenditures;</w:t>
      </w:r>
    </w:p>
    <w:p>
      <w:pPr>
        <w:ind w:left="640"/>
        <w:spacing w:after="0" w:line="214" w:lineRule="auto"/>
        <w:rPr>
          <w:sz w:val="20"/>
          <w:szCs w:val="20"/>
          <w:color w:val="auto"/>
        </w:rPr>
      </w:pPr>
      <w:r>
        <w:rPr>
          <w:rFonts w:ascii="Arial" w:cs="Arial" w:eastAsia="Arial" w:hAnsi="Arial"/>
          <w:sz w:val="21"/>
          <w:szCs w:val="21"/>
          <w:color w:val="auto"/>
        </w:rPr>
        <w:t>failure to maintain effective internal control over financial reporting;</w:t>
      </w:r>
    </w:p>
    <w:p>
      <w:pPr>
        <w:ind w:left="640" w:right="300"/>
        <w:spacing w:after="0"/>
        <w:rPr>
          <w:sz w:val="20"/>
          <w:szCs w:val="20"/>
          <w:color w:val="auto"/>
        </w:rPr>
      </w:pPr>
      <w:r>
        <w:rPr>
          <w:rFonts w:ascii="Arial" w:cs="Arial" w:eastAsia="Arial" w:hAnsi="Arial"/>
          <w:sz w:val="21"/>
          <w:szCs w:val="21"/>
          <w:color w:val="auto"/>
        </w:rPr>
        <w:t>recording goodwill and other intangible assets for which we may never realize their full value and may result in an asset impairment that may negatively affect our results of operations; fluctuations in quarterly results;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other acquisition related expenses; and</w:t>
      </w:r>
    </w:p>
    <w:p>
      <w:pPr>
        <w:ind w:left="640"/>
        <w:spacing w:after="0"/>
        <w:rPr>
          <w:sz w:val="20"/>
          <w:szCs w:val="20"/>
          <w:color w:val="auto"/>
        </w:rPr>
      </w:pPr>
      <w:r>
        <w:rPr>
          <w:rFonts w:ascii="Arial" w:cs="Arial" w:eastAsia="Arial" w:hAnsi="Arial"/>
          <w:sz w:val="21"/>
          <w:szCs w:val="21"/>
          <w:color w:val="auto"/>
        </w:rPr>
        <w:t>exposure to unknown or unexpected risks and liabilities.</w:t>
      </w:r>
    </w:p>
    <w:p>
      <w:pPr>
        <w:spacing w:after="0" w:line="342" w:lineRule="exact"/>
        <w:rPr>
          <w:sz w:val="20"/>
          <w:szCs w:val="20"/>
          <w:color w:val="auto"/>
        </w:rPr>
      </w:pPr>
    </w:p>
    <w:p>
      <w:pPr>
        <w:ind w:right="60"/>
        <w:spacing w:after="0" w:line="234" w:lineRule="auto"/>
        <w:rPr>
          <w:sz w:val="20"/>
          <w:szCs w:val="20"/>
          <w:color w:val="auto"/>
        </w:rPr>
      </w:pPr>
      <w:r>
        <w:rPr>
          <w:rFonts w:ascii="Arial" w:cs="Arial" w:eastAsia="Arial" w:hAnsi="Arial"/>
          <w:sz w:val="21"/>
          <w:szCs w:val="21"/>
          <w:color w:val="auto"/>
        </w:rPr>
        <w:t>Some or all of these items could harm our business, financial condition, results of operations, and cash flows, and our ability to finance our business and to comply with regulatory requirements. The businesses we acquire, including Peoples,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87"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acquisition. Our financial condition and results of operations can be harmed by an inability to earn a return on, and recover our purchase price as a component of rate base.</w:t>
      </w:r>
    </w:p>
    <w:p>
      <w:pPr>
        <w:spacing w:after="0" w:line="187"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 / social activist groups have challenged, and may in the future challenge our efforts to acquire new service territories, particularly from municipalities or municipal authorities. Additionally, on occasion we have entered into agreements to acquire water or wastewater utility systems that have been</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14" w:lineRule="exact"/>
        <w:rPr>
          <w:sz w:val="20"/>
          <w:szCs w:val="20"/>
          <w:color w:val="auto"/>
        </w:rPr>
      </w:pPr>
    </w:p>
    <w:p>
      <w:pPr>
        <w:ind w:right="20"/>
        <w:spacing w:after="0" w:line="234" w:lineRule="auto"/>
        <w:rPr>
          <w:sz w:val="20"/>
          <w:szCs w:val="20"/>
          <w:color w:val="auto"/>
        </w:rPr>
      </w:pPr>
      <w:r>
        <w:rPr>
          <w:rFonts w:ascii="Arial" w:cs="Arial" w:eastAsia="Arial" w:hAnsi="Arial"/>
          <w:sz w:val="21"/>
          <w:szCs w:val="21"/>
          <w:color w:val="auto"/>
        </w:rPr>
        <w:t>challenged by municipalities,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Item 2 – Unregistered Sales of Equity Securities and Use of Proceeds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June 30,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160" w:type="dxa"/>
            <w:vAlign w:val="bottom"/>
            <w:gridSpan w:val="7"/>
          </w:tcPr>
          <w:p>
            <w:pPr>
              <w:spacing w:after="0"/>
              <w:rPr>
                <w:sz w:val="20"/>
                <w:szCs w:val="20"/>
                <w:color w:val="auto"/>
              </w:rPr>
            </w:pPr>
            <w:r>
              <w:rPr>
                <w:rFonts w:ascii="Arial" w:cs="Arial" w:eastAsia="Arial" w:hAnsi="Arial"/>
                <w:sz w:val="21"/>
                <w:szCs w:val="21"/>
                <w:color w:val="auto"/>
              </w:rPr>
              <w:t>Issuer Purchases of Equity Securities</w:t>
            </w:r>
          </w:p>
        </w:tc>
        <w:tc>
          <w:tcPr>
            <w:tcW w:w="1860" w:type="dxa"/>
            <w:vAlign w:val="bottom"/>
            <w:gridSpan w:val="2"/>
            <w:vMerge w:val="restart"/>
          </w:tcPr>
          <w:p>
            <w:pPr>
              <w:jc w:val="right"/>
              <w:ind w:right="260"/>
              <w:spacing w:after="0"/>
              <w:rPr>
                <w:sz w:val="20"/>
                <w:szCs w:val="20"/>
                <w:color w:val="auto"/>
              </w:rPr>
            </w:pPr>
            <w:r>
              <w:rPr>
                <w:rFonts w:ascii="Arial" w:cs="Arial" w:eastAsia="Arial" w:hAnsi="Arial"/>
                <w:sz w:val="21"/>
                <w:szCs w:val="21"/>
                <w:color w:val="auto"/>
              </w:rPr>
              <w:t>Total</w:t>
            </w:r>
          </w:p>
        </w:tc>
        <w:tc>
          <w:tcPr>
            <w:tcW w:w="1820" w:type="dxa"/>
            <w:vAlign w:val="bottom"/>
            <w:vMerge w:val="restart"/>
          </w:tcPr>
          <w:p>
            <w:pPr>
              <w:jc w:val="right"/>
              <w:spacing w:after="0"/>
              <w:rPr>
                <w:sz w:val="20"/>
                <w:szCs w:val="20"/>
                <w:color w:val="auto"/>
              </w:rPr>
            </w:pPr>
            <w:r>
              <w:rPr>
                <w:rFonts w:ascii="Arial" w:cs="Arial" w:eastAsia="Arial" w:hAnsi="Arial"/>
                <w:sz w:val="21"/>
                <w:szCs w:val="21"/>
                <w:color w:val="auto"/>
              </w:rPr>
              <w:t>Maximum</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Number of</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Number of</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Shares</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Shares</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Purchased</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that May</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as Part of</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Yet be</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60" w:type="dxa"/>
            <w:vAlign w:val="bottom"/>
            <w:gridSpan w:val="2"/>
          </w:tcPr>
          <w:p>
            <w:pPr>
              <w:jc w:val="right"/>
              <w:ind w:right="140"/>
              <w:spacing w:after="0" w:line="227" w:lineRule="exact"/>
              <w:rPr>
                <w:sz w:val="20"/>
                <w:szCs w:val="20"/>
                <w:color w:val="auto"/>
              </w:rPr>
            </w:pPr>
            <w:r>
              <w:rPr>
                <w:rFonts w:ascii="Arial" w:cs="Arial" w:eastAsia="Arial" w:hAnsi="Arial"/>
                <w:sz w:val="21"/>
                <w:szCs w:val="21"/>
                <w:color w:val="auto"/>
              </w:rPr>
              <w:t>Total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Publicly</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Purchased</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60" w:type="dxa"/>
            <w:vAlign w:val="bottom"/>
            <w:gridSpan w:val="2"/>
          </w:tcPr>
          <w:p>
            <w:pPr>
              <w:jc w:val="right"/>
              <w:ind w:right="140"/>
              <w:spacing w:after="0" w:line="227" w:lineRule="exact"/>
              <w:rPr>
                <w:sz w:val="20"/>
                <w:szCs w:val="20"/>
                <w:color w:val="auto"/>
              </w:rPr>
            </w:pPr>
            <w:r>
              <w:rPr>
                <w:rFonts w:ascii="Arial" w:cs="Arial" w:eastAsia="Arial" w:hAnsi="Arial"/>
                <w:sz w:val="21"/>
                <w:szCs w:val="21"/>
                <w:color w:val="auto"/>
              </w:rPr>
              <w:t>Number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w w:val="92"/>
              </w:rPr>
              <w:t>Average</w:t>
            </w: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Announced</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Under the</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60" w:type="dxa"/>
            <w:vAlign w:val="bottom"/>
            <w:gridSpan w:val="2"/>
          </w:tcPr>
          <w:p>
            <w:pPr>
              <w:jc w:val="right"/>
              <w:ind w:right="140"/>
              <w:spacing w:after="0" w:line="227" w:lineRule="exact"/>
              <w:rPr>
                <w:sz w:val="20"/>
                <w:szCs w:val="20"/>
                <w:color w:val="auto"/>
              </w:rPr>
            </w:pPr>
            <w:r>
              <w:rPr>
                <w:rFonts w:ascii="Arial" w:cs="Arial" w:eastAsia="Arial" w:hAnsi="Arial"/>
                <w:sz w:val="21"/>
                <w:szCs w:val="21"/>
                <w:color w:val="auto"/>
              </w:rPr>
              <w:t>of Shares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7" w:lineRule="exact"/>
              <w:rPr>
                <w:sz w:val="20"/>
                <w:szCs w:val="20"/>
                <w:color w:val="auto"/>
              </w:rPr>
            </w:pPr>
            <w:r>
              <w:rPr>
                <w:rFonts w:ascii="Arial" w:cs="Arial" w:eastAsia="Arial" w:hAnsi="Arial"/>
                <w:sz w:val="21"/>
                <w:szCs w:val="21"/>
                <w:color w:val="auto"/>
              </w:rPr>
              <w:t>Price Paid</w:t>
            </w:r>
          </w:p>
        </w:tc>
        <w:tc>
          <w:tcPr>
            <w:tcW w:w="1860" w:type="dxa"/>
            <w:vAlign w:val="bottom"/>
            <w:gridSpan w:val="2"/>
          </w:tcPr>
          <w:p>
            <w:pPr>
              <w:jc w:val="right"/>
              <w:ind w:right="260"/>
              <w:spacing w:after="0" w:line="227" w:lineRule="exact"/>
              <w:rPr>
                <w:sz w:val="20"/>
                <w:szCs w:val="20"/>
                <w:color w:val="auto"/>
              </w:rPr>
            </w:pPr>
            <w:r>
              <w:rPr>
                <w:rFonts w:ascii="Arial" w:cs="Arial" w:eastAsia="Arial" w:hAnsi="Arial"/>
                <w:sz w:val="21"/>
                <w:szCs w:val="21"/>
                <w:color w:val="auto"/>
              </w:rPr>
              <w:t>Plans or</w:t>
            </w: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Plan or</w:t>
            </w:r>
          </w:p>
        </w:tc>
        <w:tc>
          <w:tcPr>
            <w:tcW w:w="0" w:type="dxa"/>
            <w:vAlign w:val="bottom"/>
          </w:tcPr>
          <w:p>
            <w:pPr>
              <w:spacing w:after="0"/>
              <w:rPr>
                <w:sz w:val="1"/>
                <w:szCs w:val="1"/>
                <w:color w:val="auto"/>
              </w:rPr>
            </w:pPr>
          </w:p>
        </w:tc>
      </w:tr>
      <w:tr>
        <w:trPr>
          <w:trHeight w:val="222"/>
        </w:trPr>
        <w:tc>
          <w:tcPr>
            <w:tcW w:w="580" w:type="dxa"/>
            <w:vAlign w:val="bottom"/>
            <w:gridSpan w:val="2"/>
          </w:tcPr>
          <w:p>
            <w:pPr>
              <w:spacing w:after="0" w:line="222" w:lineRule="exact"/>
              <w:rPr>
                <w:sz w:val="20"/>
                <w:szCs w:val="20"/>
                <w:color w:val="auto"/>
              </w:rPr>
            </w:pPr>
            <w:r>
              <w:rPr>
                <w:rFonts w:ascii="Arial" w:cs="Arial" w:eastAsia="Arial" w:hAnsi="Arial"/>
                <w:sz w:val="21"/>
                <w:szCs w:val="21"/>
                <w:color w:val="auto"/>
                <w:w w:val="92"/>
              </w:rPr>
              <w:t>Period</w:t>
            </w:r>
          </w:p>
        </w:tc>
        <w:tc>
          <w:tcPr>
            <w:tcW w:w="2820" w:type="dxa"/>
            <w:vAlign w:val="bottom"/>
          </w:tcPr>
          <w:p>
            <w:pPr>
              <w:spacing w:after="0"/>
              <w:rPr>
                <w:sz w:val="19"/>
                <w:szCs w:val="19"/>
                <w:color w:val="auto"/>
              </w:rPr>
            </w:pPr>
          </w:p>
        </w:tc>
        <w:tc>
          <w:tcPr>
            <w:tcW w:w="2060" w:type="dxa"/>
            <w:vAlign w:val="bottom"/>
            <w:gridSpan w:val="2"/>
          </w:tcPr>
          <w:p>
            <w:pPr>
              <w:jc w:val="right"/>
              <w:ind w:right="140"/>
              <w:spacing w:after="0" w:line="222" w:lineRule="exact"/>
              <w:rPr>
                <w:sz w:val="20"/>
                <w:szCs w:val="20"/>
                <w:color w:val="auto"/>
              </w:rPr>
            </w:pPr>
            <w:r>
              <w:rPr>
                <w:rFonts w:ascii="Arial" w:cs="Arial" w:eastAsia="Arial" w:hAnsi="Arial"/>
                <w:sz w:val="21"/>
                <w:szCs w:val="21"/>
                <w:color w:val="auto"/>
              </w:rPr>
              <w:t>Purchased (1)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2" w:lineRule="exact"/>
              <w:rPr>
                <w:sz w:val="20"/>
                <w:szCs w:val="20"/>
                <w:color w:val="auto"/>
              </w:rPr>
            </w:pPr>
            <w:r>
              <w:rPr>
                <w:rFonts w:ascii="Arial" w:cs="Arial" w:eastAsia="Arial" w:hAnsi="Arial"/>
                <w:sz w:val="21"/>
                <w:szCs w:val="21"/>
                <w:color w:val="auto"/>
              </w:rPr>
              <w:t>per Share</w:t>
            </w:r>
          </w:p>
        </w:tc>
        <w:tc>
          <w:tcPr>
            <w:tcW w:w="1860" w:type="dxa"/>
            <w:vAlign w:val="bottom"/>
            <w:gridSpan w:val="2"/>
          </w:tcPr>
          <w:p>
            <w:pPr>
              <w:jc w:val="right"/>
              <w:ind w:right="260"/>
              <w:spacing w:after="0" w:line="222" w:lineRule="exact"/>
              <w:rPr>
                <w:sz w:val="20"/>
                <w:szCs w:val="20"/>
                <w:color w:val="auto"/>
              </w:rPr>
            </w:pPr>
            <w:r>
              <w:rPr>
                <w:rFonts w:ascii="Arial" w:cs="Arial" w:eastAsia="Arial" w:hAnsi="Arial"/>
                <w:sz w:val="21"/>
                <w:szCs w:val="21"/>
                <w:color w:val="auto"/>
              </w:rPr>
              <w:t>Programs</w:t>
            </w:r>
          </w:p>
        </w:tc>
        <w:tc>
          <w:tcPr>
            <w:tcW w:w="1820" w:type="dxa"/>
            <w:vAlign w:val="bottom"/>
          </w:tcPr>
          <w:p>
            <w:pPr>
              <w:jc w:val="right"/>
              <w:spacing w:after="0" w:line="222" w:lineRule="exact"/>
              <w:rPr>
                <w:sz w:val="20"/>
                <w:szCs w:val="20"/>
                <w:color w:val="auto"/>
              </w:rPr>
            </w:pPr>
            <w:r>
              <w:rPr>
                <w:rFonts w:ascii="Arial" w:cs="Arial" w:eastAsia="Arial" w:hAnsi="Arial"/>
                <w:sz w:val="21"/>
                <w:szCs w:val="21"/>
                <w:color w:val="auto"/>
              </w:rPr>
              <w:t>Programs</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0" w:type="dxa"/>
            <w:vAlign w:val="bottom"/>
            <w:gridSpan w:val="3"/>
            <w:shd w:val="clear" w:color="auto" w:fill="CCEEFF"/>
          </w:tcPr>
          <w:p>
            <w:pPr>
              <w:spacing w:after="0" w:line="208" w:lineRule="exact"/>
              <w:rPr>
                <w:sz w:val="20"/>
                <w:szCs w:val="20"/>
                <w:color w:val="auto"/>
              </w:rPr>
            </w:pPr>
            <w:r>
              <w:rPr>
                <w:rFonts w:ascii="Arial" w:cs="Arial" w:eastAsia="Arial" w:hAnsi="Arial"/>
                <w:sz w:val="21"/>
                <w:szCs w:val="21"/>
                <w:color w:val="auto"/>
              </w:rPr>
              <w:t>April 1 - 30, 2020</w:t>
            </w:r>
          </w:p>
        </w:tc>
        <w:tc>
          <w:tcPr>
            <w:tcW w:w="1920" w:type="dxa"/>
            <w:vAlign w:val="bottom"/>
            <w:shd w:val="clear" w:color="auto" w:fill="CCEEFF"/>
          </w:tcPr>
          <w:p>
            <w:pPr>
              <w:jc w:val="right"/>
              <w:spacing w:after="0" w:line="208" w:lineRule="exact"/>
              <w:rPr>
                <w:sz w:val="20"/>
                <w:szCs w:val="20"/>
                <w:color w:val="auto"/>
              </w:rPr>
            </w:pPr>
            <w:r>
              <w:rPr>
                <w:rFonts w:ascii="Arial" w:cs="Arial" w:eastAsia="Arial" w:hAnsi="Arial"/>
                <w:sz w:val="21"/>
                <w:szCs w:val="21"/>
                <w:color w:val="auto"/>
              </w:rPr>
              <w:t>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3"/>
              <w:spacing w:after="0" w:line="208" w:lineRule="exact"/>
              <w:rPr>
                <w:sz w:val="20"/>
                <w:szCs w:val="20"/>
                <w:color w:val="auto"/>
              </w:rPr>
            </w:pPr>
            <w:r>
              <w:rPr>
                <w:rFonts w:ascii="Arial" w:cs="Arial" w:eastAsia="Arial" w:hAnsi="Arial"/>
                <w:sz w:val="21"/>
                <w:szCs w:val="21"/>
                <w:color w:val="auto"/>
                <w:w w:val="85"/>
              </w:rPr>
              <w:t>$</w:t>
            </w:r>
          </w:p>
        </w:tc>
        <w:tc>
          <w:tcPr>
            <w:tcW w:w="1240" w:type="dxa"/>
            <w:vAlign w:val="bottom"/>
            <w:gridSpan w:val="2"/>
            <w:shd w:val="clear" w:color="auto" w:fill="CCEEFF"/>
          </w:tcPr>
          <w:p>
            <w:pPr>
              <w:jc w:val="right"/>
              <w:spacing w:after="0" w:line="208" w:lineRule="exact"/>
              <w:rPr>
                <w:sz w:val="20"/>
                <w:szCs w:val="20"/>
                <w:color w:val="auto"/>
              </w:rPr>
            </w:pPr>
            <w:r>
              <w:rPr>
                <w:rFonts w:ascii="Arial" w:cs="Arial" w:eastAsia="Arial" w:hAnsi="Arial"/>
                <w:sz w:val="21"/>
                <w:szCs w:val="21"/>
                <w:color w:val="auto"/>
              </w:rPr>
              <w:t>38.47</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08" w:lineRule="exact"/>
              <w:rPr>
                <w:sz w:val="20"/>
                <w:szCs w:val="20"/>
                <w:color w:val="auto"/>
              </w:rPr>
            </w:pPr>
            <w:r>
              <w:rPr>
                <w:rFonts w:ascii="Arial" w:cs="Arial" w:eastAsia="Arial" w:hAnsi="Arial"/>
                <w:sz w:val="21"/>
                <w:szCs w:val="21"/>
                <w:color w:val="auto"/>
              </w:rPr>
              <w:t>-</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line="208"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7"/>
        </w:trPr>
        <w:tc>
          <w:tcPr>
            <w:tcW w:w="580" w:type="dxa"/>
            <w:vAlign w:val="bottom"/>
            <w:gridSpan w:val="2"/>
          </w:tcPr>
          <w:p>
            <w:pPr>
              <w:spacing w:after="0" w:line="227" w:lineRule="exact"/>
              <w:rPr>
                <w:sz w:val="20"/>
                <w:szCs w:val="20"/>
                <w:color w:val="auto"/>
              </w:rPr>
            </w:pPr>
            <w:r>
              <w:rPr>
                <w:rFonts w:ascii="Arial" w:cs="Arial" w:eastAsia="Arial" w:hAnsi="Arial"/>
                <w:sz w:val="21"/>
                <w:szCs w:val="21"/>
                <w:color w:val="auto"/>
                <w:w w:val="97"/>
              </w:rPr>
              <w:t>May 1</w:t>
            </w:r>
          </w:p>
        </w:tc>
        <w:tc>
          <w:tcPr>
            <w:tcW w:w="2820" w:type="dxa"/>
            <w:vAlign w:val="bottom"/>
          </w:tcPr>
          <w:p>
            <w:pPr>
              <w:ind w:left="40"/>
              <w:spacing w:after="0" w:line="227" w:lineRule="exact"/>
              <w:rPr>
                <w:sz w:val="20"/>
                <w:szCs w:val="20"/>
                <w:color w:val="auto"/>
              </w:rPr>
            </w:pPr>
            <w:r>
              <w:rPr>
                <w:rFonts w:ascii="Arial" w:cs="Arial" w:eastAsia="Arial" w:hAnsi="Arial"/>
                <w:sz w:val="21"/>
                <w:szCs w:val="21"/>
                <w:color w:val="auto"/>
              </w:rPr>
              <w:t>-31, 2020</w:t>
            </w:r>
          </w:p>
        </w:tc>
        <w:tc>
          <w:tcPr>
            <w:tcW w:w="1920" w:type="dxa"/>
            <w:vAlign w:val="bottom"/>
          </w:tcPr>
          <w:p>
            <w:pPr>
              <w:jc w:val="right"/>
              <w:spacing w:after="0" w:line="227" w:lineRule="exact"/>
              <w:rPr>
                <w:sz w:val="20"/>
                <w:szCs w:val="20"/>
                <w:color w:val="auto"/>
              </w:rPr>
            </w:pPr>
            <w:r>
              <w:rPr>
                <w:rFonts w:ascii="Arial" w:cs="Arial" w:eastAsia="Arial" w:hAnsi="Arial"/>
                <w:sz w:val="21"/>
                <w:szCs w:val="21"/>
                <w:color w:val="auto"/>
              </w:rPr>
              <w:t>3</w:t>
            </w:r>
          </w:p>
        </w:tc>
        <w:tc>
          <w:tcPr>
            <w:tcW w:w="140" w:type="dxa"/>
            <w:vAlign w:val="bottom"/>
          </w:tcPr>
          <w:p>
            <w:pPr>
              <w:spacing w:after="0"/>
              <w:rPr>
                <w:sz w:val="19"/>
                <w:szCs w:val="19"/>
                <w:color w:val="auto"/>
              </w:rPr>
            </w:pPr>
          </w:p>
        </w:tc>
        <w:tc>
          <w:tcPr>
            <w:tcW w:w="600" w:type="dxa"/>
            <w:vAlign w:val="bottom"/>
            <w:gridSpan w:val="2"/>
          </w:tcPr>
          <w:p>
            <w:pPr>
              <w:jc w:val="right"/>
              <w:ind w:right="253"/>
              <w:spacing w:after="0" w:line="227" w:lineRule="exact"/>
              <w:rPr>
                <w:sz w:val="20"/>
                <w:szCs w:val="20"/>
                <w:color w:val="auto"/>
              </w:rPr>
            </w:pPr>
            <w:r>
              <w:rPr>
                <w:rFonts w:ascii="Arial" w:cs="Arial" w:eastAsia="Arial" w:hAnsi="Arial"/>
                <w:sz w:val="21"/>
                <w:szCs w:val="21"/>
                <w:color w:val="auto"/>
              </w:rPr>
              <w:t>$</w:t>
            </w:r>
          </w:p>
        </w:tc>
        <w:tc>
          <w:tcPr>
            <w:tcW w:w="1500" w:type="dxa"/>
            <w:vAlign w:val="bottom"/>
            <w:gridSpan w:val="3"/>
          </w:tcPr>
          <w:p>
            <w:pPr>
              <w:jc w:val="right"/>
              <w:ind w:right="260"/>
              <w:spacing w:after="0" w:line="227" w:lineRule="exact"/>
              <w:rPr>
                <w:sz w:val="20"/>
                <w:szCs w:val="20"/>
                <w:color w:val="auto"/>
              </w:rPr>
            </w:pPr>
            <w:r>
              <w:rPr>
                <w:rFonts w:ascii="Arial" w:cs="Arial" w:eastAsia="Arial" w:hAnsi="Arial"/>
                <w:sz w:val="21"/>
                <w:szCs w:val="21"/>
                <w:color w:val="auto"/>
              </w:rPr>
              <w:t>38.47</w:t>
            </w:r>
          </w:p>
        </w:tc>
        <w:tc>
          <w:tcPr>
            <w:tcW w:w="16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260" w:type="dxa"/>
            <w:vAlign w:val="bottom"/>
          </w:tcPr>
          <w:p>
            <w:pPr>
              <w:spacing w:after="0"/>
              <w:rPr>
                <w:sz w:val="19"/>
                <w:szCs w:val="19"/>
                <w:color w:val="auto"/>
              </w:rPr>
            </w:pPr>
          </w:p>
        </w:tc>
        <w:tc>
          <w:tcPr>
            <w:tcW w:w="182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7"/>
        </w:trPr>
        <w:tc>
          <w:tcPr>
            <w:tcW w:w="580" w:type="dxa"/>
            <w:vAlign w:val="bottom"/>
            <w:gridSpan w:val="2"/>
            <w:shd w:val="clear" w:color="auto" w:fill="CCEEFF"/>
          </w:tcPr>
          <w:p>
            <w:pPr>
              <w:spacing w:after="0" w:line="227" w:lineRule="exact"/>
              <w:rPr>
                <w:sz w:val="20"/>
                <w:szCs w:val="20"/>
                <w:color w:val="auto"/>
              </w:rPr>
            </w:pPr>
            <w:r>
              <w:rPr>
                <w:rFonts w:ascii="Arial" w:cs="Arial" w:eastAsia="Arial" w:hAnsi="Arial"/>
                <w:sz w:val="21"/>
                <w:szCs w:val="21"/>
                <w:color w:val="auto"/>
                <w:w w:val="88"/>
              </w:rPr>
              <w:t>June 1</w:t>
            </w:r>
          </w:p>
        </w:tc>
        <w:tc>
          <w:tcPr>
            <w:tcW w:w="2820" w:type="dxa"/>
            <w:vAlign w:val="bottom"/>
            <w:shd w:val="clear" w:color="auto" w:fill="CCEEFF"/>
          </w:tcPr>
          <w:p>
            <w:pPr>
              <w:ind w:left="40"/>
              <w:spacing w:after="0" w:line="227" w:lineRule="exact"/>
              <w:rPr>
                <w:sz w:val="20"/>
                <w:szCs w:val="20"/>
                <w:color w:val="auto"/>
              </w:rPr>
            </w:pPr>
            <w:r>
              <w:rPr>
                <w:rFonts w:ascii="Arial" w:cs="Arial" w:eastAsia="Arial" w:hAnsi="Arial"/>
                <w:sz w:val="21"/>
                <w:szCs w:val="21"/>
                <w:color w:val="auto"/>
              </w:rPr>
              <w:t>- 30, 2020</w:t>
            </w:r>
          </w:p>
        </w:tc>
        <w:tc>
          <w:tcPr>
            <w:tcW w:w="19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53"/>
              <w:spacing w:after="0" w:line="227" w:lineRule="exact"/>
              <w:rPr>
                <w:sz w:val="20"/>
                <w:szCs w:val="20"/>
                <w:color w:val="auto"/>
              </w:rPr>
            </w:pPr>
            <w:r>
              <w:rPr>
                <w:rFonts w:ascii="Arial" w:cs="Arial" w:eastAsia="Arial" w:hAnsi="Arial"/>
                <w:sz w:val="21"/>
                <w:szCs w:val="21"/>
                <w:color w:val="auto"/>
              </w:rPr>
              <w:t>$</w:t>
            </w:r>
          </w:p>
        </w:tc>
        <w:tc>
          <w:tcPr>
            <w:tcW w:w="1500" w:type="dxa"/>
            <w:vAlign w:val="bottom"/>
            <w:gridSpan w:val="3"/>
            <w:shd w:val="clear" w:color="auto" w:fill="CCEEFF"/>
          </w:tcPr>
          <w:p>
            <w:pPr>
              <w:jc w:val="right"/>
              <w:ind w:right="260"/>
              <w:spacing w:after="0" w:line="227" w:lineRule="exact"/>
              <w:rPr>
                <w:sz w:val="20"/>
                <w:szCs w:val="20"/>
                <w:color w:val="auto"/>
              </w:rPr>
            </w:pPr>
            <w:r>
              <w:rPr>
                <w:rFonts w:ascii="Arial" w:cs="Arial" w:eastAsia="Arial" w:hAnsi="Arial"/>
                <w:sz w:val="21"/>
                <w:szCs w:val="21"/>
                <w:color w:val="auto"/>
              </w:rPr>
              <w:t>-</w:t>
            </w:r>
          </w:p>
        </w:tc>
        <w:tc>
          <w:tcPr>
            <w:tcW w:w="160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line="22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1"/>
        </w:trPr>
        <w:tc>
          <w:tcPr>
            <w:tcW w:w="580" w:type="dxa"/>
            <w:vAlign w:val="bottom"/>
            <w:gridSpan w:val="2"/>
          </w:tcPr>
          <w:p>
            <w:pPr>
              <w:spacing w:after="0" w:line="221" w:lineRule="exact"/>
              <w:rPr>
                <w:sz w:val="20"/>
                <w:szCs w:val="20"/>
                <w:color w:val="auto"/>
              </w:rPr>
            </w:pPr>
            <w:r>
              <w:rPr>
                <w:rFonts w:ascii="Arial" w:cs="Arial" w:eastAsia="Arial" w:hAnsi="Arial"/>
                <w:sz w:val="21"/>
                <w:szCs w:val="21"/>
                <w:color w:val="auto"/>
              </w:rPr>
              <w:t>Total</w:t>
            </w:r>
          </w:p>
        </w:tc>
        <w:tc>
          <w:tcPr>
            <w:tcW w:w="28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100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53"/>
              <w:spacing w:after="0" w:line="221" w:lineRule="exact"/>
              <w:rPr>
                <w:sz w:val="20"/>
                <w:szCs w:val="20"/>
                <w:color w:val="auto"/>
              </w:rPr>
            </w:pPr>
            <w:r>
              <w:rPr>
                <w:rFonts w:ascii="Arial" w:cs="Arial" w:eastAsia="Arial" w:hAnsi="Arial"/>
                <w:sz w:val="21"/>
                <w:szCs w:val="21"/>
                <w:color w:val="auto"/>
                <w:w w:val="85"/>
              </w:rPr>
              <w:t>$</w:t>
            </w:r>
          </w:p>
        </w:tc>
        <w:tc>
          <w:tcPr>
            <w:tcW w:w="124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Arial" w:cs="Arial" w:eastAsia="Arial" w:hAnsi="Arial"/>
                <w:sz w:val="21"/>
                <w:szCs w:val="21"/>
                <w:color w:val="auto"/>
              </w:rPr>
              <w:t>38.47</w:t>
            </w:r>
          </w:p>
        </w:tc>
        <w:tc>
          <w:tcPr>
            <w:tcW w:w="2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w:t>
            </w:r>
          </w:p>
        </w:tc>
        <w:tc>
          <w:tcPr>
            <w:tcW w:w="26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40" w:right="20" w:hanging="312"/>
        <w:spacing w:after="0" w:line="269" w:lineRule="auto"/>
        <w:tabs>
          <w:tab w:leader="none" w:pos="6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These amounts consist of 100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73"/>
        </w:trPr>
        <w:tc>
          <w:tcPr>
            <w:tcW w:w="2120" w:type="dxa"/>
            <w:vAlign w:val="bottom"/>
            <w:gridSpan w:val="2"/>
          </w:tcPr>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736"/>
        </w:trPr>
        <w:tc>
          <w:tcPr>
            <w:tcW w:w="2120" w:type="dxa"/>
            <w:vAlign w:val="bottom"/>
            <w:gridSpan w:val="2"/>
          </w:tcPr>
          <w:p>
            <w:pPr>
              <w:spacing w:after="0"/>
              <w:rPr>
                <w:sz w:val="20"/>
                <w:szCs w:val="20"/>
                <w:color w:val="auto"/>
              </w:rPr>
            </w:pPr>
            <w:r>
              <w:rPr>
                <w:rFonts w:ascii="Arial" w:cs="Arial" w:eastAsia="Arial" w:hAnsi="Arial"/>
                <w:sz w:val="21"/>
                <w:szCs w:val="21"/>
                <w:color w:val="auto"/>
              </w:rPr>
              <w:t>Item 6 – Exhibits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1"/>
        </w:trPr>
        <w:tc>
          <w:tcPr>
            <w:tcW w:w="2120" w:type="dxa"/>
            <w:vAlign w:val="bottom"/>
            <w:gridSpan w:val="2"/>
          </w:tcPr>
          <w:p>
            <w:pPr>
              <w:ind w:left="20"/>
              <w:spacing w:after="0"/>
              <w:rPr>
                <w:sz w:val="20"/>
                <w:szCs w:val="20"/>
                <w:color w:val="auto"/>
              </w:rPr>
            </w:pPr>
            <w:r>
              <w:rPr>
                <w:rFonts w:ascii="Arial" w:cs="Arial" w:eastAsia="Arial" w:hAnsi="Arial"/>
                <w:sz w:val="21"/>
                <w:szCs w:val="21"/>
                <w:b w:val="1"/>
                <w:bCs w:val="1"/>
                <w:color w:val="auto"/>
              </w:rPr>
              <w:t>Exhibit No.</w:t>
            </w:r>
          </w:p>
        </w:tc>
        <w:tc>
          <w:tcPr>
            <w:tcW w:w="20" w:type="dxa"/>
            <w:vAlign w:val="bottom"/>
          </w:tcPr>
          <w:p>
            <w:pPr>
              <w:spacing w:after="0"/>
              <w:rPr>
                <w:sz w:val="24"/>
                <w:szCs w:val="24"/>
                <w:color w:val="auto"/>
              </w:rPr>
            </w:pPr>
          </w:p>
        </w:tc>
        <w:tc>
          <w:tcPr>
            <w:tcW w:w="9100" w:type="dxa"/>
            <w:vAlign w:val="bottom"/>
            <w:gridSpan w:val="8"/>
          </w:tcPr>
          <w:p>
            <w:pPr>
              <w:ind w:left="40"/>
              <w:spacing w:after="0"/>
              <w:rPr>
                <w:sz w:val="20"/>
                <w:szCs w:val="20"/>
                <w:color w:val="auto"/>
              </w:rPr>
            </w:pPr>
            <w:r>
              <w:rPr>
                <w:rFonts w:ascii="Arial" w:cs="Arial" w:eastAsia="Arial" w:hAnsi="Arial"/>
                <w:sz w:val="21"/>
                <w:szCs w:val="21"/>
                <w:b w:val="1"/>
                <w:bCs w:val="1"/>
                <w:color w:val="auto"/>
              </w:rPr>
              <w:t>Description</w:t>
            </w:r>
          </w:p>
        </w:tc>
      </w:tr>
      <w:tr>
        <w:trPr>
          <w:trHeight w:val="194"/>
        </w:trPr>
        <w:tc>
          <w:tcPr>
            <w:tcW w:w="170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21"/>
                <w:szCs w:val="21"/>
                <w:color w:val="auto"/>
              </w:rPr>
              <w:t>3.1</w:t>
            </w:r>
          </w:p>
        </w:tc>
        <w:tc>
          <w:tcPr>
            <w:tcW w:w="420" w:type="dxa"/>
            <w:vAlign w:val="bottom"/>
            <w:tcBorders>
              <w:top w:val="single" w:sz="8" w:color="CCEEFF"/>
            </w:tcBorders>
            <w:shd w:val="clear" w:color="auto" w:fill="CCEEFF"/>
          </w:tcPr>
          <w:p>
            <w:pPr>
              <w:spacing w:after="0"/>
              <w:rPr>
                <w:sz w:val="16"/>
                <w:szCs w:val="16"/>
                <w:color w:val="auto"/>
              </w:rPr>
            </w:pPr>
          </w:p>
        </w:tc>
        <w:tc>
          <w:tcPr>
            <w:tcW w:w="9120" w:type="dxa"/>
            <w:vAlign w:val="bottom"/>
            <w:tcBorders>
              <w:top w:val="single" w:sz="8" w:color="auto"/>
            </w:tcBorders>
            <w:gridSpan w:val="9"/>
            <w:shd w:val="clear" w:color="auto" w:fill="CCEEFF"/>
          </w:tcPr>
          <w:p>
            <w:pPr>
              <w:ind w:left="20"/>
              <w:spacing w:after="0" w:line="194" w:lineRule="exact"/>
              <w:rPr>
                <w:rFonts w:ascii="Arial" w:cs="Arial" w:eastAsia="Arial" w:hAnsi="Arial"/>
                <w:sz w:val="21"/>
                <w:szCs w:val="21"/>
                <w:color w:val="0563C1"/>
              </w:rPr>
            </w:pPr>
            <w:hyperlink r:id="rId79">
              <w:r>
                <w:rPr>
                  <w:rFonts w:ascii="Arial" w:cs="Arial" w:eastAsia="Arial" w:hAnsi="Arial"/>
                  <w:sz w:val="21"/>
                  <w:szCs w:val="21"/>
                  <w:color w:val="0563C1"/>
                </w:rPr>
                <w:t>Amended and Restated Articles of Incorporation of Essential Utilities, Inc., effective May 12, 2020</w:t>
              </w:r>
            </w:hyperlink>
          </w:p>
        </w:tc>
      </w:tr>
      <w:tr>
        <w:trPr>
          <w:trHeight w:val="207"/>
        </w:trPr>
        <w:tc>
          <w:tcPr>
            <w:tcW w:w="1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560" w:type="dxa"/>
            <w:vAlign w:val="bottom"/>
            <w:tcBorders>
              <w:top w:val="single" w:sz="8" w:color="0563C1"/>
            </w:tcBorders>
            <w:gridSpan w:val="6"/>
            <w:shd w:val="clear" w:color="auto" w:fill="CCEEFF"/>
          </w:tcPr>
          <w:p>
            <w:pPr>
              <w:spacing w:after="0" w:line="208" w:lineRule="exact"/>
              <w:rPr>
                <w:rFonts w:ascii="Arial" w:cs="Arial" w:eastAsia="Arial" w:hAnsi="Arial"/>
                <w:sz w:val="21"/>
                <w:szCs w:val="21"/>
                <w:color w:val="0563C1"/>
                <w:w w:val="94"/>
              </w:rPr>
            </w:pPr>
            <w:hyperlink r:id="rId79">
              <w:r>
                <w:rPr>
                  <w:rFonts w:ascii="Arial" w:cs="Arial" w:eastAsia="Arial" w:hAnsi="Arial"/>
                  <w:sz w:val="21"/>
                  <w:szCs w:val="21"/>
                  <w:color w:val="0563C1"/>
                  <w:w w:val="94"/>
                </w:rPr>
                <w:t>(incorporated by reference to Exhibit 3.1 to the Current Report on Form 8-K filed with the SEC on</w:t>
              </w:r>
            </w:hyperlink>
          </w:p>
        </w:tc>
        <w:tc>
          <w:tcPr>
            <w:tcW w:w="540" w:type="dxa"/>
            <w:vAlign w:val="bottom"/>
            <w:tcBorders>
              <w:top w:val="single" w:sz="8" w:color="CCEEFF"/>
            </w:tcBorders>
            <w:gridSpan w:val="2"/>
            <w:shd w:val="clear" w:color="auto" w:fill="CCEEFF"/>
          </w:tcPr>
          <w:p>
            <w:pPr>
              <w:spacing w:after="0" w:line="208" w:lineRule="exact"/>
              <w:rPr>
                <w:rFonts w:ascii="Arial" w:cs="Arial" w:eastAsia="Arial" w:hAnsi="Arial"/>
                <w:sz w:val="21"/>
                <w:szCs w:val="21"/>
                <w:color w:val="0563C1"/>
              </w:rPr>
            </w:pPr>
            <w:hyperlink r:id="rId79">
              <w:r>
                <w:rPr>
                  <w:rFonts w:ascii="Arial" w:cs="Arial" w:eastAsia="Arial" w:hAnsi="Arial"/>
                  <w:sz w:val="21"/>
                  <w:szCs w:val="21"/>
                  <w:color w:val="0563C1"/>
                </w:rPr>
                <w:t>May</w:t>
              </w:r>
            </w:hyperlink>
          </w:p>
        </w:tc>
      </w:tr>
      <w:tr>
        <w:trPr>
          <w:trHeight w:val="214"/>
        </w:trPr>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0563C1"/>
              <w:bottom w:val="single" w:sz="8" w:color="0563C1"/>
            </w:tcBorders>
            <w:shd w:val="clear" w:color="auto" w:fill="CCEEFF"/>
          </w:tcPr>
          <w:p>
            <w:pPr>
              <w:spacing w:after="0" w:line="208" w:lineRule="exact"/>
              <w:rPr>
                <w:rFonts w:ascii="Arial" w:cs="Arial" w:eastAsia="Arial" w:hAnsi="Arial"/>
                <w:sz w:val="21"/>
                <w:szCs w:val="21"/>
                <w:color w:val="0563C1"/>
                <w:w w:val="90"/>
              </w:rPr>
            </w:pPr>
            <w:hyperlink r:id="rId79">
              <w:r>
                <w:rPr>
                  <w:rFonts w:ascii="Arial" w:cs="Arial" w:eastAsia="Arial" w:hAnsi="Arial"/>
                  <w:sz w:val="21"/>
                  <w:szCs w:val="21"/>
                  <w:color w:val="0563C1"/>
                  <w:w w:val="90"/>
                </w:rPr>
                <w:t>18, 2020)</w:t>
              </w:r>
            </w:hyperlink>
          </w:p>
        </w:tc>
        <w:tc>
          <w:tcPr>
            <w:tcW w:w="1100" w:type="dxa"/>
            <w:vAlign w:val="bottom"/>
            <w:tcBorders>
              <w:top w:val="single" w:sz="8" w:color="0563C1"/>
              <w:bottom w:val="single" w:sz="8" w:color="CCEEFF"/>
            </w:tcBorders>
            <w:shd w:val="clear" w:color="auto" w:fill="CCEEFF"/>
          </w:tcPr>
          <w:p>
            <w:pPr>
              <w:spacing w:after="0"/>
              <w:rPr>
                <w:sz w:val="18"/>
                <w:szCs w:val="18"/>
                <w:color w:val="auto"/>
              </w:rPr>
            </w:pPr>
          </w:p>
        </w:tc>
        <w:tc>
          <w:tcPr>
            <w:tcW w:w="6440" w:type="dxa"/>
            <w:vAlign w:val="bottom"/>
            <w:tcBorders>
              <w:top w:val="single" w:sz="8" w:color="0563C1"/>
              <w:bottom w:val="single" w:sz="8" w:color="CCEEFF"/>
            </w:tcBorders>
            <w:shd w:val="clear" w:color="auto" w:fill="CCEEFF"/>
          </w:tcPr>
          <w:p>
            <w:pPr>
              <w:spacing w:after="0"/>
              <w:rPr>
                <w:sz w:val="18"/>
                <w:szCs w:val="18"/>
                <w:color w:val="auto"/>
              </w:rPr>
            </w:pPr>
          </w:p>
        </w:tc>
        <w:tc>
          <w:tcPr>
            <w:tcW w:w="60" w:type="dxa"/>
            <w:vAlign w:val="bottom"/>
            <w:tcBorders>
              <w:top w:val="single" w:sz="8" w:color="0563C1"/>
              <w:bottom w:val="single" w:sz="8" w:color="CCEEFF"/>
            </w:tcBorders>
            <w:shd w:val="clear" w:color="auto" w:fill="CCEEFF"/>
          </w:tcPr>
          <w:p>
            <w:pPr>
              <w:spacing w:after="0"/>
              <w:rPr>
                <w:sz w:val="18"/>
                <w:szCs w:val="18"/>
                <w:color w:val="auto"/>
              </w:rPr>
            </w:pPr>
          </w:p>
        </w:tc>
        <w:tc>
          <w:tcPr>
            <w:tcW w:w="120" w:type="dxa"/>
            <w:vAlign w:val="bottom"/>
            <w:tcBorders>
              <w:top w:val="single" w:sz="8" w:color="0563C1"/>
              <w:bottom w:val="single" w:sz="8" w:color="CCEEFF"/>
            </w:tcBorders>
            <w:shd w:val="clear" w:color="auto" w:fill="CCEEFF"/>
          </w:tcPr>
          <w:p>
            <w:pPr>
              <w:spacing w:after="0"/>
              <w:rPr>
                <w:sz w:val="18"/>
                <w:szCs w:val="18"/>
                <w:color w:val="auto"/>
              </w:rPr>
            </w:pPr>
          </w:p>
        </w:tc>
        <w:tc>
          <w:tcPr>
            <w:tcW w:w="20" w:type="dxa"/>
            <w:vAlign w:val="bottom"/>
            <w:tcBorders>
              <w:top w:val="single" w:sz="8" w:color="0563C1"/>
              <w:bottom w:val="single" w:sz="8" w:color="CCEEFF"/>
            </w:tcBorders>
            <w:shd w:val="clear" w:color="auto" w:fill="CCEEFF"/>
          </w:tcPr>
          <w:p>
            <w:pPr>
              <w:spacing w:after="0"/>
              <w:rPr>
                <w:sz w:val="18"/>
                <w:szCs w:val="18"/>
                <w:color w:val="auto"/>
              </w:rPr>
            </w:pPr>
          </w:p>
        </w:tc>
        <w:tc>
          <w:tcPr>
            <w:tcW w:w="380" w:type="dxa"/>
            <w:vAlign w:val="bottom"/>
            <w:tcBorders>
              <w:top w:val="single" w:sz="8" w:color="0563C1"/>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1700" w:type="dxa"/>
            <w:vAlign w:val="bottom"/>
            <w:shd w:val="clear" w:color="auto" w:fill="CCEEFF"/>
          </w:tcPr>
          <w:p>
            <w:pPr>
              <w:ind w:left="20"/>
              <w:spacing w:after="0" w:line="201" w:lineRule="exact"/>
              <w:rPr>
                <w:sz w:val="20"/>
                <w:szCs w:val="20"/>
                <w:color w:val="auto"/>
              </w:rPr>
            </w:pPr>
            <w:r>
              <w:rPr>
                <w:rFonts w:ascii="Arial" w:cs="Arial" w:eastAsia="Arial" w:hAnsi="Arial"/>
                <w:sz w:val="21"/>
                <w:szCs w:val="21"/>
                <w:color w:val="auto"/>
              </w:rPr>
              <w:t>3.2</w:t>
            </w:r>
          </w:p>
        </w:tc>
        <w:tc>
          <w:tcPr>
            <w:tcW w:w="420" w:type="dxa"/>
            <w:vAlign w:val="bottom"/>
            <w:shd w:val="clear" w:color="auto" w:fill="CCEEFF"/>
          </w:tcPr>
          <w:p>
            <w:pPr>
              <w:spacing w:after="0"/>
              <w:rPr>
                <w:sz w:val="17"/>
                <w:szCs w:val="17"/>
                <w:color w:val="auto"/>
              </w:rPr>
            </w:pPr>
          </w:p>
        </w:tc>
        <w:tc>
          <w:tcPr>
            <w:tcW w:w="9120" w:type="dxa"/>
            <w:vAlign w:val="bottom"/>
            <w:gridSpan w:val="9"/>
            <w:shd w:val="clear" w:color="auto" w:fill="CCEEFF"/>
          </w:tcPr>
          <w:p>
            <w:pPr>
              <w:ind w:left="20"/>
              <w:spacing w:after="0" w:line="201" w:lineRule="exact"/>
              <w:rPr>
                <w:rFonts w:ascii="Arial" w:cs="Arial" w:eastAsia="Arial" w:hAnsi="Arial"/>
                <w:sz w:val="21"/>
                <w:szCs w:val="21"/>
                <w:color w:val="0563C1"/>
              </w:rPr>
            </w:pPr>
            <w:hyperlink r:id="rId80">
              <w:r>
                <w:rPr>
                  <w:rFonts w:ascii="Arial" w:cs="Arial" w:eastAsia="Arial" w:hAnsi="Arial"/>
                  <w:sz w:val="21"/>
                  <w:szCs w:val="21"/>
                  <w:color w:val="0563C1"/>
                </w:rPr>
                <w:t>Amended and Restated Bylaws of Essential Utilities, Inc., effective May 12, 2020 (incorporated by</w:t>
              </w:r>
            </w:hyperlink>
          </w:p>
        </w:tc>
      </w:tr>
      <w:tr>
        <w:trPr>
          <w:trHeight w:val="234"/>
        </w:trPr>
        <w:tc>
          <w:tcPr>
            <w:tcW w:w="17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540" w:type="dxa"/>
            <w:vAlign w:val="bottom"/>
            <w:tcBorders>
              <w:top w:val="single" w:sz="8" w:color="0563C1"/>
            </w:tcBorders>
            <w:gridSpan w:val="5"/>
            <w:shd w:val="clear" w:color="auto" w:fill="CCEEFF"/>
          </w:tcPr>
          <w:p>
            <w:pPr>
              <w:spacing w:after="0" w:line="234" w:lineRule="exact"/>
              <w:rPr>
                <w:rFonts w:ascii="Arial" w:cs="Arial" w:eastAsia="Arial" w:hAnsi="Arial"/>
                <w:sz w:val="21"/>
                <w:szCs w:val="21"/>
                <w:u w:val="single" w:color="auto"/>
                <w:color w:val="0563C1"/>
                <w:w w:val="96"/>
              </w:rPr>
            </w:pPr>
            <w:hyperlink r:id="rId80">
              <w:r>
                <w:rPr>
                  <w:rFonts w:ascii="Arial" w:cs="Arial" w:eastAsia="Arial" w:hAnsi="Arial"/>
                  <w:sz w:val="21"/>
                  <w:szCs w:val="21"/>
                  <w:u w:val="single" w:color="auto"/>
                  <w:color w:val="0563C1"/>
                  <w:w w:val="96"/>
                </w:rPr>
                <w:t>reference to Exhibit 3.2 to the Current Report on Form 8-K filed with the SEC on May 18, 2020)</w:t>
              </w:r>
            </w:hyperlink>
          </w:p>
        </w:tc>
        <w:tc>
          <w:tcPr>
            <w:tcW w:w="560" w:type="dxa"/>
            <w:vAlign w:val="bottom"/>
            <w:tcBorders>
              <w:top w:val="single" w:sz="8" w:color="CCEEFF"/>
            </w:tcBorders>
            <w:gridSpan w:val="3"/>
            <w:shd w:val="clear" w:color="auto" w:fill="CCEEFF"/>
          </w:tcPr>
          <w:p>
            <w:pPr>
              <w:spacing w:after="0"/>
              <w:rPr>
                <w:sz w:val="20"/>
                <w:szCs w:val="20"/>
                <w:color w:val="auto"/>
              </w:rPr>
            </w:pP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1700" w:type="dxa"/>
            <w:vAlign w:val="bottom"/>
            <w:shd w:val="clear" w:color="auto" w:fill="CCEEFF"/>
          </w:tcPr>
          <w:p>
            <w:pPr>
              <w:ind w:left="20"/>
              <w:spacing w:after="0" w:line="201" w:lineRule="exact"/>
              <w:rPr>
                <w:sz w:val="20"/>
                <w:szCs w:val="20"/>
                <w:color w:val="auto"/>
              </w:rPr>
            </w:pPr>
            <w:r>
              <w:rPr>
                <w:rFonts w:ascii="Arial" w:cs="Arial" w:eastAsia="Arial" w:hAnsi="Arial"/>
                <w:sz w:val="21"/>
                <w:szCs w:val="21"/>
                <w:color w:val="auto"/>
              </w:rPr>
              <w:t>31.1*</w:t>
            </w:r>
          </w:p>
        </w:tc>
        <w:tc>
          <w:tcPr>
            <w:tcW w:w="420" w:type="dxa"/>
            <w:vAlign w:val="bottom"/>
            <w:shd w:val="clear" w:color="auto" w:fill="CCEEFF"/>
          </w:tcPr>
          <w:p>
            <w:pPr>
              <w:spacing w:after="0"/>
              <w:rPr>
                <w:sz w:val="17"/>
                <w:szCs w:val="17"/>
                <w:color w:val="auto"/>
              </w:rPr>
            </w:pPr>
          </w:p>
        </w:tc>
        <w:tc>
          <w:tcPr>
            <w:tcW w:w="9120" w:type="dxa"/>
            <w:vAlign w:val="bottom"/>
            <w:gridSpan w:val="9"/>
            <w:shd w:val="clear" w:color="auto" w:fill="CCEEFF"/>
          </w:tcPr>
          <w:p>
            <w:pPr>
              <w:ind w:left="20"/>
              <w:spacing w:after="0" w:line="201" w:lineRule="exact"/>
              <w:rPr>
                <w:rFonts w:ascii="Arial" w:cs="Arial" w:eastAsia="Arial" w:hAnsi="Arial"/>
                <w:sz w:val="21"/>
                <w:szCs w:val="21"/>
                <w:color w:val="0563C1"/>
              </w:rPr>
            </w:pPr>
            <w:hyperlink w:anchor="page59">
              <w:r>
                <w:rPr>
                  <w:rFonts w:ascii="Arial" w:cs="Arial" w:eastAsia="Arial" w:hAnsi="Arial"/>
                  <w:sz w:val="21"/>
                  <w:szCs w:val="21"/>
                  <w:color w:val="0563C1"/>
                </w:rPr>
                <w:t>Certification of Chief Executive Officer, filed pursuant to Rule 13a-14(a) under the Securities and</w:t>
              </w:r>
            </w:hyperlink>
          </w:p>
        </w:tc>
      </w:tr>
      <w:tr>
        <w:trPr>
          <w:trHeight w:val="214"/>
        </w:trPr>
        <w:tc>
          <w:tcPr>
            <w:tcW w:w="1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20" w:type="dxa"/>
            <w:vAlign w:val="bottom"/>
            <w:tcBorders>
              <w:top w:val="single" w:sz="8" w:color="0563C1"/>
            </w:tcBorders>
            <w:gridSpan w:val="4"/>
            <w:shd w:val="clear" w:color="auto" w:fill="CCEEFF"/>
          </w:tcPr>
          <w:p>
            <w:pPr>
              <w:spacing w:after="0" w:line="208" w:lineRule="exact"/>
              <w:rPr>
                <w:rFonts w:ascii="Arial" w:cs="Arial" w:eastAsia="Arial" w:hAnsi="Arial"/>
                <w:sz w:val="21"/>
                <w:szCs w:val="21"/>
                <w:color w:val="0563C1"/>
              </w:rPr>
            </w:pPr>
            <w:hyperlink w:anchor="page59">
              <w:r>
                <w:rPr>
                  <w:rFonts w:ascii="Arial" w:cs="Arial" w:eastAsia="Arial" w:hAnsi="Arial"/>
                  <w:sz w:val="21"/>
                  <w:szCs w:val="21"/>
                  <w:color w:val="0563C1"/>
                </w:rPr>
                <w:t>Exchange Act of 1934</w:t>
              </w:r>
            </w:hyperlink>
          </w:p>
        </w:tc>
        <w:tc>
          <w:tcPr>
            <w:tcW w:w="680" w:type="dxa"/>
            <w:vAlign w:val="bottom"/>
            <w:tcBorders>
              <w:top w:val="single" w:sz="8" w:color="CCEEFF"/>
            </w:tcBorders>
            <w:gridSpan w:val="4"/>
            <w:shd w:val="clear" w:color="auto" w:fill="CCEEFF"/>
          </w:tcPr>
          <w:p>
            <w:pPr>
              <w:spacing w:after="0"/>
              <w:rPr>
                <w:sz w:val="18"/>
                <w:szCs w:val="18"/>
                <w:color w:val="auto"/>
              </w:rPr>
            </w:pPr>
          </w:p>
        </w:tc>
      </w:tr>
      <w:tr>
        <w:trPr>
          <w:trHeight w:val="227"/>
        </w:trPr>
        <w:tc>
          <w:tcPr>
            <w:tcW w:w="17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6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01"/>
        </w:trPr>
        <w:tc>
          <w:tcPr>
            <w:tcW w:w="1700" w:type="dxa"/>
            <w:vAlign w:val="bottom"/>
            <w:shd w:val="clear" w:color="auto" w:fill="CCEEFF"/>
          </w:tcPr>
          <w:p>
            <w:pPr>
              <w:ind w:left="20"/>
              <w:spacing w:after="0" w:line="201" w:lineRule="exact"/>
              <w:rPr>
                <w:sz w:val="20"/>
                <w:szCs w:val="20"/>
                <w:color w:val="auto"/>
              </w:rPr>
            </w:pPr>
            <w:r>
              <w:rPr>
                <w:rFonts w:ascii="Arial" w:cs="Arial" w:eastAsia="Arial" w:hAnsi="Arial"/>
                <w:sz w:val="21"/>
                <w:szCs w:val="21"/>
                <w:color w:val="auto"/>
              </w:rPr>
              <w:t>31.2*</w:t>
            </w:r>
          </w:p>
        </w:tc>
        <w:tc>
          <w:tcPr>
            <w:tcW w:w="420" w:type="dxa"/>
            <w:vAlign w:val="bottom"/>
            <w:shd w:val="clear" w:color="auto" w:fill="CCEEFF"/>
          </w:tcPr>
          <w:p>
            <w:pPr>
              <w:spacing w:after="0"/>
              <w:rPr>
                <w:sz w:val="17"/>
                <w:szCs w:val="17"/>
                <w:color w:val="auto"/>
              </w:rPr>
            </w:pPr>
          </w:p>
        </w:tc>
        <w:tc>
          <w:tcPr>
            <w:tcW w:w="9120" w:type="dxa"/>
            <w:vAlign w:val="bottom"/>
            <w:gridSpan w:val="9"/>
            <w:shd w:val="clear" w:color="auto" w:fill="CCEEFF"/>
          </w:tcPr>
          <w:p>
            <w:pPr>
              <w:ind w:left="20"/>
              <w:spacing w:after="0" w:line="201" w:lineRule="exact"/>
              <w:rPr>
                <w:rFonts w:ascii="Arial" w:cs="Arial" w:eastAsia="Arial" w:hAnsi="Arial"/>
                <w:sz w:val="21"/>
                <w:szCs w:val="21"/>
                <w:color w:val="0563C1"/>
              </w:rPr>
            </w:pPr>
            <w:hyperlink w:anchor="page60">
              <w:r>
                <w:rPr>
                  <w:rFonts w:ascii="Arial" w:cs="Arial" w:eastAsia="Arial" w:hAnsi="Arial"/>
                  <w:sz w:val="21"/>
                  <w:szCs w:val="21"/>
                  <w:color w:val="0563C1"/>
                </w:rPr>
                <w:t>Certification of Chief Financial Officer, filed pursuant to Rule 13a-14(a) under the Securities and</w:t>
              </w:r>
            </w:hyperlink>
          </w:p>
        </w:tc>
      </w:tr>
      <w:tr>
        <w:trPr>
          <w:trHeight w:val="214"/>
        </w:trPr>
        <w:tc>
          <w:tcPr>
            <w:tcW w:w="1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360" w:type="dxa"/>
            <w:vAlign w:val="bottom"/>
            <w:tcBorders>
              <w:top w:val="single" w:sz="8" w:color="0563C1"/>
            </w:tcBorders>
            <w:gridSpan w:val="3"/>
            <w:shd w:val="clear" w:color="auto" w:fill="CCEEFF"/>
          </w:tcPr>
          <w:p>
            <w:pPr>
              <w:spacing w:after="0" w:line="208" w:lineRule="exact"/>
              <w:rPr>
                <w:rFonts w:ascii="Arial" w:cs="Arial" w:eastAsia="Arial" w:hAnsi="Arial"/>
                <w:sz w:val="21"/>
                <w:szCs w:val="21"/>
                <w:color w:val="0563C1"/>
              </w:rPr>
            </w:pPr>
            <w:hyperlink w:anchor="page60">
              <w:r>
                <w:rPr>
                  <w:rFonts w:ascii="Arial" w:cs="Arial" w:eastAsia="Arial" w:hAnsi="Arial"/>
                  <w:sz w:val="21"/>
                  <w:szCs w:val="21"/>
                  <w:color w:val="0563C1"/>
                </w:rPr>
                <w:t>Exchange Act of 1934</w:t>
              </w:r>
            </w:hyperlink>
          </w:p>
        </w:tc>
        <w:tc>
          <w:tcPr>
            <w:tcW w:w="740" w:type="dxa"/>
            <w:vAlign w:val="bottom"/>
            <w:tcBorders>
              <w:top w:val="single" w:sz="8" w:color="CCEEFF"/>
            </w:tcBorders>
            <w:gridSpan w:val="5"/>
            <w:shd w:val="clear" w:color="auto" w:fill="CCEEFF"/>
          </w:tcPr>
          <w:p>
            <w:pPr>
              <w:spacing w:after="0"/>
              <w:rPr>
                <w:sz w:val="18"/>
                <w:szCs w:val="18"/>
                <w:color w:val="auto"/>
              </w:rPr>
            </w:pPr>
          </w:p>
        </w:tc>
      </w:tr>
      <w:tr>
        <w:trPr>
          <w:trHeight w:val="227"/>
        </w:trPr>
        <w:tc>
          <w:tcPr>
            <w:tcW w:w="17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100" w:type="dxa"/>
            <w:vAlign w:val="bottom"/>
            <w:tcBorders>
              <w:top w:val="single" w:sz="8" w:color="0563C1"/>
            </w:tcBorders>
          </w:tcPr>
          <w:p>
            <w:pPr>
              <w:spacing w:after="0"/>
              <w:rPr>
                <w:sz w:val="19"/>
                <w:szCs w:val="19"/>
                <w:color w:val="auto"/>
              </w:rPr>
            </w:pPr>
          </w:p>
        </w:tc>
        <w:tc>
          <w:tcPr>
            <w:tcW w:w="6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27"/>
        </w:trPr>
        <w:tc>
          <w:tcPr>
            <w:tcW w:w="1700" w:type="dxa"/>
            <w:vAlign w:val="bottom"/>
            <w:shd w:val="clear" w:color="auto" w:fill="CCEEFF"/>
          </w:tcPr>
          <w:p>
            <w:pPr>
              <w:ind w:left="20"/>
              <w:spacing w:after="0" w:line="227" w:lineRule="exact"/>
              <w:rPr>
                <w:sz w:val="20"/>
                <w:szCs w:val="20"/>
                <w:color w:val="auto"/>
              </w:rPr>
            </w:pPr>
            <w:r>
              <w:rPr>
                <w:rFonts w:ascii="Arial" w:cs="Arial" w:eastAsia="Arial" w:hAnsi="Arial"/>
                <w:sz w:val="21"/>
                <w:szCs w:val="21"/>
                <w:color w:val="auto"/>
              </w:rPr>
              <w:t>32.1*</w:t>
            </w:r>
          </w:p>
        </w:tc>
        <w:tc>
          <w:tcPr>
            <w:tcW w:w="420" w:type="dxa"/>
            <w:vAlign w:val="bottom"/>
            <w:shd w:val="clear" w:color="auto" w:fill="CCEEFF"/>
          </w:tcPr>
          <w:p>
            <w:pPr>
              <w:spacing w:after="0"/>
              <w:rPr>
                <w:sz w:val="19"/>
                <w:szCs w:val="19"/>
                <w:color w:val="auto"/>
              </w:rPr>
            </w:pPr>
          </w:p>
        </w:tc>
        <w:tc>
          <w:tcPr>
            <w:tcW w:w="9120" w:type="dxa"/>
            <w:vAlign w:val="bottom"/>
            <w:gridSpan w:val="9"/>
            <w:shd w:val="clear" w:color="auto" w:fill="CCEEFF"/>
          </w:tcPr>
          <w:p>
            <w:pPr>
              <w:ind w:left="20"/>
              <w:spacing w:after="0" w:line="227" w:lineRule="exact"/>
              <w:rPr>
                <w:rFonts w:ascii="Arial" w:cs="Arial" w:eastAsia="Arial" w:hAnsi="Arial"/>
                <w:sz w:val="21"/>
                <w:szCs w:val="21"/>
                <w:u w:val="single" w:color="auto"/>
                <w:color w:val="0563C1"/>
              </w:rPr>
            </w:pPr>
            <w:hyperlink w:anchor="page61">
              <w:r>
                <w:rPr>
                  <w:rFonts w:ascii="Arial" w:cs="Arial" w:eastAsia="Arial" w:hAnsi="Arial"/>
                  <w:sz w:val="21"/>
                  <w:szCs w:val="21"/>
                  <w:u w:val="single" w:color="auto"/>
                  <w:color w:val="0563C1"/>
                </w:rPr>
                <w:t>Certification of Chief Executive Officer, furnished pursuant to 18 U.S.C. Section 1350</w:t>
              </w:r>
            </w:hyperlink>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1700" w:type="dxa"/>
            <w:vAlign w:val="bottom"/>
            <w:shd w:val="clear" w:color="auto" w:fill="CCEEFF"/>
          </w:tcPr>
          <w:p>
            <w:pPr>
              <w:ind w:left="20"/>
              <w:spacing w:after="0" w:line="227" w:lineRule="exact"/>
              <w:rPr>
                <w:sz w:val="20"/>
                <w:szCs w:val="20"/>
                <w:color w:val="auto"/>
              </w:rPr>
            </w:pPr>
            <w:r>
              <w:rPr>
                <w:rFonts w:ascii="Arial" w:cs="Arial" w:eastAsia="Arial" w:hAnsi="Arial"/>
                <w:sz w:val="21"/>
                <w:szCs w:val="21"/>
                <w:color w:val="auto"/>
              </w:rPr>
              <w:t>32.2*</w:t>
            </w:r>
          </w:p>
        </w:tc>
        <w:tc>
          <w:tcPr>
            <w:tcW w:w="420" w:type="dxa"/>
            <w:vAlign w:val="bottom"/>
            <w:shd w:val="clear" w:color="auto" w:fill="CCEEFF"/>
          </w:tcPr>
          <w:p>
            <w:pPr>
              <w:spacing w:after="0"/>
              <w:rPr>
                <w:sz w:val="19"/>
                <w:szCs w:val="19"/>
                <w:color w:val="auto"/>
              </w:rPr>
            </w:pPr>
          </w:p>
        </w:tc>
        <w:tc>
          <w:tcPr>
            <w:tcW w:w="9120" w:type="dxa"/>
            <w:vAlign w:val="bottom"/>
            <w:gridSpan w:val="9"/>
            <w:shd w:val="clear" w:color="auto" w:fill="CCEEFF"/>
          </w:tcPr>
          <w:p>
            <w:pPr>
              <w:ind w:left="20"/>
              <w:spacing w:after="0" w:line="227" w:lineRule="exact"/>
              <w:rPr>
                <w:rFonts w:ascii="Arial" w:cs="Arial" w:eastAsia="Arial" w:hAnsi="Arial"/>
                <w:sz w:val="21"/>
                <w:szCs w:val="21"/>
                <w:u w:val="single" w:color="auto"/>
                <w:color w:val="0563C1"/>
              </w:rPr>
            </w:pPr>
            <w:hyperlink w:anchor="page62">
              <w:r>
                <w:rPr>
                  <w:rFonts w:ascii="Arial" w:cs="Arial" w:eastAsia="Arial" w:hAnsi="Arial"/>
                  <w:sz w:val="21"/>
                  <w:szCs w:val="21"/>
                  <w:u w:val="single" w:color="auto"/>
                  <w:color w:val="0563C1"/>
                </w:rPr>
                <w:t>Certification of Chief Financial Officer, furnished pursuant to 18 U.S.C. Section 1350</w:t>
              </w:r>
            </w:hyperlink>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6"/>
        </w:trPr>
        <w:tc>
          <w:tcPr>
            <w:tcW w:w="21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21"/>
                <w:szCs w:val="21"/>
                <w:color w:val="auto"/>
              </w:rPr>
              <w:t>101.INS</w:t>
            </w:r>
          </w:p>
        </w:tc>
        <w:tc>
          <w:tcPr>
            <w:tcW w:w="9120" w:type="dxa"/>
            <w:vAlign w:val="bottom"/>
            <w:gridSpan w:val="9"/>
            <w:shd w:val="clear" w:color="auto" w:fill="CCEEFF"/>
          </w:tcPr>
          <w:p>
            <w:pPr>
              <w:ind w:left="20"/>
              <w:spacing w:after="0" w:line="206" w:lineRule="exact"/>
              <w:rPr>
                <w:sz w:val="20"/>
                <w:szCs w:val="20"/>
                <w:color w:val="auto"/>
              </w:rPr>
            </w:pPr>
            <w:r>
              <w:rPr>
                <w:rFonts w:ascii="Arial" w:cs="Arial" w:eastAsia="Arial" w:hAnsi="Arial"/>
                <w:sz w:val="21"/>
                <w:szCs w:val="21"/>
                <w:color w:val="auto"/>
                <w:w w:val="95"/>
              </w:rPr>
              <w:t>Inline XBRL Instance Document – The instance document does not appear in the Interactive Data File</w:t>
            </w:r>
          </w:p>
        </w:tc>
      </w:tr>
      <w:tr>
        <w:trPr>
          <w:trHeight w:val="249"/>
        </w:trPr>
        <w:tc>
          <w:tcPr>
            <w:tcW w:w="1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120" w:type="dxa"/>
            <w:vAlign w:val="bottom"/>
            <w:gridSpan w:val="9"/>
            <w:shd w:val="clear" w:color="auto" w:fill="CCEEFF"/>
          </w:tcPr>
          <w:p>
            <w:pPr>
              <w:ind w:left="20"/>
              <w:spacing w:after="0"/>
              <w:rPr>
                <w:sz w:val="20"/>
                <w:szCs w:val="20"/>
                <w:color w:val="auto"/>
              </w:rPr>
            </w:pPr>
            <w:r>
              <w:rPr>
                <w:rFonts w:ascii="Arial" w:cs="Arial" w:eastAsia="Arial" w:hAnsi="Arial"/>
                <w:sz w:val="21"/>
                <w:szCs w:val="21"/>
                <w:color w:val="auto"/>
              </w:rPr>
              <w:t>because its XBRL tags are embedded within the Inline XBRL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21"/>
                <w:szCs w:val="21"/>
                <w:color w:val="auto"/>
              </w:rPr>
              <w:t>101.SCH</w:t>
            </w:r>
          </w:p>
        </w:tc>
        <w:tc>
          <w:tcPr>
            <w:tcW w:w="9120" w:type="dxa"/>
            <w:vAlign w:val="bottom"/>
            <w:gridSpan w:val="9"/>
            <w:shd w:val="clear" w:color="auto" w:fill="CCEEFF"/>
          </w:tcPr>
          <w:p>
            <w:pPr>
              <w:ind w:left="20"/>
              <w:spacing w:after="0" w:line="227" w:lineRule="exact"/>
              <w:rPr>
                <w:sz w:val="20"/>
                <w:szCs w:val="20"/>
                <w:color w:val="auto"/>
              </w:rPr>
            </w:pPr>
            <w:r>
              <w:rPr>
                <w:rFonts w:ascii="Arial" w:cs="Arial" w:eastAsia="Arial" w:hAnsi="Arial"/>
                <w:sz w:val="21"/>
                <w:szCs w:val="21"/>
                <w:color w:val="auto"/>
              </w:rPr>
              <w:t>Inline XBRL Taxonomy Extension Schema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21"/>
                <w:szCs w:val="21"/>
                <w:color w:val="auto"/>
              </w:rPr>
              <w:t>101.CAL</w:t>
            </w:r>
          </w:p>
        </w:tc>
        <w:tc>
          <w:tcPr>
            <w:tcW w:w="9120" w:type="dxa"/>
            <w:vAlign w:val="bottom"/>
            <w:gridSpan w:val="9"/>
            <w:shd w:val="clear" w:color="auto" w:fill="CCEEFF"/>
          </w:tcPr>
          <w:p>
            <w:pPr>
              <w:ind w:left="20"/>
              <w:spacing w:after="0" w:line="227" w:lineRule="exact"/>
              <w:rPr>
                <w:sz w:val="20"/>
                <w:szCs w:val="20"/>
                <w:color w:val="auto"/>
              </w:rPr>
            </w:pPr>
            <w:r>
              <w:rPr>
                <w:rFonts w:ascii="Arial" w:cs="Arial" w:eastAsia="Arial" w:hAnsi="Arial"/>
                <w:sz w:val="21"/>
                <w:szCs w:val="21"/>
                <w:color w:val="auto"/>
              </w:rPr>
              <w:t>Inline XBRL Taxonomy Extension Calculation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21"/>
                <w:szCs w:val="21"/>
                <w:color w:val="auto"/>
              </w:rPr>
              <w:t>101.DEF</w:t>
            </w:r>
          </w:p>
        </w:tc>
        <w:tc>
          <w:tcPr>
            <w:tcW w:w="9120" w:type="dxa"/>
            <w:vAlign w:val="bottom"/>
            <w:gridSpan w:val="9"/>
            <w:shd w:val="clear" w:color="auto" w:fill="CCEEFF"/>
          </w:tcPr>
          <w:p>
            <w:pPr>
              <w:ind w:left="20"/>
              <w:spacing w:after="0" w:line="227" w:lineRule="exact"/>
              <w:rPr>
                <w:sz w:val="20"/>
                <w:szCs w:val="20"/>
                <w:color w:val="auto"/>
              </w:rPr>
            </w:pPr>
            <w:r>
              <w:rPr>
                <w:rFonts w:ascii="Arial" w:cs="Arial" w:eastAsia="Arial" w:hAnsi="Arial"/>
                <w:sz w:val="21"/>
                <w:szCs w:val="21"/>
                <w:color w:val="auto"/>
              </w:rPr>
              <w:t>Inline XBRL Taxonomy Extension Definition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21"/>
                <w:szCs w:val="21"/>
                <w:color w:val="auto"/>
              </w:rPr>
              <w:t>101.LAB</w:t>
            </w:r>
          </w:p>
        </w:tc>
        <w:tc>
          <w:tcPr>
            <w:tcW w:w="9120" w:type="dxa"/>
            <w:vAlign w:val="bottom"/>
            <w:gridSpan w:val="9"/>
            <w:shd w:val="clear" w:color="auto" w:fill="CCEEFF"/>
          </w:tcPr>
          <w:p>
            <w:pPr>
              <w:ind w:left="20"/>
              <w:spacing w:after="0" w:line="227" w:lineRule="exact"/>
              <w:rPr>
                <w:sz w:val="20"/>
                <w:szCs w:val="20"/>
                <w:color w:val="auto"/>
              </w:rPr>
            </w:pPr>
            <w:r>
              <w:rPr>
                <w:rFonts w:ascii="Arial" w:cs="Arial" w:eastAsia="Arial" w:hAnsi="Arial"/>
                <w:sz w:val="21"/>
                <w:szCs w:val="21"/>
                <w:color w:val="auto"/>
              </w:rPr>
              <w:t>Inline XBRL Taxonomy Extension Label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2120" w:type="dxa"/>
            <w:vAlign w:val="bottom"/>
            <w:gridSpan w:val="2"/>
            <w:shd w:val="clear" w:color="auto" w:fill="CCEEFF"/>
          </w:tcPr>
          <w:p>
            <w:pPr>
              <w:ind w:left="20"/>
              <w:spacing w:after="0" w:line="227" w:lineRule="exact"/>
              <w:rPr>
                <w:sz w:val="20"/>
                <w:szCs w:val="20"/>
                <w:color w:val="auto"/>
              </w:rPr>
            </w:pPr>
            <w:r>
              <w:rPr>
                <w:rFonts w:ascii="Arial" w:cs="Arial" w:eastAsia="Arial" w:hAnsi="Arial"/>
                <w:sz w:val="21"/>
                <w:szCs w:val="21"/>
                <w:color w:val="auto"/>
              </w:rPr>
              <w:t>101.PRES</w:t>
            </w:r>
          </w:p>
        </w:tc>
        <w:tc>
          <w:tcPr>
            <w:tcW w:w="9120" w:type="dxa"/>
            <w:vAlign w:val="bottom"/>
            <w:gridSpan w:val="9"/>
            <w:shd w:val="clear" w:color="auto" w:fill="CCEEFF"/>
          </w:tcPr>
          <w:p>
            <w:pPr>
              <w:ind w:left="20"/>
              <w:spacing w:after="0" w:line="227" w:lineRule="exact"/>
              <w:rPr>
                <w:sz w:val="20"/>
                <w:szCs w:val="20"/>
                <w:color w:val="auto"/>
              </w:rPr>
            </w:pPr>
            <w:r>
              <w:rPr>
                <w:rFonts w:ascii="Arial" w:cs="Arial" w:eastAsia="Arial" w:hAnsi="Arial"/>
                <w:sz w:val="21"/>
                <w:szCs w:val="21"/>
                <w:color w:val="auto"/>
              </w:rPr>
              <w:t>Inline XBRL Taxonomy Extension Presentation Linkbase Document</w:t>
            </w:r>
          </w:p>
        </w:tc>
      </w:tr>
      <w:tr>
        <w:trPr>
          <w:trHeight w:val="227"/>
        </w:trPr>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6"/>
        </w:trPr>
        <w:tc>
          <w:tcPr>
            <w:tcW w:w="1700" w:type="dxa"/>
            <w:vAlign w:val="bottom"/>
            <w:shd w:val="clear" w:color="auto" w:fill="CCEEFF"/>
          </w:tcPr>
          <w:p>
            <w:pPr>
              <w:ind w:left="20"/>
              <w:spacing w:after="0" w:line="206" w:lineRule="exact"/>
              <w:rPr>
                <w:sz w:val="20"/>
                <w:szCs w:val="20"/>
                <w:color w:val="auto"/>
              </w:rPr>
            </w:pPr>
            <w:r>
              <w:rPr>
                <w:rFonts w:ascii="Arial" w:cs="Arial" w:eastAsia="Arial" w:hAnsi="Arial"/>
                <w:sz w:val="21"/>
                <w:szCs w:val="21"/>
                <w:color w:val="auto"/>
              </w:rPr>
              <w:t>104</w:t>
            </w:r>
          </w:p>
        </w:tc>
        <w:tc>
          <w:tcPr>
            <w:tcW w:w="420" w:type="dxa"/>
            <w:vAlign w:val="bottom"/>
            <w:shd w:val="clear" w:color="auto" w:fill="CCEEFF"/>
          </w:tcPr>
          <w:p>
            <w:pPr>
              <w:spacing w:after="0"/>
              <w:rPr>
                <w:sz w:val="17"/>
                <w:szCs w:val="17"/>
                <w:color w:val="auto"/>
              </w:rPr>
            </w:pPr>
          </w:p>
        </w:tc>
        <w:tc>
          <w:tcPr>
            <w:tcW w:w="9120" w:type="dxa"/>
            <w:vAlign w:val="bottom"/>
            <w:gridSpan w:val="9"/>
            <w:shd w:val="clear" w:color="auto" w:fill="CCEEFF"/>
          </w:tcPr>
          <w:p>
            <w:pPr>
              <w:ind w:left="20"/>
              <w:spacing w:after="0" w:line="206" w:lineRule="exact"/>
              <w:rPr>
                <w:sz w:val="20"/>
                <w:szCs w:val="20"/>
                <w:color w:val="auto"/>
              </w:rPr>
            </w:pPr>
            <w:r>
              <w:rPr>
                <w:rFonts w:ascii="Arial" w:cs="Arial" w:eastAsia="Arial" w:hAnsi="Arial"/>
                <w:sz w:val="21"/>
                <w:szCs w:val="21"/>
                <w:color w:val="auto"/>
                <w:w w:val="92"/>
              </w:rPr>
              <w:t>The cover page from the Company’s Quarterly Report on Form 10-Q for the quarter ended June 30, 2020,</w:t>
            </w:r>
          </w:p>
        </w:tc>
      </w:tr>
      <w:tr>
        <w:trPr>
          <w:trHeight w:val="249"/>
        </w:trPr>
        <w:tc>
          <w:tcPr>
            <w:tcW w:w="1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120" w:type="dxa"/>
            <w:vAlign w:val="bottom"/>
            <w:gridSpan w:val="9"/>
            <w:shd w:val="clear" w:color="auto" w:fill="CCEEFF"/>
          </w:tcPr>
          <w:p>
            <w:pPr>
              <w:ind w:left="20"/>
              <w:spacing w:after="0"/>
              <w:rPr>
                <w:sz w:val="20"/>
                <w:szCs w:val="20"/>
                <w:color w:val="auto"/>
              </w:rPr>
            </w:pPr>
            <w:r>
              <w:rPr>
                <w:rFonts w:ascii="Arial" w:cs="Arial" w:eastAsia="Arial" w:hAnsi="Arial"/>
                <w:sz w:val="21"/>
                <w:szCs w:val="21"/>
                <w:color w:val="auto"/>
              </w:rPr>
              <w:t>formatted in Inline XBRL (included in Exhibit 101)</w:t>
            </w:r>
          </w:p>
        </w:tc>
      </w:tr>
    </w:tbl>
    <w:p>
      <w:pPr>
        <w:spacing w:after="0" w:line="206" w:lineRule="exact"/>
        <w:rPr>
          <w:sz w:val="20"/>
          <w:szCs w:val="20"/>
          <w:color w:val="auto"/>
        </w:rPr>
      </w:pPr>
    </w:p>
    <w:p>
      <w:pPr>
        <w:ind w:left="320" w:hanging="313"/>
        <w:spacing w:after="0"/>
        <w:tabs>
          <w:tab w:leader="none" w:pos="320" w:val="left"/>
        </w:tabs>
        <w:numPr>
          <w:ilvl w:val="0"/>
          <w:numId w:val="6"/>
        </w:numPr>
        <w:rPr>
          <w:rFonts w:ascii="Arial" w:cs="Arial" w:eastAsia="Arial" w:hAnsi="Arial"/>
          <w:sz w:val="21"/>
          <w:szCs w:val="21"/>
          <w:color w:val="auto"/>
        </w:rPr>
      </w:pPr>
      <w:r>
        <w:rPr>
          <w:rFonts w:ascii="Arial" w:cs="Arial" w:eastAsia="Arial" w:hAnsi="Arial"/>
          <w:sz w:val="21"/>
          <w:szCs w:val="2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21"/>
          <w:szCs w:val="21"/>
          <w:u w:val="single" w:color="auto"/>
          <w:color w:val="0563C1"/>
        </w:rPr>
      </w:pPr>
      <w:hyperlink w:anchor="page2">
        <w:r>
          <w:rPr>
            <w:rFonts w:ascii="Arial" w:cs="Arial" w:eastAsia="Arial" w:hAnsi="Arial"/>
            <w:sz w:val="21"/>
            <w:szCs w:val="21"/>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21"/>
          <w:szCs w:val="21"/>
          <w:u w:val="single" w:color="auto"/>
          <w:color w:val="auto"/>
        </w:rPr>
        <w:t>SIGNATURES</w:t>
      </w:r>
    </w:p>
    <w:p>
      <w:pPr>
        <w:spacing w:after="0" w:line="106" w:lineRule="exact"/>
        <w:rPr>
          <w:sz w:val="20"/>
          <w:szCs w:val="20"/>
          <w:color w:val="auto"/>
        </w:rPr>
      </w:pPr>
    </w:p>
    <w:p>
      <w:pPr>
        <w:spacing w:after="0" w:line="215"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executed on its behalf by the undersigned thereunto duly authorized.</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August 6, 2020</w:t>
      </w:r>
    </w:p>
    <w:p>
      <w:pPr>
        <w:spacing w:after="0" w:line="160"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4445</wp:posOffset>
            </wp:positionV>
            <wp:extent cx="2598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21"/>
          <w:szCs w:val="21"/>
          <w:color w:val="auto"/>
        </w:rPr>
        <w:t>Registrant</w:t>
      </w:r>
    </w:p>
    <w:p>
      <w:pPr>
        <w:spacing w:after="0" w:line="200" w:lineRule="exact"/>
        <w:rPr>
          <w:sz w:val="20"/>
          <w:szCs w:val="20"/>
          <w:color w:val="auto"/>
        </w:rPr>
      </w:pPr>
    </w:p>
    <w:p>
      <w:pPr>
        <w:spacing w:after="0" w:line="370"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4445</wp:posOffset>
            </wp:positionV>
            <wp:extent cx="25984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21"/>
          <w:szCs w:val="21"/>
          <w:color w:val="auto"/>
        </w:rPr>
        <w:t>Christopher H. Franklin</w:t>
      </w:r>
    </w:p>
    <w:p>
      <w:pPr>
        <w:ind w:left="7140"/>
        <w:spacing w:after="0" w:line="225" w:lineRule="auto"/>
        <w:rPr>
          <w:sz w:val="20"/>
          <w:szCs w:val="20"/>
          <w:color w:val="auto"/>
        </w:rPr>
      </w:pPr>
      <w:r>
        <w:rPr>
          <w:rFonts w:ascii="Arial" w:cs="Arial" w:eastAsia="Arial" w:hAnsi="Arial"/>
          <w:sz w:val="21"/>
          <w:szCs w:val="21"/>
          <w:color w:val="auto"/>
        </w:rPr>
        <w:t>Chairman, President and</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Chief Executive Officer</w:t>
      </w:r>
    </w:p>
    <w:p>
      <w:pPr>
        <w:spacing w:after="0" w:line="200" w:lineRule="exact"/>
        <w:rPr>
          <w:sz w:val="20"/>
          <w:szCs w:val="20"/>
          <w:color w:val="auto"/>
        </w:rPr>
      </w:pPr>
    </w:p>
    <w:p>
      <w:pPr>
        <w:spacing w:after="0" w:line="370"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4445</wp:posOffset>
            </wp:positionV>
            <wp:extent cx="25984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21"/>
          <w:szCs w:val="21"/>
          <w:color w:val="auto"/>
        </w:rPr>
        <w:t>Daniel J. Schuller</w:t>
      </w:r>
    </w:p>
    <w:p>
      <w:pPr>
        <w:ind w:left="7140"/>
        <w:spacing w:after="0" w:line="225" w:lineRule="auto"/>
        <w:rPr>
          <w:sz w:val="20"/>
          <w:szCs w:val="20"/>
          <w:color w:val="auto"/>
        </w:rPr>
      </w:pPr>
      <w:r>
        <w:rPr>
          <w:rFonts w:ascii="Arial" w:cs="Arial" w:eastAsia="Arial" w:hAnsi="Arial"/>
          <w:sz w:val="21"/>
          <w:szCs w:val="21"/>
          <w:color w:val="auto"/>
        </w:rPr>
        <w:t>Executive Vice President and</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Chief Financial Officer</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000"/>
          </w:cols>
          <w:pgMar w:left="320" w:top="118" w:right="579" w:bottom="1440" w:gutter="0" w:footer="0" w:header="0"/>
        </w:sectPr>
      </w:pPr>
    </w:p>
    <w:bookmarkStart w:id="58" w:name="page59"/>
    <w:bookmarkEnd w:id="58"/>
    <w:p>
      <w:pPr>
        <w:ind w:left="8940"/>
        <w:spacing w:after="0"/>
        <w:rPr>
          <w:sz w:val="20"/>
          <w:szCs w:val="20"/>
          <w:color w:val="auto"/>
        </w:rPr>
      </w:pPr>
      <w:r>
        <w:rPr>
          <w:rFonts w:ascii="Arial" w:cs="Arial" w:eastAsia="Arial" w:hAnsi="Arial"/>
          <w:sz w:val="19"/>
          <w:szCs w:val="19"/>
          <w:color w:val="auto"/>
        </w:rPr>
        <w:t>Exhibit 31.1</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40"/>
        <w:spacing w:after="0"/>
        <w:rPr>
          <w:sz w:val="20"/>
          <w:szCs w:val="20"/>
          <w:color w:val="auto"/>
        </w:rPr>
      </w:pPr>
      <w:r>
        <w:rPr>
          <w:rFonts w:ascii="Arial" w:cs="Arial" w:eastAsia="Arial" w:hAnsi="Arial"/>
          <w:sz w:val="20"/>
          <w:szCs w:val="20"/>
          <w:color w:val="auto"/>
        </w:rPr>
        <w:t>AND EXCHANGE ACT OF 1934</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I, Christopher H. Franklin, certify that:</w:t>
      </w:r>
    </w:p>
    <w:p>
      <w:pPr>
        <w:spacing w:after="0" w:line="118" w:lineRule="exact"/>
        <w:rPr>
          <w:sz w:val="20"/>
          <w:szCs w:val="20"/>
          <w:color w:val="auto"/>
        </w:rPr>
      </w:pPr>
    </w:p>
    <w:p>
      <w:pPr>
        <w:ind w:left="340" w:hanging="331"/>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ind w:left="340" w:hanging="331"/>
        <w:spacing w:after="0" w:line="195"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40" w:right="20" w:hanging="331"/>
        <w:spacing w:after="0" w:line="195"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20"/>
          <w:szCs w:val="20"/>
          <w:color w:val="auto"/>
        </w:rPr>
      </w:pPr>
    </w:p>
    <w:p>
      <w:pPr>
        <w:ind w:left="340" w:right="220" w:hanging="331"/>
        <w:spacing w:after="0" w:line="205"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60" w:right="120" w:hanging="330"/>
        <w:spacing w:after="0" w:line="195" w:lineRule="auto"/>
        <w:tabs>
          <w:tab w:leader="none" w:pos="660" w:val="left"/>
        </w:tabs>
        <w:numPr>
          <w:ilvl w:val="1"/>
          <w:numId w:val="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60" w:right="20" w:hanging="330"/>
        <w:spacing w:after="0" w:line="229"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660" w:right="220" w:hanging="330"/>
        <w:spacing w:after="0" w:line="195" w:lineRule="auto"/>
        <w:tabs>
          <w:tab w:leader="none" w:pos="660" w:val="left"/>
        </w:tabs>
        <w:numPr>
          <w:ilvl w:val="1"/>
          <w:numId w:val="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660" w:hanging="330"/>
        <w:spacing w:after="0" w:line="195" w:lineRule="auto"/>
        <w:tabs>
          <w:tab w:leader="none" w:pos="660" w:val="left"/>
        </w:tabs>
        <w:numPr>
          <w:ilvl w:val="1"/>
          <w:numId w:val="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40" w:right="160" w:hanging="331"/>
        <w:spacing w:after="0" w:line="195"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660" w:right="420" w:hanging="330"/>
        <w:spacing w:after="0" w:line="195" w:lineRule="auto"/>
        <w:tabs>
          <w:tab w:leader="none" w:pos="660" w:val="left"/>
        </w:tabs>
        <w:numPr>
          <w:ilvl w:val="1"/>
          <w:numId w:val="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20"/>
          <w:szCs w:val="20"/>
          <w:color w:val="auto"/>
        </w:rPr>
      </w:pPr>
    </w:p>
    <w:p>
      <w:pPr>
        <w:ind w:left="660" w:right="200" w:hanging="330"/>
        <w:spacing w:after="0" w:line="219" w:lineRule="auto"/>
        <w:tabs>
          <w:tab w:leader="none" w:pos="660" w:val="left"/>
        </w:tabs>
        <w:numPr>
          <w:ilvl w:val="1"/>
          <w:numId w:val="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 Christopher H. Franklin</w:t>
      </w:r>
    </w:p>
    <w:p>
      <w:pPr>
        <w:ind w:left="120"/>
        <w:spacing w:after="0" w:line="186"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3057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ind w:left="120"/>
        <w:spacing w:after="0" w:line="186" w:lineRule="auto"/>
        <w:rPr>
          <w:sz w:val="20"/>
          <w:szCs w:val="20"/>
          <w:color w:val="auto"/>
        </w:rPr>
      </w:pPr>
      <w:r>
        <w:rPr>
          <w:rFonts w:ascii="Arial" w:cs="Arial" w:eastAsia="Arial" w:hAnsi="Arial"/>
          <w:sz w:val="18"/>
          <w:szCs w:val="18"/>
          <w:color w:val="auto"/>
        </w:rPr>
        <w:t>President and Chief Executive Officer</w:t>
      </w:r>
    </w:p>
    <w:p>
      <w:pPr>
        <w:ind w:left="120"/>
        <w:spacing w:after="0"/>
        <w:rPr>
          <w:sz w:val="20"/>
          <w:szCs w:val="20"/>
          <w:color w:val="auto"/>
        </w:rPr>
      </w:pPr>
      <w:r>
        <w:rPr>
          <w:rFonts w:ascii="Arial" w:cs="Arial" w:eastAsia="Arial" w:hAnsi="Arial"/>
          <w:sz w:val="21"/>
          <w:szCs w:val="21"/>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33539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ectPr>
          <w:pgSz w:w="11900" w:h="16838" w:orient="portrait"/>
          <w:cols w:equalWidth="0" w:num="1">
            <w:col w:w="9960"/>
          </w:cols>
          <w:pgMar w:left="960" w:top="82" w:right="97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Exhibit 31.2</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100"/>
        <w:spacing w:after="0"/>
        <w:rPr>
          <w:sz w:val="20"/>
          <w:szCs w:val="20"/>
          <w:color w:val="auto"/>
        </w:rPr>
      </w:pPr>
      <w:r>
        <w:rPr>
          <w:rFonts w:ascii="Arial" w:cs="Arial" w:eastAsia="Arial" w:hAnsi="Arial"/>
          <w:sz w:val="20"/>
          <w:szCs w:val="20"/>
          <w:color w:val="auto"/>
        </w:rPr>
        <w:t>AND EXCHANGE ACT OF 1934</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I, Daniel J. Schuller, certify that:</w:t>
      </w:r>
    </w:p>
    <w:p>
      <w:pPr>
        <w:spacing w:after="0" w:line="118" w:lineRule="exact"/>
        <w:rPr>
          <w:sz w:val="20"/>
          <w:szCs w:val="20"/>
          <w:color w:val="auto"/>
        </w:rPr>
      </w:pPr>
    </w:p>
    <w:p>
      <w:pPr>
        <w:ind w:left="340" w:hanging="331"/>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ind w:left="340" w:hanging="331"/>
        <w:spacing w:after="0" w:line="195"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40" w:right="20" w:hanging="331"/>
        <w:spacing w:after="0" w:line="195"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20"/>
          <w:szCs w:val="20"/>
          <w:color w:val="auto"/>
        </w:rPr>
      </w:pPr>
    </w:p>
    <w:p>
      <w:pPr>
        <w:ind w:left="340" w:right="220" w:hanging="331"/>
        <w:spacing w:after="0" w:line="205" w:lineRule="auto"/>
        <w:tabs>
          <w:tab w:leader="none" w:pos="3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60" w:right="120" w:hanging="330"/>
        <w:spacing w:after="0" w:line="195" w:lineRule="auto"/>
        <w:tabs>
          <w:tab w:leader="none" w:pos="660" w:val="left"/>
        </w:tabs>
        <w:numPr>
          <w:ilvl w:val="1"/>
          <w:numId w:val="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60" w:right="20" w:hanging="330"/>
        <w:spacing w:after="0" w:line="229"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660" w:right="220" w:hanging="330"/>
        <w:spacing w:after="0" w:line="195" w:lineRule="auto"/>
        <w:tabs>
          <w:tab w:leader="none" w:pos="660"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660" w:hanging="330"/>
        <w:spacing w:after="0" w:line="195" w:lineRule="auto"/>
        <w:tabs>
          <w:tab w:leader="none" w:pos="660" w:val="left"/>
        </w:tabs>
        <w:numPr>
          <w:ilvl w:val="1"/>
          <w:numId w:val="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40" w:right="160" w:hanging="331"/>
        <w:spacing w:after="0" w:line="195"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660" w:right="420" w:hanging="330"/>
        <w:spacing w:after="0" w:line="195" w:lineRule="auto"/>
        <w:tabs>
          <w:tab w:leader="none" w:pos="660" w:val="left"/>
        </w:tabs>
        <w:numPr>
          <w:ilvl w:val="1"/>
          <w:numId w:val="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20"/>
          <w:szCs w:val="20"/>
          <w:color w:val="auto"/>
        </w:rPr>
      </w:pPr>
    </w:p>
    <w:p>
      <w:pPr>
        <w:ind w:left="660" w:right="200" w:hanging="330"/>
        <w:spacing w:after="0" w:line="219" w:lineRule="auto"/>
        <w:tabs>
          <w:tab w:leader="none" w:pos="660" w:val="left"/>
        </w:tabs>
        <w:numPr>
          <w:ilvl w:val="1"/>
          <w:numId w:val="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 Daniel J. Schuller</w:t>
      </w:r>
    </w:p>
    <w:p>
      <w:pPr>
        <w:ind w:left="120"/>
        <w:spacing w:after="0" w:line="186"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3277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277870" cy="8255"/>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21"/>
          <w:szCs w:val="21"/>
          <w:color w:val="auto"/>
        </w:rPr>
        <w:t>Executive Vice President and Chief Financial Officer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633539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ectPr>
          <w:pgSz w:w="11900" w:h="16838" w:orient="portrait"/>
          <w:cols w:equalWidth="0" w:num="1">
            <w:col w:w="9960"/>
          </w:cols>
          <w:pgMar w:left="960" w:top="110" w:right="979" w:bottom="1440" w:gutter="0" w:footer="0" w:header="0"/>
        </w:sectPr>
      </w:pPr>
    </w:p>
    <w:bookmarkStart w:id="60" w:name="page61"/>
    <w:bookmarkEnd w:id="60"/>
    <w:p>
      <w:pPr>
        <w:jc w:val="right"/>
        <w:spacing w:after="0"/>
        <w:rPr>
          <w:sz w:val="20"/>
          <w:szCs w:val="20"/>
          <w:color w:val="auto"/>
        </w:rPr>
      </w:pPr>
      <w:r>
        <w:rPr>
          <w:rFonts w:ascii="Arial" w:cs="Arial" w:eastAsia="Arial" w:hAnsi="Arial"/>
          <w:sz w:val="21"/>
          <w:szCs w:val="21"/>
          <w:color w:val="auto"/>
        </w:rPr>
        <w:t>Exhibit 32.1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PURSUANT TO</w:t>
      </w:r>
    </w:p>
    <w:p>
      <w:pPr>
        <w:jc w:val="center"/>
        <w:spacing w:after="0"/>
        <w:rPr>
          <w:sz w:val="20"/>
          <w:szCs w:val="20"/>
          <w:color w:val="auto"/>
        </w:rPr>
      </w:pPr>
      <w:r>
        <w:rPr>
          <w:rFonts w:ascii="Arial" w:cs="Arial" w:eastAsia="Arial" w:hAnsi="Arial"/>
          <w:sz w:val="21"/>
          <w:szCs w:val="21"/>
          <w:color w:val="auto"/>
        </w:rPr>
        <w:t>18 U.S.C. SECTION 1350</w:t>
      </w:r>
    </w:p>
    <w:p>
      <w:pPr>
        <w:spacing w:after="0" w:line="200" w:lineRule="exact"/>
        <w:rPr>
          <w:sz w:val="20"/>
          <w:szCs w:val="20"/>
          <w:color w:val="auto"/>
        </w:rPr>
      </w:pPr>
    </w:p>
    <w:p>
      <w:pPr>
        <w:spacing w:after="0" w:line="343" w:lineRule="exact"/>
        <w:rPr>
          <w:sz w:val="20"/>
          <w:szCs w:val="20"/>
          <w:color w:val="auto"/>
        </w:rPr>
      </w:pPr>
    </w:p>
    <w:p>
      <w:pPr>
        <w:jc w:val="both"/>
        <w:ind w:right="200"/>
        <w:spacing w:after="0" w:line="182" w:lineRule="auto"/>
        <w:rPr>
          <w:sz w:val="20"/>
          <w:szCs w:val="20"/>
          <w:color w:val="auto"/>
        </w:rPr>
      </w:pPr>
      <w:r>
        <w:rPr>
          <w:rFonts w:ascii="Arial" w:cs="Arial" w:eastAsia="Arial" w:hAnsi="Arial"/>
          <w:sz w:val="19"/>
          <w:szCs w:val="19"/>
          <w:color w:val="auto"/>
        </w:rPr>
        <w:t>In connection with the Quarterly Report on Form 10-Q for the period ended June 30, 2020 of Essential Utilities, Inc. (the “Company”) as filed with the Securities and Exchange Commission on the date hereof (the “Report”), I, Christopher H. Franklin, President and Chief Executive Officer of the Company, certify, pursuant to 18 U.S.C.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Section 1350, as adopted pursuant to Section 906 of the Sarbanes-Oxley Act of 2002, that, to my knowledge:</w:t>
      </w:r>
    </w:p>
    <w:p>
      <w:pPr>
        <w:spacing w:after="0" w:line="233" w:lineRule="exact"/>
        <w:rPr>
          <w:sz w:val="20"/>
          <w:szCs w:val="20"/>
          <w:color w:val="auto"/>
        </w:rPr>
      </w:pPr>
    </w:p>
    <w:p>
      <w:pPr>
        <w:ind w:left="340" w:right="320" w:hanging="331"/>
        <w:spacing w:after="0" w:line="215" w:lineRule="auto"/>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(15 U.S.C. Section 78m or Section 78o(d)); and</w:t>
      </w:r>
    </w:p>
    <w:p>
      <w:pPr>
        <w:spacing w:after="0" w:line="48" w:lineRule="exact"/>
        <w:rPr>
          <w:rFonts w:ascii="Arial" w:cs="Arial" w:eastAsia="Arial" w:hAnsi="Arial"/>
          <w:sz w:val="21"/>
          <w:szCs w:val="21"/>
          <w:color w:val="auto"/>
        </w:rPr>
      </w:pPr>
    </w:p>
    <w:p>
      <w:pPr>
        <w:ind w:left="340" w:right="420" w:hanging="331"/>
        <w:spacing w:after="0" w:line="215" w:lineRule="auto"/>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 Christopher H. Franklin</w:t>
      </w:r>
    </w:p>
    <w:p>
      <w:pPr>
        <w:ind w:left="120"/>
        <w:spacing w:after="0" w:line="186"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2929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929890" cy="8255"/>
                    </a:xfrm>
                    <a:prstGeom prst="rect">
                      <a:avLst/>
                    </a:prstGeom>
                    <a:noFill/>
                  </pic:spPr>
                </pic:pic>
              </a:graphicData>
            </a:graphic>
          </wp:anchor>
        </w:drawing>
      </w:r>
    </w:p>
    <w:p>
      <w:pPr>
        <w:ind w:left="120"/>
        <w:spacing w:after="0" w:line="186" w:lineRule="auto"/>
        <w:rPr>
          <w:sz w:val="20"/>
          <w:szCs w:val="20"/>
          <w:color w:val="auto"/>
        </w:rPr>
      </w:pPr>
      <w:r>
        <w:rPr>
          <w:rFonts w:ascii="Arial" w:cs="Arial" w:eastAsia="Arial" w:hAnsi="Arial"/>
          <w:sz w:val="18"/>
          <w:szCs w:val="18"/>
          <w:color w:val="auto"/>
        </w:rPr>
        <w:t>President and Chief Executive Officer</w:t>
      </w:r>
    </w:p>
    <w:p>
      <w:pPr>
        <w:ind w:left="120"/>
        <w:spacing w:after="0"/>
        <w:rPr>
          <w:sz w:val="20"/>
          <w:szCs w:val="20"/>
          <w:color w:val="auto"/>
        </w:rPr>
      </w:pPr>
      <w:r>
        <w:rPr>
          <w:rFonts w:ascii="Arial" w:cs="Arial" w:eastAsia="Arial" w:hAnsi="Arial"/>
          <w:sz w:val="21"/>
          <w:szCs w:val="21"/>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33539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p>
      <w:pPr>
        <w:sectPr>
          <w:pgSz w:w="11900" w:h="16838" w:orient="portrait"/>
          <w:cols w:equalWidth="0" w:num="1">
            <w:col w:w="9900"/>
          </w:cols>
          <w:pgMar w:left="960" w:top="78" w:right="1039" w:bottom="1440" w:gutter="0" w:footer="0" w:header="0"/>
        </w:sectPr>
      </w:pPr>
    </w:p>
    <w:bookmarkStart w:id="61" w:name="page62"/>
    <w:bookmarkEnd w:id="61"/>
    <w:p>
      <w:pPr>
        <w:jc w:val="right"/>
        <w:spacing w:after="0"/>
        <w:rPr>
          <w:sz w:val="20"/>
          <w:szCs w:val="20"/>
          <w:color w:val="auto"/>
        </w:rPr>
      </w:pPr>
      <w:r>
        <w:rPr>
          <w:rFonts w:ascii="Arial" w:cs="Arial" w:eastAsia="Arial" w:hAnsi="Arial"/>
          <w:sz w:val="21"/>
          <w:szCs w:val="21"/>
          <w:color w:val="auto"/>
        </w:rPr>
        <w:t>Exhibit 32.2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PURSUANT TO</w:t>
      </w:r>
    </w:p>
    <w:p>
      <w:pPr>
        <w:jc w:val="center"/>
        <w:spacing w:after="0"/>
        <w:rPr>
          <w:sz w:val="20"/>
          <w:szCs w:val="20"/>
          <w:color w:val="auto"/>
        </w:rPr>
      </w:pPr>
      <w:r>
        <w:rPr>
          <w:rFonts w:ascii="Arial" w:cs="Arial" w:eastAsia="Arial" w:hAnsi="Arial"/>
          <w:sz w:val="21"/>
          <w:szCs w:val="21"/>
          <w:color w:val="auto"/>
        </w:rPr>
        <w:t>18 U.S.C. SECTION 1350</w:t>
      </w:r>
    </w:p>
    <w:p>
      <w:pPr>
        <w:spacing w:after="0" w:line="200" w:lineRule="exact"/>
        <w:rPr>
          <w:sz w:val="20"/>
          <w:szCs w:val="20"/>
          <w:color w:val="auto"/>
        </w:rPr>
      </w:pPr>
    </w:p>
    <w:p>
      <w:pPr>
        <w:spacing w:after="0" w:line="343" w:lineRule="exact"/>
        <w:rPr>
          <w:sz w:val="20"/>
          <w:szCs w:val="20"/>
          <w:color w:val="auto"/>
        </w:rPr>
      </w:pPr>
    </w:p>
    <w:p>
      <w:pPr>
        <w:ind w:right="40"/>
        <w:spacing w:after="0" w:line="196" w:lineRule="auto"/>
        <w:rPr>
          <w:sz w:val="20"/>
          <w:szCs w:val="20"/>
          <w:color w:val="auto"/>
        </w:rPr>
      </w:pPr>
      <w:r>
        <w:rPr>
          <w:rFonts w:ascii="Arial" w:cs="Arial" w:eastAsia="Arial" w:hAnsi="Arial"/>
          <w:sz w:val="20"/>
          <w:szCs w:val="20"/>
          <w:color w:val="auto"/>
        </w:rPr>
        <w:t>In connection with the Quarterly Report on Form 10-Q for the period ended June 30, 2020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2" w:lineRule="exact"/>
        <w:rPr>
          <w:sz w:val="20"/>
          <w:szCs w:val="20"/>
          <w:color w:val="auto"/>
        </w:rPr>
      </w:pPr>
    </w:p>
    <w:p>
      <w:pPr>
        <w:ind w:left="340" w:right="320" w:hanging="331"/>
        <w:spacing w:after="0" w:line="215" w:lineRule="auto"/>
        <w:tabs>
          <w:tab w:leader="none" w:pos="3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(15 U.S.C. Section 78m or Section 78o(d)); and</w:t>
      </w:r>
    </w:p>
    <w:p>
      <w:pPr>
        <w:spacing w:after="0" w:line="48" w:lineRule="exact"/>
        <w:rPr>
          <w:rFonts w:ascii="Arial" w:cs="Arial" w:eastAsia="Arial" w:hAnsi="Arial"/>
          <w:sz w:val="21"/>
          <w:szCs w:val="21"/>
          <w:color w:val="auto"/>
        </w:rPr>
      </w:pPr>
    </w:p>
    <w:p>
      <w:pPr>
        <w:ind w:left="340" w:right="420" w:hanging="331"/>
        <w:spacing w:after="0" w:line="215" w:lineRule="auto"/>
        <w:tabs>
          <w:tab w:leader="none" w:pos="3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 Daniel J. Schuller</w:t>
      </w:r>
    </w:p>
    <w:p>
      <w:pPr>
        <w:ind w:left="120"/>
        <w:spacing w:after="0" w:line="186"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33712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ind w:left="120"/>
        <w:spacing w:after="0" w:line="212" w:lineRule="auto"/>
        <w:rPr>
          <w:sz w:val="20"/>
          <w:szCs w:val="20"/>
          <w:color w:val="auto"/>
        </w:rPr>
      </w:pPr>
      <w:r>
        <w:rPr>
          <w:rFonts w:ascii="Arial" w:cs="Arial" w:eastAsia="Arial" w:hAnsi="Arial"/>
          <w:sz w:val="21"/>
          <w:szCs w:val="21"/>
          <w:color w:val="auto"/>
        </w:rPr>
        <w:t>Executive Vice President and Chief Financial Officer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633539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335395" cy="25400"/>
                    </a:xfrm>
                    <a:prstGeom prst="rect">
                      <a:avLst/>
                    </a:prstGeom>
                    <a:noFill/>
                  </pic:spPr>
                </pic:pic>
              </a:graphicData>
            </a:graphic>
          </wp:anchor>
        </w:drawing>
      </w:r>
    </w:p>
    <w:sectPr>
      <w:pgSz w:w="11900" w:h="16838" w:orient="portrait"/>
      <w:cols w:equalWidth="0" w:num="1">
        <w:col w:w="9900"/>
      </w:cols>
      <w:pgMar w:left="960" w:top="7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79" Type="http://schemas.openxmlformats.org/officeDocument/2006/relationships/hyperlink" Target="http://www.sec.gov/Archives/edgar/data/78128/000155278120000364/e20338_ex3-1.htm" TargetMode="External"/><Relationship Id="rId80" Type="http://schemas.openxmlformats.org/officeDocument/2006/relationships/hyperlink" Target="http://www.sec.gov/Archives/edgar/data/78128/000155278120000364/e2033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2020-08-06T16:30:43Z</dcterms:created>
  <dcterms:modified xsi:type="dcterms:W3CDTF">2020-08-06T16:30:43Z</dcterms:modified>
</cp:coreProperties>
</file>