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jc w:val="center"/>
        <w:spacing w:after="0" w:line="228" w:lineRule="auto"/>
        <w:rPr>
          <w:sz w:val="20"/>
          <w:szCs w:val="20"/>
          <w:color w:val="auto"/>
        </w:rPr>
      </w:pPr>
      <w:r>
        <w:rPr>
          <w:rFonts w:ascii="Times New Roman" w:cs="Times New Roman" w:eastAsia="Times New Roman" w:hAnsi="Times New Roman"/>
          <w:sz w:val="19"/>
          <w:szCs w:val="19"/>
          <w:b w:val="1"/>
          <w:bCs w:val="1"/>
          <w:color w:val="auto"/>
        </w:rPr>
        <w:t>UNITED STATES</w:t>
      </w:r>
    </w:p>
    <w:p>
      <w:pPr>
        <w:jc w:val="center"/>
        <w:spacing w:after="0" w:line="220"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190" w:lineRule="auto"/>
        <w:rPr>
          <w:sz w:val="20"/>
          <w:szCs w:val="20"/>
          <w:color w:val="auto"/>
        </w:rPr>
      </w:pPr>
      <w:r>
        <w:rPr>
          <w:rFonts w:ascii="Times New Roman" w:cs="Times New Roman" w:eastAsia="Times New Roman" w:hAnsi="Times New Roman"/>
          <w:sz w:val="19"/>
          <w:szCs w:val="19"/>
          <w:color w:val="auto"/>
        </w:rPr>
        <w:t>(Mark One)</w:t>
      </w:r>
    </w:p>
    <w:p>
      <w:pPr>
        <w:spacing w:after="0" w:line="1" w:lineRule="exact"/>
        <w:rPr>
          <w:sz w:val="24"/>
          <w:szCs w:val="24"/>
          <w:color w:val="auto"/>
        </w:rPr>
      </w:pPr>
    </w:p>
    <w:p>
      <w:pPr>
        <w:ind w:left="3680" w:right="2060" w:hanging="3679"/>
        <w:spacing w:after="0" w:line="232" w:lineRule="auto"/>
        <w:rPr>
          <w:sz w:val="20"/>
          <w:szCs w:val="20"/>
          <w:color w:val="auto"/>
        </w:rPr>
      </w:pPr>
      <w:r>
        <w:rPr>
          <w:rFonts w:ascii="Times New Roman" w:cs="Times New Roman" w:eastAsia="Times New Roman" w:hAnsi="Times New Roman"/>
          <w:sz w:val="19"/>
          <w:szCs w:val="19"/>
          <w:b w:val="1"/>
          <w:bCs w:val="1"/>
          <w:color w:val="auto"/>
        </w:rPr>
        <w:t xml:space="preserve">S </w:t>
      </w:r>
      <w:r>
        <w:rPr>
          <w:rFonts w:ascii="Times New Roman" w:cs="Times New Roman" w:eastAsia="Times New Roman" w:hAnsi="Times New Roman"/>
          <w:sz w:val="19"/>
          <w:szCs w:val="19"/>
          <w:color w:val="auto"/>
        </w:rPr>
        <w:t>QUARTERLY REPORT PURSUANT TO SECTION 13 or 15 (d) OF THE SECURITIES EXCHANGE ACT OF 1934.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the quarterly period ended September 30, 2020</w:t>
      </w:r>
    </w:p>
    <w:p>
      <w:pPr>
        <w:spacing w:after="0" w:line="66" w:lineRule="exact"/>
        <w:rPr>
          <w:sz w:val="24"/>
          <w:szCs w:val="24"/>
          <w:color w:val="auto"/>
        </w:rPr>
      </w:pPr>
    </w:p>
    <w:p>
      <w:pPr>
        <w:ind w:left="2980" w:right="2000" w:hanging="2973"/>
        <w:spacing w:after="0" w:line="247" w:lineRule="auto"/>
        <w:tabs>
          <w:tab w:leader="none" w:pos="137"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TRANSITION REPORT PURSUANT TO SECTION 13 OR 15(d) OF THE SECURITIES EXCHANGE ACT OF 1934. For the transition period from_______________ to _______________</w:t>
      </w:r>
    </w:p>
    <w:p>
      <w:pPr>
        <w:spacing w:after="0" w:line="5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9"/>
          <w:szCs w:val="19"/>
          <w:color w:val="auto"/>
        </w:rPr>
        <w:t>Commission File Number 1-6659</w:t>
      </w:r>
    </w:p>
    <w:p>
      <w:pPr>
        <w:spacing w:after="0" w:line="16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9"/>
          <w:szCs w:val="19"/>
          <w:b w:val="1"/>
          <w:bCs w:val="1"/>
          <w:u w:val="single" w:color="auto"/>
          <w:color w:val="auto"/>
        </w:rPr>
        <w:t>ESSENTIAL UTILITIES, INC.</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tbl>
      <w:tblPr>
        <w:tblLayout w:type="fixed"/>
        <w:tblInd w:w="760" w:type="dxa"/>
        <w:tblCellMar>
          <w:top w:w="0" w:type="dxa"/>
          <w:left w:w="0" w:type="dxa"/>
          <w:bottom w:w="0" w:type="dxa"/>
          <w:right w:w="0" w:type="dxa"/>
        </w:tblCellMar>
      </w:tblPr>
      <w:tr>
        <w:trPr>
          <w:trHeight w:val="218"/>
        </w:trPr>
        <w:tc>
          <w:tcPr>
            <w:tcW w:w="1480" w:type="dxa"/>
            <w:vAlign w:val="bottom"/>
          </w:tcPr>
          <w:p>
            <w:pPr>
              <w:spacing w:after="0"/>
              <w:rPr>
                <w:sz w:val="18"/>
                <w:szCs w:val="18"/>
                <w:color w:val="auto"/>
              </w:rPr>
            </w:pPr>
          </w:p>
        </w:tc>
        <w:tc>
          <w:tcPr>
            <w:tcW w:w="3960" w:type="dxa"/>
            <w:vAlign w:val="bottom"/>
            <w:gridSpan w:val="3"/>
          </w:tcPr>
          <w:p>
            <w:pPr>
              <w:jc w:val="center"/>
              <w:ind w:right="2960"/>
              <w:spacing w:after="0"/>
              <w:rPr>
                <w:sz w:val="20"/>
                <w:szCs w:val="20"/>
                <w:color w:val="auto"/>
              </w:rPr>
            </w:pPr>
            <w:r>
              <w:rPr>
                <w:rFonts w:ascii="Times New Roman" w:cs="Times New Roman" w:eastAsia="Times New Roman" w:hAnsi="Times New Roman"/>
                <w:sz w:val="19"/>
                <w:szCs w:val="19"/>
                <w:color w:val="auto"/>
                <w:w w:val="98"/>
              </w:rPr>
              <w:t>Pennsylvania</w:t>
            </w:r>
          </w:p>
        </w:tc>
        <w:tc>
          <w:tcPr>
            <w:tcW w:w="264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auto"/>
              </w:rPr>
              <w:t>23-1702594</w:t>
            </w:r>
          </w:p>
        </w:tc>
        <w:tc>
          <w:tcPr>
            <w:tcW w:w="220" w:type="dxa"/>
            <w:vAlign w:val="bottom"/>
          </w:tcPr>
          <w:p>
            <w:pPr>
              <w:spacing w:after="0"/>
              <w:rPr>
                <w:sz w:val="18"/>
                <w:szCs w:val="18"/>
                <w:color w:val="auto"/>
              </w:rPr>
            </w:pPr>
          </w:p>
        </w:tc>
      </w:tr>
      <w:tr>
        <w:trPr>
          <w:trHeight w:val="20"/>
        </w:trPr>
        <w:tc>
          <w:tcPr>
            <w:tcW w:w="1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1"/>
        </w:trPr>
        <w:tc>
          <w:tcPr>
            <w:tcW w:w="5440" w:type="dxa"/>
            <w:vAlign w:val="bottom"/>
            <w:gridSpan w:val="4"/>
          </w:tcPr>
          <w:p>
            <w:pPr>
              <w:jc w:val="center"/>
              <w:ind w:right="1460"/>
              <w:spacing w:after="0" w:line="181" w:lineRule="exact"/>
              <w:rPr>
                <w:sz w:val="20"/>
                <w:szCs w:val="20"/>
                <w:color w:val="auto"/>
              </w:rPr>
            </w:pPr>
            <w:r>
              <w:rPr>
                <w:rFonts w:ascii="Times New Roman" w:cs="Times New Roman" w:eastAsia="Times New Roman" w:hAnsi="Times New Roman"/>
                <w:sz w:val="19"/>
                <w:szCs w:val="19"/>
                <w:color w:val="auto"/>
                <w:w w:val="98"/>
              </w:rPr>
              <w:t>(State or other jurisdiction of</w:t>
            </w:r>
          </w:p>
        </w:tc>
        <w:tc>
          <w:tcPr>
            <w:tcW w:w="2860" w:type="dxa"/>
            <w:vAlign w:val="bottom"/>
            <w:gridSpan w:val="5"/>
          </w:tcPr>
          <w:p>
            <w:pPr>
              <w:jc w:val="center"/>
              <w:ind w:left="1366"/>
              <w:spacing w:after="0" w:line="181" w:lineRule="exact"/>
              <w:rPr>
                <w:sz w:val="20"/>
                <w:szCs w:val="20"/>
                <w:color w:val="auto"/>
              </w:rPr>
            </w:pPr>
            <w:r>
              <w:rPr>
                <w:rFonts w:ascii="Times New Roman" w:cs="Times New Roman" w:eastAsia="Times New Roman" w:hAnsi="Times New Roman"/>
                <w:sz w:val="19"/>
                <w:szCs w:val="19"/>
                <w:color w:val="auto"/>
                <w:w w:val="98"/>
              </w:rPr>
              <w:t>(I.R.S. Employer</w:t>
            </w:r>
          </w:p>
        </w:tc>
      </w:tr>
      <w:tr>
        <w:trPr>
          <w:trHeight w:val="243"/>
        </w:trPr>
        <w:tc>
          <w:tcPr>
            <w:tcW w:w="5440" w:type="dxa"/>
            <w:vAlign w:val="bottom"/>
            <w:gridSpan w:val="4"/>
          </w:tcPr>
          <w:p>
            <w:pPr>
              <w:jc w:val="center"/>
              <w:ind w:right="1460"/>
              <w:spacing w:after="0"/>
              <w:rPr>
                <w:sz w:val="20"/>
                <w:szCs w:val="20"/>
                <w:color w:val="auto"/>
              </w:rPr>
            </w:pPr>
            <w:r>
              <w:rPr>
                <w:rFonts w:ascii="Times New Roman" w:cs="Times New Roman" w:eastAsia="Times New Roman" w:hAnsi="Times New Roman"/>
                <w:sz w:val="19"/>
                <w:szCs w:val="19"/>
                <w:color w:val="auto"/>
                <w:w w:val="98"/>
              </w:rPr>
              <w:t>incorporation or organization)</w:t>
            </w:r>
          </w:p>
        </w:tc>
        <w:tc>
          <w:tcPr>
            <w:tcW w:w="2860" w:type="dxa"/>
            <w:vAlign w:val="bottom"/>
            <w:gridSpan w:val="5"/>
          </w:tcPr>
          <w:p>
            <w:pPr>
              <w:jc w:val="center"/>
              <w:ind w:left="1366"/>
              <w:spacing w:after="0"/>
              <w:rPr>
                <w:sz w:val="20"/>
                <w:szCs w:val="20"/>
                <w:color w:val="auto"/>
              </w:rPr>
            </w:pPr>
            <w:r>
              <w:rPr>
                <w:rFonts w:ascii="Times New Roman" w:cs="Times New Roman" w:eastAsia="Times New Roman" w:hAnsi="Times New Roman"/>
                <w:sz w:val="19"/>
                <w:szCs w:val="19"/>
                <w:color w:val="auto"/>
                <w:w w:val="98"/>
              </w:rPr>
              <w:t>Identification No.)</w:t>
            </w:r>
          </w:p>
        </w:tc>
      </w:tr>
      <w:tr>
        <w:trPr>
          <w:trHeight w:val="359"/>
        </w:trPr>
        <w:tc>
          <w:tcPr>
            <w:tcW w:w="5440" w:type="dxa"/>
            <w:vAlign w:val="bottom"/>
            <w:gridSpan w:val="4"/>
          </w:tcPr>
          <w:p>
            <w:pPr>
              <w:jc w:val="center"/>
              <w:ind w:right="1460"/>
              <w:spacing w:after="0"/>
              <w:rPr>
                <w:sz w:val="20"/>
                <w:szCs w:val="20"/>
                <w:color w:val="auto"/>
              </w:rPr>
            </w:pPr>
            <w:r>
              <w:rPr>
                <w:rFonts w:ascii="Times New Roman" w:cs="Times New Roman" w:eastAsia="Times New Roman" w:hAnsi="Times New Roman"/>
                <w:sz w:val="19"/>
                <w:szCs w:val="19"/>
                <w:color w:val="auto"/>
                <w:w w:val="97"/>
              </w:rPr>
              <w:t>762 W. Lancaster Avenue, Bryn Mawr, Pennsylvania</w:t>
            </w:r>
          </w:p>
        </w:tc>
        <w:tc>
          <w:tcPr>
            <w:tcW w:w="2860" w:type="dxa"/>
            <w:vAlign w:val="bottom"/>
            <w:gridSpan w:val="5"/>
          </w:tcPr>
          <w:p>
            <w:pPr>
              <w:jc w:val="right"/>
              <w:ind w:right="220"/>
              <w:spacing w:after="0"/>
              <w:rPr>
                <w:sz w:val="20"/>
                <w:szCs w:val="20"/>
                <w:color w:val="auto"/>
              </w:rPr>
            </w:pPr>
            <w:r>
              <w:rPr>
                <w:rFonts w:ascii="Times New Roman" w:cs="Times New Roman" w:eastAsia="Times New Roman" w:hAnsi="Times New Roman"/>
                <w:sz w:val="19"/>
                <w:szCs w:val="19"/>
                <w:color w:val="auto"/>
              </w:rPr>
              <w:t>19010 -3489</w:t>
            </w:r>
          </w:p>
        </w:tc>
      </w:tr>
      <w:tr>
        <w:trPr>
          <w:trHeight w:val="236"/>
        </w:trPr>
        <w:tc>
          <w:tcPr>
            <w:tcW w:w="39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w w:val="98"/>
              </w:rPr>
              <w:t>(Address of principal executive offices)</w:t>
            </w: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9"/>
                <w:szCs w:val="19"/>
                <w:color w:val="auto"/>
                <w:w w:val="97"/>
              </w:rPr>
              <w:t>(Zip Code)</w:t>
            </w:r>
          </w:p>
        </w:tc>
        <w:tc>
          <w:tcPr>
            <w:tcW w:w="220" w:type="dxa"/>
            <w:vAlign w:val="bottom"/>
          </w:tcPr>
          <w:p>
            <w:pPr>
              <w:spacing w:after="0"/>
              <w:rPr>
                <w:sz w:val="20"/>
                <w:szCs w:val="20"/>
                <w:color w:val="auto"/>
              </w:rPr>
            </w:pP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(610) 527-8000</w:t>
      </w:r>
    </w:p>
    <w:p>
      <w:pPr>
        <w:jc w:val="center"/>
        <w:ind w:right="-19"/>
        <w:spacing w:after="0" w:line="222" w:lineRule="auto"/>
        <w:rPr>
          <w:sz w:val="20"/>
          <w:szCs w:val="20"/>
          <w:color w:val="auto"/>
        </w:rPr>
      </w:pPr>
      <w:r>
        <w:rPr>
          <w:rFonts w:ascii="Times New Roman" w:cs="Times New Roman" w:eastAsia="Times New Roman" w:hAnsi="Times New Roman"/>
          <w:sz w:val="19"/>
          <w:szCs w:val="19"/>
          <w:color w:val="auto"/>
        </w:rPr>
        <w:t>(Registrant’s telephone number, including area code)</w:t>
      </w:r>
    </w:p>
    <w:p>
      <w:pPr>
        <w:jc w:val="center"/>
        <w:spacing w:after="0" w:line="221" w:lineRule="auto"/>
        <w:rPr>
          <w:sz w:val="20"/>
          <w:szCs w:val="20"/>
          <w:color w:val="auto"/>
        </w:rPr>
      </w:pPr>
      <w:r>
        <w:rPr>
          <w:rFonts w:ascii="Times New Roman" w:cs="Times New Roman" w:eastAsia="Times New Roman" w:hAnsi="Times New Roman"/>
          <w:sz w:val="19"/>
          <w:szCs w:val="19"/>
          <w:u w:val="single" w:color="auto"/>
          <w:color w:val="auto"/>
        </w:rPr>
        <w:t>N/A</w:t>
      </w:r>
    </w:p>
    <w:p>
      <w:pPr>
        <w:jc w:val="center"/>
        <w:spacing w:after="0"/>
        <w:rPr>
          <w:sz w:val="20"/>
          <w:szCs w:val="20"/>
          <w:color w:val="auto"/>
        </w:rPr>
      </w:pPr>
      <w:r>
        <w:rPr>
          <w:rFonts w:ascii="Times New Roman" w:cs="Times New Roman" w:eastAsia="Times New Roman" w:hAnsi="Times New Roman"/>
          <w:sz w:val="19"/>
          <w:szCs w:val="19"/>
          <w:color w:val="auto"/>
        </w:rPr>
        <w:t>(Former Name, former address and former fiscal year, if changed since last report.)</w:t>
      </w:r>
    </w:p>
    <w:p>
      <w:pPr>
        <w:spacing w:after="0" w:line="163" w:lineRule="exact"/>
        <w:rPr>
          <w:sz w:val="24"/>
          <w:szCs w:val="24"/>
          <w:color w:val="auto"/>
        </w:rPr>
      </w:pPr>
    </w:p>
    <w:p>
      <w:pPr>
        <w:ind w:right="60"/>
        <w:spacing w:after="0" w:line="235"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w:t>
      </w:r>
    </w:p>
    <w:p>
      <w:pPr>
        <w:spacing w:after="0" w:line="161" w:lineRule="exact"/>
        <w:rPr>
          <w:sz w:val="24"/>
          <w:szCs w:val="24"/>
          <w:color w:val="auto"/>
        </w:rPr>
      </w:pPr>
    </w:p>
    <w:p>
      <w:pPr>
        <w:ind w:right="120"/>
        <w:spacing w:after="0" w:line="235"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w:t>
      </w:r>
    </w:p>
    <w:p>
      <w:pPr>
        <w:spacing w:after="0" w:line="161" w:lineRule="exact"/>
        <w:rPr>
          <w:sz w:val="24"/>
          <w:szCs w:val="24"/>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9" w:right="339" w:bottom="1440" w:gutter="0" w:footer="0" w:header="0"/>
        </w:sectPr>
      </w:pP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Large Accelerated Filer </w:t>
      </w:r>
      <w:r>
        <w:rPr>
          <w:rFonts w:ascii="Times New Roman" w:cs="Times New Roman" w:eastAsia="Times New Roman" w:hAnsi="Times New Roman"/>
          <w:sz w:val="19"/>
          <w:szCs w:val="19"/>
          <w:b w:val="1"/>
          <w:bCs w:val="1"/>
          <w:color w:val="auto"/>
        </w:rPr>
        <w:t>S</w:t>
      </w:r>
    </w:p>
    <w:p>
      <w:pPr>
        <w:spacing w:after="0" w:line="227" w:lineRule="auto"/>
        <w:rPr>
          <w:sz w:val="20"/>
          <w:szCs w:val="20"/>
          <w:color w:val="auto"/>
        </w:rPr>
      </w:pPr>
      <w:r>
        <w:rPr>
          <w:rFonts w:ascii="Times New Roman" w:cs="Times New Roman" w:eastAsia="Times New Roman" w:hAnsi="Times New Roman"/>
          <w:sz w:val="19"/>
          <w:szCs w:val="19"/>
          <w:color w:val="auto"/>
        </w:rPr>
        <w:t xml:space="preserve">Non-Accelerated Filer </w:t>
      </w:r>
      <w:r>
        <w:rPr>
          <w:rFonts w:ascii="Times New Roman" w:cs="Times New Roman" w:eastAsia="Times New Roman" w:hAnsi="Times New Roman"/>
          <w:sz w:val="19"/>
          <w:szCs w:val="19"/>
          <w:b w:val="1"/>
          <w:bCs w:val="1"/>
          <w:color w:val="auto"/>
        </w:rPr>
        <w:t>£</w:t>
      </w: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Accelerated Filer </w:t>
      </w:r>
      <w:r>
        <w:rPr>
          <w:rFonts w:ascii="Times New Roman" w:cs="Times New Roman" w:eastAsia="Times New Roman" w:hAnsi="Times New Roman"/>
          <w:sz w:val="19"/>
          <w:szCs w:val="19"/>
          <w:b w:val="1"/>
          <w:bCs w:val="1"/>
          <w:color w:val="auto"/>
        </w:rPr>
        <w: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Times New Roman" w:cs="Times New Roman" w:eastAsia="Times New Roman" w:hAnsi="Times New Roman"/>
          <w:sz w:val="18"/>
          <w:szCs w:val="18"/>
          <w:b w:val="1"/>
          <w:bCs w:val="1"/>
          <w:color w:val="auto"/>
        </w:rPr>
        <w:t>£</w:t>
      </w:r>
    </w:p>
    <w:p>
      <w:pPr>
        <w:spacing w:after="0" w:line="374" w:lineRule="exact"/>
        <w:rPr>
          <w:sz w:val="24"/>
          <w:szCs w:val="24"/>
          <w:color w:val="auto"/>
        </w:rPr>
      </w:pPr>
    </w:p>
    <w:p>
      <w:pPr>
        <w:sectPr>
          <w:pgSz w:w="11900" w:h="16838" w:orient="portrait"/>
          <w:cols w:equalWidth="0" w:num="2">
            <w:col w:w="6740" w:space="720"/>
            <w:col w:w="3780"/>
          </w:cols>
          <w:pgMar w:left="320" w:top="219" w:right="339" w:bottom="1440" w:gutter="0" w:footer="0" w:header="0"/>
          <w:type w:val="continuous"/>
        </w:sectPr>
      </w:pPr>
    </w:p>
    <w:p>
      <w:pPr>
        <w:ind w:right="80"/>
        <w:spacing w:after="0" w:line="247" w:lineRule="auto"/>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9"/>
          <w:szCs w:val="19"/>
          <w:b w:val="1"/>
          <w:bCs w:val="1"/>
          <w:color w:val="auto"/>
        </w:rPr>
        <w: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Indicate by check mark whether the registrant is a shell company (as defined in Rule 12b-2 of the Exchange Act). Yes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S</w:t>
      </w:r>
    </w:p>
    <w:p>
      <w:pPr>
        <w:spacing w:after="0" w:line="36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7860" w:type="dxa"/>
            <w:vAlign w:val="bottom"/>
            <w:gridSpan w:val="5"/>
          </w:tcPr>
          <w:p>
            <w:pPr>
              <w:ind w:left="80"/>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tc>
      </w:tr>
      <w:tr>
        <w:trPr>
          <w:trHeight w:val="227"/>
        </w:trPr>
        <w:tc>
          <w:tcPr>
            <w:tcW w:w="3380" w:type="dxa"/>
            <w:vAlign w:val="bottom"/>
          </w:tcPr>
          <w:p>
            <w:pPr>
              <w:jc w:val="center"/>
              <w:ind w:left="686"/>
              <w:spacing w:after="0"/>
              <w:rPr>
                <w:sz w:val="20"/>
                <w:szCs w:val="20"/>
                <w:color w:val="auto"/>
              </w:rPr>
            </w:pPr>
            <w:r>
              <w:rPr>
                <w:rFonts w:ascii="Times New Roman" w:cs="Times New Roman" w:eastAsia="Times New Roman" w:hAnsi="Times New Roman"/>
                <w:sz w:val="19"/>
                <w:szCs w:val="19"/>
                <w:color w:val="auto"/>
                <w:w w:val="98"/>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9"/>
                <w:szCs w:val="19"/>
                <w:color w:val="auto"/>
                <w:w w:val="98"/>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Name of each exchange on which registered</w:t>
            </w:r>
          </w:p>
        </w:tc>
      </w:tr>
      <w:tr>
        <w:trPr>
          <w:trHeight w:val="168"/>
        </w:trPr>
        <w:tc>
          <w:tcPr>
            <w:tcW w:w="3380" w:type="dxa"/>
            <w:vAlign w:val="bottom"/>
            <w:tcBorders>
              <w:top w:val="single" w:sz="8" w:color="auto"/>
            </w:tcBorders>
          </w:tcPr>
          <w:p>
            <w:pPr>
              <w:jc w:val="center"/>
              <w:ind w:left="686"/>
              <w:spacing w:after="0" w:line="168" w:lineRule="exact"/>
              <w:rPr>
                <w:sz w:val="20"/>
                <w:szCs w:val="20"/>
                <w:color w:val="auto"/>
              </w:rPr>
            </w:pPr>
            <w:r>
              <w:rPr>
                <w:rFonts w:ascii="Times New Roman" w:cs="Times New Roman" w:eastAsia="Times New Roman" w:hAnsi="Times New Roman"/>
                <w:sz w:val="19"/>
                <w:szCs w:val="19"/>
                <w:color w:val="auto"/>
                <w:w w:val="98"/>
              </w:rPr>
              <w:t>Common stock, $0.50 par value</w:t>
            </w: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9"/>
                <w:szCs w:val="19"/>
                <w:color w:val="auto"/>
              </w:rPr>
              <w:t>WTRG</w:t>
            </w:r>
          </w:p>
        </w:tc>
        <w:tc>
          <w:tcPr>
            <w:tcW w:w="240" w:type="dxa"/>
            <w:vAlign w:val="bottom"/>
          </w:tcPr>
          <w:p>
            <w:pPr>
              <w:spacing w:after="0"/>
              <w:rPr>
                <w:sz w:val="14"/>
                <w:szCs w:val="14"/>
                <w:color w:val="auto"/>
              </w:rPr>
            </w:pPr>
          </w:p>
        </w:tc>
        <w:tc>
          <w:tcPr>
            <w:tcW w:w="452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9"/>
                <w:szCs w:val="19"/>
                <w:color w:val="auto"/>
                <w:w w:val="98"/>
              </w:rPr>
              <w:t>New York Stock Exchange</w:t>
            </w:r>
          </w:p>
        </w:tc>
      </w:tr>
      <w:tr>
        <w:trPr>
          <w:trHeight w:val="243"/>
        </w:trPr>
        <w:tc>
          <w:tcPr>
            <w:tcW w:w="3380" w:type="dxa"/>
            <w:vAlign w:val="bottom"/>
          </w:tcPr>
          <w:p>
            <w:pPr>
              <w:jc w:val="center"/>
              <w:ind w:left="686"/>
              <w:spacing w:after="0"/>
              <w:rPr>
                <w:sz w:val="20"/>
                <w:szCs w:val="20"/>
                <w:color w:val="auto"/>
              </w:rPr>
            </w:pPr>
            <w:r>
              <w:rPr>
                <w:rFonts w:ascii="Times New Roman" w:cs="Times New Roman" w:eastAsia="Times New Roman" w:hAnsi="Times New Roman"/>
                <w:sz w:val="19"/>
                <w:szCs w:val="19"/>
                <w:color w:val="auto"/>
                <w:w w:val="98"/>
              </w:rPr>
              <w:t>6.00% Tangible Equity Units</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rPr>
              <w:t>WTRU</w:t>
            </w:r>
          </w:p>
        </w:tc>
        <w:tc>
          <w:tcPr>
            <w:tcW w:w="4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New York Stock Exchange</w:t>
            </w:r>
          </w:p>
        </w:tc>
      </w:tr>
    </w:tbl>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Indicate the number of shares outstanding of each of the issuer's classes of common stock, as of October 23, 2020: 245,271,727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642620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type w:val="continuous"/>
        </w:sectPr>
      </w:pPr>
    </w:p>
    <w:bookmarkStart w:id="1" w:name="page2"/>
    <w:bookmarkEnd w:id="1"/>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80" w:type="dxa"/>
            <w:vAlign w:val="bottom"/>
            <w:gridSpan w:val="8"/>
          </w:tcPr>
          <w:p>
            <w:pPr>
              <w:jc w:val="center"/>
              <w:ind w:right="760"/>
              <w:spacing w:after="0"/>
              <w:rPr>
                <w:sz w:val="20"/>
                <w:szCs w:val="20"/>
                <w:color w:val="auto"/>
              </w:rPr>
            </w:pPr>
            <w:r>
              <w:rPr>
                <w:rFonts w:ascii="Times New Roman" w:cs="Times New Roman" w:eastAsia="Times New Roman" w:hAnsi="Times New Roman"/>
                <w:sz w:val="21"/>
                <w:szCs w:val="21"/>
                <w:color w:val="auto"/>
              </w:rPr>
              <w:t>ESSENTIAL UTILITIES, INC. AND SUBSIDIARIES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1"/>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60" w:type="dxa"/>
            <w:vAlign w:val="bottom"/>
            <w:gridSpan w:val="7"/>
          </w:tcPr>
          <w:p>
            <w:pPr>
              <w:jc w:val="center"/>
              <w:ind w:right="3580"/>
              <w:spacing w:after="0"/>
              <w:rPr>
                <w:sz w:val="20"/>
                <w:szCs w:val="20"/>
                <w:color w:val="auto"/>
              </w:rPr>
            </w:pPr>
            <w:r>
              <w:rPr>
                <w:rFonts w:ascii="Times New Roman" w:cs="Times New Roman" w:eastAsia="Times New Roman" w:hAnsi="Times New Roman"/>
                <w:sz w:val="21"/>
                <w:szCs w:val="21"/>
                <w:color w:val="auto"/>
              </w:rPr>
              <w:t>TABLE OF CONTENTS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21"/>
                <w:szCs w:val="21"/>
                <w:color w:val="auto"/>
                <w:w w:val="88"/>
              </w:rPr>
              <w:t>Pag</w:t>
            </w:r>
          </w:p>
        </w:tc>
        <w:tc>
          <w:tcPr>
            <w:tcW w:w="0" w:type="dxa"/>
            <w:vAlign w:val="bottom"/>
          </w:tcPr>
          <w:p>
            <w:pPr>
              <w:spacing w:after="0"/>
              <w:rPr>
                <w:sz w:val="1"/>
                <w:szCs w:val="1"/>
                <w:color w:val="auto"/>
              </w:rPr>
            </w:pPr>
          </w:p>
        </w:tc>
      </w:tr>
      <w:tr>
        <w:trPr>
          <w:trHeight w:val="227"/>
        </w:trPr>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7260" w:type="dxa"/>
            <w:vAlign w:val="bottom"/>
            <w:gridSpan w:val="7"/>
            <w:shd w:val="clear" w:color="auto" w:fill="CCEEFF"/>
          </w:tcPr>
          <w:p>
            <w:pPr>
              <w:jc w:val="center"/>
              <w:ind w:right="3360"/>
              <w:spacing w:after="0" w:line="227" w:lineRule="exact"/>
              <w:rPr>
                <w:rFonts w:ascii="Times New Roman" w:cs="Times New Roman" w:eastAsia="Times New Roman" w:hAnsi="Times New Roman"/>
                <w:sz w:val="21"/>
                <w:szCs w:val="21"/>
                <w:u w:val="single" w:color="auto"/>
                <w:color w:val="0563C1"/>
              </w:rPr>
            </w:pPr>
            <w:hyperlink w:anchor="page3">
              <w:r>
                <w:rPr>
                  <w:rFonts w:ascii="Times New Roman" w:cs="Times New Roman" w:eastAsia="Times New Roman" w:hAnsi="Times New Roman"/>
                  <w:sz w:val="21"/>
                  <w:szCs w:val="21"/>
                  <w:u w:val="single" w:color="auto"/>
                  <w:color w:val="0563C1"/>
                </w:rPr>
                <w:t>Part I – Financial Information</w:t>
              </w:r>
            </w:hyperlink>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shd w:val="clear" w:color="auto" w:fill="CCEEFF"/>
          </w:tcPr>
          <w:p>
            <w:pPr>
              <w:spacing w:after="0" w:line="227" w:lineRule="exact"/>
              <w:rPr>
                <w:rFonts w:ascii="Times New Roman" w:cs="Times New Roman" w:eastAsia="Times New Roman" w:hAnsi="Times New Roman"/>
                <w:sz w:val="21"/>
                <w:szCs w:val="21"/>
                <w:u w:val="single" w:color="auto"/>
                <w:color w:val="0563C1"/>
              </w:rPr>
            </w:pPr>
            <w:hyperlink w:anchor="page3">
              <w:r>
                <w:rPr>
                  <w:rFonts w:ascii="Times New Roman" w:cs="Times New Roman" w:eastAsia="Times New Roman" w:hAnsi="Times New Roman"/>
                  <w:sz w:val="21"/>
                  <w:szCs w:val="21"/>
                  <w:u w:val="single" w:color="auto"/>
                  <w:color w:val="0563C1"/>
                </w:rPr>
                <w:t>Item 1.</w:t>
              </w:r>
            </w:hyperlink>
          </w:p>
        </w:tc>
        <w:tc>
          <w:tcPr>
            <w:tcW w:w="20" w:type="dxa"/>
            <w:vAlign w:val="bottom"/>
            <w:shd w:val="clear" w:color="auto" w:fill="CCEEFF"/>
          </w:tcPr>
          <w:p>
            <w:pPr>
              <w:spacing w:after="0"/>
              <w:rPr>
                <w:sz w:val="19"/>
                <w:szCs w:val="19"/>
                <w:color w:val="auto"/>
              </w:rPr>
            </w:pPr>
          </w:p>
        </w:tc>
        <w:tc>
          <w:tcPr>
            <w:tcW w:w="10400" w:type="dxa"/>
            <w:vAlign w:val="bottom"/>
            <w:gridSpan w:val="9"/>
            <w:shd w:val="clear" w:color="auto" w:fill="CCEEFF"/>
          </w:tcPr>
          <w:p>
            <w:pPr>
              <w:ind w:left="80"/>
              <w:spacing w:after="0" w:line="227" w:lineRule="exact"/>
              <w:rPr>
                <w:rFonts w:ascii="Times New Roman" w:cs="Times New Roman" w:eastAsia="Times New Roman" w:hAnsi="Times New Roman"/>
                <w:sz w:val="21"/>
                <w:szCs w:val="21"/>
                <w:u w:val="single" w:color="auto"/>
                <w:color w:val="0563C1"/>
              </w:rPr>
            </w:pPr>
            <w:hyperlink w:anchor="page3">
              <w:r>
                <w:rPr>
                  <w:rFonts w:ascii="Times New Roman" w:cs="Times New Roman" w:eastAsia="Times New Roman" w:hAnsi="Times New Roman"/>
                  <w:sz w:val="21"/>
                  <w:szCs w:val="21"/>
                  <w:u w:val="single" w:color="auto"/>
                  <w:color w:val="0563C1"/>
                </w:rPr>
                <w:t>Financial Statements:</w:t>
              </w:r>
            </w:hyperlink>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0" w:type="dxa"/>
            <w:vAlign w:val="bottom"/>
            <w:gridSpan w:val="9"/>
            <w:shd w:val="clear" w:color="auto" w:fill="CCEEFF"/>
          </w:tcPr>
          <w:p>
            <w:pPr>
              <w:spacing w:after="0" w:line="227" w:lineRule="exact"/>
              <w:rPr>
                <w:rFonts w:ascii="Times New Roman" w:cs="Times New Roman" w:eastAsia="Times New Roman" w:hAnsi="Times New Roman"/>
                <w:sz w:val="21"/>
                <w:szCs w:val="21"/>
                <w:u w:val="single" w:color="auto"/>
                <w:color w:val="0563C1"/>
              </w:rPr>
            </w:pPr>
            <w:hyperlink w:anchor="page3">
              <w:r>
                <w:rPr>
                  <w:rFonts w:ascii="Times New Roman" w:cs="Times New Roman" w:eastAsia="Times New Roman" w:hAnsi="Times New Roman"/>
                  <w:sz w:val="21"/>
                  <w:szCs w:val="21"/>
                  <w:u w:val="single" w:color="auto"/>
                  <w:color w:val="0563C1"/>
                </w:rPr>
                <w:t>Consolidated Balance Sheets (unaudited) – September 30, 2020 and December 31, 2019</w:t>
              </w:r>
            </w:hyperlink>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0" w:type="dxa"/>
            <w:vAlign w:val="bottom"/>
            <w:gridSpan w:val="9"/>
            <w:shd w:val="clear" w:color="auto" w:fill="CCEEFF"/>
          </w:tcPr>
          <w:p>
            <w:pPr>
              <w:spacing w:after="0" w:line="201" w:lineRule="exact"/>
              <w:rPr>
                <w:rFonts w:ascii="Times New Roman" w:cs="Times New Roman" w:eastAsia="Times New Roman" w:hAnsi="Times New Roman"/>
                <w:sz w:val="21"/>
                <w:szCs w:val="21"/>
                <w:color w:val="0563C1"/>
              </w:rPr>
            </w:pPr>
            <w:hyperlink w:anchor="page5">
              <w:r>
                <w:rPr>
                  <w:rFonts w:ascii="Times New Roman" w:cs="Times New Roman" w:eastAsia="Times New Roman" w:hAnsi="Times New Roman"/>
                  <w:sz w:val="21"/>
                  <w:szCs w:val="21"/>
                  <w:color w:val="0563C1"/>
                </w:rPr>
                <w:t>Consolidated Statements of Operations and Comprehensive Income (unaudited) –</w:t>
              </w:r>
            </w:hyperlink>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563C1"/>
            </w:tcBorders>
            <w:shd w:val="clear" w:color="auto" w:fill="CCEEFF"/>
          </w:tcPr>
          <w:p>
            <w:pPr>
              <w:spacing w:after="0"/>
              <w:rPr>
                <w:sz w:val="18"/>
                <w:szCs w:val="18"/>
                <w:color w:val="auto"/>
              </w:rPr>
            </w:pPr>
          </w:p>
        </w:tc>
        <w:tc>
          <w:tcPr>
            <w:tcW w:w="6680" w:type="dxa"/>
            <w:vAlign w:val="bottom"/>
            <w:tcBorders>
              <w:top w:val="single" w:sz="8" w:color="0563C1"/>
            </w:tcBorders>
            <w:gridSpan w:val="7"/>
            <w:shd w:val="clear" w:color="auto" w:fill="CCEEFF"/>
          </w:tcPr>
          <w:p>
            <w:pPr>
              <w:ind w:left="20"/>
              <w:spacing w:after="0" w:line="208" w:lineRule="exact"/>
              <w:rPr>
                <w:rFonts w:ascii="Times New Roman" w:cs="Times New Roman" w:eastAsia="Times New Roman" w:hAnsi="Times New Roman"/>
                <w:sz w:val="21"/>
                <w:szCs w:val="21"/>
                <w:color w:val="0563C1"/>
              </w:rPr>
            </w:pPr>
            <w:hyperlink w:anchor="page5">
              <w:r>
                <w:rPr>
                  <w:rFonts w:ascii="Times New Roman" w:cs="Times New Roman" w:eastAsia="Times New Roman" w:hAnsi="Times New Roman"/>
                  <w:sz w:val="21"/>
                  <w:szCs w:val="21"/>
                  <w:color w:val="0563C1"/>
                </w:rPr>
                <w:t>Three Months Ended September 30, 2020 and 2019</w:t>
              </w:r>
            </w:hyperlink>
          </w:p>
        </w:tc>
        <w:tc>
          <w:tcPr>
            <w:tcW w:w="3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820" w:type="dxa"/>
            <w:vAlign w:val="bottom"/>
            <w:tcBorders>
              <w:top w:val="single" w:sz="8" w:color="0563C1"/>
            </w:tcBorders>
          </w:tcPr>
          <w:p>
            <w:pPr>
              <w:spacing w:after="0"/>
              <w:rPr>
                <w:sz w:val="19"/>
                <w:szCs w:val="19"/>
                <w:color w:val="auto"/>
              </w:rPr>
            </w:pPr>
          </w:p>
        </w:tc>
        <w:tc>
          <w:tcPr>
            <w:tcW w:w="10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180" w:type="dxa"/>
            <w:vAlign w:val="bottom"/>
            <w:tcBorders>
              <w:top w:val="single" w:sz="8" w:color="CCEEFF"/>
            </w:tcBorders>
          </w:tcPr>
          <w:p>
            <w:pPr>
              <w:spacing w:after="0"/>
              <w:rPr>
                <w:sz w:val="19"/>
                <w:szCs w:val="19"/>
                <w:color w:val="auto"/>
              </w:rPr>
            </w:pPr>
          </w:p>
        </w:tc>
        <w:tc>
          <w:tcPr>
            <w:tcW w:w="3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20" w:type="dxa"/>
            <w:vAlign w:val="bottom"/>
            <w:shd w:val="clear" w:color="auto" w:fill="CCEEFF"/>
          </w:tcPr>
          <w:p>
            <w:pPr>
              <w:spacing w:after="0"/>
              <w:rPr>
                <w:sz w:val="17"/>
                <w:szCs w:val="17"/>
                <w:color w:val="auto"/>
              </w:rPr>
            </w:pPr>
          </w:p>
        </w:tc>
        <w:tc>
          <w:tcPr>
            <w:tcW w:w="10420" w:type="dxa"/>
            <w:vAlign w:val="bottom"/>
            <w:gridSpan w:val="10"/>
            <w:shd w:val="clear" w:color="auto" w:fill="CCEEFF"/>
          </w:tcPr>
          <w:p>
            <w:pPr>
              <w:ind w:left="20"/>
              <w:spacing w:after="0" w:line="200" w:lineRule="exact"/>
              <w:rPr>
                <w:rFonts w:ascii="Times New Roman" w:cs="Times New Roman" w:eastAsia="Times New Roman" w:hAnsi="Times New Roman"/>
                <w:sz w:val="21"/>
                <w:szCs w:val="21"/>
                <w:u w:val="single" w:color="auto"/>
                <w:color w:val="0563C1"/>
              </w:rPr>
            </w:pPr>
            <w:hyperlink w:anchor="page6">
              <w:r>
                <w:rPr>
                  <w:rFonts w:ascii="Times New Roman" w:cs="Times New Roman" w:eastAsia="Times New Roman" w:hAnsi="Times New Roman"/>
                  <w:sz w:val="21"/>
                  <w:szCs w:val="21"/>
                  <w:u w:val="single" w:color="auto"/>
                  <w:color w:val="0563C1"/>
                </w:rPr>
                <w:t>Consolidated Statements of Operations and Comprehensive Income (unaudited) –</w:t>
              </w:r>
            </w:hyperlink>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400" w:type="dxa"/>
            <w:vAlign w:val="bottom"/>
            <w:gridSpan w:val="9"/>
            <w:shd w:val="clear" w:color="auto" w:fill="CCEEFF"/>
          </w:tcPr>
          <w:p>
            <w:pPr>
              <w:ind w:left="320"/>
              <w:spacing w:after="0"/>
              <w:rPr>
                <w:rFonts w:ascii="Times New Roman" w:cs="Times New Roman" w:eastAsia="Times New Roman" w:hAnsi="Times New Roman"/>
                <w:sz w:val="21"/>
                <w:szCs w:val="21"/>
                <w:u w:val="single" w:color="auto"/>
                <w:color w:val="0563C1"/>
              </w:rPr>
            </w:pPr>
            <w:hyperlink w:anchor="page6">
              <w:r>
                <w:rPr>
                  <w:rFonts w:ascii="Times New Roman" w:cs="Times New Roman" w:eastAsia="Times New Roman" w:hAnsi="Times New Roman"/>
                  <w:sz w:val="21"/>
                  <w:szCs w:val="21"/>
                  <w:u w:val="single" w:color="auto"/>
                  <w:color w:val="0563C1"/>
                </w:rPr>
                <w:t>Nine Months Ended September 30, 2020 and 2019</w:t>
              </w:r>
            </w:hyperlink>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0" w:type="dxa"/>
            <w:vAlign w:val="bottom"/>
            <w:gridSpan w:val="9"/>
            <w:shd w:val="clear" w:color="auto" w:fill="CCEEFF"/>
          </w:tcPr>
          <w:p>
            <w:pPr>
              <w:spacing w:after="0" w:line="201" w:lineRule="exact"/>
              <w:rPr>
                <w:rFonts w:ascii="Times New Roman" w:cs="Times New Roman" w:eastAsia="Times New Roman" w:hAnsi="Times New Roman"/>
                <w:sz w:val="21"/>
                <w:szCs w:val="21"/>
                <w:color w:val="0563C1"/>
              </w:rPr>
            </w:pPr>
            <w:hyperlink w:anchor="page7">
              <w:r>
                <w:rPr>
                  <w:rFonts w:ascii="Times New Roman" w:cs="Times New Roman" w:eastAsia="Times New Roman" w:hAnsi="Times New Roman"/>
                  <w:sz w:val="21"/>
                  <w:szCs w:val="21"/>
                  <w:color w:val="0563C1"/>
                </w:rPr>
                <w:t>Consolidated Statements of Capitalization (unaudited) –</w:t>
              </w:r>
            </w:hyperlink>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563C1"/>
            </w:tcBorders>
            <w:shd w:val="clear" w:color="auto" w:fill="CCEEFF"/>
          </w:tcPr>
          <w:p>
            <w:pPr>
              <w:spacing w:after="0"/>
              <w:rPr>
                <w:sz w:val="20"/>
                <w:szCs w:val="20"/>
                <w:color w:val="auto"/>
              </w:rPr>
            </w:pPr>
          </w:p>
        </w:tc>
        <w:tc>
          <w:tcPr>
            <w:tcW w:w="4500" w:type="dxa"/>
            <w:vAlign w:val="bottom"/>
            <w:tcBorders>
              <w:top w:val="single" w:sz="8" w:color="0563C1"/>
            </w:tcBorders>
            <w:gridSpan w:val="6"/>
            <w:shd w:val="clear" w:color="auto" w:fill="CCEEFF"/>
          </w:tcPr>
          <w:p>
            <w:pPr>
              <w:ind w:left="20"/>
              <w:spacing w:after="0" w:line="234" w:lineRule="exact"/>
              <w:rPr>
                <w:rFonts w:ascii="Times New Roman" w:cs="Times New Roman" w:eastAsia="Times New Roman" w:hAnsi="Times New Roman"/>
                <w:sz w:val="21"/>
                <w:szCs w:val="21"/>
                <w:u w:val="single" w:color="auto"/>
                <w:color w:val="0563C1"/>
              </w:rPr>
            </w:pPr>
            <w:hyperlink w:anchor="page7">
              <w:r>
                <w:rPr>
                  <w:rFonts w:ascii="Times New Roman" w:cs="Times New Roman" w:eastAsia="Times New Roman" w:hAnsi="Times New Roman"/>
                  <w:sz w:val="21"/>
                  <w:szCs w:val="21"/>
                  <w:u w:val="single" w:color="auto"/>
                  <w:color w:val="0563C1"/>
                </w:rPr>
                <w:t>September 30, 2020 and December 31, 2019</w:t>
              </w:r>
            </w:hyperlink>
          </w:p>
        </w:tc>
        <w:tc>
          <w:tcPr>
            <w:tcW w:w="5580" w:type="dxa"/>
            <w:vAlign w:val="bottom"/>
            <w:tcBorders>
              <w:top w:val="single" w:sz="8" w:color="CCEEFF"/>
            </w:tcBorders>
            <w:gridSpan w:val="2"/>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0" w:type="dxa"/>
            <w:vAlign w:val="bottom"/>
            <w:gridSpan w:val="9"/>
            <w:shd w:val="clear" w:color="auto" w:fill="CCEEFF"/>
          </w:tcPr>
          <w:p>
            <w:pPr>
              <w:spacing w:after="0" w:line="201" w:lineRule="exact"/>
              <w:rPr>
                <w:rFonts w:ascii="Times New Roman" w:cs="Times New Roman" w:eastAsia="Times New Roman" w:hAnsi="Times New Roman"/>
                <w:sz w:val="21"/>
                <w:szCs w:val="21"/>
                <w:color w:val="0563C1"/>
              </w:rPr>
            </w:pPr>
            <w:hyperlink w:anchor="page8">
              <w:r>
                <w:rPr>
                  <w:rFonts w:ascii="Times New Roman" w:cs="Times New Roman" w:eastAsia="Times New Roman" w:hAnsi="Times New Roman"/>
                  <w:sz w:val="21"/>
                  <w:szCs w:val="21"/>
                  <w:color w:val="0563C1"/>
                </w:rPr>
                <w:t>Consolidated Statements of Equity (unaudited) –</w:t>
              </w:r>
            </w:hyperlink>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563C1"/>
            </w:tcBorders>
            <w:shd w:val="clear" w:color="auto" w:fill="CCEEFF"/>
          </w:tcPr>
          <w:p>
            <w:pPr>
              <w:spacing w:after="0"/>
              <w:rPr>
                <w:sz w:val="20"/>
                <w:szCs w:val="20"/>
                <w:color w:val="auto"/>
              </w:rPr>
            </w:pPr>
          </w:p>
        </w:tc>
        <w:tc>
          <w:tcPr>
            <w:tcW w:w="3860" w:type="dxa"/>
            <w:vAlign w:val="bottom"/>
            <w:tcBorders>
              <w:top w:val="single" w:sz="8" w:color="0563C1"/>
            </w:tcBorders>
            <w:gridSpan w:val="2"/>
            <w:shd w:val="clear" w:color="auto" w:fill="CCEEFF"/>
          </w:tcPr>
          <w:p>
            <w:pPr>
              <w:ind w:left="20"/>
              <w:spacing w:after="0" w:line="234" w:lineRule="exact"/>
              <w:rPr>
                <w:rFonts w:ascii="Times New Roman" w:cs="Times New Roman" w:eastAsia="Times New Roman" w:hAnsi="Times New Roman"/>
                <w:sz w:val="21"/>
                <w:szCs w:val="21"/>
                <w:u w:val="single" w:color="auto"/>
                <w:color w:val="0563C1"/>
              </w:rPr>
            </w:pPr>
            <w:hyperlink w:anchor="page8">
              <w:r>
                <w:rPr>
                  <w:rFonts w:ascii="Times New Roman" w:cs="Times New Roman" w:eastAsia="Times New Roman" w:hAnsi="Times New Roman"/>
                  <w:sz w:val="21"/>
                  <w:szCs w:val="21"/>
                  <w:u w:val="single" w:color="auto"/>
                  <w:color w:val="0563C1"/>
                </w:rPr>
                <w:t>Nine Months Ended September 30, 2020</w:t>
              </w:r>
            </w:hyperlink>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5820" w:type="dxa"/>
            <w:vAlign w:val="bottom"/>
            <w:tcBorders>
              <w:top w:val="single" w:sz="8" w:color="CCEEFF"/>
            </w:tcBorders>
            <w:gridSpan w:val="4"/>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0" w:type="dxa"/>
            <w:vAlign w:val="bottom"/>
            <w:gridSpan w:val="9"/>
            <w:shd w:val="clear" w:color="auto" w:fill="CCEEFF"/>
          </w:tcPr>
          <w:p>
            <w:pPr>
              <w:spacing w:after="0" w:line="201" w:lineRule="exact"/>
              <w:rPr>
                <w:rFonts w:ascii="Times New Roman" w:cs="Times New Roman" w:eastAsia="Times New Roman" w:hAnsi="Times New Roman"/>
                <w:sz w:val="21"/>
                <w:szCs w:val="21"/>
                <w:color w:val="0563C1"/>
              </w:rPr>
            </w:pPr>
            <w:hyperlink w:anchor="page9">
              <w:r>
                <w:rPr>
                  <w:rFonts w:ascii="Times New Roman" w:cs="Times New Roman" w:eastAsia="Times New Roman" w:hAnsi="Times New Roman"/>
                  <w:sz w:val="21"/>
                  <w:szCs w:val="21"/>
                  <w:color w:val="0563C1"/>
                </w:rPr>
                <w:t>Consolidated Statements of Equity (unaudited) –</w:t>
              </w:r>
            </w:hyperlink>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563C1"/>
            </w:tcBorders>
            <w:shd w:val="clear" w:color="auto" w:fill="CCEEFF"/>
          </w:tcPr>
          <w:p>
            <w:pPr>
              <w:spacing w:after="0"/>
              <w:rPr>
                <w:sz w:val="20"/>
                <w:szCs w:val="20"/>
                <w:color w:val="auto"/>
              </w:rPr>
            </w:pPr>
          </w:p>
        </w:tc>
        <w:tc>
          <w:tcPr>
            <w:tcW w:w="3860" w:type="dxa"/>
            <w:vAlign w:val="bottom"/>
            <w:tcBorders>
              <w:top w:val="single" w:sz="8" w:color="0563C1"/>
            </w:tcBorders>
            <w:gridSpan w:val="2"/>
            <w:shd w:val="clear" w:color="auto" w:fill="CCEEFF"/>
          </w:tcPr>
          <w:p>
            <w:pPr>
              <w:ind w:left="80"/>
              <w:spacing w:after="0" w:line="234" w:lineRule="exact"/>
              <w:rPr>
                <w:rFonts w:ascii="Times New Roman" w:cs="Times New Roman" w:eastAsia="Times New Roman" w:hAnsi="Times New Roman"/>
                <w:sz w:val="21"/>
                <w:szCs w:val="21"/>
                <w:u w:val="single" w:color="auto"/>
                <w:color w:val="0563C1"/>
              </w:rPr>
            </w:pPr>
            <w:hyperlink w:anchor="page9">
              <w:r>
                <w:rPr>
                  <w:rFonts w:ascii="Times New Roman" w:cs="Times New Roman" w:eastAsia="Times New Roman" w:hAnsi="Times New Roman"/>
                  <w:sz w:val="21"/>
                  <w:szCs w:val="21"/>
                  <w:u w:val="single" w:color="auto"/>
                  <w:color w:val="0563C1"/>
                </w:rPr>
                <w:t>Nine Months Ended September 30, 2019</w:t>
              </w:r>
            </w:hyperlink>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5820" w:type="dxa"/>
            <w:vAlign w:val="bottom"/>
            <w:tcBorders>
              <w:top w:val="single" w:sz="8" w:color="CCEEFF"/>
            </w:tcBorders>
            <w:gridSpan w:val="4"/>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540" w:type="dxa"/>
            <w:vAlign w:val="bottom"/>
            <w:tcBorders>
              <w:bottom w:val="single" w:sz="8" w:color="0563C1"/>
            </w:tcBorders>
            <w:gridSpan w:val="4"/>
            <w:shd w:val="clear" w:color="auto" w:fill="CCEEFF"/>
          </w:tcPr>
          <w:p>
            <w:pPr>
              <w:spacing w:after="0" w:line="201" w:lineRule="exact"/>
              <w:rPr>
                <w:rFonts w:ascii="Times New Roman" w:cs="Times New Roman" w:eastAsia="Times New Roman" w:hAnsi="Times New Roman"/>
                <w:sz w:val="21"/>
                <w:szCs w:val="21"/>
                <w:color w:val="0563C1"/>
              </w:rPr>
            </w:pPr>
            <w:hyperlink w:anchor="page10">
              <w:r>
                <w:rPr>
                  <w:rFonts w:ascii="Times New Roman" w:cs="Times New Roman" w:eastAsia="Times New Roman" w:hAnsi="Times New Roman"/>
                  <w:sz w:val="21"/>
                  <w:szCs w:val="21"/>
                  <w:color w:val="0563C1"/>
                </w:rPr>
                <w:t>Consolidated Statements of Cash Flow (unaudited) –</w:t>
              </w:r>
            </w:hyperlink>
          </w:p>
        </w:tc>
        <w:tc>
          <w:tcPr>
            <w:tcW w:w="5860" w:type="dxa"/>
            <w:vAlign w:val="bottom"/>
            <w:tcBorders>
              <w:bottom w:val="single" w:sz="8" w:color="CCEEFF"/>
            </w:tcBorders>
            <w:gridSpan w:val="5"/>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80" w:type="dxa"/>
            <w:vAlign w:val="bottom"/>
            <w:gridSpan w:val="8"/>
            <w:shd w:val="clear" w:color="auto" w:fill="CCEEFF"/>
          </w:tcPr>
          <w:p>
            <w:pPr>
              <w:ind w:left="20"/>
              <w:spacing w:after="0" w:line="234" w:lineRule="exact"/>
              <w:rPr>
                <w:rFonts w:ascii="Times New Roman" w:cs="Times New Roman" w:eastAsia="Times New Roman" w:hAnsi="Times New Roman"/>
                <w:sz w:val="21"/>
                <w:szCs w:val="21"/>
                <w:u w:val="single" w:color="auto"/>
                <w:color w:val="0563C1"/>
              </w:rPr>
            </w:pPr>
            <w:hyperlink w:anchor="page10">
              <w:r>
                <w:rPr>
                  <w:rFonts w:ascii="Times New Roman" w:cs="Times New Roman" w:eastAsia="Times New Roman" w:hAnsi="Times New Roman"/>
                  <w:sz w:val="21"/>
                  <w:szCs w:val="21"/>
                  <w:u w:val="single" w:color="auto"/>
                  <w:color w:val="0563C1"/>
                </w:rPr>
                <w:t>Nine Months Ended September 30, 2020 and 2019</w:t>
              </w:r>
            </w:hyperlink>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0" w:type="dxa"/>
            <w:vAlign w:val="bottom"/>
            <w:gridSpan w:val="9"/>
            <w:shd w:val="clear" w:color="auto" w:fill="CCEEFF"/>
          </w:tcPr>
          <w:p>
            <w:pPr>
              <w:spacing w:after="0" w:line="227" w:lineRule="exact"/>
              <w:rPr>
                <w:rFonts w:ascii="Times New Roman" w:cs="Times New Roman" w:eastAsia="Times New Roman" w:hAnsi="Times New Roman"/>
                <w:sz w:val="21"/>
                <w:szCs w:val="21"/>
                <w:u w:val="single" w:color="auto"/>
                <w:color w:val="0563C1"/>
              </w:rPr>
            </w:pPr>
            <w:hyperlink w:anchor="page11">
              <w:r>
                <w:rPr>
                  <w:rFonts w:ascii="Times New Roman" w:cs="Times New Roman" w:eastAsia="Times New Roman" w:hAnsi="Times New Roman"/>
                  <w:sz w:val="21"/>
                  <w:szCs w:val="21"/>
                  <w:u w:val="single" w:color="auto"/>
                  <w:color w:val="0563C1"/>
                </w:rPr>
                <w:t>Notes to Consolidated Financial Statements (unaudited)</w:t>
              </w:r>
            </w:hyperlink>
          </w:p>
        </w:tc>
        <w:tc>
          <w:tcPr>
            <w:tcW w:w="300" w:type="dxa"/>
            <w:vAlign w:val="bottom"/>
            <w:gridSpan w:val="2"/>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1040" w:type="dxa"/>
            <w:vAlign w:val="bottom"/>
            <w:gridSpan w:val="11"/>
            <w:shd w:val="clear" w:color="auto" w:fill="CCEEFF"/>
          </w:tcPr>
          <w:p>
            <w:pPr>
              <w:spacing w:after="0" w:line="201" w:lineRule="exact"/>
              <w:rPr>
                <w:rFonts w:ascii="Times New Roman" w:cs="Times New Roman" w:eastAsia="Times New Roman" w:hAnsi="Times New Roman"/>
                <w:sz w:val="21"/>
                <w:szCs w:val="21"/>
                <w:color w:val="0563C1"/>
              </w:rPr>
            </w:pPr>
            <w:hyperlink w:anchor="page43">
              <w:r>
                <w:rPr>
                  <w:rFonts w:ascii="Times New Roman" w:cs="Times New Roman" w:eastAsia="Times New Roman" w:hAnsi="Times New Roman"/>
                  <w:sz w:val="21"/>
                  <w:szCs w:val="21"/>
                  <w:color w:val="0563C1"/>
                </w:rPr>
                <w:t>Item 2. Management’s Discussion and Analysis of Financial</w:t>
              </w:r>
            </w:hyperlink>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0" w:type="dxa"/>
            <w:vAlign w:val="bottom"/>
            <w:tcBorders>
              <w:top w:val="single" w:sz="8" w:color="0563C1"/>
            </w:tcBorders>
            <w:shd w:val="clear" w:color="auto" w:fill="CCEEFF"/>
          </w:tcPr>
          <w:p>
            <w:pPr>
              <w:spacing w:after="0"/>
              <w:rPr>
                <w:sz w:val="18"/>
                <w:szCs w:val="18"/>
                <w:color w:val="auto"/>
              </w:rPr>
            </w:pPr>
          </w:p>
        </w:tc>
        <w:tc>
          <w:tcPr>
            <w:tcW w:w="20" w:type="dxa"/>
            <w:vAlign w:val="bottom"/>
            <w:tcBorders>
              <w:top w:val="single" w:sz="8" w:color="0563C1"/>
            </w:tcBorders>
            <w:shd w:val="clear" w:color="auto" w:fill="CCEEFF"/>
          </w:tcPr>
          <w:p>
            <w:pPr>
              <w:spacing w:after="0"/>
              <w:rPr>
                <w:sz w:val="18"/>
                <w:szCs w:val="18"/>
                <w:color w:val="auto"/>
              </w:rPr>
            </w:pPr>
          </w:p>
        </w:tc>
        <w:tc>
          <w:tcPr>
            <w:tcW w:w="4580" w:type="dxa"/>
            <w:vAlign w:val="bottom"/>
            <w:tcBorders>
              <w:top w:val="single" w:sz="8" w:color="0563C1"/>
            </w:tcBorders>
            <w:gridSpan w:val="5"/>
            <w:shd w:val="clear" w:color="auto" w:fill="CCEEFF"/>
          </w:tcPr>
          <w:p>
            <w:pPr>
              <w:spacing w:after="0" w:line="208" w:lineRule="exact"/>
              <w:rPr>
                <w:rFonts w:ascii="Times New Roman" w:cs="Times New Roman" w:eastAsia="Times New Roman" w:hAnsi="Times New Roman"/>
                <w:sz w:val="21"/>
                <w:szCs w:val="21"/>
                <w:color w:val="0563C1"/>
              </w:rPr>
            </w:pPr>
            <w:hyperlink w:anchor="page43">
              <w:r>
                <w:rPr>
                  <w:rFonts w:ascii="Times New Roman" w:cs="Times New Roman" w:eastAsia="Times New Roman" w:hAnsi="Times New Roman"/>
                  <w:sz w:val="21"/>
                  <w:szCs w:val="21"/>
                  <w:color w:val="0563C1"/>
                </w:rPr>
                <w:t>Condition and Results of Operations</w:t>
              </w:r>
            </w:hyperlink>
          </w:p>
        </w:tc>
        <w:tc>
          <w:tcPr>
            <w:tcW w:w="5820" w:type="dxa"/>
            <w:vAlign w:val="bottom"/>
            <w:tcBorders>
              <w:top w:val="single" w:sz="8" w:color="CCEEFF"/>
            </w:tcBorders>
            <w:gridSpan w:val="4"/>
            <w:shd w:val="clear" w:color="auto" w:fill="CCEEFF"/>
          </w:tcPr>
          <w:p>
            <w:pPr>
              <w:spacing w:after="0"/>
              <w:rPr>
                <w:sz w:val="18"/>
                <w:szCs w:val="18"/>
                <w:color w:val="auto"/>
              </w:rPr>
            </w:pPr>
          </w:p>
        </w:tc>
        <w:tc>
          <w:tcPr>
            <w:tcW w:w="30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2820" w:type="dxa"/>
            <w:vAlign w:val="bottom"/>
            <w:tcBorders>
              <w:top w:val="single" w:sz="8" w:color="0563C1"/>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180" w:type="dxa"/>
            <w:vAlign w:val="bottom"/>
            <w:tcBorders>
              <w:top w:val="single" w:sz="8" w:color="CCEEFF"/>
            </w:tcBorders>
          </w:tcPr>
          <w:p>
            <w:pPr>
              <w:spacing w:after="0"/>
              <w:rPr>
                <w:sz w:val="19"/>
                <w:szCs w:val="19"/>
                <w:color w:val="auto"/>
              </w:rPr>
            </w:pPr>
          </w:p>
        </w:tc>
        <w:tc>
          <w:tcPr>
            <w:tcW w:w="3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0" w:type="dxa"/>
            <w:vAlign w:val="bottom"/>
            <w:shd w:val="clear" w:color="auto" w:fill="CCEEFF"/>
          </w:tcPr>
          <w:p>
            <w:pPr>
              <w:spacing w:after="0"/>
              <w:rPr>
                <w:rFonts w:ascii="Times New Roman" w:cs="Times New Roman" w:eastAsia="Times New Roman" w:hAnsi="Times New Roman"/>
                <w:sz w:val="21"/>
                <w:szCs w:val="21"/>
                <w:u w:val="single" w:color="auto"/>
                <w:color w:val="0563C1"/>
              </w:rPr>
            </w:pPr>
            <w:hyperlink w:anchor="page56">
              <w:r>
                <w:rPr>
                  <w:rFonts w:ascii="Times New Roman" w:cs="Times New Roman" w:eastAsia="Times New Roman" w:hAnsi="Times New Roman"/>
                  <w:sz w:val="21"/>
                  <w:szCs w:val="21"/>
                  <w:u w:val="single" w:color="auto"/>
                  <w:color w:val="0563C1"/>
                </w:rPr>
                <w:t>Item 3.</w:t>
              </w:r>
            </w:hyperlink>
          </w:p>
        </w:tc>
        <w:tc>
          <w:tcPr>
            <w:tcW w:w="20" w:type="dxa"/>
            <w:vAlign w:val="bottom"/>
            <w:shd w:val="clear" w:color="auto" w:fill="CCEEFF"/>
          </w:tcPr>
          <w:p>
            <w:pPr>
              <w:spacing w:after="0"/>
              <w:rPr>
                <w:sz w:val="20"/>
                <w:szCs w:val="20"/>
                <w:color w:val="auto"/>
              </w:rPr>
            </w:pPr>
          </w:p>
        </w:tc>
        <w:tc>
          <w:tcPr>
            <w:tcW w:w="10400" w:type="dxa"/>
            <w:vAlign w:val="bottom"/>
            <w:gridSpan w:val="9"/>
            <w:shd w:val="clear" w:color="auto" w:fill="CCEEFF"/>
          </w:tcPr>
          <w:p>
            <w:pPr>
              <w:ind w:left="80"/>
              <w:spacing w:after="0"/>
              <w:rPr>
                <w:rFonts w:ascii="Times New Roman" w:cs="Times New Roman" w:eastAsia="Times New Roman" w:hAnsi="Times New Roman"/>
                <w:sz w:val="21"/>
                <w:szCs w:val="21"/>
                <w:u w:val="single" w:color="auto"/>
                <w:color w:val="0563C1"/>
              </w:rPr>
            </w:pPr>
            <w:hyperlink w:anchor="page56">
              <w:r>
                <w:rPr>
                  <w:rFonts w:ascii="Times New Roman" w:cs="Times New Roman" w:eastAsia="Times New Roman" w:hAnsi="Times New Roman"/>
                  <w:sz w:val="21"/>
                  <w:szCs w:val="21"/>
                  <w:u w:val="single" w:color="auto"/>
                  <w:color w:val="0563C1"/>
                </w:rPr>
                <w:t>Quantitative and Qualitative Disclosures About Market Risk</w:t>
              </w:r>
            </w:hyperlink>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0" w:type="dxa"/>
            <w:vAlign w:val="bottom"/>
            <w:shd w:val="clear" w:color="auto" w:fill="CCEEFF"/>
          </w:tcPr>
          <w:p>
            <w:pPr>
              <w:spacing w:after="0"/>
              <w:rPr>
                <w:rFonts w:ascii="Times New Roman" w:cs="Times New Roman" w:eastAsia="Times New Roman" w:hAnsi="Times New Roman"/>
                <w:sz w:val="21"/>
                <w:szCs w:val="21"/>
                <w:u w:val="single" w:color="auto"/>
                <w:color w:val="0563C1"/>
              </w:rPr>
            </w:pPr>
            <w:hyperlink w:anchor="page56">
              <w:r>
                <w:rPr>
                  <w:rFonts w:ascii="Times New Roman" w:cs="Times New Roman" w:eastAsia="Times New Roman" w:hAnsi="Times New Roman"/>
                  <w:sz w:val="21"/>
                  <w:szCs w:val="21"/>
                  <w:u w:val="single" w:color="auto"/>
                  <w:color w:val="0563C1"/>
                </w:rPr>
                <w:t>Item 4.</w:t>
              </w:r>
            </w:hyperlink>
          </w:p>
        </w:tc>
        <w:tc>
          <w:tcPr>
            <w:tcW w:w="20" w:type="dxa"/>
            <w:vAlign w:val="bottom"/>
            <w:shd w:val="clear" w:color="auto" w:fill="CCEEFF"/>
          </w:tcPr>
          <w:p>
            <w:pPr>
              <w:spacing w:after="0"/>
              <w:rPr>
                <w:sz w:val="20"/>
                <w:szCs w:val="20"/>
                <w:color w:val="auto"/>
              </w:rPr>
            </w:pPr>
          </w:p>
        </w:tc>
        <w:tc>
          <w:tcPr>
            <w:tcW w:w="10400" w:type="dxa"/>
            <w:vAlign w:val="bottom"/>
            <w:gridSpan w:val="9"/>
            <w:shd w:val="clear" w:color="auto" w:fill="CCEEFF"/>
          </w:tcPr>
          <w:p>
            <w:pPr>
              <w:ind w:left="80"/>
              <w:spacing w:after="0"/>
              <w:rPr>
                <w:rFonts w:ascii="Times New Roman" w:cs="Times New Roman" w:eastAsia="Times New Roman" w:hAnsi="Times New Roman"/>
                <w:sz w:val="21"/>
                <w:szCs w:val="21"/>
                <w:u w:val="single" w:color="auto"/>
                <w:color w:val="0563C1"/>
              </w:rPr>
            </w:pPr>
            <w:hyperlink w:anchor="page56">
              <w:r>
                <w:rPr>
                  <w:rFonts w:ascii="Times New Roman" w:cs="Times New Roman" w:eastAsia="Times New Roman" w:hAnsi="Times New Roman"/>
                  <w:sz w:val="21"/>
                  <w:szCs w:val="21"/>
                  <w:u w:val="single" w:color="auto"/>
                  <w:color w:val="0563C1"/>
                </w:rPr>
                <w:t>Controls and Procedures</w:t>
              </w:r>
            </w:hyperlink>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7260" w:type="dxa"/>
            <w:vAlign w:val="bottom"/>
            <w:gridSpan w:val="7"/>
            <w:shd w:val="clear" w:color="auto" w:fill="CCEEFF"/>
          </w:tcPr>
          <w:p>
            <w:pPr>
              <w:jc w:val="center"/>
              <w:ind w:right="3340"/>
              <w:spacing w:after="0" w:line="227" w:lineRule="exact"/>
              <w:rPr>
                <w:rFonts w:ascii="Times New Roman" w:cs="Times New Roman" w:eastAsia="Times New Roman" w:hAnsi="Times New Roman"/>
                <w:sz w:val="21"/>
                <w:szCs w:val="21"/>
                <w:u w:val="single" w:color="auto"/>
                <w:color w:val="0563C1"/>
              </w:rPr>
            </w:pPr>
            <w:hyperlink w:anchor="page56">
              <w:r>
                <w:rPr>
                  <w:rFonts w:ascii="Times New Roman" w:cs="Times New Roman" w:eastAsia="Times New Roman" w:hAnsi="Times New Roman"/>
                  <w:sz w:val="21"/>
                  <w:szCs w:val="21"/>
                  <w:u w:val="single" w:color="auto"/>
                  <w:color w:val="0563C1"/>
                </w:rPr>
                <w:t>Part II – Other Information</w:t>
              </w:r>
            </w:hyperlink>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0" w:type="dxa"/>
            <w:vAlign w:val="bottom"/>
            <w:shd w:val="clear" w:color="auto" w:fill="CCEEFF"/>
          </w:tcPr>
          <w:p>
            <w:pPr>
              <w:spacing w:after="0"/>
              <w:rPr>
                <w:rFonts w:ascii="Times New Roman" w:cs="Times New Roman" w:eastAsia="Times New Roman" w:hAnsi="Times New Roman"/>
                <w:sz w:val="21"/>
                <w:szCs w:val="21"/>
                <w:u w:val="single" w:color="auto"/>
                <w:color w:val="0563C1"/>
              </w:rPr>
            </w:pPr>
            <w:hyperlink w:anchor="page56">
              <w:r>
                <w:rPr>
                  <w:rFonts w:ascii="Times New Roman" w:cs="Times New Roman" w:eastAsia="Times New Roman" w:hAnsi="Times New Roman"/>
                  <w:sz w:val="21"/>
                  <w:szCs w:val="21"/>
                  <w:u w:val="single" w:color="auto"/>
                  <w:color w:val="0563C1"/>
                </w:rPr>
                <w:t>Item 1.</w:t>
              </w:r>
            </w:hyperlink>
          </w:p>
        </w:tc>
        <w:tc>
          <w:tcPr>
            <w:tcW w:w="20" w:type="dxa"/>
            <w:vAlign w:val="bottom"/>
            <w:shd w:val="clear" w:color="auto" w:fill="CCEEFF"/>
          </w:tcPr>
          <w:p>
            <w:pPr>
              <w:spacing w:after="0"/>
              <w:rPr>
                <w:sz w:val="20"/>
                <w:szCs w:val="20"/>
                <w:color w:val="auto"/>
              </w:rPr>
            </w:pPr>
          </w:p>
        </w:tc>
        <w:tc>
          <w:tcPr>
            <w:tcW w:w="10400" w:type="dxa"/>
            <w:vAlign w:val="bottom"/>
            <w:gridSpan w:val="9"/>
            <w:shd w:val="clear" w:color="auto" w:fill="CCEEFF"/>
          </w:tcPr>
          <w:p>
            <w:pPr>
              <w:ind w:left="80"/>
              <w:spacing w:after="0"/>
              <w:rPr>
                <w:rFonts w:ascii="Times New Roman" w:cs="Times New Roman" w:eastAsia="Times New Roman" w:hAnsi="Times New Roman"/>
                <w:sz w:val="21"/>
                <w:szCs w:val="21"/>
                <w:u w:val="single" w:color="auto"/>
                <w:color w:val="0563C1"/>
              </w:rPr>
            </w:pPr>
            <w:hyperlink w:anchor="page56">
              <w:r>
                <w:rPr>
                  <w:rFonts w:ascii="Times New Roman" w:cs="Times New Roman" w:eastAsia="Times New Roman" w:hAnsi="Times New Roman"/>
                  <w:sz w:val="21"/>
                  <w:szCs w:val="21"/>
                  <w:u w:val="single" w:color="auto"/>
                  <w:color w:val="0563C1"/>
                </w:rPr>
                <w:t>Legal Proceedings</w:t>
              </w:r>
            </w:hyperlink>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4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1040" w:type="dxa"/>
            <w:vAlign w:val="bottom"/>
            <w:gridSpan w:val="11"/>
            <w:shd w:val="clear" w:color="auto" w:fill="CCEEFF"/>
          </w:tcPr>
          <w:p>
            <w:pPr>
              <w:spacing w:after="0"/>
              <w:rPr>
                <w:rFonts w:ascii="Times New Roman" w:cs="Times New Roman" w:eastAsia="Times New Roman" w:hAnsi="Times New Roman"/>
                <w:sz w:val="21"/>
                <w:szCs w:val="21"/>
                <w:u w:val="single" w:color="auto"/>
                <w:color w:val="0563C1"/>
              </w:rPr>
            </w:pPr>
            <w:hyperlink w:anchor="page57">
              <w:r>
                <w:rPr>
                  <w:rFonts w:ascii="Times New Roman" w:cs="Times New Roman" w:eastAsia="Times New Roman" w:hAnsi="Times New Roman"/>
                  <w:sz w:val="21"/>
                  <w:szCs w:val="21"/>
                  <w:u w:val="single" w:color="auto"/>
                  <w:color w:val="0563C1"/>
                </w:rPr>
                <w:t>Item 1A. Risk Factors</w:t>
              </w:r>
            </w:hyperlink>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0" w:type="dxa"/>
            <w:vAlign w:val="bottom"/>
            <w:shd w:val="clear" w:color="auto" w:fill="CCEEFF"/>
          </w:tcPr>
          <w:p>
            <w:pPr>
              <w:spacing w:after="0"/>
              <w:rPr>
                <w:rFonts w:ascii="Times New Roman" w:cs="Times New Roman" w:eastAsia="Times New Roman" w:hAnsi="Times New Roman"/>
                <w:sz w:val="21"/>
                <w:szCs w:val="21"/>
                <w:u w:val="single" w:color="auto"/>
                <w:color w:val="0563C1"/>
              </w:rPr>
            </w:pPr>
            <w:hyperlink w:anchor="page58">
              <w:r>
                <w:rPr>
                  <w:rFonts w:ascii="Times New Roman" w:cs="Times New Roman" w:eastAsia="Times New Roman" w:hAnsi="Times New Roman"/>
                  <w:sz w:val="21"/>
                  <w:szCs w:val="21"/>
                  <w:u w:val="single" w:color="auto"/>
                  <w:color w:val="0563C1"/>
                </w:rPr>
                <w:t>Item 2.</w:t>
              </w:r>
            </w:hyperlink>
          </w:p>
        </w:tc>
        <w:tc>
          <w:tcPr>
            <w:tcW w:w="20" w:type="dxa"/>
            <w:vAlign w:val="bottom"/>
            <w:shd w:val="clear" w:color="auto" w:fill="CCEEFF"/>
          </w:tcPr>
          <w:p>
            <w:pPr>
              <w:spacing w:after="0"/>
              <w:rPr>
                <w:sz w:val="20"/>
                <w:szCs w:val="20"/>
                <w:color w:val="auto"/>
              </w:rPr>
            </w:pPr>
          </w:p>
        </w:tc>
        <w:tc>
          <w:tcPr>
            <w:tcW w:w="10400" w:type="dxa"/>
            <w:vAlign w:val="bottom"/>
            <w:gridSpan w:val="9"/>
            <w:shd w:val="clear" w:color="auto" w:fill="CCEEFF"/>
          </w:tcPr>
          <w:p>
            <w:pPr>
              <w:ind w:left="80"/>
              <w:spacing w:after="0"/>
              <w:rPr>
                <w:rFonts w:ascii="Times New Roman" w:cs="Times New Roman" w:eastAsia="Times New Roman" w:hAnsi="Times New Roman"/>
                <w:sz w:val="21"/>
                <w:szCs w:val="21"/>
                <w:u w:val="single" w:color="auto"/>
                <w:color w:val="0563C1"/>
              </w:rPr>
            </w:pPr>
            <w:hyperlink w:anchor="page58">
              <w:r>
                <w:rPr>
                  <w:rFonts w:ascii="Times New Roman" w:cs="Times New Roman" w:eastAsia="Times New Roman" w:hAnsi="Times New Roman"/>
                  <w:sz w:val="21"/>
                  <w:szCs w:val="21"/>
                  <w:u w:val="single" w:color="auto"/>
                  <w:color w:val="0563C1"/>
                </w:rPr>
                <w:t>Unregistered Sales of Equity Securities and Use of Proceeds</w:t>
              </w:r>
            </w:hyperlink>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0" w:type="dxa"/>
            <w:vAlign w:val="bottom"/>
            <w:shd w:val="clear" w:color="auto" w:fill="CCEEFF"/>
          </w:tcPr>
          <w:p>
            <w:pPr>
              <w:spacing w:after="0"/>
              <w:rPr>
                <w:rFonts w:ascii="Times New Roman" w:cs="Times New Roman" w:eastAsia="Times New Roman" w:hAnsi="Times New Roman"/>
                <w:sz w:val="21"/>
                <w:szCs w:val="21"/>
                <w:u w:val="single" w:color="auto"/>
                <w:color w:val="0563C1"/>
              </w:rPr>
            </w:pPr>
            <w:hyperlink w:anchor="page59">
              <w:r>
                <w:rPr>
                  <w:rFonts w:ascii="Times New Roman" w:cs="Times New Roman" w:eastAsia="Times New Roman" w:hAnsi="Times New Roman"/>
                  <w:sz w:val="21"/>
                  <w:szCs w:val="21"/>
                  <w:u w:val="single" w:color="auto"/>
                  <w:color w:val="0563C1"/>
                </w:rPr>
                <w:t>Item 6.</w:t>
              </w:r>
            </w:hyperlink>
          </w:p>
        </w:tc>
        <w:tc>
          <w:tcPr>
            <w:tcW w:w="20" w:type="dxa"/>
            <w:vAlign w:val="bottom"/>
            <w:shd w:val="clear" w:color="auto" w:fill="CCEEFF"/>
          </w:tcPr>
          <w:p>
            <w:pPr>
              <w:spacing w:after="0"/>
              <w:rPr>
                <w:sz w:val="20"/>
                <w:szCs w:val="20"/>
                <w:color w:val="auto"/>
              </w:rPr>
            </w:pPr>
          </w:p>
        </w:tc>
        <w:tc>
          <w:tcPr>
            <w:tcW w:w="10400" w:type="dxa"/>
            <w:vAlign w:val="bottom"/>
            <w:gridSpan w:val="9"/>
            <w:shd w:val="clear" w:color="auto" w:fill="CCEEFF"/>
          </w:tcPr>
          <w:p>
            <w:pPr>
              <w:ind w:left="80"/>
              <w:spacing w:after="0"/>
              <w:rPr>
                <w:rFonts w:ascii="Times New Roman" w:cs="Times New Roman" w:eastAsia="Times New Roman" w:hAnsi="Times New Roman"/>
                <w:sz w:val="21"/>
                <w:szCs w:val="21"/>
                <w:u w:val="single" w:color="auto"/>
                <w:color w:val="0563C1"/>
              </w:rPr>
            </w:pPr>
            <w:hyperlink w:anchor="page59">
              <w:r>
                <w:rPr>
                  <w:rFonts w:ascii="Times New Roman" w:cs="Times New Roman" w:eastAsia="Times New Roman" w:hAnsi="Times New Roman"/>
                  <w:sz w:val="21"/>
                  <w:szCs w:val="21"/>
                  <w:u w:val="single" w:color="auto"/>
                  <w:color w:val="0563C1"/>
                </w:rPr>
                <w:t>Exhibits</w:t>
              </w:r>
            </w:hyperlink>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4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1040" w:type="dxa"/>
            <w:vAlign w:val="bottom"/>
            <w:gridSpan w:val="11"/>
            <w:shd w:val="clear" w:color="auto" w:fill="CCEEFF"/>
          </w:tcPr>
          <w:p>
            <w:pPr>
              <w:spacing w:after="0"/>
              <w:rPr>
                <w:rFonts w:ascii="Times New Roman" w:cs="Times New Roman" w:eastAsia="Times New Roman" w:hAnsi="Times New Roman"/>
                <w:sz w:val="21"/>
                <w:szCs w:val="21"/>
                <w:u w:val="single" w:color="auto"/>
                <w:color w:val="0563C1"/>
              </w:rPr>
            </w:pPr>
            <w:hyperlink w:anchor="page60">
              <w:r>
                <w:rPr>
                  <w:rFonts w:ascii="Times New Roman" w:cs="Times New Roman" w:eastAsia="Times New Roman" w:hAnsi="Times New Roman"/>
                  <w:sz w:val="21"/>
                  <w:szCs w:val="21"/>
                  <w:u w:val="single" w:color="auto"/>
                  <w:color w:val="0563C1"/>
                </w:rPr>
                <w:t>Signatures</w:t>
              </w:r>
            </w:hyperlink>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00"/>
        </w:trPr>
        <w:tc>
          <w:tcPr>
            <w:tcW w:w="620" w:type="dxa"/>
            <w:vAlign w:val="bottom"/>
          </w:tcPr>
          <w:p>
            <w:pPr>
              <w:spacing w:after="0"/>
              <w:rPr>
                <w:sz w:val="24"/>
                <w:szCs w:val="24"/>
                <w:color w:val="auto"/>
              </w:rPr>
            </w:pPr>
          </w:p>
        </w:tc>
        <w:tc>
          <w:tcPr>
            <w:tcW w:w="7020" w:type="dxa"/>
            <w:vAlign w:val="bottom"/>
            <w:gridSpan w:val="9"/>
          </w:tcPr>
          <w:p>
            <w:pPr>
              <w:jc w:val="center"/>
              <w:ind w:left="2893"/>
              <w:spacing w:after="0"/>
              <w:rPr>
                <w:sz w:val="20"/>
                <w:szCs w:val="20"/>
                <w:color w:val="auto"/>
              </w:rPr>
            </w:pPr>
            <w:r>
              <w:rPr>
                <w:rFonts w:ascii="Times New Roman" w:cs="Times New Roman" w:eastAsia="Times New Roman" w:hAnsi="Times New Roman"/>
                <w:sz w:val="21"/>
                <w:szCs w:val="21"/>
                <w:color w:val="auto"/>
                <w:w w:val="94"/>
              </w:rPr>
              <w:t>1</w:t>
            </w: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340"/>
          </w:cols>
          <w:pgMar w:left="320" w:top="111" w:right="239" w:bottom="1440" w:gutter="0" w:footer="0" w:header="0"/>
        </w:sectPr>
      </w:pPr>
    </w:p>
    <w:bookmarkStart w:id="2" w:name="page3"/>
    <w:bookmarkEnd w:id="2"/>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9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CONSOLIDATED BALANCE SHEETS</w:t>
      </w:r>
    </w:p>
    <w:p>
      <w:pPr>
        <w:jc w:val="center"/>
        <w:ind w:right="40"/>
        <w:spacing w:after="0" w:line="199"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vMerge w:val="restart"/>
          </w:tcPr>
          <w:p>
            <w:pPr>
              <w:ind w:left="3880"/>
              <w:spacing w:after="0"/>
              <w:rPr>
                <w:sz w:val="20"/>
                <w:szCs w:val="20"/>
                <w:color w:val="auto"/>
              </w:rPr>
            </w:pPr>
            <w:r>
              <w:rPr>
                <w:rFonts w:ascii="Times New Roman" w:cs="Times New Roman" w:eastAsia="Times New Roman" w:hAnsi="Times New Roman"/>
                <w:sz w:val="16"/>
                <w:szCs w:val="16"/>
                <w:color w:val="auto"/>
              </w:rPr>
              <w:t>Assets</w:t>
            </w: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September 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187"/>
        </w:trPr>
        <w:tc>
          <w:tcPr>
            <w:tcW w:w="696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color w:val="auto"/>
              </w:rPr>
              <w:t>2020</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54"/>
        </w:trPr>
        <w:tc>
          <w:tcPr>
            <w:tcW w:w="696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Property, plant and equipment, at cost</w:t>
            </w: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11,321,044</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8,201,936</w:t>
            </w:r>
          </w:p>
        </w:tc>
        <w:tc>
          <w:tcPr>
            <w:tcW w:w="0" w:type="dxa"/>
            <w:vAlign w:val="bottom"/>
          </w:tcPr>
          <w:p>
            <w:pPr>
              <w:spacing w:after="0"/>
              <w:rPr>
                <w:sz w:val="1"/>
                <w:szCs w:val="1"/>
                <w:color w:val="auto"/>
              </w:rPr>
            </w:pPr>
          </w:p>
        </w:tc>
      </w:tr>
      <w:tr>
        <w:trPr>
          <w:trHeight w:val="160"/>
        </w:trPr>
        <w:tc>
          <w:tcPr>
            <w:tcW w:w="69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2,060,584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1,856,146</w:t>
            </w:r>
          </w:p>
        </w:tc>
        <w:tc>
          <w:tcPr>
            <w:tcW w:w="0" w:type="dxa"/>
            <w:vAlign w:val="bottom"/>
          </w:tcPr>
          <w:p>
            <w:pPr>
              <w:spacing w:after="0"/>
              <w:rPr>
                <w:sz w:val="1"/>
                <w:szCs w:val="1"/>
                <w:color w:val="auto"/>
              </w:rPr>
            </w:pPr>
          </w:p>
        </w:tc>
      </w:tr>
      <w:tr>
        <w:trPr>
          <w:trHeight w:val="154"/>
        </w:trPr>
        <w:tc>
          <w:tcPr>
            <w:tcW w:w="696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Net property, plant and equipment</w:t>
            </w:r>
          </w:p>
        </w:tc>
        <w:tc>
          <w:tcPr>
            <w:tcW w:w="14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9,260,460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6,345,790</w:t>
            </w:r>
          </w:p>
        </w:tc>
        <w:tc>
          <w:tcPr>
            <w:tcW w:w="0" w:type="dxa"/>
            <w:vAlign w:val="bottom"/>
          </w:tcPr>
          <w:p>
            <w:pPr>
              <w:spacing w:after="0"/>
              <w:rPr>
                <w:sz w:val="1"/>
                <w:szCs w:val="1"/>
                <w:color w:val="auto"/>
              </w:rPr>
            </w:pPr>
          </w:p>
        </w:tc>
      </w:tr>
      <w:tr>
        <w:trPr>
          <w:trHeight w:val="154"/>
        </w:trPr>
        <w:tc>
          <w:tcPr>
            <w:tcW w:w="6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Current assets:</w:t>
            </w: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6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Cash and cash equivalents</w:t>
            </w: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8,494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1,868,922</w:t>
            </w: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Accounts receivable, net</w:t>
            </w: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126,774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67,137</w:t>
            </w:r>
          </w:p>
        </w:tc>
        <w:tc>
          <w:tcPr>
            <w:tcW w:w="0" w:type="dxa"/>
            <w:vAlign w:val="bottom"/>
          </w:tcPr>
          <w:p>
            <w:pPr>
              <w:spacing w:after="0"/>
              <w:rPr>
                <w:sz w:val="1"/>
                <w:szCs w:val="1"/>
                <w:color w:val="auto"/>
              </w:rPr>
            </w:pPr>
          </w:p>
        </w:tc>
      </w:tr>
      <w:tr>
        <w:trPr>
          <w:trHeight w:val="160"/>
        </w:trPr>
        <w:tc>
          <w:tcPr>
            <w:tcW w:w="696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Unbilled revenues</w:t>
            </w: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62,999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40,483</w:t>
            </w: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Inventory - materials and supplies</w:t>
            </w: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23,651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18,379</w:t>
            </w:r>
          </w:p>
        </w:tc>
        <w:tc>
          <w:tcPr>
            <w:tcW w:w="0" w:type="dxa"/>
            <w:vAlign w:val="bottom"/>
          </w:tcPr>
          <w:p>
            <w:pPr>
              <w:spacing w:after="0"/>
              <w:rPr>
                <w:sz w:val="1"/>
                <w:szCs w:val="1"/>
                <w:color w:val="auto"/>
              </w:rPr>
            </w:pPr>
          </w:p>
        </w:tc>
      </w:tr>
      <w:tr>
        <w:trPr>
          <w:trHeight w:val="160"/>
        </w:trPr>
        <w:tc>
          <w:tcPr>
            <w:tcW w:w="696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Inventory - gas stored</w:t>
            </w: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42,964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Prepayments and other current assets</w:t>
            </w: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37,551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16,259</w:t>
            </w:r>
          </w:p>
        </w:tc>
        <w:tc>
          <w:tcPr>
            <w:tcW w:w="0" w:type="dxa"/>
            <w:vAlign w:val="bottom"/>
          </w:tcPr>
          <w:p>
            <w:pPr>
              <w:spacing w:after="0"/>
              <w:rPr>
                <w:sz w:val="1"/>
                <w:szCs w:val="1"/>
                <w:color w:val="auto"/>
              </w:rPr>
            </w:pPr>
          </w:p>
        </w:tc>
      </w:tr>
      <w:tr>
        <w:trPr>
          <w:trHeight w:val="160"/>
        </w:trPr>
        <w:tc>
          <w:tcPr>
            <w:tcW w:w="696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Regulatory assets</w:t>
            </w: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8,113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2,389</w:t>
            </w: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Assets held for sale</w:t>
            </w: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692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1,558</w:t>
            </w:r>
          </w:p>
        </w:tc>
        <w:tc>
          <w:tcPr>
            <w:tcW w:w="0" w:type="dxa"/>
            <w:vAlign w:val="bottom"/>
          </w:tcPr>
          <w:p>
            <w:pPr>
              <w:spacing w:after="0"/>
              <w:rPr>
                <w:sz w:val="1"/>
                <w:szCs w:val="1"/>
                <w:color w:val="auto"/>
              </w:rPr>
            </w:pPr>
          </w:p>
        </w:tc>
      </w:tr>
      <w:tr>
        <w:trPr>
          <w:trHeight w:val="154"/>
        </w:trPr>
        <w:tc>
          <w:tcPr>
            <w:tcW w:w="696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Total current assets</w:t>
            </w:r>
          </w:p>
        </w:tc>
        <w:tc>
          <w:tcPr>
            <w:tcW w:w="14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311,238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2,015,127</w:t>
            </w:r>
          </w:p>
        </w:tc>
        <w:tc>
          <w:tcPr>
            <w:tcW w:w="0" w:type="dxa"/>
            <w:vAlign w:val="bottom"/>
          </w:tcPr>
          <w:p>
            <w:pPr>
              <w:spacing w:after="0"/>
              <w:rPr>
                <w:sz w:val="1"/>
                <w:szCs w:val="1"/>
                <w:color w:val="auto"/>
              </w:rPr>
            </w:pPr>
          </w:p>
        </w:tc>
      </w:tr>
      <w:tr>
        <w:trPr>
          <w:trHeight w:val="154"/>
        </w:trPr>
        <w:tc>
          <w:tcPr>
            <w:tcW w:w="6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Regulatory assets</w:t>
            </w: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1,369,823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875,743</w:t>
            </w:r>
          </w:p>
        </w:tc>
        <w:tc>
          <w:tcPr>
            <w:tcW w:w="0" w:type="dxa"/>
            <w:vAlign w:val="bottom"/>
          </w:tcPr>
          <w:p>
            <w:pPr>
              <w:spacing w:after="0"/>
              <w:rPr>
                <w:sz w:val="1"/>
                <w:szCs w:val="1"/>
                <w:color w:val="auto"/>
              </w:rPr>
            </w:pPr>
          </w:p>
        </w:tc>
      </w:tr>
      <w:tr>
        <w:trPr>
          <w:trHeight w:val="160"/>
        </w:trPr>
        <w:tc>
          <w:tcPr>
            <w:tcW w:w="69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Deferred charges and other assets, net</w:t>
            </w: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51,489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42,652</w:t>
            </w: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Investment in joint venture</w:t>
            </w: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1,757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5,984</w:t>
            </w:r>
          </w:p>
        </w:tc>
        <w:tc>
          <w:tcPr>
            <w:tcW w:w="0" w:type="dxa"/>
            <w:vAlign w:val="bottom"/>
          </w:tcPr>
          <w:p>
            <w:pPr>
              <w:spacing w:after="0"/>
              <w:rPr>
                <w:sz w:val="1"/>
                <w:szCs w:val="1"/>
                <w:color w:val="auto"/>
              </w:rPr>
            </w:pPr>
          </w:p>
        </w:tc>
      </w:tr>
      <w:tr>
        <w:trPr>
          <w:trHeight w:val="160"/>
        </w:trPr>
        <w:tc>
          <w:tcPr>
            <w:tcW w:w="69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Funds restricted for construction activity</w:t>
            </w: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1,243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Goodwill</w:t>
            </w: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2,333,627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63,822</w:t>
            </w:r>
          </w:p>
        </w:tc>
        <w:tc>
          <w:tcPr>
            <w:tcW w:w="0" w:type="dxa"/>
            <w:vAlign w:val="bottom"/>
          </w:tcPr>
          <w:p>
            <w:pPr>
              <w:spacing w:after="0"/>
              <w:rPr>
                <w:sz w:val="1"/>
                <w:szCs w:val="1"/>
                <w:color w:val="auto"/>
              </w:rPr>
            </w:pPr>
          </w:p>
        </w:tc>
      </w:tr>
      <w:tr>
        <w:trPr>
          <w:trHeight w:val="160"/>
        </w:trPr>
        <w:tc>
          <w:tcPr>
            <w:tcW w:w="69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62,022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12,867</w:t>
            </w: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Intangible assets</w:t>
            </w: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7,829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4"/>
        </w:trPr>
        <w:tc>
          <w:tcPr>
            <w:tcW w:w="696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Total assets</w:t>
            </w:r>
          </w:p>
        </w:tc>
        <w:tc>
          <w:tcPr>
            <w:tcW w:w="14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13,399,488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9,361,985</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9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9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CONSOLIDATED BALANCE SHEETS (continued)</w:t>
      </w:r>
    </w:p>
    <w:p>
      <w:pPr>
        <w:ind w:left="3420"/>
        <w:spacing w:after="0" w:line="199"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vMerge w:val="restart"/>
          </w:tcPr>
          <w:p>
            <w:pPr>
              <w:ind w:left="3480"/>
              <w:spacing w:after="0"/>
              <w:rPr>
                <w:sz w:val="20"/>
                <w:szCs w:val="20"/>
                <w:color w:val="auto"/>
              </w:rPr>
            </w:pPr>
            <w:r>
              <w:rPr>
                <w:rFonts w:ascii="Times New Roman" w:cs="Times New Roman" w:eastAsia="Times New Roman" w:hAnsi="Times New Roman"/>
                <w:sz w:val="16"/>
                <w:szCs w:val="16"/>
                <w:color w:val="auto"/>
              </w:rPr>
              <w:t>Liabilities and Equity</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September 30,</w:t>
            </w:r>
          </w:p>
        </w:tc>
        <w:tc>
          <w:tcPr>
            <w:tcW w:w="12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187"/>
        </w:trPr>
        <w:tc>
          <w:tcPr>
            <w:tcW w:w="8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color w:val="auto"/>
              </w:rPr>
              <w:t>2020</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54"/>
        </w:trPr>
        <w:tc>
          <w:tcPr>
            <w:tcW w:w="832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8320" w:type="dxa"/>
            <w:vAlign w:val="bottom"/>
            <w:shd w:val="clear" w:color="auto" w:fill="CCEEFF"/>
          </w:tcPr>
          <w:p>
            <w:pPr>
              <w:ind w:left="100"/>
              <w:spacing w:after="0" w:line="134" w:lineRule="exact"/>
              <w:rPr>
                <w:sz w:val="20"/>
                <w:szCs w:val="20"/>
                <w:color w:val="auto"/>
              </w:rPr>
            </w:pPr>
            <w:r>
              <w:rPr>
                <w:rFonts w:ascii="Times New Roman" w:cs="Times New Roman" w:eastAsia="Times New Roman" w:hAnsi="Times New Roman"/>
                <w:sz w:val="15"/>
                <w:szCs w:val="15"/>
                <w:color w:val="auto"/>
              </w:rPr>
              <w:t>Common stock at $0.50 par value, authorized 600,000,000 shares, issued 248,457,751 and 223,871,284 as of September 30,</w:t>
            </w: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124,228</w:t>
            </w:r>
          </w:p>
        </w:tc>
        <w:tc>
          <w:tcPr>
            <w:tcW w:w="16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111,935</w:t>
            </w:r>
          </w:p>
        </w:tc>
        <w:tc>
          <w:tcPr>
            <w:tcW w:w="0" w:type="dxa"/>
            <w:vAlign w:val="bottom"/>
          </w:tcPr>
          <w:p>
            <w:pPr>
              <w:spacing w:after="0"/>
              <w:rPr>
                <w:sz w:val="1"/>
                <w:szCs w:val="1"/>
                <w:color w:val="auto"/>
              </w:rPr>
            </w:pPr>
          </w:p>
        </w:tc>
      </w:tr>
      <w:tr>
        <w:trPr>
          <w:trHeight w:val="187"/>
        </w:trPr>
        <w:tc>
          <w:tcPr>
            <w:tcW w:w="8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2020 and December 31, 2019</w:t>
            </w:r>
          </w:p>
        </w:tc>
        <w:tc>
          <w:tcPr>
            <w:tcW w:w="400" w:type="dxa"/>
            <w:vAlign w:val="bottom"/>
            <w:gridSpan w:val="2"/>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32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Capital in excess of par value</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3,372,376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2,636,555</w:t>
            </w: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1,220,790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1,210,072</w:t>
            </w:r>
          </w:p>
        </w:tc>
        <w:tc>
          <w:tcPr>
            <w:tcW w:w="0" w:type="dxa"/>
            <w:vAlign w:val="bottom"/>
          </w:tcPr>
          <w:p>
            <w:pPr>
              <w:spacing w:after="0"/>
              <w:rPr>
                <w:sz w:val="1"/>
                <w:szCs w:val="1"/>
                <w:color w:val="auto"/>
              </w:rPr>
            </w:pPr>
          </w:p>
        </w:tc>
      </w:tr>
      <w:tr>
        <w:trPr>
          <w:trHeight w:val="160"/>
        </w:trPr>
        <w:tc>
          <w:tcPr>
            <w:tcW w:w="832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Treasury stock, at cost, 3,186,771 and 3,112,565 shares as of September 30, 2020 and December 31, 2019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160"/>
              <w:spacing w:after="0" w:line="161" w:lineRule="exact"/>
              <w:rPr>
                <w:sz w:val="20"/>
                <w:szCs w:val="20"/>
                <w:color w:val="auto"/>
              </w:rPr>
            </w:pPr>
            <w:r>
              <w:rPr>
                <w:rFonts w:ascii="Times New Roman" w:cs="Times New Roman" w:eastAsia="Times New Roman" w:hAnsi="Times New Roman"/>
                <w:sz w:val="16"/>
                <w:szCs w:val="16"/>
                <w:color w:val="auto"/>
              </w:rPr>
              <w:t>(81,641)</w:t>
            </w: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(77,702)</w:t>
            </w:r>
          </w:p>
        </w:tc>
        <w:tc>
          <w:tcPr>
            <w:tcW w:w="0" w:type="dxa"/>
            <w:vAlign w:val="bottom"/>
          </w:tcPr>
          <w:p>
            <w:pPr>
              <w:spacing w:after="0"/>
              <w:rPr>
                <w:sz w:val="1"/>
                <w:szCs w:val="1"/>
                <w:color w:val="auto"/>
              </w:rPr>
            </w:pPr>
          </w:p>
        </w:tc>
      </w:tr>
      <w:tr>
        <w:trPr>
          <w:trHeight w:val="154"/>
        </w:trPr>
        <w:tc>
          <w:tcPr>
            <w:tcW w:w="83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4,635,753</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3,880,860</w:t>
            </w:r>
          </w:p>
        </w:tc>
        <w:tc>
          <w:tcPr>
            <w:tcW w:w="0" w:type="dxa"/>
            <w:vAlign w:val="bottom"/>
          </w:tcPr>
          <w:p>
            <w:pPr>
              <w:spacing w:after="0"/>
              <w:rPr>
                <w:sz w:val="1"/>
                <w:szCs w:val="1"/>
                <w:color w:val="auto"/>
              </w:rPr>
            </w:pPr>
          </w:p>
        </w:tc>
      </w:tr>
      <w:tr>
        <w:trPr>
          <w:trHeight w:val="154"/>
        </w:trPr>
        <w:tc>
          <w:tcPr>
            <w:tcW w:w="8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Long-term debt, excluding current portion</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5,190,978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2,972,349</w:t>
            </w:r>
          </w:p>
        </w:tc>
        <w:tc>
          <w:tcPr>
            <w:tcW w:w="0" w:type="dxa"/>
            <w:vAlign w:val="bottom"/>
          </w:tcPr>
          <w:p>
            <w:pPr>
              <w:spacing w:after="0"/>
              <w:rPr>
                <w:sz w:val="1"/>
                <w:szCs w:val="1"/>
                <w:color w:val="auto"/>
              </w:rPr>
            </w:pPr>
          </w:p>
        </w:tc>
      </w:tr>
      <w:tr>
        <w:trPr>
          <w:trHeight w:val="160"/>
        </w:trPr>
        <w:tc>
          <w:tcPr>
            <w:tcW w:w="8320" w:type="dxa"/>
            <w:vAlign w:val="bottom"/>
            <w:tcBorders>
              <w:bottom w:val="single" w:sz="8" w:color="CCEEFF"/>
            </w:tcBorders>
          </w:tcPr>
          <w:p>
            <w:pPr>
              <w:spacing w:after="0" w:line="161" w:lineRule="exact"/>
              <w:rPr>
                <w:sz w:val="20"/>
                <w:szCs w:val="20"/>
                <w:color w:val="auto"/>
              </w:rPr>
            </w:pPr>
            <w:r>
              <w:rPr>
                <w:rFonts w:ascii="Times New Roman" w:cs="Times New Roman" w:eastAsia="Times New Roman" w:hAnsi="Times New Roman"/>
                <w:sz w:val="16"/>
                <w:szCs w:val="16"/>
                <w:color w:val="auto"/>
              </w:rPr>
              <w:t>Less: debt issuance costs</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38,005</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29,022</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Long-term debt, excluding current portion, net of debt issuance costs</w:t>
            </w:r>
          </w:p>
        </w:tc>
        <w:tc>
          <w:tcPr>
            <w:tcW w:w="2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5,152,973</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2,943,327</w:t>
            </w:r>
          </w:p>
        </w:tc>
        <w:tc>
          <w:tcPr>
            <w:tcW w:w="0" w:type="dxa"/>
            <w:vAlign w:val="bottom"/>
          </w:tcPr>
          <w:p>
            <w:pPr>
              <w:spacing w:after="0"/>
              <w:rPr>
                <w:sz w:val="1"/>
                <w:szCs w:val="1"/>
                <w:color w:val="auto"/>
              </w:rPr>
            </w:pPr>
          </w:p>
        </w:tc>
      </w:tr>
      <w:tr>
        <w:trPr>
          <w:trHeight w:val="242"/>
        </w:trPr>
        <w:tc>
          <w:tcPr>
            <w:tcW w:w="83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15)</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8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32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205,841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105,051</w:t>
            </w: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Loans payable</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47,185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25,724</w:t>
            </w:r>
          </w:p>
        </w:tc>
        <w:tc>
          <w:tcPr>
            <w:tcW w:w="0" w:type="dxa"/>
            <w:vAlign w:val="bottom"/>
          </w:tcPr>
          <w:p>
            <w:pPr>
              <w:spacing w:after="0"/>
              <w:rPr>
                <w:sz w:val="1"/>
                <w:szCs w:val="1"/>
                <w:color w:val="auto"/>
              </w:rPr>
            </w:pPr>
          </w:p>
        </w:tc>
      </w:tr>
      <w:tr>
        <w:trPr>
          <w:trHeight w:val="160"/>
        </w:trPr>
        <w:tc>
          <w:tcPr>
            <w:tcW w:w="832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158,197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74,919</w:t>
            </w: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Book overdraft</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60"/>
              <w:spacing w:after="0" w:line="161" w:lineRule="exact"/>
              <w:rPr>
                <w:sz w:val="20"/>
                <w:szCs w:val="20"/>
                <w:color w:val="auto"/>
              </w:rPr>
            </w:pPr>
            <w:r>
              <w:rPr>
                <w:rFonts w:ascii="Times New Roman" w:cs="Times New Roman" w:eastAsia="Times New Roman" w:hAnsi="Times New Roman"/>
                <w:sz w:val="16"/>
                <w:szCs w:val="16"/>
                <w:color w:val="auto"/>
              </w:rPr>
              <w:t>29,110</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10,944</w:t>
            </w:r>
          </w:p>
        </w:tc>
        <w:tc>
          <w:tcPr>
            <w:tcW w:w="0" w:type="dxa"/>
            <w:vAlign w:val="bottom"/>
          </w:tcPr>
          <w:p>
            <w:pPr>
              <w:spacing w:after="0"/>
              <w:rPr>
                <w:sz w:val="1"/>
                <w:szCs w:val="1"/>
                <w:color w:val="auto"/>
              </w:rPr>
            </w:pPr>
          </w:p>
        </w:tc>
      </w:tr>
      <w:tr>
        <w:trPr>
          <w:trHeight w:val="160"/>
        </w:trPr>
        <w:tc>
          <w:tcPr>
            <w:tcW w:w="832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Accrued interest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66,728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29,818</w:t>
            </w: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Accrued taxes</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28,426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22,775</w:t>
            </w:r>
          </w:p>
        </w:tc>
        <w:tc>
          <w:tcPr>
            <w:tcW w:w="0" w:type="dxa"/>
            <w:vAlign w:val="bottom"/>
          </w:tcPr>
          <w:p>
            <w:pPr>
              <w:spacing w:after="0"/>
              <w:rPr>
                <w:sz w:val="1"/>
                <w:szCs w:val="1"/>
                <w:color w:val="auto"/>
              </w:rPr>
            </w:pPr>
          </w:p>
        </w:tc>
      </w:tr>
      <w:tr>
        <w:trPr>
          <w:trHeight w:val="160"/>
        </w:trPr>
        <w:tc>
          <w:tcPr>
            <w:tcW w:w="832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Regulatory liabilities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10,880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4,612</w:t>
            </w: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Other accrued liabilities</w:t>
            </w:r>
          </w:p>
        </w:tc>
        <w:tc>
          <w:tcPr>
            <w:tcW w:w="2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120,592</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49,618</w:t>
            </w:r>
          </w:p>
        </w:tc>
        <w:tc>
          <w:tcPr>
            <w:tcW w:w="0" w:type="dxa"/>
            <w:vAlign w:val="bottom"/>
          </w:tcPr>
          <w:p>
            <w:pPr>
              <w:spacing w:after="0"/>
              <w:rPr>
                <w:sz w:val="1"/>
                <w:szCs w:val="1"/>
                <w:color w:val="auto"/>
              </w:rPr>
            </w:pPr>
          </w:p>
        </w:tc>
      </w:tr>
      <w:tr>
        <w:trPr>
          <w:trHeight w:val="154"/>
        </w:trPr>
        <w:tc>
          <w:tcPr>
            <w:tcW w:w="832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666,959</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323,461</w:t>
            </w:r>
          </w:p>
        </w:tc>
        <w:tc>
          <w:tcPr>
            <w:tcW w:w="0" w:type="dxa"/>
            <w:vAlign w:val="bottom"/>
          </w:tcPr>
          <w:p>
            <w:pPr>
              <w:spacing w:after="0"/>
              <w:rPr>
                <w:sz w:val="1"/>
                <w:szCs w:val="1"/>
                <w:color w:val="auto"/>
              </w:rPr>
            </w:pPr>
          </w:p>
        </w:tc>
      </w:tr>
      <w:tr>
        <w:trPr>
          <w:trHeight w:val="154"/>
        </w:trPr>
        <w:tc>
          <w:tcPr>
            <w:tcW w:w="8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Deferred credits and other liabilities:</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32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Deferred income taxes and investment tax credits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1,238,328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936,158</w:t>
            </w: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Customers' advances for construction</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105,613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95,556</w:t>
            </w:r>
          </w:p>
        </w:tc>
        <w:tc>
          <w:tcPr>
            <w:tcW w:w="0" w:type="dxa"/>
            <w:vAlign w:val="bottom"/>
          </w:tcPr>
          <w:p>
            <w:pPr>
              <w:spacing w:after="0"/>
              <w:rPr>
                <w:sz w:val="1"/>
                <w:szCs w:val="1"/>
                <w:color w:val="auto"/>
              </w:rPr>
            </w:pPr>
          </w:p>
        </w:tc>
      </w:tr>
      <w:tr>
        <w:trPr>
          <w:trHeight w:val="160"/>
        </w:trPr>
        <w:tc>
          <w:tcPr>
            <w:tcW w:w="832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Regulatory liabilities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160"/>
              <w:spacing w:after="0" w:line="161" w:lineRule="exact"/>
              <w:rPr>
                <w:sz w:val="20"/>
                <w:szCs w:val="20"/>
                <w:color w:val="auto"/>
              </w:rPr>
            </w:pPr>
            <w:r>
              <w:rPr>
                <w:rFonts w:ascii="Times New Roman" w:cs="Times New Roman" w:eastAsia="Times New Roman" w:hAnsi="Times New Roman"/>
                <w:sz w:val="16"/>
                <w:szCs w:val="16"/>
                <w:color w:val="auto"/>
              </w:rPr>
              <w:t>779,117</w:t>
            </w: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512,987</w:t>
            </w: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Asset retirement obligations</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50,927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832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57,500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11,645</w:t>
            </w: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Pension and other postretirement benefit liabilities</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98,209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69,406</w:t>
            </w:r>
          </w:p>
        </w:tc>
        <w:tc>
          <w:tcPr>
            <w:tcW w:w="0" w:type="dxa"/>
            <w:vAlign w:val="bottom"/>
          </w:tcPr>
          <w:p>
            <w:pPr>
              <w:spacing w:after="0"/>
              <w:rPr>
                <w:sz w:val="1"/>
                <w:szCs w:val="1"/>
                <w:color w:val="auto"/>
              </w:rPr>
            </w:pPr>
          </w:p>
        </w:tc>
      </w:tr>
      <w:tr>
        <w:trPr>
          <w:trHeight w:val="160"/>
        </w:trPr>
        <w:tc>
          <w:tcPr>
            <w:tcW w:w="8320" w:type="dxa"/>
            <w:vAlign w:val="bottom"/>
            <w:tcBorders>
              <w:bottom w:val="single" w:sz="8" w:color="CCEEFF"/>
            </w:tcBorders>
          </w:tcPr>
          <w:p>
            <w:pPr>
              <w:ind w:left="100"/>
              <w:spacing w:after="0" w:line="161" w:lineRule="exact"/>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48,087</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33,059</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Total deferred credits and other liabilities</w:t>
            </w:r>
          </w:p>
        </w:tc>
        <w:tc>
          <w:tcPr>
            <w:tcW w:w="2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2,377,781</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1,658,811</w:t>
            </w:r>
          </w:p>
        </w:tc>
        <w:tc>
          <w:tcPr>
            <w:tcW w:w="0" w:type="dxa"/>
            <w:vAlign w:val="bottom"/>
          </w:tcPr>
          <w:p>
            <w:pPr>
              <w:spacing w:after="0"/>
              <w:rPr>
                <w:sz w:val="1"/>
                <w:szCs w:val="1"/>
                <w:color w:val="auto"/>
              </w:rPr>
            </w:pPr>
          </w:p>
        </w:tc>
      </w:tr>
      <w:tr>
        <w:trPr>
          <w:trHeight w:val="154"/>
        </w:trPr>
        <w:tc>
          <w:tcPr>
            <w:tcW w:w="8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Contributions in aid of construction</w:t>
            </w:r>
          </w:p>
        </w:tc>
        <w:tc>
          <w:tcPr>
            <w:tcW w:w="2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566,022</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555,526</w:t>
            </w:r>
          </w:p>
        </w:tc>
        <w:tc>
          <w:tcPr>
            <w:tcW w:w="0" w:type="dxa"/>
            <w:vAlign w:val="bottom"/>
          </w:tcPr>
          <w:p>
            <w:pPr>
              <w:spacing w:after="0"/>
              <w:rPr>
                <w:sz w:val="1"/>
                <w:szCs w:val="1"/>
                <w:color w:val="auto"/>
              </w:rPr>
            </w:pPr>
          </w:p>
        </w:tc>
      </w:tr>
      <w:tr>
        <w:trPr>
          <w:trHeight w:val="154"/>
        </w:trPr>
        <w:tc>
          <w:tcPr>
            <w:tcW w:w="832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26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13,399,488</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9,361,985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18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CONSOLIDATED STATEMENTS OF OPERATIONS AND COMPREHENSIVE INCOME</w:t>
      </w:r>
    </w:p>
    <w:p>
      <w:pPr>
        <w:ind w:left="4000"/>
        <w:spacing w:after="0" w:line="235" w:lineRule="auto"/>
        <w:rPr>
          <w:sz w:val="20"/>
          <w:szCs w:val="20"/>
          <w:color w:val="auto"/>
        </w:rPr>
      </w:pPr>
      <w:r>
        <w:rPr>
          <w:rFonts w:ascii="Times New Roman" w:cs="Times New Roman" w:eastAsia="Times New Roman" w:hAnsi="Times New Roman"/>
          <w:sz w:val="21"/>
          <w:szCs w:val="21"/>
          <w:color w:val="auto"/>
        </w:rPr>
        <w:t>(In thousands, except per share amounts)</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auto"/>
        </w:rPr>
        <w:t>(UNAUDITED)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20" w:type="dxa"/>
            <w:vAlign w:val="bottom"/>
            <w:gridSpan w:val="5"/>
          </w:tcPr>
          <w:p>
            <w:pPr>
              <w:jc w:val="right"/>
              <w:ind w:right="793"/>
              <w:spacing w:after="0"/>
              <w:rPr>
                <w:sz w:val="20"/>
                <w:szCs w:val="20"/>
                <w:color w:val="auto"/>
              </w:rPr>
            </w:pPr>
            <w:r>
              <w:rPr>
                <w:rFonts w:ascii="Times New Roman" w:cs="Times New Roman" w:eastAsia="Times New Roman" w:hAnsi="Times New Roman"/>
                <w:sz w:val="21"/>
                <w:szCs w:val="21"/>
                <w:color w:val="auto"/>
              </w:rPr>
              <w:t>Three Months Ended</w:t>
            </w:r>
          </w:p>
        </w:tc>
        <w:tc>
          <w:tcPr>
            <w:tcW w:w="0" w:type="dxa"/>
            <w:vAlign w:val="bottom"/>
          </w:tcPr>
          <w:p>
            <w:pPr>
              <w:spacing w:after="0"/>
              <w:rPr>
                <w:sz w:val="1"/>
                <w:szCs w:val="1"/>
                <w:color w:val="auto"/>
              </w:rPr>
            </w:pPr>
          </w:p>
        </w:tc>
      </w:tr>
      <w:tr>
        <w:trPr>
          <w:trHeight w:val="255"/>
        </w:trPr>
        <w:tc>
          <w:tcPr>
            <w:tcW w:w="58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1"/>
                <w:szCs w:val="21"/>
                <w:color w:val="auto"/>
              </w:rPr>
              <w:t>September 30,</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8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3"/>
              <w:spacing w:after="0" w:line="221" w:lineRule="exact"/>
              <w:rPr>
                <w:sz w:val="20"/>
                <w:szCs w:val="20"/>
                <w:color w:val="auto"/>
              </w:rPr>
            </w:pPr>
            <w:r>
              <w:rPr>
                <w:rFonts w:ascii="Times New Roman" w:cs="Times New Roman" w:eastAsia="Times New Roman" w:hAnsi="Times New Roman"/>
                <w:sz w:val="21"/>
                <w:szCs w:val="21"/>
                <w:color w:val="auto"/>
              </w:rPr>
              <w:t>2019</w:t>
            </w:r>
          </w:p>
        </w:tc>
        <w:tc>
          <w:tcPr>
            <w:tcW w:w="0" w:type="dxa"/>
            <w:vAlign w:val="bottom"/>
          </w:tcPr>
          <w:p>
            <w:pPr>
              <w:spacing w:after="0"/>
              <w:rPr>
                <w:sz w:val="1"/>
                <w:szCs w:val="1"/>
                <w:color w:val="auto"/>
              </w:rPr>
            </w:pPr>
          </w:p>
        </w:tc>
      </w:tr>
      <w:tr>
        <w:trPr>
          <w:trHeight w:val="221"/>
        </w:trPr>
        <w:tc>
          <w:tcPr>
            <w:tcW w:w="584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Operating revenues</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53"/>
              <w:spacing w:after="0" w:line="221" w:lineRule="exact"/>
              <w:rPr>
                <w:sz w:val="20"/>
                <w:szCs w:val="20"/>
                <w:color w:val="auto"/>
              </w:rPr>
            </w:pPr>
            <w:r>
              <w:rPr>
                <w:rFonts w:ascii="Times New Roman" w:cs="Times New Roman" w:eastAsia="Times New Roman" w:hAnsi="Times New Roman"/>
                <w:sz w:val="21"/>
                <w:szCs w:val="21"/>
                <w:color w:val="auto"/>
                <w:w w:val="94"/>
              </w:rPr>
              <w:t>$</w:t>
            </w:r>
          </w:p>
        </w:tc>
        <w:tc>
          <w:tcPr>
            <w:tcW w:w="134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348,647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243,626</w:t>
            </w:r>
          </w:p>
        </w:tc>
        <w:tc>
          <w:tcPr>
            <w:tcW w:w="0" w:type="dxa"/>
            <w:vAlign w:val="bottom"/>
          </w:tcPr>
          <w:p>
            <w:pPr>
              <w:spacing w:after="0"/>
              <w:rPr>
                <w:sz w:val="1"/>
                <w:szCs w:val="1"/>
                <w:color w:val="auto"/>
              </w:rPr>
            </w:pPr>
          </w:p>
        </w:tc>
      </w:tr>
      <w:tr>
        <w:trPr>
          <w:trHeight w:val="227"/>
        </w:trPr>
        <w:tc>
          <w:tcPr>
            <w:tcW w:w="58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Operating expenses:</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Operations and maintenance</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136,174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82,022</w:t>
            </w: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Purchased gas</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16,744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27"/>
        </w:trPr>
        <w:tc>
          <w:tcPr>
            <w:tcW w:w="584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Depreciation</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68,175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39,489</w:t>
            </w: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Amortization</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1,766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444</w:t>
            </w:r>
          </w:p>
        </w:tc>
        <w:tc>
          <w:tcPr>
            <w:tcW w:w="0" w:type="dxa"/>
            <w:vAlign w:val="bottom"/>
          </w:tcPr>
          <w:p>
            <w:pPr>
              <w:spacing w:after="0"/>
              <w:rPr>
                <w:sz w:val="1"/>
                <w:szCs w:val="1"/>
                <w:color w:val="auto"/>
              </w:rPr>
            </w:pPr>
          </w:p>
        </w:tc>
      </w:tr>
      <w:tr>
        <w:trPr>
          <w:trHeight w:val="227"/>
        </w:trPr>
        <w:tc>
          <w:tcPr>
            <w:tcW w:w="5840" w:type="dxa"/>
            <w:vAlign w:val="bottom"/>
            <w:tcBorders>
              <w:bottom w:val="single" w:sz="8" w:color="CCEEFF"/>
            </w:tcBorders>
          </w:tcPr>
          <w:p>
            <w:pPr>
              <w:ind w:left="100"/>
              <w:spacing w:after="0" w:line="227" w:lineRule="exact"/>
              <w:rPr>
                <w:sz w:val="20"/>
                <w:szCs w:val="20"/>
                <w:color w:val="auto"/>
              </w:rPr>
            </w:pPr>
            <w:r>
              <w:rPr>
                <w:rFonts w:ascii="Times New Roman" w:cs="Times New Roman" w:eastAsia="Times New Roman" w:hAnsi="Times New Roman"/>
                <w:sz w:val="21"/>
                <w:szCs w:val="21"/>
                <w:color w:val="auto"/>
              </w:rPr>
              <w:t>Taxes other than income taxes</w:t>
            </w:r>
          </w:p>
        </w:tc>
        <w:tc>
          <w:tcPr>
            <w:tcW w:w="1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rPr>
              <w:t>20,555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rPr>
              <w:t>15,201</w:t>
            </w:r>
          </w:p>
        </w:tc>
        <w:tc>
          <w:tcPr>
            <w:tcW w:w="0" w:type="dxa"/>
            <w:vAlign w:val="bottom"/>
          </w:tcPr>
          <w:p>
            <w:pPr>
              <w:spacing w:after="0"/>
              <w:rPr>
                <w:sz w:val="1"/>
                <w:szCs w:val="1"/>
                <w:color w:val="auto"/>
              </w:rPr>
            </w:pPr>
          </w:p>
        </w:tc>
      </w:tr>
      <w:tr>
        <w:trPr>
          <w:trHeight w:val="221"/>
        </w:trPr>
        <w:tc>
          <w:tcPr>
            <w:tcW w:w="5840" w:type="dxa"/>
            <w:vAlign w:val="bottom"/>
            <w:shd w:val="clear" w:color="auto" w:fill="CCEEFF"/>
          </w:tcPr>
          <w:p>
            <w:pPr>
              <w:ind w:left="100"/>
              <w:spacing w:after="0" w:line="221" w:lineRule="exact"/>
              <w:rPr>
                <w:sz w:val="20"/>
                <w:szCs w:val="20"/>
                <w:color w:val="auto"/>
              </w:rPr>
            </w:pPr>
            <w:r>
              <w:rPr>
                <w:rFonts w:ascii="Times New Roman" w:cs="Times New Roman" w:eastAsia="Times New Roman" w:hAnsi="Times New Roman"/>
                <w:sz w:val="21"/>
                <w:szCs w:val="21"/>
                <w:color w:val="auto"/>
              </w:rPr>
              <w:t>Total operating expenses</w:t>
            </w:r>
          </w:p>
        </w:tc>
        <w:tc>
          <w:tcPr>
            <w:tcW w:w="18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243,414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137,156</w:t>
            </w:r>
          </w:p>
        </w:tc>
        <w:tc>
          <w:tcPr>
            <w:tcW w:w="0" w:type="dxa"/>
            <w:vAlign w:val="bottom"/>
          </w:tcPr>
          <w:p>
            <w:pPr>
              <w:spacing w:after="0"/>
              <w:rPr>
                <w:sz w:val="1"/>
                <w:szCs w:val="1"/>
                <w:color w:val="auto"/>
              </w:rPr>
            </w:pPr>
          </w:p>
        </w:tc>
      </w:tr>
      <w:tr>
        <w:trPr>
          <w:trHeight w:val="221"/>
        </w:trPr>
        <w:tc>
          <w:tcPr>
            <w:tcW w:w="58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Operating income</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105,233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106,470</w:t>
            </w:r>
          </w:p>
        </w:tc>
        <w:tc>
          <w:tcPr>
            <w:tcW w:w="0" w:type="dxa"/>
            <w:vAlign w:val="bottom"/>
          </w:tcPr>
          <w:p>
            <w:pPr>
              <w:spacing w:after="0"/>
              <w:rPr>
                <w:sz w:val="1"/>
                <w:szCs w:val="1"/>
                <w:color w:val="auto"/>
              </w:rPr>
            </w:pPr>
          </w:p>
        </w:tc>
      </w:tr>
      <w:tr>
        <w:trPr>
          <w:trHeight w:val="227"/>
        </w:trPr>
        <w:tc>
          <w:tcPr>
            <w:tcW w:w="58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Other expense (income):</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Interest expense</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49,861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32,643</w:t>
            </w: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Interest income</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(114)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(9,680)</w:t>
            </w:r>
          </w:p>
        </w:tc>
        <w:tc>
          <w:tcPr>
            <w:tcW w:w="0" w:type="dxa"/>
            <w:vAlign w:val="bottom"/>
          </w:tcPr>
          <w:p>
            <w:pPr>
              <w:spacing w:after="0"/>
              <w:rPr>
                <w:sz w:val="1"/>
                <w:szCs w:val="1"/>
                <w:color w:val="auto"/>
              </w:rPr>
            </w:pPr>
          </w:p>
        </w:tc>
      </w:tr>
      <w:tr>
        <w:trPr>
          <w:trHeight w:val="227"/>
        </w:trPr>
        <w:tc>
          <w:tcPr>
            <w:tcW w:w="584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Allowance for funds used during construction</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(3,543)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(4,613)</w:t>
            </w: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Gain on sale of other assets</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(233)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(175)</w:t>
            </w:r>
          </w:p>
        </w:tc>
        <w:tc>
          <w:tcPr>
            <w:tcW w:w="0" w:type="dxa"/>
            <w:vAlign w:val="bottom"/>
          </w:tcPr>
          <w:p>
            <w:pPr>
              <w:spacing w:after="0"/>
              <w:rPr>
                <w:sz w:val="1"/>
                <w:szCs w:val="1"/>
                <w:color w:val="auto"/>
              </w:rPr>
            </w:pPr>
          </w:p>
        </w:tc>
      </w:tr>
      <w:tr>
        <w:trPr>
          <w:trHeight w:val="227"/>
        </w:trPr>
        <w:tc>
          <w:tcPr>
            <w:tcW w:w="584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Equity loss (earnings) in joint venture</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3,626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(135)</w:t>
            </w: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Other</w:t>
            </w:r>
          </w:p>
        </w:tc>
        <w:tc>
          <w:tcPr>
            <w:tcW w:w="18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(4,127)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1,494</w:t>
            </w:r>
          </w:p>
        </w:tc>
        <w:tc>
          <w:tcPr>
            <w:tcW w:w="0" w:type="dxa"/>
            <w:vAlign w:val="bottom"/>
          </w:tcPr>
          <w:p>
            <w:pPr>
              <w:spacing w:after="0"/>
              <w:rPr>
                <w:sz w:val="1"/>
                <w:szCs w:val="1"/>
                <w:color w:val="auto"/>
              </w:rPr>
            </w:pPr>
          </w:p>
        </w:tc>
      </w:tr>
      <w:tr>
        <w:trPr>
          <w:trHeight w:val="221"/>
        </w:trPr>
        <w:tc>
          <w:tcPr>
            <w:tcW w:w="5840" w:type="dxa"/>
            <w:vAlign w:val="bottom"/>
          </w:tcPr>
          <w:p>
            <w:pPr>
              <w:spacing w:after="0" w:line="221" w:lineRule="exact"/>
              <w:rPr>
                <w:sz w:val="20"/>
                <w:szCs w:val="20"/>
                <w:color w:val="auto"/>
              </w:rPr>
            </w:pPr>
            <w:r>
              <w:rPr>
                <w:rFonts w:ascii="Times New Roman" w:cs="Times New Roman" w:eastAsia="Times New Roman" w:hAnsi="Times New Roman"/>
                <w:sz w:val="21"/>
                <w:szCs w:val="21"/>
                <w:color w:val="auto"/>
              </w:rPr>
              <w:t>Income before income taxes</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1" w:lineRule="exact"/>
              <w:rPr>
                <w:sz w:val="20"/>
                <w:szCs w:val="20"/>
                <w:color w:val="auto"/>
              </w:rPr>
            </w:pPr>
            <w:r>
              <w:rPr>
                <w:rFonts w:ascii="Times New Roman" w:cs="Times New Roman" w:eastAsia="Times New Roman" w:hAnsi="Times New Roman"/>
                <w:sz w:val="21"/>
                <w:szCs w:val="21"/>
                <w:color w:val="auto"/>
              </w:rPr>
              <w:t>59,763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1" w:lineRule="exact"/>
              <w:rPr>
                <w:sz w:val="20"/>
                <w:szCs w:val="20"/>
                <w:color w:val="auto"/>
              </w:rPr>
            </w:pPr>
            <w:r>
              <w:rPr>
                <w:rFonts w:ascii="Times New Roman" w:cs="Times New Roman" w:eastAsia="Times New Roman" w:hAnsi="Times New Roman"/>
                <w:sz w:val="21"/>
                <w:szCs w:val="21"/>
                <w:color w:val="auto"/>
              </w:rPr>
              <w:t>86,936</w:t>
            </w: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Provision for income taxes (benefit)</w:t>
            </w:r>
          </w:p>
        </w:tc>
        <w:tc>
          <w:tcPr>
            <w:tcW w:w="18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4,031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(1,553)</w:t>
            </w:r>
          </w:p>
        </w:tc>
        <w:tc>
          <w:tcPr>
            <w:tcW w:w="0" w:type="dxa"/>
            <w:vAlign w:val="bottom"/>
          </w:tcPr>
          <w:p>
            <w:pPr>
              <w:spacing w:after="0"/>
              <w:rPr>
                <w:sz w:val="1"/>
                <w:szCs w:val="1"/>
                <w:color w:val="auto"/>
              </w:rPr>
            </w:pPr>
          </w:p>
        </w:tc>
      </w:tr>
      <w:tr>
        <w:trPr>
          <w:trHeight w:val="221"/>
        </w:trPr>
        <w:tc>
          <w:tcPr>
            <w:tcW w:w="5840" w:type="dxa"/>
            <w:vAlign w:val="bottom"/>
          </w:tcPr>
          <w:p>
            <w:pPr>
              <w:spacing w:after="0" w:line="221" w:lineRule="exact"/>
              <w:rPr>
                <w:sz w:val="20"/>
                <w:szCs w:val="20"/>
                <w:color w:val="auto"/>
              </w:rPr>
            </w:pPr>
            <w:r>
              <w:rPr>
                <w:rFonts w:ascii="Times New Roman" w:cs="Times New Roman" w:eastAsia="Times New Roman" w:hAnsi="Times New Roman"/>
                <w:sz w:val="21"/>
                <w:szCs w:val="21"/>
                <w:color w:val="auto"/>
              </w:rPr>
              <w:t>Net income</w:t>
            </w:r>
          </w:p>
        </w:tc>
        <w:tc>
          <w:tcPr>
            <w:tcW w:w="1800" w:type="dxa"/>
            <w:vAlign w:val="bottom"/>
          </w:tcPr>
          <w:p>
            <w:pPr>
              <w:spacing w:after="0"/>
              <w:rPr>
                <w:sz w:val="19"/>
                <w:szCs w:val="19"/>
                <w:color w:val="auto"/>
              </w:rPr>
            </w:pPr>
          </w:p>
        </w:tc>
        <w:tc>
          <w:tcPr>
            <w:tcW w:w="380" w:type="dxa"/>
            <w:vAlign w:val="bottom"/>
            <w:tcBorders>
              <w:bottom w:val="single" w:sz="8" w:color="auto"/>
            </w:tcBorders>
          </w:tcPr>
          <w:p>
            <w:pPr>
              <w:jc w:val="right"/>
              <w:ind w:right="153"/>
              <w:spacing w:after="0" w:line="221" w:lineRule="exact"/>
              <w:rPr>
                <w:sz w:val="20"/>
                <w:szCs w:val="20"/>
                <w:color w:val="auto"/>
              </w:rPr>
            </w:pPr>
            <w:r>
              <w:rPr>
                <w:rFonts w:ascii="Times New Roman" w:cs="Times New Roman" w:eastAsia="Times New Roman" w:hAnsi="Times New Roman"/>
                <w:sz w:val="21"/>
                <w:szCs w:val="21"/>
                <w:color w:val="auto"/>
                <w:w w:val="94"/>
              </w:rPr>
              <w:t>$</w:t>
            </w:r>
          </w:p>
        </w:tc>
        <w:tc>
          <w:tcPr>
            <w:tcW w:w="13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55,732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88,489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Comprehensive income</w:t>
            </w:r>
          </w:p>
        </w:tc>
        <w:tc>
          <w:tcPr>
            <w:tcW w:w="2180" w:type="dxa"/>
            <w:vAlign w:val="bottom"/>
            <w:gridSpan w:val="2"/>
            <w:shd w:val="clear" w:color="auto" w:fill="CCEEFF"/>
          </w:tcPr>
          <w:p>
            <w:pPr>
              <w:jc w:val="right"/>
              <w:ind w:right="153"/>
              <w:spacing w:after="0" w:line="227" w:lineRule="exact"/>
              <w:rPr>
                <w:sz w:val="20"/>
                <w:szCs w:val="20"/>
                <w:color w:val="auto"/>
              </w:rPr>
            </w:pPr>
            <w:r>
              <w:rPr>
                <w:rFonts w:ascii="Times New Roman" w:cs="Times New Roman" w:eastAsia="Times New Roman" w:hAnsi="Times New Roman"/>
                <w:sz w:val="21"/>
                <w:szCs w:val="21"/>
                <w:color w:val="auto"/>
              </w:rPr>
              <w:t>$</w:t>
            </w:r>
          </w:p>
        </w:tc>
        <w:tc>
          <w:tcPr>
            <w:tcW w:w="134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55,732</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54"/>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11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88,489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1"/>
                <w:szCs w:val="21"/>
                <w:color w:val="auto"/>
              </w:rPr>
              <w:t>Net income per common share:</w:t>
            </w:r>
          </w:p>
        </w:tc>
        <w:tc>
          <w:tcPr>
            <w:tcW w:w="1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84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Basic</w:t>
            </w:r>
          </w:p>
        </w:tc>
        <w:tc>
          <w:tcPr>
            <w:tcW w:w="2180" w:type="dxa"/>
            <w:vAlign w:val="bottom"/>
            <w:gridSpan w:val="2"/>
            <w:shd w:val="clear" w:color="auto" w:fill="CCEEFF"/>
          </w:tcPr>
          <w:p>
            <w:pPr>
              <w:jc w:val="right"/>
              <w:ind w:right="153"/>
              <w:spacing w:after="0" w:line="227" w:lineRule="exact"/>
              <w:rPr>
                <w:sz w:val="20"/>
                <w:szCs w:val="20"/>
                <w:color w:val="auto"/>
              </w:rPr>
            </w:pPr>
            <w:r>
              <w:rPr>
                <w:rFonts w:ascii="Times New Roman" w:cs="Times New Roman" w:eastAsia="Times New Roman" w:hAnsi="Times New Roman"/>
                <w:sz w:val="21"/>
                <w:szCs w:val="21"/>
                <w:color w:val="auto"/>
              </w:rPr>
              <w:t>$</w:t>
            </w:r>
          </w:p>
        </w:tc>
        <w:tc>
          <w:tcPr>
            <w:tcW w:w="134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0.22</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54"/>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11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0.38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Diluted</w:t>
            </w:r>
          </w:p>
        </w:tc>
        <w:tc>
          <w:tcPr>
            <w:tcW w:w="18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40" w:type="dxa"/>
            <w:vAlign w:val="bottom"/>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53"/>
              <w:spacing w:after="0" w:line="208" w:lineRule="exact"/>
              <w:rPr>
                <w:sz w:val="20"/>
                <w:szCs w:val="20"/>
                <w:color w:val="auto"/>
              </w:rPr>
            </w:pPr>
            <w:r>
              <w:rPr>
                <w:rFonts w:ascii="Times New Roman" w:cs="Times New Roman" w:eastAsia="Times New Roman" w:hAnsi="Times New Roman"/>
                <w:sz w:val="21"/>
                <w:szCs w:val="21"/>
                <w:color w:val="auto"/>
                <w:w w:val="94"/>
              </w:rPr>
              <w:t>$</w:t>
            </w:r>
          </w:p>
        </w:tc>
        <w:tc>
          <w:tcPr>
            <w:tcW w:w="13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1"/>
                <w:szCs w:val="21"/>
                <w:color w:val="auto"/>
              </w:rPr>
              <w:t>0.22</w:t>
            </w:r>
          </w:p>
        </w:tc>
        <w:tc>
          <w:tcPr>
            <w:tcW w:w="22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1"/>
                <w:szCs w:val="21"/>
                <w:color w:val="auto"/>
              </w:rPr>
              <w:t>0.38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640" w:type="dxa"/>
            <w:vAlign w:val="bottom"/>
          </w:tcPr>
          <w:p>
            <w:pPr>
              <w:spacing w:after="0"/>
              <w:rPr>
                <w:sz w:val="20"/>
                <w:szCs w:val="20"/>
                <w:color w:val="auto"/>
              </w:rPr>
            </w:pPr>
            <w:r>
              <w:rPr>
                <w:rFonts w:ascii="Times New Roman" w:cs="Times New Roman" w:eastAsia="Times New Roman" w:hAnsi="Times New Roman"/>
                <w:sz w:val="21"/>
                <w:szCs w:val="21"/>
                <w:color w:val="auto"/>
              </w:rPr>
              <w:t>Average common shares outstanding during the period:</w:t>
            </w:r>
          </w:p>
        </w:tc>
        <w:tc>
          <w:tcPr>
            <w:tcW w:w="1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7640" w:type="dxa"/>
            <w:vAlign w:val="bottom"/>
            <w:tcBorders>
              <w:bottom w:val="single" w:sz="8" w:color="CCEEFF"/>
            </w:tcBorders>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Basic</w:t>
            </w:r>
          </w:p>
        </w:tc>
        <w:tc>
          <w:tcPr>
            <w:tcW w:w="172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254,280</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
              <w:spacing w:after="0" w:line="227" w:lineRule="exact"/>
              <w:rPr>
                <w:sz w:val="20"/>
                <w:szCs w:val="20"/>
                <w:color w:val="auto"/>
              </w:rPr>
            </w:pPr>
            <w:r>
              <w:rPr>
                <w:rFonts w:ascii="Times New Roman" w:cs="Times New Roman" w:eastAsia="Times New Roman" w:hAnsi="Times New Roman"/>
                <w:sz w:val="21"/>
                <w:szCs w:val="21"/>
                <w:color w:val="auto"/>
              </w:rPr>
              <w:t>232,053</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100"/>
              <w:spacing w:after="0"/>
              <w:rPr>
                <w:sz w:val="20"/>
                <w:szCs w:val="20"/>
                <w:color w:val="auto"/>
              </w:rPr>
            </w:pPr>
            <w:r>
              <w:rPr>
                <w:rFonts w:ascii="Times New Roman" w:cs="Times New Roman" w:eastAsia="Times New Roman" w:hAnsi="Times New Roman"/>
                <w:sz w:val="21"/>
                <w:szCs w:val="21"/>
                <w:color w:val="auto"/>
              </w:rPr>
              <w:t>Diluted</w:t>
            </w: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40" w:type="dxa"/>
            <w:vAlign w:val="bottom"/>
            <w:vMerge w:val="continue"/>
          </w:tcPr>
          <w:p>
            <w:pPr>
              <w:spacing w:after="0"/>
              <w:rPr>
                <w:sz w:val="18"/>
                <w:szCs w:val="18"/>
                <w:color w:val="auto"/>
              </w:rPr>
            </w:pPr>
          </w:p>
        </w:tc>
        <w:tc>
          <w:tcPr>
            <w:tcW w:w="17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1"/>
                <w:szCs w:val="21"/>
                <w:color w:val="auto"/>
              </w:rPr>
              <w:t>255,162</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right"/>
              <w:ind w:right="13"/>
              <w:spacing w:after="0" w:line="208" w:lineRule="exact"/>
              <w:rPr>
                <w:sz w:val="20"/>
                <w:szCs w:val="20"/>
                <w:color w:val="auto"/>
              </w:rPr>
            </w:pPr>
            <w:r>
              <w:rPr>
                <w:rFonts w:ascii="Times New Roman" w:cs="Times New Roman" w:eastAsia="Times New Roman" w:hAnsi="Times New Roman"/>
                <w:sz w:val="21"/>
                <w:szCs w:val="21"/>
                <w:color w:val="auto"/>
              </w:rPr>
              <w:t>232,464</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18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CONSOLIDATED STATEMENTS OF OPERATIONS AND COMPREHENSIVE INCOME</w:t>
      </w:r>
    </w:p>
    <w:p>
      <w:pPr>
        <w:ind w:left="4000"/>
        <w:spacing w:after="0" w:line="235" w:lineRule="auto"/>
        <w:rPr>
          <w:sz w:val="20"/>
          <w:szCs w:val="20"/>
          <w:color w:val="auto"/>
        </w:rPr>
      </w:pPr>
      <w:r>
        <w:rPr>
          <w:rFonts w:ascii="Times New Roman" w:cs="Times New Roman" w:eastAsia="Times New Roman" w:hAnsi="Times New Roman"/>
          <w:sz w:val="21"/>
          <w:szCs w:val="21"/>
          <w:color w:val="auto"/>
        </w:rPr>
        <w:t>(In thousands, except per share amounts)</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0" w:type="dxa"/>
            <w:vAlign w:val="bottom"/>
            <w:gridSpan w:val="4"/>
          </w:tcPr>
          <w:p>
            <w:pPr>
              <w:jc w:val="right"/>
              <w:ind w:right="693"/>
              <w:spacing w:after="0"/>
              <w:rPr>
                <w:sz w:val="20"/>
                <w:szCs w:val="20"/>
                <w:color w:val="auto"/>
              </w:rPr>
            </w:pPr>
            <w:r>
              <w:rPr>
                <w:rFonts w:ascii="Times New Roman" w:cs="Times New Roman" w:eastAsia="Times New Roman" w:hAnsi="Times New Roman"/>
                <w:sz w:val="21"/>
                <w:szCs w:val="21"/>
                <w:color w:val="auto"/>
              </w:rPr>
              <w:t>Nine Months Ended</w:t>
            </w:r>
          </w:p>
        </w:tc>
        <w:tc>
          <w:tcPr>
            <w:tcW w:w="0" w:type="dxa"/>
            <w:vAlign w:val="bottom"/>
          </w:tcPr>
          <w:p>
            <w:pPr>
              <w:spacing w:after="0"/>
              <w:rPr>
                <w:sz w:val="1"/>
                <w:szCs w:val="1"/>
                <w:color w:val="auto"/>
              </w:rPr>
            </w:pPr>
          </w:p>
        </w:tc>
      </w:tr>
      <w:tr>
        <w:trPr>
          <w:trHeight w:val="255"/>
        </w:trPr>
        <w:tc>
          <w:tcPr>
            <w:tcW w:w="79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1"/>
                <w:szCs w:val="21"/>
                <w:color w:val="auto"/>
              </w:rPr>
              <w:t>September 30,</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79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3"/>
              <w:spacing w:after="0" w:line="221" w:lineRule="exact"/>
              <w:rPr>
                <w:sz w:val="20"/>
                <w:szCs w:val="20"/>
                <w:color w:val="auto"/>
              </w:rPr>
            </w:pPr>
            <w:r>
              <w:rPr>
                <w:rFonts w:ascii="Times New Roman" w:cs="Times New Roman" w:eastAsia="Times New Roman" w:hAnsi="Times New Roman"/>
                <w:sz w:val="21"/>
                <w:szCs w:val="21"/>
                <w:color w:val="auto"/>
                <w:w w:val="99"/>
              </w:rPr>
              <w:t>2019</w:t>
            </w:r>
          </w:p>
        </w:tc>
        <w:tc>
          <w:tcPr>
            <w:tcW w:w="0" w:type="dxa"/>
            <w:vAlign w:val="bottom"/>
          </w:tcPr>
          <w:p>
            <w:pPr>
              <w:spacing w:after="0"/>
              <w:rPr>
                <w:sz w:val="1"/>
                <w:szCs w:val="1"/>
                <w:color w:val="auto"/>
              </w:rPr>
            </w:pPr>
          </w:p>
        </w:tc>
      </w:tr>
      <w:tr>
        <w:trPr>
          <w:trHeight w:val="221"/>
        </w:trPr>
        <w:tc>
          <w:tcPr>
            <w:tcW w:w="792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Operating revenues</w:t>
            </w:r>
          </w:p>
        </w:tc>
        <w:tc>
          <w:tcPr>
            <w:tcW w:w="320" w:type="dxa"/>
            <w:vAlign w:val="bottom"/>
            <w:shd w:val="clear" w:color="auto" w:fill="CCEEFF"/>
          </w:tcPr>
          <w:p>
            <w:pPr>
              <w:jc w:val="right"/>
              <w:ind w:right="11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22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988,700</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663,650</w:t>
            </w:r>
          </w:p>
        </w:tc>
        <w:tc>
          <w:tcPr>
            <w:tcW w:w="0" w:type="dxa"/>
            <w:vAlign w:val="bottom"/>
          </w:tcPr>
          <w:p>
            <w:pPr>
              <w:spacing w:after="0"/>
              <w:rPr>
                <w:sz w:val="1"/>
                <w:szCs w:val="1"/>
                <w:color w:val="auto"/>
              </w:rPr>
            </w:pPr>
          </w:p>
        </w:tc>
      </w:tr>
      <w:tr>
        <w:trPr>
          <w:trHeight w:val="227"/>
        </w:trPr>
        <w:tc>
          <w:tcPr>
            <w:tcW w:w="7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Operating expenses: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2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Operations and maintenance</w:t>
            </w:r>
          </w:p>
        </w:tc>
        <w:tc>
          <w:tcPr>
            <w:tcW w:w="320" w:type="dxa"/>
            <w:vAlign w:val="bottom"/>
          </w:tcPr>
          <w:p>
            <w:pPr>
              <w:spacing w:after="0"/>
              <w:rPr>
                <w:sz w:val="19"/>
                <w:szCs w:val="19"/>
                <w:color w:val="auto"/>
              </w:rPr>
            </w:pPr>
          </w:p>
        </w:tc>
        <w:tc>
          <w:tcPr>
            <w:tcW w:w="12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371,415</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247,781</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Purchased gas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72,934</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27"/>
        </w:trPr>
        <w:tc>
          <w:tcPr>
            <w:tcW w:w="792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Depreciation</w:t>
            </w:r>
          </w:p>
        </w:tc>
        <w:tc>
          <w:tcPr>
            <w:tcW w:w="320" w:type="dxa"/>
            <w:vAlign w:val="bottom"/>
          </w:tcPr>
          <w:p>
            <w:pPr>
              <w:spacing w:after="0"/>
              <w:rPr>
                <w:sz w:val="19"/>
                <w:szCs w:val="19"/>
                <w:color w:val="auto"/>
              </w:rPr>
            </w:pPr>
          </w:p>
        </w:tc>
        <w:tc>
          <w:tcPr>
            <w:tcW w:w="12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181,666</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118,113</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Amortization</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4,412</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(2,140)</w:t>
            </w:r>
          </w:p>
        </w:tc>
        <w:tc>
          <w:tcPr>
            <w:tcW w:w="0" w:type="dxa"/>
            <w:vAlign w:val="bottom"/>
          </w:tcPr>
          <w:p>
            <w:pPr>
              <w:spacing w:after="0"/>
              <w:rPr>
                <w:sz w:val="1"/>
                <w:szCs w:val="1"/>
                <w:color w:val="auto"/>
              </w:rPr>
            </w:pPr>
          </w:p>
        </w:tc>
      </w:tr>
      <w:tr>
        <w:trPr>
          <w:trHeight w:val="227"/>
        </w:trPr>
        <w:tc>
          <w:tcPr>
            <w:tcW w:w="7920" w:type="dxa"/>
            <w:vAlign w:val="bottom"/>
            <w:tcBorders>
              <w:bottom w:val="single" w:sz="8" w:color="CCEEFF"/>
            </w:tcBorders>
          </w:tcPr>
          <w:p>
            <w:pPr>
              <w:ind w:left="100"/>
              <w:spacing w:after="0" w:line="227" w:lineRule="exact"/>
              <w:rPr>
                <w:sz w:val="20"/>
                <w:szCs w:val="20"/>
                <w:color w:val="auto"/>
              </w:rPr>
            </w:pPr>
            <w:r>
              <w:rPr>
                <w:rFonts w:ascii="Times New Roman" w:cs="Times New Roman" w:eastAsia="Times New Roman" w:hAnsi="Times New Roman"/>
                <w:sz w:val="21"/>
                <w:szCs w:val="21"/>
                <w:color w:val="auto"/>
              </w:rPr>
              <w:t>Taxes other than income taxes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rPr>
              <w:t>56,424</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rPr>
              <w:t>45,038</w:t>
            </w:r>
          </w:p>
        </w:tc>
        <w:tc>
          <w:tcPr>
            <w:tcW w:w="0" w:type="dxa"/>
            <w:vAlign w:val="bottom"/>
          </w:tcPr>
          <w:p>
            <w:pPr>
              <w:spacing w:after="0"/>
              <w:rPr>
                <w:sz w:val="1"/>
                <w:szCs w:val="1"/>
                <w:color w:val="auto"/>
              </w:rPr>
            </w:pPr>
          </w:p>
        </w:tc>
      </w:tr>
      <w:tr>
        <w:trPr>
          <w:trHeight w:val="221"/>
        </w:trPr>
        <w:tc>
          <w:tcPr>
            <w:tcW w:w="792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686,851</w:t>
            </w:r>
          </w:p>
        </w:tc>
        <w:tc>
          <w:tcPr>
            <w:tcW w:w="2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408,792</w:t>
            </w:r>
          </w:p>
        </w:tc>
        <w:tc>
          <w:tcPr>
            <w:tcW w:w="0" w:type="dxa"/>
            <w:vAlign w:val="bottom"/>
          </w:tcPr>
          <w:p>
            <w:pPr>
              <w:spacing w:after="0"/>
              <w:rPr>
                <w:sz w:val="1"/>
                <w:szCs w:val="1"/>
                <w:color w:val="auto"/>
              </w:rPr>
            </w:pPr>
          </w:p>
        </w:tc>
      </w:tr>
      <w:tr>
        <w:trPr>
          <w:trHeight w:val="221"/>
        </w:trPr>
        <w:tc>
          <w:tcPr>
            <w:tcW w:w="7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Operating income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301,849</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254,858</w:t>
            </w:r>
          </w:p>
        </w:tc>
        <w:tc>
          <w:tcPr>
            <w:tcW w:w="0" w:type="dxa"/>
            <w:vAlign w:val="bottom"/>
          </w:tcPr>
          <w:p>
            <w:pPr>
              <w:spacing w:after="0"/>
              <w:rPr>
                <w:sz w:val="1"/>
                <w:szCs w:val="1"/>
                <w:color w:val="auto"/>
              </w:rPr>
            </w:pPr>
          </w:p>
        </w:tc>
      </w:tr>
      <w:tr>
        <w:trPr>
          <w:trHeight w:val="227"/>
        </w:trPr>
        <w:tc>
          <w:tcPr>
            <w:tcW w:w="7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Other expense (income):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2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Interest expense</w:t>
            </w:r>
          </w:p>
        </w:tc>
        <w:tc>
          <w:tcPr>
            <w:tcW w:w="320" w:type="dxa"/>
            <w:vAlign w:val="bottom"/>
          </w:tcPr>
          <w:p>
            <w:pPr>
              <w:spacing w:after="0"/>
              <w:rPr>
                <w:sz w:val="19"/>
                <w:szCs w:val="19"/>
                <w:color w:val="auto"/>
              </w:rPr>
            </w:pPr>
          </w:p>
        </w:tc>
        <w:tc>
          <w:tcPr>
            <w:tcW w:w="12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136,650</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92,239</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Interest income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(5,346)</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(18,117)</w:t>
            </w:r>
          </w:p>
        </w:tc>
        <w:tc>
          <w:tcPr>
            <w:tcW w:w="0" w:type="dxa"/>
            <w:vAlign w:val="bottom"/>
          </w:tcPr>
          <w:p>
            <w:pPr>
              <w:spacing w:after="0"/>
              <w:rPr>
                <w:sz w:val="1"/>
                <w:szCs w:val="1"/>
                <w:color w:val="auto"/>
              </w:rPr>
            </w:pPr>
          </w:p>
        </w:tc>
      </w:tr>
      <w:tr>
        <w:trPr>
          <w:trHeight w:val="227"/>
        </w:trPr>
        <w:tc>
          <w:tcPr>
            <w:tcW w:w="792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Allowance for funds used during construction</w:t>
            </w:r>
          </w:p>
        </w:tc>
        <w:tc>
          <w:tcPr>
            <w:tcW w:w="320" w:type="dxa"/>
            <w:vAlign w:val="bottom"/>
          </w:tcPr>
          <w:p>
            <w:pPr>
              <w:spacing w:after="0"/>
              <w:rPr>
                <w:sz w:val="19"/>
                <w:szCs w:val="19"/>
                <w:color w:val="auto"/>
              </w:rPr>
            </w:pPr>
          </w:p>
        </w:tc>
        <w:tc>
          <w:tcPr>
            <w:tcW w:w="12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(8,721)</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(12,280)</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Change in fair value of interest rate swap agreements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23,742</w:t>
            </w:r>
          </w:p>
        </w:tc>
        <w:tc>
          <w:tcPr>
            <w:tcW w:w="0" w:type="dxa"/>
            <w:vAlign w:val="bottom"/>
          </w:tcPr>
          <w:p>
            <w:pPr>
              <w:spacing w:after="0"/>
              <w:rPr>
                <w:sz w:val="1"/>
                <w:szCs w:val="1"/>
                <w:color w:val="auto"/>
              </w:rPr>
            </w:pPr>
          </w:p>
        </w:tc>
      </w:tr>
      <w:tr>
        <w:trPr>
          <w:trHeight w:val="227"/>
        </w:trPr>
        <w:tc>
          <w:tcPr>
            <w:tcW w:w="792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Loss on debt extinguishment</w:t>
            </w:r>
          </w:p>
        </w:tc>
        <w:tc>
          <w:tcPr>
            <w:tcW w:w="320" w:type="dxa"/>
            <w:vAlign w:val="bottom"/>
          </w:tcPr>
          <w:p>
            <w:pPr>
              <w:spacing w:after="0"/>
              <w:rPr>
                <w:sz w:val="19"/>
                <w:szCs w:val="19"/>
                <w:color w:val="auto"/>
              </w:rPr>
            </w:pPr>
          </w:p>
        </w:tc>
        <w:tc>
          <w:tcPr>
            <w:tcW w:w="12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18,920</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Gain on sale of other assets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(358)</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(443)</w:t>
            </w:r>
          </w:p>
        </w:tc>
        <w:tc>
          <w:tcPr>
            <w:tcW w:w="0" w:type="dxa"/>
            <w:vAlign w:val="bottom"/>
          </w:tcPr>
          <w:p>
            <w:pPr>
              <w:spacing w:after="0"/>
              <w:rPr>
                <w:sz w:val="1"/>
                <w:szCs w:val="1"/>
                <w:color w:val="auto"/>
              </w:rPr>
            </w:pPr>
          </w:p>
        </w:tc>
      </w:tr>
      <w:tr>
        <w:trPr>
          <w:trHeight w:val="227"/>
        </w:trPr>
        <w:tc>
          <w:tcPr>
            <w:tcW w:w="792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Equity loss (earnings) in joint venture</w:t>
            </w:r>
          </w:p>
        </w:tc>
        <w:tc>
          <w:tcPr>
            <w:tcW w:w="320" w:type="dxa"/>
            <w:vAlign w:val="bottom"/>
          </w:tcPr>
          <w:p>
            <w:pPr>
              <w:spacing w:after="0"/>
              <w:rPr>
                <w:sz w:val="19"/>
                <w:szCs w:val="19"/>
                <w:color w:val="auto"/>
              </w:rPr>
            </w:pPr>
          </w:p>
        </w:tc>
        <w:tc>
          <w:tcPr>
            <w:tcW w:w="12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3,283</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(1,918)</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(3,170)</w:t>
            </w:r>
          </w:p>
        </w:tc>
        <w:tc>
          <w:tcPr>
            <w:tcW w:w="2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4,293</w:t>
            </w:r>
          </w:p>
        </w:tc>
        <w:tc>
          <w:tcPr>
            <w:tcW w:w="0" w:type="dxa"/>
            <w:vAlign w:val="bottom"/>
          </w:tcPr>
          <w:p>
            <w:pPr>
              <w:spacing w:after="0"/>
              <w:rPr>
                <w:sz w:val="1"/>
                <w:szCs w:val="1"/>
                <w:color w:val="auto"/>
              </w:rPr>
            </w:pPr>
          </w:p>
        </w:tc>
      </w:tr>
      <w:tr>
        <w:trPr>
          <w:trHeight w:val="221"/>
        </w:trPr>
        <w:tc>
          <w:tcPr>
            <w:tcW w:w="7920" w:type="dxa"/>
            <w:vAlign w:val="bottom"/>
          </w:tcPr>
          <w:p>
            <w:pPr>
              <w:spacing w:after="0" w:line="221" w:lineRule="exact"/>
              <w:rPr>
                <w:sz w:val="20"/>
                <w:szCs w:val="20"/>
                <w:color w:val="auto"/>
              </w:rPr>
            </w:pPr>
            <w:r>
              <w:rPr>
                <w:rFonts w:ascii="Times New Roman" w:cs="Times New Roman" w:eastAsia="Times New Roman" w:hAnsi="Times New Roman"/>
                <w:sz w:val="21"/>
                <w:szCs w:val="21"/>
                <w:color w:val="auto"/>
              </w:rPr>
              <w:t>Income before income taxes</w:t>
            </w:r>
          </w:p>
        </w:tc>
        <w:tc>
          <w:tcPr>
            <w:tcW w:w="320" w:type="dxa"/>
            <w:vAlign w:val="bottom"/>
          </w:tcPr>
          <w:p>
            <w:pPr>
              <w:spacing w:after="0"/>
              <w:rPr>
                <w:sz w:val="19"/>
                <w:szCs w:val="19"/>
                <w:color w:val="auto"/>
              </w:rPr>
            </w:pPr>
          </w:p>
        </w:tc>
        <w:tc>
          <w:tcPr>
            <w:tcW w:w="1220" w:type="dxa"/>
            <w:vAlign w:val="bottom"/>
          </w:tcPr>
          <w:p>
            <w:pPr>
              <w:jc w:val="right"/>
              <w:spacing w:after="0" w:line="221" w:lineRule="exact"/>
              <w:rPr>
                <w:sz w:val="20"/>
                <w:szCs w:val="20"/>
                <w:color w:val="auto"/>
              </w:rPr>
            </w:pPr>
            <w:r>
              <w:rPr>
                <w:rFonts w:ascii="Times New Roman" w:cs="Times New Roman" w:eastAsia="Times New Roman" w:hAnsi="Times New Roman"/>
                <w:sz w:val="21"/>
                <w:szCs w:val="21"/>
                <w:color w:val="auto"/>
              </w:rPr>
              <w:t>179,511</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line="221" w:lineRule="exact"/>
              <w:rPr>
                <w:sz w:val="20"/>
                <w:szCs w:val="20"/>
                <w:color w:val="auto"/>
              </w:rPr>
            </w:pPr>
            <w:r>
              <w:rPr>
                <w:rFonts w:ascii="Times New Roman" w:cs="Times New Roman" w:eastAsia="Times New Roman" w:hAnsi="Times New Roman"/>
                <w:sz w:val="21"/>
                <w:szCs w:val="21"/>
                <w:color w:val="auto"/>
              </w:rPr>
              <w:t>148,422</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Provision for income taxes (benefit)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(2,631)</w:t>
            </w:r>
          </w:p>
        </w:tc>
        <w:tc>
          <w:tcPr>
            <w:tcW w:w="2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(11,894)</w:t>
            </w:r>
          </w:p>
        </w:tc>
        <w:tc>
          <w:tcPr>
            <w:tcW w:w="0" w:type="dxa"/>
            <w:vAlign w:val="bottom"/>
          </w:tcPr>
          <w:p>
            <w:pPr>
              <w:spacing w:after="0"/>
              <w:rPr>
                <w:sz w:val="1"/>
                <w:szCs w:val="1"/>
                <w:color w:val="auto"/>
              </w:rPr>
            </w:pPr>
          </w:p>
        </w:tc>
      </w:tr>
      <w:tr>
        <w:trPr>
          <w:trHeight w:val="221"/>
        </w:trPr>
        <w:tc>
          <w:tcPr>
            <w:tcW w:w="7920" w:type="dxa"/>
            <w:vAlign w:val="bottom"/>
          </w:tcPr>
          <w:p>
            <w:pPr>
              <w:spacing w:after="0" w:line="221" w:lineRule="exact"/>
              <w:rPr>
                <w:sz w:val="20"/>
                <w:szCs w:val="20"/>
                <w:color w:val="auto"/>
              </w:rPr>
            </w:pPr>
            <w:r>
              <w:rPr>
                <w:rFonts w:ascii="Times New Roman" w:cs="Times New Roman" w:eastAsia="Times New Roman" w:hAnsi="Times New Roman"/>
                <w:sz w:val="21"/>
                <w:szCs w:val="21"/>
                <w:color w:val="auto"/>
              </w:rPr>
              <w:t>Net income</w:t>
            </w:r>
          </w:p>
        </w:tc>
        <w:tc>
          <w:tcPr>
            <w:tcW w:w="320" w:type="dxa"/>
            <w:vAlign w:val="bottom"/>
            <w:tcBorders>
              <w:bottom w:val="single" w:sz="8" w:color="auto"/>
            </w:tcBorders>
          </w:tcPr>
          <w:p>
            <w:pPr>
              <w:jc w:val="right"/>
              <w:ind w:right="11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2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182,142</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ind w:right="35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160,316</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Comprehensive income</w:t>
            </w:r>
          </w:p>
        </w:tc>
        <w:tc>
          <w:tcPr>
            <w:tcW w:w="320" w:type="dxa"/>
            <w:vAlign w:val="bottom"/>
            <w:shd w:val="clear" w:color="auto" w:fill="CCEEFF"/>
          </w:tcPr>
          <w:p>
            <w:pPr>
              <w:jc w:val="right"/>
              <w:ind w:right="113"/>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12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182,142</w:t>
            </w:r>
          </w:p>
        </w:tc>
        <w:tc>
          <w:tcPr>
            <w:tcW w:w="760" w:type="dxa"/>
            <w:vAlign w:val="bottom"/>
            <w:gridSpan w:val="2"/>
            <w:shd w:val="clear" w:color="auto" w:fill="CCEEFF"/>
          </w:tcPr>
          <w:p>
            <w:pPr>
              <w:jc w:val="right"/>
              <w:ind w:right="353"/>
              <w:spacing w:after="0" w:line="227" w:lineRule="exact"/>
              <w:rPr>
                <w:sz w:val="20"/>
                <w:szCs w:val="20"/>
                <w:color w:val="auto"/>
              </w:rPr>
            </w:pPr>
            <w:r>
              <w:rPr>
                <w:rFonts w:ascii="Times New Roman" w:cs="Times New Roman" w:eastAsia="Times New Roman" w:hAnsi="Times New Roman"/>
                <w:sz w:val="21"/>
                <w:szCs w:val="21"/>
                <w:color w:val="auto"/>
              </w:rPr>
              <w:t>$</w:t>
            </w:r>
          </w:p>
        </w:tc>
        <w:tc>
          <w:tcPr>
            <w:tcW w:w="10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160,316</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1"/>
                <w:szCs w:val="21"/>
                <w:color w:val="auto"/>
              </w:rPr>
              <w:t>Net income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Basic</w:t>
            </w:r>
          </w:p>
        </w:tc>
        <w:tc>
          <w:tcPr>
            <w:tcW w:w="320" w:type="dxa"/>
            <w:vAlign w:val="bottom"/>
            <w:shd w:val="clear" w:color="auto" w:fill="CCEEFF"/>
          </w:tcPr>
          <w:p>
            <w:pPr>
              <w:jc w:val="right"/>
              <w:ind w:right="113"/>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12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0.73</w:t>
            </w:r>
          </w:p>
        </w:tc>
        <w:tc>
          <w:tcPr>
            <w:tcW w:w="760" w:type="dxa"/>
            <w:vAlign w:val="bottom"/>
            <w:gridSpan w:val="2"/>
            <w:shd w:val="clear" w:color="auto" w:fill="CCEEFF"/>
          </w:tcPr>
          <w:p>
            <w:pPr>
              <w:jc w:val="right"/>
              <w:ind w:right="353"/>
              <w:spacing w:after="0" w:line="227" w:lineRule="exact"/>
              <w:rPr>
                <w:sz w:val="20"/>
                <w:szCs w:val="20"/>
                <w:color w:val="auto"/>
              </w:rPr>
            </w:pPr>
            <w:r>
              <w:rPr>
                <w:rFonts w:ascii="Times New Roman" w:cs="Times New Roman" w:eastAsia="Times New Roman" w:hAnsi="Times New Roman"/>
                <w:sz w:val="21"/>
                <w:szCs w:val="21"/>
                <w:color w:val="auto"/>
              </w:rPr>
              <w:t>$</w:t>
            </w:r>
          </w:p>
        </w:tc>
        <w:tc>
          <w:tcPr>
            <w:tcW w:w="10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0.76</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2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13"/>
              <w:spacing w:after="0" w:line="208" w:lineRule="exact"/>
              <w:rPr>
                <w:sz w:val="20"/>
                <w:szCs w:val="20"/>
                <w:color w:val="auto"/>
              </w:rPr>
            </w:pPr>
            <w:r>
              <w:rPr>
                <w:rFonts w:ascii="Times New Roman" w:cs="Times New Roman" w:eastAsia="Times New Roman" w:hAnsi="Times New Roman"/>
                <w:sz w:val="21"/>
                <w:szCs w:val="21"/>
                <w:color w:val="auto"/>
                <w:w w:val="75"/>
              </w:rPr>
              <w:t>$</w:t>
            </w:r>
          </w:p>
        </w:tc>
        <w:tc>
          <w:tcPr>
            <w:tcW w:w="12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1"/>
                <w:szCs w:val="21"/>
                <w:color w:val="auto"/>
              </w:rPr>
              <w:t>0.71</w:t>
            </w:r>
          </w:p>
        </w:tc>
        <w:tc>
          <w:tcPr>
            <w:tcW w:w="200" w:type="dxa"/>
            <w:vAlign w:val="bottom"/>
            <w:vMerge w:val="continue"/>
          </w:tcPr>
          <w:p>
            <w:pPr>
              <w:spacing w:after="0"/>
              <w:rPr>
                <w:sz w:val="18"/>
                <w:szCs w:val="18"/>
                <w:color w:val="auto"/>
              </w:rPr>
            </w:pPr>
          </w:p>
        </w:tc>
        <w:tc>
          <w:tcPr>
            <w:tcW w:w="560" w:type="dxa"/>
            <w:vAlign w:val="bottom"/>
            <w:tcBorders>
              <w:bottom w:val="single" w:sz="8" w:color="auto"/>
            </w:tcBorders>
          </w:tcPr>
          <w:p>
            <w:pPr>
              <w:jc w:val="right"/>
              <w:ind w:right="353"/>
              <w:spacing w:after="0" w:line="208"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1"/>
                <w:szCs w:val="21"/>
                <w:color w:val="auto"/>
              </w:rPr>
              <w:t>0.76</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Average common shares outstanding during the period:</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920" w:type="dxa"/>
            <w:vAlign w:val="bottom"/>
            <w:tcBorders>
              <w:bottom w:val="single" w:sz="8" w:color="CCEEFF"/>
            </w:tcBorders>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Basic</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248,212</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209,971</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100"/>
              <w:spacing w:after="0"/>
              <w:rPr>
                <w:sz w:val="20"/>
                <w:szCs w:val="20"/>
                <w:color w:val="auto"/>
              </w:rPr>
            </w:pPr>
            <w:r>
              <w:rPr>
                <w:rFonts w:ascii="Times New Roman" w:cs="Times New Roman" w:eastAsia="Times New Roman" w:hAnsi="Times New Roman"/>
                <w:sz w:val="21"/>
                <w:szCs w:val="21"/>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1"/>
                <w:szCs w:val="21"/>
                <w:color w:val="auto"/>
              </w:rPr>
              <w:t>255,139</w:t>
            </w: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1"/>
                <w:szCs w:val="21"/>
                <w:color w:val="auto"/>
              </w:rPr>
              <w:t>210,335</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9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1"/>
          <w:szCs w:val="21"/>
          <w:color w:val="auto"/>
        </w:rPr>
        <w:t>CONSOLIDATED STATEMENTS OF CAPITALIZATION</w:t>
      </w:r>
    </w:p>
    <w:p>
      <w:pPr>
        <w:jc w:val="center"/>
        <w:ind w:right="40"/>
        <w:spacing w:after="0" w:line="186"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332"/>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4"/>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81"/>
        </w:trPr>
        <w:tc>
          <w:tcPr>
            <w:tcW w:w="4880" w:type="dxa"/>
            <w:vAlign w:val="bottom"/>
            <w:vMerge w:val="continue"/>
          </w:tcPr>
          <w:p>
            <w:pPr>
              <w:spacing w:after="0"/>
              <w:rPr>
                <w:sz w:val="15"/>
                <w:szCs w:val="15"/>
                <w:color w:val="auto"/>
              </w:rPr>
            </w:pPr>
          </w:p>
        </w:tc>
        <w:tc>
          <w:tcPr>
            <w:tcW w:w="2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80" w:type="dxa"/>
            <w:vAlign w:val="bottom"/>
            <w:shd w:val="clear" w:color="auto" w:fill="CCEEFF"/>
          </w:tcPr>
          <w:p>
            <w:pPr>
              <w:ind w:left="220"/>
              <w:spacing w:after="0" w:line="188" w:lineRule="exact"/>
              <w:rPr>
                <w:sz w:val="20"/>
                <w:szCs w:val="20"/>
                <w:color w:val="auto"/>
              </w:rPr>
            </w:pPr>
            <w:r>
              <w:rPr>
                <w:rFonts w:ascii="Times New Roman" w:cs="Times New Roman" w:eastAsia="Times New Roman" w:hAnsi="Times New Roman"/>
                <w:sz w:val="18"/>
                <w:szCs w:val="18"/>
                <w:color w:val="auto"/>
              </w:rPr>
              <w:t>Common stock, $0.50 par value</w:t>
            </w:r>
          </w:p>
        </w:tc>
        <w:tc>
          <w:tcPr>
            <w:tcW w:w="2660" w:type="dxa"/>
            <w:vAlign w:val="bottom"/>
            <w:gridSpan w:val="2"/>
            <w:shd w:val="clear" w:color="auto" w:fill="CCEEFF"/>
          </w:tcPr>
          <w:p>
            <w:pPr>
              <w:jc w:val="right"/>
              <w:ind w:right="20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124,228</w:t>
            </w:r>
          </w:p>
        </w:tc>
        <w:tc>
          <w:tcPr>
            <w:tcW w:w="480" w:type="dxa"/>
            <w:vAlign w:val="bottom"/>
            <w:gridSpan w:val="2"/>
            <w:shd w:val="clear" w:color="auto" w:fill="CCEEFF"/>
          </w:tcPr>
          <w:p>
            <w:pPr>
              <w:jc w:val="right"/>
              <w:ind w:right="1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111,935</w:t>
            </w:r>
          </w:p>
        </w:tc>
        <w:tc>
          <w:tcPr>
            <w:tcW w:w="0" w:type="dxa"/>
            <w:vAlign w:val="bottom"/>
          </w:tcPr>
          <w:p>
            <w:pPr>
              <w:spacing w:after="0"/>
              <w:rPr>
                <w:sz w:val="1"/>
                <w:szCs w:val="1"/>
                <w:color w:val="auto"/>
              </w:rPr>
            </w:pPr>
          </w:p>
        </w:tc>
      </w:tr>
      <w:tr>
        <w:trPr>
          <w:trHeight w:val="187"/>
        </w:trPr>
        <w:tc>
          <w:tcPr>
            <w:tcW w:w="488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color w:val="auto"/>
              </w:rPr>
              <w:t>Capital in excess of par value</w:t>
            </w:r>
          </w:p>
        </w:tc>
        <w:tc>
          <w:tcPr>
            <w:tcW w:w="2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3,372,376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2,636,555</w:t>
            </w:r>
          </w:p>
        </w:tc>
        <w:tc>
          <w:tcPr>
            <w:tcW w:w="0" w:type="dxa"/>
            <w:vAlign w:val="bottom"/>
          </w:tcPr>
          <w:p>
            <w:pPr>
              <w:spacing w:after="0"/>
              <w:rPr>
                <w:sz w:val="1"/>
                <w:szCs w:val="1"/>
                <w:color w:val="auto"/>
              </w:rPr>
            </w:pPr>
          </w:p>
        </w:tc>
      </w:tr>
      <w:tr>
        <w:trPr>
          <w:trHeight w:val="187"/>
        </w:trPr>
        <w:tc>
          <w:tcPr>
            <w:tcW w:w="4880" w:type="dxa"/>
            <w:vAlign w:val="bottom"/>
            <w:shd w:val="clear" w:color="auto" w:fill="CCEEFF"/>
          </w:tcPr>
          <w:p>
            <w:pPr>
              <w:ind w:left="220"/>
              <w:spacing w:after="0" w:line="188" w:lineRule="exact"/>
              <w:rPr>
                <w:sz w:val="20"/>
                <w:szCs w:val="20"/>
                <w:color w:val="auto"/>
              </w:rPr>
            </w:pPr>
            <w:r>
              <w:rPr>
                <w:rFonts w:ascii="Times New Roman" w:cs="Times New Roman" w:eastAsia="Times New Roman" w:hAnsi="Times New Roman"/>
                <w:sz w:val="18"/>
                <w:szCs w:val="18"/>
                <w:color w:val="auto"/>
              </w:rPr>
              <w:t>Retained earnings</w:t>
            </w:r>
          </w:p>
        </w:tc>
        <w:tc>
          <w:tcPr>
            <w:tcW w:w="2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1,220,790</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1,210,072</w:t>
            </w:r>
          </w:p>
        </w:tc>
        <w:tc>
          <w:tcPr>
            <w:tcW w:w="0" w:type="dxa"/>
            <w:vAlign w:val="bottom"/>
          </w:tcPr>
          <w:p>
            <w:pPr>
              <w:spacing w:after="0"/>
              <w:rPr>
                <w:sz w:val="1"/>
                <w:szCs w:val="1"/>
                <w:color w:val="auto"/>
              </w:rPr>
            </w:pPr>
          </w:p>
        </w:tc>
      </w:tr>
      <w:tr>
        <w:trPr>
          <w:trHeight w:val="187"/>
        </w:trPr>
        <w:tc>
          <w:tcPr>
            <w:tcW w:w="4880" w:type="dxa"/>
            <w:vAlign w:val="bottom"/>
            <w:tcBorders>
              <w:bottom w:val="single" w:sz="8" w:color="CCEEFF"/>
            </w:tcBorders>
          </w:tcPr>
          <w:p>
            <w:pPr>
              <w:ind w:left="220"/>
              <w:spacing w:after="0" w:line="188" w:lineRule="exact"/>
              <w:rPr>
                <w:sz w:val="20"/>
                <w:szCs w:val="20"/>
                <w:color w:val="auto"/>
              </w:rPr>
            </w:pPr>
            <w:r>
              <w:rPr>
                <w:rFonts w:ascii="Times New Roman" w:cs="Times New Roman" w:eastAsia="Times New Roman" w:hAnsi="Times New Roman"/>
                <w:sz w:val="18"/>
                <w:szCs w:val="18"/>
                <w:color w:val="auto"/>
              </w:rPr>
              <w:t>Treasury stock, at cost</w:t>
            </w:r>
          </w:p>
        </w:tc>
        <w:tc>
          <w:tcPr>
            <w:tcW w:w="2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(81,641)</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(77,702)</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Total stockholders' equity</w:t>
            </w:r>
          </w:p>
        </w:tc>
        <w:tc>
          <w:tcPr>
            <w:tcW w:w="23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4,635,753</w:t>
            </w:r>
          </w:p>
        </w:tc>
        <w:tc>
          <w:tcPr>
            <w:tcW w:w="2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3,880,860</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of subsidiaries (substantially collateralized by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7133590" cy="118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1187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1260" w:type="dxa"/>
            <w:vAlign w:val="bottom"/>
          </w:tcPr>
          <w:p>
            <w:pPr>
              <w:spacing w:after="0"/>
              <w:rPr>
                <w:sz w:val="16"/>
                <w:szCs w:val="16"/>
                <w:color w:val="auto"/>
              </w:rPr>
            </w:pPr>
          </w:p>
        </w:tc>
        <w:tc>
          <w:tcPr>
            <w:tcW w:w="3320" w:type="dxa"/>
            <w:vAlign w:val="bottom"/>
            <w:gridSpan w:val="2"/>
          </w:tcPr>
          <w:p>
            <w:pPr>
              <w:jc w:val="center"/>
              <w:ind w:right="1920"/>
              <w:spacing w:after="0" w:line="186" w:lineRule="exact"/>
              <w:rPr>
                <w:sz w:val="20"/>
                <w:szCs w:val="20"/>
                <w:color w:val="auto"/>
              </w:rPr>
            </w:pPr>
            <w:r>
              <w:rPr>
                <w:rFonts w:ascii="Times New Roman" w:cs="Times New Roman" w:eastAsia="Times New Roman" w:hAnsi="Times New Roman"/>
                <w:sz w:val="18"/>
                <w:szCs w:val="18"/>
                <w:color w:val="auto"/>
                <w:w w:val="98"/>
              </w:rPr>
              <w:t>Interest Rate Range</w:t>
            </w:r>
          </w:p>
        </w:tc>
        <w:tc>
          <w:tcPr>
            <w:tcW w:w="2140" w:type="dxa"/>
            <w:vAlign w:val="bottom"/>
            <w:gridSpan w:val="3"/>
          </w:tcPr>
          <w:p>
            <w:pPr>
              <w:jc w:val="center"/>
              <w:ind w:right="400"/>
              <w:spacing w:after="0" w:line="186" w:lineRule="exact"/>
              <w:rPr>
                <w:sz w:val="20"/>
                <w:szCs w:val="20"/>
                <w:color w:val="auto"/>
              </w:rPr>
            </w:pPr>
            <w:r>
              <w:rPr>
                <w:rFonts w:ascii="Times New Roman" w:cs="Times New Roman" w:eastAsia="Times New Roman" w:hAnsi="Times New Roman"/>
                <w:sz w:val="18"/>
                <w:szCs w:val="18"/>
                <w:color w:val="auto"/>
                <w:w w:val="98"/>
              </w:rPr>
              <w:t>Maturity Date Range</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1260" w:type="dxa"/>
            <w:vAlign w:val="bottom"/>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0.00% to 0.99%</w:t>
            </w: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2023 to 2033</w:t>
            </w: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2,805</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3,474</w:t>
            </w:r>
          </w:p>
        </w:tc>
      </w:tr>
      <w:tr>
        <w:trPr>
          <w:trHeight w:val="187"/>
        </w:trPr>
        <w:tc>
          <w:tcPr>
            <w:tcW w:w="1260" w:type="dxa"/>
            <w:vAlign w:val="bottom"/>
          </w:tcPr>
          <w:p>
            <w:pPr>
              <w:spacing w:after="0"/>
              <w:rPr>
                <w:sz w:val="16"/>
                <w:szCs w:val="16"/>
                <w:color w:val="auto"/>
              </w:rPr>
            </w:pPr>
          </w:p>
        </w:tc>
        <w:tc>
          <w:tcPr>
            <w:tcW w:w="3320" w:type="dxa"/>
            <w:vAlign w:val="bottom"/>
            <w:gridSpan w:val="2"/>
          </w:tcPr>
          <w:p>
            <w:pPr>
              <w:jc w:val="center"/>
              <w:ind w:right="1920"/>
              <w:spacing w:after="0" w:line="188" w:lineRule="exact"/>
              <w:rPr>
                <w:sz w:val="20"/>
                <w:szCs w:val="20"/>
                <w:color w:val="auto"/>
              </w:rPr>
            </w:pPr>
            <w:r>
              <w:rPr>
                <w:rFonts w:ascii="Times New Roman" w:cs="Times New Roman" w:eastAsia="Times New Roman" w:hAnsi="Times New Roman"/>
                <w:sz w:val="18"/>
                <w:szCs w:val="18"/>
                <w:color w:val="auto"/>
              </w:rPr>
              <w:t>1.00% to 1.99%</w:t>
            </w:r>
          </w:p>
        </w:tc>
        <w:tc>
          <w:tcPr>
            <w:tcW w:w="120" w:type="dxa"/>
            <w:vAlign w:val="bottom"/>
          </w:tcPr>
          <w:p>
            <w:pPr>
              <w:spacing w:after="0"/>
              <w:rPr>
                <w:sz w:val="16"/>
                <w:szCs w:val="16"/>
                <w:color w:val="auto"/>
              </w:rPr>
            </w:pPr>
          </w:p>
        </w:tc>
        <w:tc>
          <w:tcPr>
            <w:tcW w:w="2020" w:type="dxa"/>
            <w:vAlign w:val="bottom"/>
            <w:gridSpan w:val="2"/>
          </w:tcPr>
          <w:p>
            <w:pPr>
              <w:jc w:val="center"/>
              <w:ind w:right="520"/>
              <w:spacing w:after="0" w:line="188" w:lineRule="exact"/>
              <w:rPr>
                <w:sz w:val="20"/>
                <w:szCs w:val="20"/>
                <w:color w:val="auto"/>
              </w:rPr>
            </w:pPr>
            <w:r>
              <w:rPr>
                <w:rFonts w:ascii="Times New Roman" w:cs="Times New Roman" w:eastAsia="Times New Roman" w:hAnsi="Times New Roman"/>
                <w:sz w:val="18"/>
                <w:szCs w:val="18"/>
                <w:color w:val="auto"/>
                <w:w w:val="98"/>
              </w:rPr>
              <w:t>2020 to 2039</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10,514</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10,733</w:t>
            </w:r>
          </w:p>
        </w:tc>
      </w:tr>
      <w:tr>
        <w:trPr>
          <w:trHeight w:val="187"/>
        </w:trPr>
        <w:tc>
          <w:tcPr>
            <w:tcW w:w="126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920"/>
              <w:spacing w:after="0" w:line="188" w:lineRule="exact"/>
              <w:rPr>
                <w:sz w:val="20"/>
                <w:szCs w:val="20"/>
                <w:color w:val="auto"/>
              </w:rPr>
            </w:pPr>
            <w:r>
              <w:rPr>
                <w:rFonts w:ascii="Times New Roman" w:cs="Times New Roman" w:eastAsia="Times New Roman" w:hAnsi="Times New Roman"/>
                <w:sz w:val="18"/>
                <w:szCs w:val="18"/>
                <w:color w:val="auto"/>
              </w:rPr>
              <w:t>2.00% to 2.99%</w:t>
            </w:r>
          </w:p>
        </w:tc>
        <w:tc>
          <w:tcPr>
            <w:tcW w:w="12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520"/>
              <w:spacing w:after="0" w:line="188" w:lineRule="exact"/>
              <w:rPr>
                <w:sz w:val="20"/>
                <w:szCs w:val="20"/>
                <w:color w:val="auto"/>
              </w:rPr>
            </w:pPr>
            <w:r>
              <w:rPr>
                <w:rFonts w:ascii="Times New Roman" w:cs="Times New Roman" w:eastAsia="Times New Roman" w:hAnsi="Times New Roman"/>
                <w:sz w:val="18"/>
                <w:szCs w:val="18"/>
                <w:color w:val="auto"/>
                <w:w w:val="98"/>
              </w:rPr>
              <w:t>2022 to 2033</w:t>
            </w: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116,251</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15,674</w:t>
            </w:r>
          </w:p>
        </w:tc>
      </w:tr>
      <w:tr>
        <w:trPr>
          <w:trHeight w:val="187"/>
        </w:trPr>
        <w:tc>
          <w:tcPr>
            <w:tcW w:w="1260" w:type="dxa"/>
            <w:vAlign w:val="bottom"/>
          </w:tcPr>
          <w:p>
            <w:pPr>
              <w:spacing w:after="0"/>
              <w:rPr>
                <w:sz w:val="16"/>
                <w:szCs w:val="16"/>
                <w:color w:val="auto"/>
              </w:rPr>
            </w:pPr>
          </w:p>
        </w:tc>
        <w:tc>
          <w:tcPr>
            <w:tcW w:w="3320" w:type="dxa"/>
            <w:vAlign w:val="bottom"/>
            <w:gridSpan w:val="2"/>
          </w:tcPr>
          <w:p>
            <w:pPr>
              <w:jc w:val="center"/>
              <w:ind w:right="1920"/>
              <w:spacing w:after="0" w:line="188" w:lineRule="exact"/>
              <w:rPr>
                <w:sz w:val="20"/>
                <w:szCs w:val="20"/>
                <w:color w:val="auto"/>
              </w:rPr>
            </w:pPr>
            <w:r>
              <w:rPr>
                <w:rFonts w:ascii="Times New Roman" w:cs="Times New Roman" w:eastAsia="Times New Roman" w:hAnsi="Times New Roman"/>
                <w:sz w:val="18"/>
                <w:szCs w:val="18"/>
                <w:color w:val="auto"/>
              </w:rPr>
              <w:t>3.00% to 3.99%</w:t>
            </w:r>
          </w:p>
        </w:tc>
        <w:tc>
          <w:tcPr>
            <w:tcW w:w="120" w:type="dxa"/>
            <w:vAlign w:val="bottom"/>
          </w:tcPr>
          <w:p>
            <w:pPr>
              <w:spacing w:after="0"/>
              <w:rPr>
                <w:sz w:val="16"/>
                <w:szCs w:val="16"/>
                <w:color w:val="auto"/>
              </w:rPr>
            </w:pPr>
          </w:p>
        </w:tc>
        <w:tc>
          <w:tcPr>
            <w:tcW w:w="2020" w:type="dxa"/>
            <w:vAlign w:val="bottom"/>
            <w:gridSpan w:val="2"/>
          </w:tcPr>
          <w:p>
            <w:pPr>
              <w:jc w:val="center"/>
              <w:ind w:right="520"/>
              <w:spacing w:after="0" w:line="188" w:lineRule="exact"/>
              <w:rPr>
                <w:sz w:val="20"/>
                <w:szCs w:val="20"/>
                <w:color w:val="auto"/>
              </w:rPr>
            </w:pPr>
            <w:r>
              <w:rPr>
                <w:rFonts w:ascii="Times New Roman" w:cs="Times New Roman" w:eastAsia="Times New Roman" w:hAnsi="Times New Roman"/>
                <w:sz w:val="18"/>
                <w:szCs w:val="18"/>
                <w:color w:val="auto"/>
                <w:w w:val="98"/>
              </w:rPr>
              <w:t>2020 to 2056</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1,318,861</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655,685</w:t>
            </w:r>
          </w:p>
        </w:tc>
      </w:tr>
      <w:tr>
        <w:trPr>
          <w:trHeight w:val="187"/>
        </w:trPr>
        <w:tc>
          <w:tcPr>
            <w:tcW w:w="126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920"/>
              <w:spacing w:after="0" w:line="188" w:lineRule="exact"/>
              <w:rPr>
                <w:sz w:val="20"/>
                <w:szCs w:val="20"/>
                <w:color w:val="auto"/>
              </w:rPr>
            </w:pPr>
            <w:r>
              <w:rPr>
                <w:rFonts w:ascii="Times New Roman" w:cs="Times New Roman" w:eastAsia="Times New Roman" w:hAnsi="Times New Roman"/>
                <w:sz w:val="18"/>
                <w:szCs w:val="18"/>
                <w:color w:val="auto"/>
              </w:rPr>
              <w:t>4.00% to 4.99%</w:t>
            </w:r>
          </w:p>
        </w:tc>
        <w:tc>
          <w:tcPr>
            <w:tcW w:w="12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520"/>
              <w:spacing w:after="0" w:line="188" w:lineRule="exact"/>
              <w:rPr>
                <w:sz w:val="20"/>
                <w:szCs w:val="20"/>
                <w:color w:val="auto"/>
              </w:rPr>
            </w:pPr>
            <w:r>
              <w:rPr>
                <w:rFonts w:ascii="Times New Roman" w:cs="Times New Roman" w:eastAsia="Times New Roman" w:hAnsi="Times New Roman"/>
                <w:sz w:val="18"/>
                <w:szCs w:val="18"/>
                <w:color w:val="auto"/>
                <w:w w:val="98"/>
              </w:rPr>
              <w:t>2020 to 2059</w:t>
            </w: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1,415,221</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1,054,791</w:t>
            </w:r>
          </w:p>
        </w:tc>
      </w:tr>
      <w:tr>
        <w:trPr>
          <w:trHeight w:val="187"/>
        </w:trPr>
        <w:tc>
          <w:tcPr>
            <w:tcW w:w="1260" w:type="dxa"/>
            <w:vAlign w:val="bottom"/>
          </w:tcPr>
          <w:p>
            <w:pPr>
              <w:spacing w:after="0"/>
              <w:rPr>
                <w:sz w:val="16"/>
                <w:szCs w:val="16"/>
                <w:color w:val="auto"/>
              </w:rPr>
            </w:pPr>
          </w:p>
        </w:tc>
        <w:tc>
          <w:tcPr>
            <w:tcW w:w="3320" w:type="dxa"/>
            <w:vAlign w:val="bottom"/>
            <w:gridSpan w:val="2"/>
          </w:tcPr>
          <w:p>
            <w:pPr>
              <w:jc w:val="center"/>
              <w:ind w:right="1920"/>
              <w:spacing w:after="0" w:line="188" w:lineRule="exact"/>
              <w:rPr>
                <w:sz w:val="20"/>
                <w:szCs w:val="20"/>
                <w:color w:val="auto"/>
              </w:rPr>
            </w:pPr>
            <w:r>
              <w:rPr>
                <w:rFonts w:ascii="Times New Roman" w:cs="Times New Roman" w:eastAsia="Times New Roman" w:hAnsi="Times New Roman"/>
                <w:sz w:val="18"/>
                <w:szCs w:val="18"/>
                <w:color w:val="auto"/>
              </w:rPr>
              <w:t>5.00% to 5.99%</w:t>
            </w:r>
          </w:p>
        </w:tc>
        <w:tc>
          <w:tcPr>
            <w:tcW w:w="120" w:type="dxa"/>
            <w:vAlign w:val="bottom"/>
          </w:tcPr>
          <w:p>
            <w:pPr>
              <w:spacing w:after="0"/>
              <w:rPr>
                <w:sz w:val="16"/>
                <w:szCs w:val="16"/>
                <w:color w:val="auto"/>
              </w:rPr>
            </w:pPr>
          </w:p>
        </w:tc>
        <w:tc>
          <w:tcPr>
            <w:tcW w:w="2020" w:type="dxa"/>
            <w:vAlign w:val="bottom"/>
            <w:gridSpan w:val="2"/>
          </w:tcPr>
          <w:p>
            <w:pPr>
              <w:jc w:val="center"/>
              <w:ind w:right="520"/>
              <w:spacing w:after="0" w:line="188" w:lineRule="exact"/>
              <w:rPr>
                <w:sz w:val="20"/>
                <w:szCs w:val="20"/>
                <w:color w:val="auto"/>
              </w:rPr>
            </w:pPr>
            <w:r>
              <w:rPr>
                <w:rFonts w:ascii="Times New Roman" w:cs="Times New Roman" w:eastAsia="Times New Roman" w:hAnsi="Times New Roman"/>
                <w:sz w:val="18"/>
                <w:szCs w:val="18"/>
                <w:color w:val="auto"/>
                <w:w w:val="98"/>
              </w:rPr>
              <w:t>2020 to 2043</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65,445</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60,683</w:t>
            </w:r>
          </w:p>
        </w:tc>
      </w:tr>
      <w:tr>
        <w:trPr>
          <w:trHeight w:val="187"/>
        </w:trPr>
        <w:tc>
          <w:tcPr>
            <w:tcW w:w="126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920"/>
              <w:spacing w:after="0" w:line="188" w:lineRule="exact"/>
              <w:rPr>
                <w:sz w:val="20"/>
                <w:szCs w:val="20"/>
                <w:color w:val="auto"/>
              </w:rPr>
            </w:pPr>
            <w:r>
              <w:rPr>
                <w:rFonts w:ascii="Times New Roman" w:cs="Times New Roman" w:eastAsia="Times New Roman" w:hAnsi="Times New Roman"/>
                <w:sz w:val="18"/>
                <w:szCs w:val="18"/>
                <w:color w:val="auto"/>
              </w:rPr>
              <w:t>6.00% to 6.99%</w:t>
            </w:r>
          </w:p>
        </w:tc>
        <w:tc>
          <w:tcPr>
            <w:tcW w:w="12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520"/>
              <w:spacing w:after="0" w:line="188" w:lineRule="exact"/>
              <w:rPr>
                <w:sz w:val="20"/>
                <w:szCs w:val="20"/>
                <w:color w:val="auto"/>
              </w:rPr>
            </w:pPr>
            <w:r>
              <w:rPr>
                <w:rFonts w:ascii="Times New Roman" w:cs="Times New Roman" w:eastAsia="Times New Roman" w:hAnsi="Times New Roman"/>
                <w:sz w:val="18"/>
                <w:szCs w:val="18"/>
                <w:color w:val="auto"/>
                <w:w w:val="98"/>
              </w:rPr>
              <w:t>2022 to 2036</w:t>
            </w: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35,347</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31,000</w:t>
            </w:r>
          </w:p>
        </w:tc>
      </w:tr>
      <w:tr>
        <w:trPr>
          <w:trHeight w:val="187"/>
        </w:trPr>
        <w:tc>
          <w:tcPr>
            <w:tcW w:w="1260" w:type="dxa"/>
            <w:vAlign w:val="bottom"/>
          </w:tcPr>
          <w:p>
            <w:pPr>
              <w:spacing w:after="0"/>
              <w:rPr>
                <w:sz w:val="16"/>
                <w:szCs w:val="16"/>
                <w:color w:val="auto"/>
              </w:rPr>
            </w:pPr>
          </w:p>
        </w:tc>
        <w:tc>
          <w:tcPr>
            <w:tcW w:w="3320" w:type="dxa"/>
            <w:vAlign w:val="bottom"/>
            <w:gridSpan w:val="2"/>
          </w:tcPr>
          <w:p>
            <w:pPr>
              <w:jc w:val="center"/>
              <w:ind w:right="1920"/>
              <w:spacing w:after="0" w:line="188" w:lineRule="exact"/>
              <w:rPr>
                <w:sz w:val="20"/>
                <w:szCs w:val="20"/>
                <w:color w:val="auto"/>
              </w:rPr>
            </w:pPr>
            <w:r>
              <w:rPr>
                <w:rFonts w:ascii="Times New Roman" w:cs="Times New Roman" w:eastAsia="Times New Roman" w:hAnsi="Times New Roman"/>
                <w:sz w:val="18"/>
                <w:szCs w:val="18"/>
                <w:color w:val="auto"/>
              </w:rPr>
              <w:t>7.00% to 7.99%</w:t>
            </w:r>
          </w:p>
        </w:tc>
        <w:tc>
          <w:tcPr>
            <w:tcW w:w="120" w:type="dxa"/>
            <w:vAlign w:val="bottom"/>
          </w:tcPr>
          <w:p>
            <w:pPr>
              <w:spacing w:after="0"/>
              <w:rPr>
                <w:sz w:val="16"/>
                <w:szCs w:val="16"/>
                <w:color w:val="auto"/>
              </w:rPr>
            </w:pPr>
          </w:p>
        </w:tc>
        <w:tc>
          <w:tcPr>
            <w:tcW w:w="2020" w:type="dxa"/>
            <w:vAlign w:val="bottom"/>
            <w:gridSpan w:val="2"/>
          </w:tcPr>
          <w:p>
            <w:pPr>
              <w:jc w:val="center"/>
              <w:ind w:right="520"/>
              <w:spacing w:after="0" w:line="188" w:lineRule="exact"/>
              <w:rPr>
                <w:sz w:val="20"/>
                <w:szCs w:val="20"/>
                <w:color w:val="auto"/>
              </w:rPr>
            </w:pPr>
            <w:r>
              <w:rPr>
                <w:rFonts w:ascii="Times New Roman" w:cs="Times New Roman" w:eastAsia="Times New Roman" w:hAnsi="Times New Roman"/>
                <w:sz w:val="18"/>
                <w:szCs w:val="18"/>
                <w:color w:val="auto"/>
                <w:w w:val="98"/>
              </w:rPr>
              <w:t>2022 to 2027</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30,110</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30,751</w:t>
            </w:r>
          </w:p>
        </w:tc>
      </w:tr>
      <w:tr>
        <w:trPr>
          <w:trHeight w:val="187"/>
        </w:trPr>
        <w:tc>
          <w:tcPr>
            <w:tcW w:w="126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920"/>
              <w:spacing w:after="0" w:line="188" w:lineRule="exact"/>
              <w:rPr>
                <w:sz w:val="20"/>
                <w:szCs w:val="20"/>
                <w:color w:val="auto"/>
              </w:rPr>
            </w:pPr>
            <w:r>
              <w:rPr>
                <w:rFonts w:ascii="Times New Roman" w:cs="Times New Roman" w:eastAsia="Times New Roman" w:hAnsi="Times New Roman"/>
                <w:sz w:val="18"/>
                <w:szCs w:val="18"/>
                <w:color w:val="auto"/>
              </w:rPr>
              <w:t>8.00% to 8.99%</w:t>
            </w:r>
          </w:p>
        </w:tc>
        <w:tc>
          <w:tcPr>
            <w:tcW w:w="12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520"/>
              <w:spacing w:after="0" w:line="188" w:lineRule="exact"/>
              <w:rPr>
                <w:sz w:val="20"/>
                <w:szCs w:val="20"/>
                <w:color w:val="auto"/>
              </w:rPr>
            </w:pPr>
            <w:r>
              <w:rPr>
                <w:rFonts w:ascii="Times New Roman" w:cs="Times New Roman" w:eastAsia="Times New Roman" w:hAnsi="Times New Roman"/>
                <w:sz w:val="18"/>
                <w:szCs w:val="18"/>
                <w:color w:val="auto"/>
                <w:w w:val="98"/>
              </w:rPr>
              <w:t>2021 to 2025</w:t>
            </w: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4,580</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5,026</w:t>
            </w:r>
          </w:p>
        </w:tc>
      </w:tr>
      <w:tr>
        <w:trPr>
          <w:trHeight w:val="187"/>
        </w:trPr>
        <w:tc>
          <w:tcPr>
            <w:tcW w:w="126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gridSpan w:val="2"/>
          </w:tcPr>
          <w:p>
            <w:pPr>
              <w:jc w:val="center"/>
              <w:ind w:right="1920"/>
              <w:spacing w:after="0" w:line="188" w:lineRule="exact"/>
              <w:rPr>
                <w:sz w:val="20"/>
                <w:szCs w:val="20"/>
                <w:color w:val="auto"/>
              </w:rPr>
            </w:pPr>
            <w:r>
              <w:rPr>
                <w:rFonts w:ascii="Times New Roman" w:cs="Times New Roman" w:eastAsia="Times New Roman" w:hAnsi="Times New Roman"/>
                <w:sz w:val="18"/>
                <w:szCs w:val="18"/>
                <w:color w:val="auto"/>
              </w:rPr>
              <w:t>9.00% to 9.99%</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gridSpan w:val="2"/>
          </w:tcPr>
          <w:p>
            <w:pPr>
              <w:jc w:val="center"/>
              <w:ind w:right="520"/>
              <w:spacing w:after="0" w:line="188" w:lineRule="exact"/>
              <w:rPr>
                <w:sz w:val="20"/>
                <w:szCs w:val="20"/>
                <w:color w:val="auto"/>
              </w:rPr>
            </w:pPr>
            <w:r>
              <w:rPr>
                <w:rFonts w:ascii="Times New Roman" w:cs="Times New Roman" w:eastAsia="Times New Roman" w:hAnsi="Times New Roman"/>
                <w:sz w:val="18"/>
                <w:szCs w:val="18"/>
                <w:color w:val="auto"/>
                <w:w w:val="98"/>
              </w:rPr>
              <w:t>2020 to 2026</w:t>
            </w:r>
          </w:p>
        </w:tc>
        <w:tc>
          <w:tcPr>
            <w:tcW w:w="5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16,900</w:t>
            </w:r>
          </w:p>
        </w:tc>
        <w:tc>
          <w:tcPr>
            <w:tcW w:w="2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19,300</w:t>
            </w: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3,016,034</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1,887,117</w:t>
            </w:r>
          </w:p>
        </w:tc>
      </w:tr>
      <w:tr>
        <w:trPr>
          <w:trHeight w:val="187"/>
        </w:trPr>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40" w:type="dxa"/>
            <w:vAlign w:val="bottom"/>
            <w:gridSpan w:val="2"/>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6720" w:type="dxa"/>
            <w:vAlign w:val="bottom"/>
            <w:gridSpan w:val="6"/>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Notes payable to bank under revolving credit agreement, variable rate, due 2023</w:t>
            </w: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140,000</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187"/>
        </w:trPr>
        <w:tc>
          <w:tcPr>
            <w:tcW w:w="45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color w:val="auto"/>
              </w:rPr>
              <w:t>Unsecured notes payable:</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4580" w:type="dxa"/>
            <w:vAlign w:val="bottom"/>
            <w:gridSpan w:val="3"/>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Bank note at 3.50% due 2020</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50,000</w:t>
            </w:r>
          </w:p>
        </w:tc>
      </w:tr>
      <w:tr>
        <w:trPr>
          <w:trHeight w:val="187"/>
        </w:trPr>
        <w:tc>
          <w:tcPr>
            <w:tcW w:w="458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8"/>
                <w:szCs w:val="18"/>
                <w:color w:val="auto"/>
              </w:rPr>
              <w:t>Amortizing notes at 3.00% due 2022</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70,325</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99,356</w:t>
            </w:r>
          </w:p>
        </w:tc>
      </w:tr>
      <w:tr>
        <w:trPr>
          <w:trHeight w:val="187"/>
        </w:trPr>
        <w:tc>
          <w:tcPr>
            <w:tcW w:w="4580" w:type="dxa"/>
            <w:vAlign w:val="bottom"/>
            <w:gridSpan w:val="3"/>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Notes at 2.704% due 2030</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187"/>
        </w:trPr>
        <w:tc>
          <w:tcPr>
            <w:tcW w:w="458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8"/>
                <w:szCs w:val="18"/>
                <w:color w:val="auto"/>
              </w:rPr>
              <w:t>Notes ranging from 3.01% to 3.59% due 2029 through 2050</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1,125,000</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490,000</w:t>
            </w:r>
          </w:p>
        </w:tc>
      </w:tr>
      <w:tr>
        <w:trPr>
          <w:trHeight w:val="187"/>
        </w:trPr>
        <w:tc>
          <w:tcPr>
            <w:tcW w:w="4580" w:type="dxa"/>
            <w:vAlign w:val="bottom"/>
            <w:gridSpan w:val="3"/>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Notes at 4.28%, due 2049</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500,000</w:t>
            </w:r>
          </w:p>
        </w:tc>
      </w:tr>
      <w:tr>
        <w:trPr>
          <w:trHeight w:val="187"/>
        </w:trPr>
        <w:tc>
          <w:tcPr>
            <w:tcW w:w="4580" w:type="dxa"/>
            <w:vAlign w:val="bottom"/>
            <w:tcBorders>
              <w:bottom w:val="single" w:sz="8" w:color="CCEEFF"/>
            </w:tcBorders>
            <w:gridSpan w:val="3"/>
          </w:tcPr>
          <w:p>
            <w:pPr>
              <w:ind w:left="100"/>
              <w:spacing w:after="0" w:line="188" w:lineRule="exact"/>
              <w:rPr>
                <w:sz w:val="20"/>
                <w:szCs w:val="20"/>
                <w:color w:val="auto"/>
              </w:rPr>
            </w:pPr>
            <w:r>
              <w:rPr>
                <w:rFonts w:ascii="Times New Roman" w:cs="Times New Roman" w:eastAsia="Times New Roman" w:hAnsi="Times New Roman"/>
                <w:sz w:val="18"/>
                <w:szCs w:val="18"/>
                <w:color w:val="auto"/>
              </w:rPr>
              <w:t>Notes ranging from 5.64% to 5.95%, due 2020 through 2034</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45,460</w:t>
            </w:r>
          </w:p>
        </w:tc>
        <w:tc>
          <w:tcPr>
            <w:tcW w:w="2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50,927</w:t>
            </w: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5,396,819</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3,077,400</w:t>
            </w:r>
          </w:p>
        </w:tc>
      </w:tr>
      <w:tr>
        <w:trPr>
          <w:trHeight w:val="187"/>
        </w:trPr>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4580" w:type="dxa"/>
            <w:vAlign w:val="bottom"/>
            <w:gridSpan w:val="3"/>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205,841</w:t>
            </w:r>
          </w:p>
        </w:tc>
        <w:tc>
          <w:tcPr>
            <w:tcW w:w="2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105,051</w:t>
            </w:r>
          </w:p>
        </w:tc>
      </w:tr>
      <w:tr>
        <w:trPr>
          <w:trHeight w:val="181"/>
        </w:trPr>
        <w:tc>
          <w:tcPr>
            <w:tcW w:w="458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Long-term debt, excluding current portion</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5,190,978</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2,972,349</w:t>
            </w:r>
          </w:p>
        </w:tc>
      </w:tr>
      <w:tr>
        <w:trPr>
          <w:trHeight w:val="187"/>
        </w:trPr>
        <w:tc>
          <w:tcPr>
            <w:tcW w:w="4580" w:type="dxa"/>
            <w:vAlign w:val="bottom"/>
            <w:gridSpan w:val="3"/>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Less: debt issuance costs</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38,005</w:t>
            </w:r>
          </w:p>
        </w:tc>
        <w:tc>
          <w:tcPr>
            <w:tcW w:w="2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29,022</w:t>
            </w:r>
          </w:p>
        </w:tc>
      </w:tr>
      <w:tr>
        <w:trPr>
          <w:trHeight w:val="181"/>
        </w:trPr>
        <w:tc>
          <w:tcPr>
            <w:tcW w:w="6720" w:type="dxa"/>
            <w:vAlign w:val="bottom"/>
            <w:tcBorders>
              <w:bottom w:val="single" w:sz="8" w:color="CCEEFF"/>
            </w:tcBorders>
            <w:gridSpan w:val="6"/>
          </w:tcPr>
          <w:p>
            <w:pPr>
              <w:spacing w:after="0" w:line="181" w:lineRule="exact"/>
              <w:rPr>
                <w:sz w:val="20"/>
                <w:szCs w:val="20"/>
                <w:color w:val="auto"/>
              </w:rPr>
            </w:pPr>
            <w:r>
              <w:rPr>
                <w:rFonts w:ascii="Times New Roman" w:cs="Times New Roman" w:eastAsia="Times New Roman" w:hAnsi="Times New Roman"/>
                <w:sz w:val="18"/>
                <w:szCs w:val="18"/>
                <w:color w:val="auto"/>
              </w:rPr>
              <w:t>Long-term debt, excluding current portion, net of debt issuance costs</w:t>
            </w:r>
          </w:p>
        </w:tc>
        <w:tc>
          <w:tcPr>
            <w:tcW w:w="5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5,152,973</w:t>
            </w:r>
          </w:p>
        </w:tc>
        <w:tc>
          <w:tcPr>
            <w:tcW w:w="2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2,943,327</w:t>
            </w:r>
          </w:p>
        </w:tc>
      </w:tr>
      <w:tr>
        <w:trPr>
          <w:trHeight w:val="181"/>
        </w:trPr>
        <w:tc>
          <w:tcPr>
            <w:tcW w:w="4580" w:type="dxa"/>
            <w:vAlign w:val="bottom"/>
            <w:tcBorders>
              <w:bottom w:val="single" w:sz="8" w:color="CCEEFF"/>
            </w:tcBorders>
            <w:gridSpan w:val="3"/>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Total capitalization</w:t>
            </w: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91"/>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9,788,726</w:t>
            </w: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31"/>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6,824,187</w:t>
            </w:r>
          </w:p>
        </w:tc>
      </w:tr>
      <w:tr>
        <w:trPr>
          <w:trHeight w:val="20"/>
        </w:trPr>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9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CONSOLIDATED STATEMENTS OF EQUITY</w:t>
      </w:r>
    </w:p>
    <w:p>
      <w:pPr>
        <w:jc w:val="center"/>
        <w:spacing w:after="0" w:line="199" w:lineRule="auto"/>
        <w:rPr>
          <w:sz w:val="20"/>
          <w:szCs w:val="20"/>
          <w:color w:val="auto"/>
        </w:rPr>
      </w:pPr>
      <w:r>
        <w:rPr>
          <w:rFonts w:ascii="Times New Roman" w:cs="Times New Roman" w:eastAsia="Times New Roman" w:hAnsi="Times New Roman"/>
          <w:sz w:val="21"/>
          <w:szCs w:val="21"/>
          <w:color w:val="auto"/>
        </w:rPr>
        <w:t>(In thousands of dollars)</w:t>
      </w: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Common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Capital in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Retained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color w:val="auto"/>
                <w:w w:val="98"/>
              </w:rPr>
              <w:t>Treasury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6"/>
                <w:szCs w:val="16"/>
                <w:color w:val="auto"/>
              </w:rPr>
              <w:t>Excess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87"/>
        </w:trPr>
        <w:tc>
          <w:tcPr>
            <w:tcW w:w="5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Stock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Par Value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Earnings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Stock</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70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Balance at December 31, 2019</w:t>
            </w:r>
          </w:p>
        </w:tc>
        <w:tc>
          <w:tcPr>
            <w:tcW w:w="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111,935</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2,636,555</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1,210,072</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(77,702)</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3,880,860</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51,781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51,781</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Dividends declared ($0.2343 per share)</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(52,205)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(52,205)</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Issuance of common stock from private placement (21,661,095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10,831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719,304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730,135</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Issuance of common stock from stock purchase contracts (2,335,654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1,168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(1,168)</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(86,969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43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4,019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4,062</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Repurchase of stock (81,722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(4,339)</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(4,339)</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Equity compensation plan (223,495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112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(112)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Exercise of stock options (56,106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922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950</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2,072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(147)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1,925</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Other</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54"/>
        </w:trPr>
        <w:tc>
          <w:tcPr>
            <w:tcW w:w="57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Balance at March 31, 2020</w:t>
            </w:r>
          </w:p>
        </w:tc>
        <w:tc>
          <w:tcPr>
            <w:tcW w:w="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124,117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3,361,586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1,209,501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(82,041)</w:t>
            </w: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4,613,163</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74,629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74,629</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Dividends declared ($0.2343 per share)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(57,414)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(57,414)</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Expenses incurred for private placement issuance of common stock</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(834)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(100,148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50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3,949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3,999</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Repurchase of stock (100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Equity compensation plan (4,594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Exercise of stock options (3,411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115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1,918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(94)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1,824</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Other</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(37)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91</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54"/>
        </w:trPr>
        <w:tc>
          <w:tcPr>
            <w:tcW w:w="57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Balance at June 30, 2020</w:t>
            </w:r>
          </w:p>
        </w:tc>
        <w:tc>
          <w:tcPr>
            <w:tcW w:w="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124,171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3,366,695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1,226,622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(81,954)</w:t>
            </w: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4,635,534</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55,732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55,732</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Dividends declared ($0.2507 per share)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(61,460)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(61,460)</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(104,637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4,209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4,261</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Repurchase of stock (44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Equity compensation plan (6,088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Exercise of stock options (4,270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146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2,082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(104)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1,978</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Other</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(753)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315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154"/>
        </w:trPr>
        <w:tc>
          <w:tcPr>
            <w:tcW w:w="570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Balance at September 30, 2020</w:t>
            </w: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124,228</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3,372,376</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1,220,790</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(81,641)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4,635,753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9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CONSOLIDATED STATEMENTS OF EQUITY</w:t>
      </w:r>
    </w:p>
    <w:p>
      <w:pPr>
        <w:jc w:val="center"/>
        <w:spacing w:after="0" w:line="199" w:lineRule="auto"/>
        <w:rPr>
          <w:sz w:val="20"/>
          <w:szCs w:val="20"/>
          <w:color w:val="auto"/>
        </w:rPr>
      </w:pPr>
      <w:r>
        <w:rPr>
          <w:rFonts w:ascii="Times New Roman" w:cs="Times New Roman" w:eastAsia="Times New Roman" w:hAnsi="Times New Roman"/>
          <w:sz w:val="21"/>
          <w:szCs w:val="21"/>
          <w:color w:val="auto"/>
        </w:rPr>
        <w:t>(In thousands of dollars)</w:t>
      </w: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Common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Capital in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Retained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color w:val="auto"/>
                <w:w w:val="98"/>
              </w:rPr>
              <w:t>Treasury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6"/>
                <w:szCs w:val="16"/>
                <w:color w:val="auto"/>
              </w:rPr>
              <w:t>Excess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87"/>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Stock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Par Value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Earnings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Stock</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626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Balance at December 31, 2018</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90,576</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820,378</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1,174,245</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(75,835)</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2,009,364</w:t>
            </w:r>
          </w:p>
        </w:tc>
        <w:tc>
          <w:tcPr>
            <w:tcW w:w="0" w:type="dxa"/>
            <w:vAlign w:val="bottom"/>
          </w:tcPr>
          <w:p>
            <w:pPr>
              <w:spacing w:after="0"/>
              <w:rPr>
                <w:sz w:val="1"/>
                <w:szCs w:val="1"/>
                <w:color w:val="auto"/>
              </w:rPr>
            </w:pPr>
          </w:p>
        </w:tc>
      </w:tr>
      <w:tr>
        <w:trPr>
          <w:trHeight w:val="160"/>
        </w:trPr>
        <w:tc>
          <w:tcPr>
            <w:tcW w:w="6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16,924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16,924</w:t>
            </w:r>
          </w:p>
        </w:tc>
        <w:tc>
          <w:tcPr>
            <w:tcW w:w="0" w:type="dxa"/>
            <w:vAlign w:val="bottom"/>
          </w:tcPr>
          <w:p>
            <w:pPr>
              <w:spacing w:after="0"/>
              <w:rPr>
                <w:sz w:val="1"/>
                <w:szCs w:val="1"/>
                <w:color w:val="auto"/>
              </w:rPr>
            </w:pPr>
          </w:p>
        </w:tc>
      </w:tr>
      <w:tr>
        <w:trPr>
          <w:trHeight w:val="160"/>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Dividends declared ($0.2190 per share)</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(39,014)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(39,014)</w:t>
            </w:r>
          </w:p>
        </w:tc>
        <w:tc>
          <w:tcPr>
            <w:tcW w:w="0" w:type="dxa"/>
            <w:vAlign w:val="bottom"/>
          </w:tcPr>
          <w:p>
            <w:pPr>
              <w:spacing w:after="0"/>
              <w:rPr>
                <w:sz w:val="1"/>
                <w:szCs w:val="1"/>
                <w:color w:val="auto"/>
              </w:rPr>
            </w:pPr>
          </w:p>
        </w:tc>
      </w:tr>
      <w:tr>
        <w:trPr>
          <w:trHeight w:val="160"/>
        </w:trPr>
        <w:tc>
          <w:tcPr>
            <w:tcW w:w="6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(117,845 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59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3,976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4,035</w:t>
            </w:r>
          </w:p>
        </w:tc>
        <w:tc>
          <w:tcPr>
            <w:tcW w:w="0" w:type="dxa"/>
            <w:vAlign w:val="bottom"/>
          </w:tcPr>
          <w:p>
            <w:pPr>
              <w:spacing w:after="0"/>
              <w:rPr>
                <w:sz w:val="1"/>
                <w:szCs w:val="1"/>
                <w:color w:val="auto"/>
              </w:rPr>
            </w:pPr>
          </w:p>
        </w:tc>
      </w:tr>
      <w:tr>
        <w:trPr>
          <w:trHeight w:val="160"/>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Repurchase of stock (52,124 shares)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(1,857)</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(1,857)</w:t>
            </w:r>
          </w:p>
        </w:tc>
        <w:tc>
          <w:tcPr>
            <w:tcW w:w="0" w:type="dxa"/>
            <w:vAlign w:val="bottom"/>
          </w:tcPr>
          <w:p>
            <w:pPr>
              <w:spacing w:after="0"/>
              <w:rPr>
                <w:sz w:val="1"/>
                <w:szCs w:val="1"/>
                <w:color w:val="auto"/>
              </w:rPr>
            </w:pPr>
          </w:p>
        </w:tc>
      </w:tr>
      <w:tr>
        <w:trPr>
          <w:trHeight w:val="160"/>
        </w:trPr>
        <w:tc>
          <w:tcPr>
            <w:tcW w:w="6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Equity compensation plan (134,257 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67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(67)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Exercise of stock options (77,479 shares)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1,136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160"/>
        </w:trPr>
        <w:tc>
          <w:tcPr>
            <w:tcW w:w="6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1,929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42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1,971</w:t>
            </w:r>
          </w:p>
        </w:tc>
        <w:tc>
          <w:tcPr>
            <w:tcW w:w="0" w:type="dxa"/>
            <w:vAlign w:val="bottom"/>
          </w:tcPr>
          <w:p>
            <w:pPr>
              <w:spacing w:after="0"/>
              <w:rPr>
                <w:sz w:val="1"/>
                <w:szCs w:val="1"/>
                <w:color w:val="auto"/>
              </w:rPr>
            </w:pPr>
          </w:p>
        </w:tc>
      </w:tr>
      <w:tr>
        <w:trPr>
          <w:trHeight w:val="160"/>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(13)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54"/>
        </w:trPr>
        <w:tc>
          <w:tcPr>
            <w:tcW w:w="626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Balance at March 31, 2019</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90,741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827,339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1,152,197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(77,692)</w:t>
            </w: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1,992,585</w:t>
            </w:r>
          </w:p>
        </w:tc>
        <w:tc>
          <w:tcPr>
            <w:tcW w:w="0" w:type="dxa"/>
            <w:vAlign w:val="bottom"/>
          </w:tcPr>
          <w:p>
            <w:pPr>
              <w:spacing w:after="0"/>
              <w:rPr>
                <w:sz w:val="1"/>
                <w:szCs w:val="1"/>
                <w:color w:val="auto"/>
              </w:rPr>
            </w:pPr>
          </w:p>
        </w:tc>
      </w:tr>
      <w:tr>
        <w:trPr>
          <w:trHeight w:val="160"/>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54,903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54,903</w:t>
            </w:r>
          </w:p>
        </w:tc>
        <w:tc>
          <w:tcPr>
            <w:tcW w:w="0" w:type="dxa"/>
            <w:vAlign w:val="bottom"/>
          </w:tcPr>
          <w:p>
            <w:pPr>
              <w:spacing w:after="0"/>
              <w:rPr>
                <w:sz w:val="1"/>
                <w:szCs w:val="1"/>
                <w:color w:val="auto"/>
              </w:rPr>
            </w:pPr>
          </w:p>
        </w:tc>
      </w:tr>
      <w:tr>
        <w:trPr>
          <w:trHeight w:val="160"/>
        </w:trPr>
        <w:tc>
          <w:tcPr>
            <w:tcW w:w="6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Dividends declared ($0.2190 per share)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(47,249)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(47,249)</w:t>
            </w:r>
          </w:p>
        </w:tc>
        <w:tc>
          <w:tcPr>
            <w:tcW w:w="0" w:type="dxa"/>
            <w:vAlign w:val="bottom"/>
          </w:tcPr>
          <w:p>
            <w:pPr>
              <w:spacing w:after="0"/>
              <w:rPr>
                <w:sz w:val="1"/>
                <w:szCs w:val="1"/>
                <w:color w:val="auto"/>
              </w:rPr>
            </w:pPr>
          </w:p>
        </w:tc>
      </w:tr>
      <w:tr>
        <w:trPr>
          <w:trHeight w:val="160"/>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Stock issued to finance pending acquisition (37,370,017 shares)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18,685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1,245,440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1,264,125</w:t>
            </w:r>
          </w:p>
        </w:tc>
        <w:tc>
          <w:tcPr>
            <w:tcW w:w="0" w:type="dxa"/>
            <w:vAlign w:val="bottom"/>
          </w:tcPr>
          <w:p>
            <w:pPr>
              <w:spacing w:after="0"/>
              <w:rPr>
                <w:sz w:val="1"/>
                <w:szCs w:val="1"/>
                <w:color w:val="auto"/>
              </w:rPr>
            </w:pPr>
          </w:p>
        </w:tc>
      </w:tr>
      <w:tr>
        <w:trPr>
          <w:trHeight w:val="160"/>
        </w:trPr>
        <w:tc>
          <w:tcPr>
            <w:tcW w:w="6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Proceeds from stock purchase contract issued under tangible equity units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557,837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557,837</w:t>
            </w:r>
          </w:p>
        </w:tc>
        <w:tc>
          <w:tcPr>
            <w:tcW w:w="0" w:type="dxa"/>
            <w:vAlign w:val="bottom"/>
          </w:tcPr>
          <w:p>
            <w:pPr>
              <w:spacing w:after="0"/>
              <w:rPr>
                <w:sz w:val="1"/>
                <w:szCs w:val="1"/>
                <w:color w:val="auto"/>
              </w:rPr>
            </w:pPr>
          </w:p>
        </w:tc>
      </w:tr>
      <w:tr>
        <w:trPr>
          <w:trHeight w:val="160"/>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(10,162 shares)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380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160"/>
        </w:trPr>
        <w:tc>
          <w:tcPr>
            <w:tcW w:w="6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Repurchase of stock (46 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60"/>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Equity compensation plan (5,099 shares)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6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Exercise of stock options (21,148 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361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160"/>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2,129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(98)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2,031</w:t>
            </w:r>
          </w:p>
        </w:tc>
        <w:tc>
          <w:tcPr>
            <w:tcW w:w="0" w:type="dxa"/>
            <w:vAlign w:val="bottom"/>
          </w:tcPr>
          <w:p>
            <w:pPr>
              <w:spacing w:after="0"/>
              <w:rPr>
                <w:sz w:val="1"/>
                <w:szCs w:val="1"/>
                <w:color w:val="auto"/>
              </w:rPr>
            </w:pPr>
          </w:p>
        </w:tc>
      </w:tr>
      <w:tr>
        <w:trPr>
          <w:trHeight w:val="160"/>
        </w:trPr>
        <w:tc>
          <w:tcPr>
            <w:tcW w:w="6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(212)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154"/>
        </w:trPr>
        <w:tc>
          <w:tcPr>
            <w:tcW w:w="626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Balance at June 30, 2019</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109,444</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2,633,271</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1,159,753</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(77,694)</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3,824,774</w:t>
            </w:r>
          </w:p>
        </w:tc>
        <w:tc>
          <w:tcPr>
            <w:tcW w:w="0" w:type="dxa"/>
            <w:vAlign w:val="bottom"/>
          </w:tcPr>
          <w:p>
            <w:pPr>
              <w:spacing w:after="0"/>
              <w:rPr>
                <w:sz w:val="1"/>
                <w:szCs w:val="1"/>
                <w:color w:val="auto"/>
              </w:rPr>
            </w:pPr>
          </w:p>
        </w:tc>
      </w:tr>
      <w:tr>
        <w:trPr>
          <w:trHeight w:val="160"/>
        </w:trPr>
        <w:tc>
          <w:tcPr>
            <w:tcW w:w="6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88,489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88,489</w:t>
            </w:r>
          </w:p>
        </w:tc>
        <w:tc>
          <w:tcPr>
            <w:tcW w:w="0" w:type="dxa"/>
            <w:vAlign w:val="bottom"/>
          </w:tcPr>
          <w:p>
            <w:pPr>
              <w:spacing w:after="0"/>
              <w:rPr>
                <w:sz w:val="1"/>
                <w:szCs w:val="1"/>
                <w:color w:val="auto"/>
              </w:rPr>
            </w:pPr>
          </w:p>
        </w:tc>
      </w:tr>
      <w:tr>
        <w:trPr>
          <w:trHeight w:val="160"/>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Dividends declared ($0.2343 per share)</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(50,558)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(50,558)</w:t>
            </w:r>
          </w:p>
        </w:tc>
        <w:tc>
          <w:tcPr>
            <w:tcW w:w="0" w:type="dxa"/>
            <w:vAlign w:val="bottom"/>
          </w:tcPr>
          <w:p>
            <w:pPr>
              <w:spacing w:after="0"/>
              <w:rPr>
                <w:sz w:val="1"/>
                <w:szCs w:val="1"/>
                <w:color w:val="auto"/>
              </w:rPr>
            </w:pPr>
          </w:p>
        </w:tc>
      </w:tr>
      <w:tr>
        <w:trPr>
          <w:trHeight w:val="134"/>
        </w:trPr>
        <w:tc>
          <w:tcPr>
            <w:tcW w:w="6260" w:type="dxa"/>
            <w:vAlign w:val="bottom"/>
          </w:tcPr>
          <w:p>
            <w:pPr>
              <w:spacing w:after="0" w:line="134" w:lineRule="exact"/>
              <w:rPr>
                <w:sz w:val="20"/>
                <w:szCs w:val="20"/>
                <w:color w:val="auto"/>
              </w:rPr>
            </w:pPr>
            <w:r>
              <w:rPr>
                <w:rFonts w:ascii="Times New Roman" w:cs="Times New Roman" w:eastAsia="Times New Roman" w:hAnsi="Times New Roman"/>
                <w:sz w:val="15"/>
                <w:szCs w:val="15"/>
                <w:color w:val="auto"/>
              </w:rPr>
              <w:t>Expenses incurred for equity offering and stock purchase contracts issued under tangible equity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(1,474)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0" w:type="dxa"/>
            <w:vAlign w:val="bottom"/>
          </w:tcPr>
          <w:p>
            <w:pPr>
              <w:spacing w:after="0"/>
              <w:rPr>
                <w:sz w:val="1"/>
                <w:szCs w:val="1"/>
                <w:color w:val="auto"/>
              </w:rPr>
            </w:pPr>
          </w:p>
        </w:tc>
      </w:tr>
      <w:tr>
        <w:trPr>
          <w:trHeight w:val="187"/>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units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(9,334 shares)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394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160"/>
        </w:trPr>
        <w:tc>
          <w:tcPr>
            <w:tcW w:w="6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Issuance of common stock from stock purchase contracts (29,484 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(15)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Repurchase of stock (189 shares)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60"/>
        </w:trPr>
        <w:tc>
          <w:tcPr>
            <w:tcW w:w="6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Equity compensation plan (4,165 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Exercise of stock options (9,864 shares)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184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160"/>
        </w:trPr>
        <w:tc>
          <w:tcPr>
            <w:tcW w:w="6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1,774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(84)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1,690</w:t>
            </w:r>
          </w:p>
        </w:tc>
        <w:tc>
          <w:tcPr>
            <w:tcW w:w="0" w:type="dxa"/>
            <w:vAlign w:val="bottom"/>
          </w:tcPr>
          <w:p>
            <w:pPr>
              <w:spacing w:after="0"/>
              <w:rPr>
                <w:sz w:val="1"/>
                <w:szCs w:val="1"/>
                <w:color w:val="auto"/>
              </w:rPr>
            </w:pPr>
          </w:p>
        </w:tc>
      </w:tr>
      <w:tr>
        <w:trPr>
          <w:trHeight w:val="160"/>
        </w:trPr>
        <w:tc>
          <w:tcPr>
            <w:tcW w:w="6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(939)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(939)</w:t>
            </w:r>
          </w:p>
        </w:tc>
        <w:tc>
          <w:tcPr>
            <w:tcW w:w="0" w:type="dxa"/>
            <w:vAlign w:val="bottom"/>
          </w:tcPr>
          <w:p>
            <w:pPr>
              <w:spacing w:after="0"/>
              <w:rPr>
                <w:sz w:val="1"/>
                <w:szCs w:val="1"/>
                <w:color w:val="auto"/>
              </w:rPr>
            </w:pPr>
          </w:p>
        </w:tc>
      </w:tr>
      <w:tr>
        <w:trPr>
          <w:trHeight w:val="154"/>
        </w:trPr>
        <w:tc>
          <w:tcPr>
            <w:tcW w:w="626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Balance at September 30, 2019</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109,471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2,633,193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1,197,600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(77,702)</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0"/>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3,862,562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9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CONSOLIDATED STATEMENTS OF CASH FLOW</w:t>
      </w:r>
    </w:p>
    <w:p>
      <w:pPr>
        <w:ind w:left="4540"/>
        <w:spacing w:after="0" w:line="186" w:lineRule="auto"/>
        <w:rPr>
          <w:sz w:val="20"/>
          <w:szCs w:val="20"/>
          <w:color w:val="auto"/>
        </w:rPr>
      </w:pPr>
      <w:r>
        <w:rPr>
          <w:rFonts w:ascii="Times New Roman" w:cs="Times New Roman" w:eastAsia="Times New Roman" w:hAnsi="Times New Roman"/>
          <w:sz w:val="18"/>
          <w:szCs w:val="18"/>
          <w:color w:val="auto"/>
        </w:rPr>
        <w:t>(In thousands of dollars)</w:t>
      </w:r>
    </w:p>
    <w:p>
      <w:pPr>
        <w:ind w:left="4920"/>
        <w:spacing w:after="0"/>
        <w:rPr>
          <w:sz w:val="20"/>
          <w:szCs w:val="20"/>
          <w:color w:val="auto"/>
        </w:rPr>
      </w:pPr>
      <w:r>
        <w:rPr>
          <w:rFonts w:ascii="Times New Roman" w:cs="Times New Roman" w:eastAsia="Times New Roman" w:hAnsi="Times New Roman"/>
          <w:sz w:val="21"/>
          <w:szCs w:val="21"/>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187"/>
        </w:trPr>
        <w:tc>
          <w:tcPr>
            <w:tcW w:w="8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0"/>
              <w:spacing w:after="0" w:line="154" w:lineRule="exact"/>
              <w:rPr>
                <w:sz w:val="20"/>
                <w:szCs w:val="20"/>
                <w:color w:val="auto"/>
              </w:rPr>
            </w:pPr>
            <w:r>
              <w:rPr>
                <w:rFonts w:ascii="Times New Roman" w:cs="Times New Roman" w:eastAsia="Times New Roman" w:hAnsi="Times New Roman"/>
                <w:sz w:val="16"/>
                <w:szCs w:val="16"/>
                <w:color w:val="auto"/>
              </w:rPr>
              <w:t>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0"/>
              <w:spacing w:after="0" w:line="154" w:lineRule="exact"/>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54"/>
        </w:trPr>
        <w:tc>
          <w:tcPr>
            <w:tcW w:w="83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gridSpan w:val="2"/>
            <w:shd w:val="clear" w:color="auto" w:fill="CCEEFF"/>
          </w:tcPr>
          <w:p>
            <w:pPr>
              <w:jc w:val="right"/>
              <w:ind w:right="1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182,142</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line="161"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160,316</w:t>
            </w:r>
          </w:p>
        </w:tc>
        <w:tc>
          <w:tcPr>
            <w:tcW w:w="0" w:type="dxa"/>
            <w:vAlign w:val="bottom"/>
          </w:tcPr>
          <w:p>
            <w:pPr>
              <w:spacing w:after="0"/>
              <w:rPr>
                <w:sz w:val="1"/>
                <w:szCs w:val="1"/>
                <w:color w:val="auto"/>
              </w:rPr>
            </w:pPr>
          </w:p>
        </w:tc>
      </w:tr>
      <w:tr>
        <w:trPr>
          <w:trHeight w:val="160"/>
        </w:trPr>
        <w:tc>
          <w:tcPr>
            <w:tcW w:w="83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186,078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115,973</w:t>
            </w:r>
          </w:p>
        </w:tc>
        <w:tc>
          <w:tcPr>
            <w:tcW w:w="0" w:type="dxa"/>
            <w:vAlign w:val="bottom"/>
          </w:tcPr>
          <w:p>
            <w:pPr>
              <w:spacing w:after="0"/>
              <w:rPr>
                <w:sz w:val="1"/>
                <w:szCs w:val="1"/>
                <w:color w:val="auto"/>
              </w:rPr>
            </w:pPr>
          </w:p>
        </w:tc>
      </w:tr>
      <w:tr>
        <w:trPr>
          <w:trHeight w:val="160"/>
        </w:trPr>
        <w:tc>
          <w:tcPr>
            <w:tcW w:w="8300" w:type="dxa"/>
            <w:vAlign w:val="bottom"/>
          </w:tcPr>
          <w:p>
            <w:pPr>
              <w:ind w:left="220"/>
              <w:spacing w:after="0" w:line="161" w:lineRule="exact"/>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1,120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(10,359)</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Provision for doubtful accounts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23,598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3,622</w:t>
            </w:r>
          </w:p>
        </w:tc>
        <w:tc>
          <w:tcPr>
            <w:tcW w:w="0" w:type="dxa"/>
            <w:vAlign w:val="bottom"/>
          </w:tcPr>
          <w:p>
            <w:pPr>
              <w:spacing w:after="0"/>
              <w:rPr>
                <w:sz w:val="1"/>
                <w:szCs w:val="1"/>
                <w:color w:val="auto"/>
              </w:rPr>
            </w:pPr>
          </w:p>
        </w:tc>
      </w:tr>
      <w:tr>
        <w:trPr>
          <w:trHeight w:val="160"/>
        </w:trPr>
        <w:tc>
          <w:tcPr>
            <w:tcW w:w="8300" w:type="dxa"/>
            <w:vAlign w:val="bottom"/>
          </w:tcPr>
          <w:p>
            <w:pPr>
              <w:ind w:left="220"/>
              <w:spacing w:after="0" w:line="161" w:lineRule="exact"/>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5,842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5,831</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Gain on sale of other assets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(358)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160"/>
        </w:trPr>
        <w:tc>
          <w:tcPr>
            <w:tcW w:w="8300" w:type="dxa"/>
            <w:vAlign w:val="bottom"/>
          </w:tcPr>
          <w:p>
            <w:pPr>
              <w:ind w:left="220"/>
              <w:spacing w:after="0" w:line="161" w:lineRule="exact"/>
              <w:rPr>
                <w:sz w:val="20"/>
                <w:szCs w:val="20"/>
                <w:color w:val="auto"/>
              </w:rPr>
            </w:pPr>
            <w:r>
              <w:rPr>
                <w:rFonts w:ascii="Times New Roman" w:cs="Times New Roman" w:eastAsia="Times New Roman" w:hAnsi="Times New Roman"/>
                <w:sz w:val="16"/>
                <w:szCs w:val="16"/>
                <w:color w:val="auto"/>
              </w:rPr>
              <w:t>Loss (gain) on sale of utility system</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Loss on interest rate swap agreements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23,742</w:t>
            </w:r>
          </w:p>
        </w:tc>
        <w:tc>
          <w:tcPr>
            <w:tcW w:w="0" w:type="dxa"/>
            <w:vAlign w:val="bottom"/>
          </w:tcPr>
          <w:p>
            <w:pPr>
              <w:spacing w:after="0"/>
              <w:rPr>
                <w:sz w:val="1"/>
                <w:szCs w:val="1"/>
                <w:color w:val="auto"/>
              </w:rPr>
            </w:pPr>
          </w:p>
        </w:tc>
      </w:tr>
      <w:tr>
        <w:trPr>
          <w:trHeight w:val="160"/>
        </w:trPr>
        <w:tc>
          <w:tcPr>
            <w:tcW w:w="8300" w:type="dxa"/>
            <w:vAlign w:val="bottom"/>
          </w:tcPr>
          <w:p>
            <w:pPr>
              <w:ind w:left="220"/>
              <w:spacing w:after="0" w:line="161" w:lineRule="exact"/>
              <w:rPr>
                <w:sz w:val="20"/>
                <w:szCs w:val="20"/>
                <w:color w:val="auto"/>
              </w:rPr>
            </w:pPr>
            <w:r>
              <w:rPr>
                <w:rFonts w:ascii="Times New Roman" w:cs="Times New Roman" w:eastAsia="Times New Roman" w:hAnsi="Times New Roman"/>
                <w:sz w:val="16"/>
                <w:szCs w:val="16"/>
                <w:color w:val="auto"/>
              </w:rPr>
              <w:t>Loss on debt extinguishment</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18,920</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Settlement of interest rate swap agreements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(83,520)</w:t>
            </w:r>
          </w:p>
        </w:tc>
        <w:tc>
          <w:tcPr>
            <w:tcW w:w="0" w:type="dxa"/>
            <w:vAlign w:val="bottom"/>
          </w:tcPr>
          <w:p>
            <w:pPr>
              <w:spacing w:after="0"/>
              <w:rPr>
                <w:sz w:val="1"/>
                <w:szCs w:val="1"/>
                <w:color w:val="auto"/>
              </w:rPr>
            </w:pPr>
          </w:p>
        </w:tc>
      </w:tr>
      <w:tr>
        <w:trPr>
          <w:trHeight w:val="160"/>
        </w:trPr>
        <w:tc>
          <w:tcPr>
            <w:tcW w:w="8300" w:type="dxa"/>
            <w:vAlign w:val="bottom"/>
          </w:tcPr>
          <w:p>
            <w:pPr>
              <w:ind w:left="220"/>
              <w:spacing w:after="0" w:line="161" w:lineRule="exact"/>
              <w:rPr>
                <w:sz w:val="20"/>
                <w:szCs w:val="20"/>
                <w:color w:val="auto"/>
              </w:rPr>
            </w:pPr>
            <w:r>
              <w:rPr>
                <w:rFonts w:ascii="Times New Roman" w:cs="Times New Roman" w:eastAsia="Times New Roman" w:hAnsi="Times New Roman"/>
                <w:sz w:val="16"/>
                <w:szCs w:val="16"/>
                <w:color w:val="auto"/>
              </w:rPr>
              <w:t>Net change in receivables, inventory and prepayments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24,886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(11,657)</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Net change in payables, accrued interest, accrued taxes and other accrued liabilities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12,431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13,324</w:t>
            </w:r>
          </w:p>
        </w:tc>
        <w:tc>
          <w:tcPr>
            <w:tcW w:w="0" w:type="dxa"/>
            <w:vAlign w:val="bottom"/>
          </w:tcPr>
          <w:p>
            <w:pPr>
              <w:spacing w:after="0"/>
              <w:rPr>
                <w:sz w:val="1"/>
                <w:szCs w:val="1"/>
                <w:color w:val="auto"/>
              </w:rPr>
            </w:pPr>
          </w:p>
        </w:tc>
      </w:tr>
      <w:tr>
        <w:trPr>
          <w:trHeight w:val="160"/>
        </w:trPr>
        <w:tc>
          <w:tcPr>
            <w:tcW w:w="8300" w:type="dxa"/>
            <w:vAlign w:val="bottom"/>
          </w:tcPr>
          <w:p>
            <w:pPr>
              <w:ind w:left="220"/>
              <w:spacing w:after="0" w:line="161" w:lineRule="exact"/>
              <w:rPr>
                <w:sz w:val="20"/>
                <w:szCs w:val="20"/>
                <w:color w:val="auto"/>
              </w:rPr>
            </w:pPr>
            <w:r>
              <w:rPr>
                <w:rFonts w:ascii="Times New Roman" w:cs="Times New Roman" w:eastAsia="Times New Roman" w:hAnsi="Times New Roman"/>
                <w:sz w:val="16"/>
                <w:szCs w:val="16"/>
                <w:color w:val="auto"/>
              </w:rPr>
              <w:t>Pension and other postretirement benefits contributions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(16,100)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(8,579)</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997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1,262</w:t>
            </w:r>
          </w:p>
        </w:tc>
        <w:tc>
          <w:tcPr>
            <w:tcW w:w="0" w:type="dxa"/>
            <w:vAlign w:val="bottom"/>
          </w:tcPr>
          <w:p>
            <w:pPr>
              <w:spacing w:after="0"/>
              <w:rPr>
                <w:sz w:val="1"/>
                <w:szCs w:val="1"/>
                <w:color w:val="auto"/>
              </w:rPr>
            </w:pPr>
          </w:p>
        </w:tc>
      </w:tr>
      <w:tr>
        <w:trPr>
          <w:trHeight w:val="154"/>
        </w:trPr>
        <w:tc>
          <w:tcPr>
            <w:tcW w:w="8300" w:type="dxa"/>
            <w:vAlign w:val="bottom"/>
            <w:tcBorders>
              <w:bottom w:val="single" w:sz="8" w:color="CCEEFF"/>
            </w:tcBorders>
          </w:tcPr>
          <w:p>
            <w:pPr>
              <w:spacing w:after="0" w:line="154" w:lineRule="exact"/>
              <w:rPr>
                <w:sz w:val="20"/>
                <w:szCs w:val="20"/>
                <w:color w:val="auto"/>
              </w:rPr>
            </w:pPr>
            <w:r>
              <w:rPr>
                <w:rFonts w:ascii="Times New Roman" w:cs="Times New Roman" w:eastAsia="Times New Roman" w:hAnsi="Times New Roman"/>
                <w:sz w:val="16"/>
                <w:szCs w:val="16"/>
                <w:color w:val="auto"/>
              </w:rPr>
              <w:t>Net cash flows from operating activities</w:t>
            </w:r>
          </w:p>
        </w:tc>
        <w:tc>
          <w:tcPr>
            <w:tcW w:w="3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420,655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228,029</w:t>
            </w:r>
          </w:p>
        </w:tc>
        <w:tc>
          <w:tcPr>
            <w:tcW w:w="0" w:type="dxa"/>
            <w:vAlign w:val="bottom"/>
          </w:tcPr>
          <w:p>
            <w:pPr>
              <w:spacing w:after="0"/>
              <w:rPr>
                <w:sz w:val="1"/>
                <w:szCs w:val="1"/>
                <w:color w:val="auto"/>
              </w:rPr>
            </w:pPr>
          </w:p>
        </w:tc>
      </w:tr>
      <w:tr>
        <w:trPr>
          <w:trHeight w:val="154"/>
        </w:trPr>
        <w:tc>
          <w:tcPr>
            <w:tcW w:w="83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8300" w:type="dxa"/>
            <w:vAlign w:val="bottom"/>
          </w:tcPr>
          <w:p>
            <w:pPr>
              <w:ind w:left="100"/>
              <w:spacing w:after="0" w:line="134" w:lineRule="exact"/>
              <w:rPr>
                <w:sz w:val="20"/>
                <w:szCs w:val="20"/>
                <w:color w:val="auto"/>
              </w:rPr>
            </w:pPr>
            <w:r>
              <w:rPr>
                <w:rFonts w:ascii="Times New Roman" w:cs="Times New Roman" w:eastAsia="Times New Roman" w:hAnsi="Times New Roman"/>
                <w:sz w:val="15"/>
                <w:szCs w:val="15"/>
                <w:color w:val="auto"/>
              </w:rPr>
              <w:t>Property, plant and equipment additions, including the debt component of allowance for funds used during construction 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(554,141)</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(401,558)</w:t>
            </w:r>
          </w:p>
        </w:tc>
        <w:tc>
          <w:tcPr>
            <w:tcW w:w="0" w:type="dxa"/>
            <w:vAlign w:val="bottom"/>
          </w:tcPr>
          <w:p>
            <w:pPr>
              <w:spacing w:after="0"/>
              <w:rPr>
                <w:sz w:val="1"/>
                <w:szCs w:val="1"/>
                <w:color w:val="auto"/>
              </w:rPr>
            </w:pPr>
          </w:p>
        </w:tc>
      </w:tr>
      <w:tr>
        <w:trPr>
          <w:trHeight w:val="187"/>
        </w:trPr>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$2,957 and $3,253</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Acquisitions of utility systems, net</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(3,467,032)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Net proceeds from the sale of other assets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1,063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2,361</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465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2,296</w:t>
            </w:r>
          </w:p>
        </w:tc>
        <w:tc>
          <w:tcPr>
            <w:tcW w:w="0" w:type="dxa"/>
            <w:vAlign w:val="bottom"/>
          </w:tcPr>
          <w:p>
            <w:pPr>
              <w:spacing w:after="0"/>
              <w:rPr>
                <w:sz w:val="1"/>
                <w:szCs w:val="1"/>
                <w:color w:val="auto"/>
              </w:rPr>
            </w:pPr>
          </w:p>
        </w:tc>
      </w:tr>
      <w:tr>
        <w:trPr>
          <w:trHeight w:val="154"/>
        </w:trPr>
        <w:tc>
          <w:tcPr>
            <w:tcW w:w="8300" w:type="dxa"/>
            <w:vAlign w:val="bottom"/>
            <w:tcBorders>
              <w:bottom w:val="single" w:sz="8" w:color="CCEEFF"/>
            </w:tcBorders>
          </w:tcPr>
          <w:p>
            <w:pPr>
              <w:spacing w:after="0" w:line="154" w:lineRule="exact"/>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(4,019,645)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(397,520)</w:t>
            </w:r>
          </w:p>
        </w:tc>
        <w:tc>
          <w:tcPr>
            <w:tcW w:w="0" w:type="dxa"/>
            <w:vAlign w:val="bottom"/>
          </w:tcPr>
          <w:p>
            <w:pPr>
              <w:spacing w:after="0"/>
              <w:rPr>
                <w:sz w:val="1"/>
                <w:szCs w:val="1"/>
                <w:color w:val="auto"/>
              </w:rPr>
            </w:pPr>
          </w:p>
        </w:tc>
      </w:tr>
      <w:tr>
        <w:trPr>
          <w:trHeight w:val="154"/>
        </w:trPr>
        <w:tc>
          <w:tcPr>
            <w:tcW w:w="83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Customers' advances and contributions in aid of construction</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7,475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8,692</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Repayments of customers' advances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(3,992)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(2,245)</w:t>
            </w: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Net repayments of short-term debt</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(160,420)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(5,449)</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Proceeds from long-term debt</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2,957,663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1,310,061</w:t>
            </w: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Repayments of long-term debt</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(1,647,354)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(888,951)</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Extinguishment of long-term debt</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(25,237)</w:t>
            </w: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Change in cash overdraft position</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18,166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(3,882)</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Issuance of common stock under dividend reinvestment plan</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12,322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4,819</w:t>
            </w: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Issuance of common stock from private placement</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729,301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Proceeds from stock issued to finance acquisition</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1,263,099</w:t>
            </w: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Proceeds from tangible equity unit issuance</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673,642</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Proceeds from exercised stock options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1,215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1,735</w:t>
            </w: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Repurchase of common stock</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(4,345)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(1,867)</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Dividends paid on common stock</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(171,079)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(136,821)</w:t>
            </w: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Times New Roman" w:cs="Times New Roman" w:eastAsia="Times New Roman" w:hAnsi="Times New Roman"/>
                <w:sz w:val="16"/>
                <w:szCs w:val="16"/>
                <w:color w:val="auto"/>
              </w:rPr>
              <w:t>(390)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(1,164)</w:t>
            </w:r>
          </w:p>
        </w:tc>
        <w:tc>
          <w:tcPr>
            <w:tcW w:w="0" w:type="dxa"/>
            <w:vAlign w:val="bottom"/>
          </w:tcPr>
          <w:p>
            <w:pPr>
              <w:spacing w:after="0"/>
              <w:rPr>
                <w:sz w:val="1"/>
                <w:szCs w:val="1"/>
                <w:color w:val="auto"/>
              </w:rPr>
            </w:pPr>
          </w:p>
        </w:tc>
      </w:tr>
      <w:tr>
        <w:trPr>
          <w:trHeight w:val="154"/>
        </w:trPr>
        <w:tc>
          <w:tcPr>
            <w:tcW w:w="830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Net cash flows from financing activities</w:t>
            </w:r>
          </w:p>
        </w:tc>
        <w:tc>
          <w:tcPr>
            <w:tcW w:w="3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1,738,562</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2,196,432</w:t>
            </w:r>
          </w:p>
        </w:tc>
        <w:tc>
          <w:tcPr>
            <w:tcW w:w="0" w:type="dxa"/>
            <w:vAlign w:val="bottom"/>
          </w:tcPr>
          <w:p>
            <w:pPr>
              <w:spacing w:after="0"/>
              <w:rPr>
                <w:sz w:val="1"/>
                <w:szCs w:val="1"/>
                <w:color w:val="auto"/>
              </w:rPr>
            </w:pPr>
          </w:p>
        </w:tc>
      </w:tr>
      <w:tr>
        <w:trPr>
          <w:trHeight w:val="154"/>
        </w:trPr>
        <w:tc>
          <w:tcPr>
            <w:tcW w:w="83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Net change in cash and cash equivalents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(1,860,428)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auto"/>
              </w:rPr>
              <w:t>2,026,941</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1,868,922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3,627</w:t>
            </w:r>
          </w:p>
        </w:tc>
        <w:tc>
          <w:tcPr>
            <w:tcW w:w="0" w:type="dxa"/>
            <w:vAlign w:val="bottom"/>
          </w:tcPr>
          <w:p>
            <w:pPr>
              <w:spacing w:after="0"/>
              <w:rPr>
                <w:sz w:val="1"/>
                <w:szCs w:val="1"/>
                <w:color w:val="auto"/>
              </w:rPr>
            </w:pPr>
          </w:p>
        </w:tc>
      </w:tr>
      <w:tr>
        <w:trPr>
          <w:trHeight w:val="154"/>
        </w:trPr>
        <w:tc>
          <w:tcPr>
            <w:tcW w:w="83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40" w:type="dxa"/>
            <w:vAlign w:val="bottom"/>
          </w:tcPr>
          <w:p>
            <w:pPr>
              <w:spacing w:after="0"/>
              <w:rPr>
                <w:sz w:val="13"/>
                <w:szCs w:val="13"/>
                <w:color w:val="auto"/>
              </w:rPr>
            </w:pPr>
          </w:p>
        </w:tc>
        <w:tc>
          <w:tcPr>
            <w:tcW w:w="300" w:type="dxa"/>
            <w:vAlign w:val="bottom"/>
            <w:tcBorders>
              <w:bottom w:val="single" w:sz="8" w:color="auto"/>
            </w:tcBorders>
          </w:tcPr>
          <w:p>
            <w:pPr>
              <w:jc w:val="right"/>
              <w:ind w:right="140"/>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8,494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00"/>
              <w:spacing w:after="0" w:line="154"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2,030,568</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30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Property, plant and equipment additions purchased at the period end, but not yet paid for</w:t>
            </w:r>
          </w:p>
        </w:tc>
        <w:tc>
          <w:tcPr>
            <w:tcW w:w="640" w:type="dxa"/>
            <w:vAlign w:val="bottom"/>
            <w:gridSpan w:val="2"/>
            <w:shd w:val="clear" w:color="auto" w:fill="CCEEFF"/>
          </w:tcPr>
          <w:p>
            <w:pPr>
              <w:jc w:val="right"/>
              <w:ind w:right="1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96,982</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line="161"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41,059</w:t>
            </w:r>
          </w:p>
        </w:tc>
        <w:tc>
          <w:tcPr>
            <w:tcW w:w="0" w:type="dxa"/>
            <w:vAlign w:val="bottom"/>
          </w:tcPr>
          <w:p>
            <w:pPr>
              <w:spacing w:after="0"/>
              <w:rPr>
                <w:sz w:val="1"/>
                <w:szCs w:val="1"/>
                <w:color w:val="auto"/>
              </w:rPr>
            </w:pPr>
          </w:p>
        </w:tc>
      </w:tr>
      <w:tr>
        <w:trPr>
          <w:trHeight w:val="209"/>
        </w:trPr>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customer advances and contributions in aid of construction</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24,633</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jc w:val="center"/>
        <w:ind w:right="60"/>
        <w:spacing w:after="0" w:line="236" w:lineRule="auto"/>
        <w:rPr>
          <w:sz w:val="20"/>
          <w:szCs w:val="20"/>
          <w:color w:val="auto"/>
        </w:rPr>
      </w:pPr>
      <w:r>
        <w:rPr>
          <w:rFonts w:ascii="Times New Roman" w:cs="Times New Roman" w:eastAsia="Times New Roman" w:hAnsi="Times New Roman"/>
          <w:sz w:val="21"/>
          <w:szCs w:val="21"/>
          <w:color w:val="auto"/>
        </w:rPr>
        <w:t>ESSENTIAL UTILITIES, INC. AND SUBSIDIARIES</w:t>
      </w:r>
    </w:p>
    <w:p>
      <w:pPr>
        <w:jc w:val="center"/>
        <w:ind w:right="-19"/>
        <w:spacing w:after="0" w:line="226" w:lineRule="auto"/>
        <w:rPr>
          <w:sz w:val="20"/>
          <w:szCs w:val="20"/>
          <w:color w:val="auto"/>
        </w:rPr>
      </w:pPr>
      <w:r>
        <w:rPr>
          <w:rFonts w:ascii="Times New Roman" w:cs="Times New Roman" w:eastAsia="Times New Roman" w:hAnsi="Times New Roman"/>
          <w:sz w:val="21"/>
          <w:szCs w:val="21"/>
          <w:color w:val="auto"/>
        </w:rPr>
        <w:t>NOTES TO CONSOLIDATED FINANCIAL STATEMENTS</w:t>
      </w:r>
    </w:p>
    <w:p>
      <w:pPr>
        <w:jc w:val="center"/>
        <w:ind w:right="-19"/>
        <w:spacing w:after="0" w:line="226"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jc w:val="center"/>
        <w:ind w:right="-19"/>
        <w:spacing w:after="0"/>
        <w:rPr>
          <w:sz w:val="20"/>
          <w:szCs w:val="20"/>
          <w:color w:val="auto"/>
        </w:rPr>
      </w:pPr>
      <w:r>
        <w:rPr>
          <w:rFonts w:ascii="Times New Roman" w:cs="Times New Roman" w:eastAsia="Times New Roman" w:hAnsi="Times New Roman"/>
          <w:sz w:val="21"/>
          <w:szCs w:val="2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 – </w:t>
      </w:r>
      <w:r>
        <w:rPr>
          <w:rFonts w:ascii="Times New Roman" w:cs="Times New Roman" w:eastAsia="Times New Roman" w:hAnsi="Times New Roman"/>
          <w:sz w:val="21"/>
          <w:szCs w:val="21"/>
          <w:b w:val="1"/>
          <w:bCs w:val="1"/>
          <w:i w:val="1"/>
          <w:iCs w:val="1"/>
          <w:color w:val="auto"/>
        </w:rPr>
        <w:t>Basis of Presentation</w:t>
      </w:r>
    </w:p>
    <w:p>
      <w:pPr>
        <w:spacing w:after="0" w:line="192" w:lineRule="exact"/>
        <w:rPr>
          <w:sz w:val="20"/>
          <w:szCs w:val="20"/>
          <w:color w:val="auto"/>
        </w:rPr>
      </w:pPr>
    </w:p>
    <w:p>
      <w:pPr>
        <w:ind w:right="360"/>
        <w:spacing w:after="0" w:line="236" w:lineRule="auto"/>
        <w:rPr>
          <w:sz w:val="20"/>
          <w:szCs w:val="20"/>
          <w:color w:val="auto"/>
        </w:rPr>
      </w:pPr>
      <w:r>
        <w:rPr>
          <w:rFonts w:ascii="Times New Roman" w:cs="Times New Roman" w:eastAsia="Times New Roman" w:hAnsi="Times New Roman"/>
          <w:sz w:val="21"/>
          <w:szCs w:val="21"/>
          <w:color w:val="auto"/>
        </w:rPr>
        <w:t xml:space="preserve">On March 16, 2020, Essential Utilities, Inc. completed the acquisition of Peoples Natural Gas (the “Peoples Gas Acquisition”), which expanded the Company’s regulated utility business to include natural gas distribution, serving approximately 747,000 natural gas utility customers in western Pennsylvania, West Virginia, and Kentucky. The results of Peoples Natural Gas (“Peoples”) are included in our unaudited Consolidated Financial Statements since the date of the acquisition. See Note 3 – </w:t>
      </w:r>
      <w:r>
        <w:rPr>
          <w:rFonts w:ascii="Times New Roman" w:cs="Times New Roman" w:eastAsia="Times New Roman" w:hAnsi="Times New Roman"/>
          <w:sz w:val="21"/>
          <w:szCs w:val="21"/>
          <w:i w:val="1"/>
          <w:iCs w:val="1"/>
          <w:color w:val="auto"/>
        </w:rPr>
        <w:t xml:space="preserve">Acquisitions </w:t>
      </w:r>
      <w:r>
        <w:rPr>
          <w:rFonts w:ascii="Times New Roman" w:cs="Times New Roman" w:eastAsia="Times New Roman" w:hAnsi="Times New Roman"/>
          <w:sz w:val="21"/>
          <w:szCs w:val="21"/>
          <w:color w:val="auto"/>
        </w:rPr>
        <w:t>for further information and Note 14 –</w:t>
      </w:r>
      <w:r>
        <w:rPr>
          <w:rFonts w:ascii="Times New Roman" w:cs="Times New Roman" w:eastAsia="Times New Roman" w:hAnsi="Times New Roman"/>
          <w:sz w:val="21"/>
          <w:szCs w:val="21"/>
          <w:i w:val="1"/>
          <w:iCs w:val="1"/>
          <w:color w:val="auto"/>
        </w:rPr>
        <w:t xml:space="preserve"> Segment Information </w:t>
      </w:r>
      <w:r>
        <w:rPr>
          <w:rFonts w:ascii="Times New Roman" w:cs="Times New Roman" w:eastAsia="Times New Roman" w:hAnsi="Times New Roman"/>
          <w:sz w:val="21"/>
          <w:szCs w:val="21"/>
          <w:color w:val="auto"/>
        </w:rPr>
        <w:t>for information on our reportable segments.</w:t>
      </w:r>
    </w:p>
    <w:p>
      <w:pPr>
        <w:spacing w:after="0" w:line="177"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1"/>
          <w:szCs w:val="21"/>
          <w:color w:val="auto"/>
        </w:rPr>
        <w:t>The accompanying consolidated balance sheets and statements of capitalization of Essential Utilities, Inc. and subsidiaries (collectively, the “Company”, “we”, “us” or “our”) at September 30, 2020, the consolidated statements of operations and comprehensive income for the three and nine months ended September 30, 2020 and 2019 the consolidated statements of cash flow for the nine months ended September 30, 2020 and 2019, and the consolidated statements of equity for the nine months ended September 30, 2020 and 2019 are unaudited, but reflect all adjustments, consisting of only normal recurring accruals, which are, in the opinion of management, necessary to present a fair statement of its consolidated financial position, consolidated changes in equity, consolidated results of operations, and consolidated cash flow for the periods presented.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2019. The results of operations for interim periods may not be indicative of the results that may be expected for the entire year. The December 31, 2019 consolidated balance sheet data presented herein was derived from the Company’s December 31, 2019 audited consolidated financial statements but does not include all disclosures and notes normally provided in annual financial statements. The following prior period amounts in the consolidated balance sheet have been reclassified to conform to the current period presentation:</w:t>
      </w:r>
    </w:p>
    <w:p>
      <w:pPr>
        <w:spacing w:after="0" w:line="185" w:lineRule="exact"/>
        <w:rPr>
          <w:sz w:val="20"/>
          <w:szCs w:val="20"/>
          <w:color w:val="auto"/>
        </w:rPr>
      </w:pPr>
    </w:p>
    <w:p>
      <w:pPr>
        <w:ind w:left="1340" w:hanging="319"/>
        <w:spacing w:after="0"/>
        <w:tabs>
          <w:tab w:leader="none" w:pos="1340" w:val="left"/>
        </w:tabs>
        <w:numPr>
          <w:ilvl w:val="0"/>
          <w:numId w:val="2"/>
        </w:numPr>
        <w:rPr>
          <w:rFonts w:ascii="Courier New" w:cs="Courier New" w:eastAsia="Courier New" w:hAnsi="Courier New"/>
          <w:sz w:val="21"/>
          <w:szCs w:val="21"/>
          <w:color w:val="auto"/>
        </w:rPr>
      </w:pPr>
      <w:r>
        <w:rPr>
          <w:rFonts w:ascii="Times New Roman" w:cs="Times New Roman" w:eastAsia="Times New Roman" w:hAnsi="Times New Roman"/>
          <w:sz w:val="21"/>
          <w:szCs w:val="21"/>
          <w:color w:val="auto"/>
        </w:rPr>
        <w:t>the current portion of regulatory assets and liabilities; and</w:t>
      </w:r>
    </w:p>
    <w:p>
      <w:pPr>
        <w:spacing w:after="0" w:line="18" w:lineRule="exact"/>
        <w:rPr>
          <w:rFonts w:ascii="Courier New" w:cs="Courier New" w:eastAsia="Courier New" w:hAnsi="Courier New"/>
          <w:sz w:val="21"/>
          <w:szCs w:val="21"/>
          <w:color w:val="auto"/>
        </w:rPr>
      </w:pPr>
    </w:p>
    <w:p>
      <w:pPr>
        <w:ind w:left="1340" w:hanging="319"/>
        <w:spacing w:after="0" w:line="235" w:lineRule="auto"/>
        <w:tabs>
          <w:tab w:leader="none" w:pos="1340" w:val="left"/>
        </w:tabs>
        <w:numPr>
          <w:ilvl w:val="0"/>
          <w:numId w:val="2"/>
        </w:numPr>
        <w:rPr>
          <w:rFonts w:ascii="Courier New" w:cs="Courier New" w:eastAsia="Courier New" w:hAnsi="Courier New"/>
          <w:sz w:val="21"/>
          <w:szCs w:val="21"/>
          <w:color w:val="auto"/>
        </w:rPr>
      </w:pPr>
      <w:r>
        <w:rPr>
          <w:rFonts w:ascii="Times New Roman" w:cs="Times New Roman" w:eastAsia="Times New Roman" w:hAnsi="Times New Roman"/>
          <w:sz w:val="21"/>
          <w:szCs w:val="21"/>
          <w:color w:val="auto"/>
        </w:rPr>
        <w:t>pension and other postretirement liabilities, which was formerly presented in non-current liabilities within other</w:t>
      </w:r>
    </w:p>
    <w:p>
      <w:pPr>
        <w:spacing w:after="0" w:line="204"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1"/>
          <w:szCs w:val="21"/>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operations and comprehensive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179"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1"/>
          <w:szCs w:val="21"/>
          <w:color w:val="auto"/>
        </w:rPr>
        <w:t>The current novel coronavirus (“COVID-19”) pandemic has caused significant social and economic restrictions that have been imposed in the United States and abroad, which has resulted in significant volatility in the global economy and led to reduced economic activity in some industries. In the preparation of these financial statements and related disclosures, we have assessed the impact that the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388"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1"/>
          <w:szCs w:val="21"/>
          <w:color w:val="auto"/>
        </w:rPr>
        <w:t>COVID-19 pandemic has had on our estimates, assumptions, forecasts, and accounting policies. Because of the essential nature of our business, we do not believe the COVID-19 pandemic had a material impact on our estimates, assumptions and forecasts used in the preparation of our financial statements, although we continue to monitor this closely. As the COVID-19 situation is unprecedented and ever evolving, future events and effects related to the COVID-19 pandemic cannot be determined with precision, and actual results could significantly differ from our estimates or forecasts.</w:t>
      </w:r>
    </w:p>
    <w:p>
      <w:pPr>
        <w:spacing w:after="0" w:line="177" w:lineRule="exact"/>
        <w:rPr>
          <w:sz w:val="20"/>
          <w:szCs w:val="20"/>
          <w:color w:val="auto"/>
        </w:rPr>
      </w:pPr>
    </w:p>
    <w:p>
      <w:pPr>
        <w:jc w:val="both"/>
        <w:ind w:right="360"/>
        <w:spacing w:after="0" w:line="244" w:lineRule="auto"/>
        <w:rPr>
          <w:sz w:val="20"/>
          <w:szCs w:val="20"/>
          <w:color w:val="auto"/>
        </w:rPr>
      </w:pPr>
      <w:r>
        <w:rPr>
          <w:rFonts w:ascii="Times New Roman" w:cs="Times New Roman" w:eastAsia="Times New Roman" w:hAnsi="Times New Roman"/>
          <w:sz w:val="21"/>
          <w:szCs w:val="21"/>
          <w:color w:val="auto"/>
        </w:rPr>
        <w:t>There have been no changes to the summary of significant accounting policies previously identified in the Company’s Annual Report on Form 10-K for the year ended December 31, 2019, other than as described below as a result of the completion of the Peoples Gas Acquisition:</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i w:val="1"/>
          <w:iCs w:val="1"/>
          <w:color w:val="auto"/>
        </w:rPr>
        <w:t>Inventories</w:t>
      </w:r>
      <w:r>
        <w:rPr>
          <w:rFonts w:ascii="Times New Roman" w:cs="Times New Roman" w:eastAsia="Times New Roman" w:hAnsi="Times New Roman"/>
          <w:sz w:val="21"/>
          <w:szCs w:val="21"/>
          <w:color w:val="auto"/>
        </w:rPr>
        <w:t>: The Company accounts for gas in storage inventory using the weighted average cost of gas method.</w:t>
      </w:r>
    </w:p>
    <w:p>
      <w:pPr>
        <w:spacing w:after="0" w:line="79" w:lineRule="exact"/>
        <w:rPr>
          <w:sz w:val="20"/>
          <w:szCs w:val="20"/>
          <w:color w:val="auto"/>
        </w:rPr>
      </w:pPr>
    </w:p>
    <w:p>
      <w:pPr>
        <w:ind w:left="700"/>
        <w:spacing w:after="0" w:line="239" w:lineRule="auto"/>
        <w:rPr>
          <w:sz w:val="20"/>
          <w:szCs w:val="20"/>
          <w:color w:val="auto"/>
        </w:rPr>
      </w:pPr>
      <w:r>
        <w:rPr>
          <w:rFonts w:ascii="Times New Roman" w:cs="Times New Roman" w:eastAsia="Times New Roman" w:hAnsi="Times New Roman"/>
          <w:sz w:val="21"/>
          <w:szCs w:val="21"/>
          <w:i w:val="1"/>
          <w:iCs w:val="1"/>
          <w:color w:val="auto"/>
        </w:rPr>
        <w:t xml:space="preserve">Intangible assets: </w:t>
      </w:r>
      <w:r>
        <w:rPr>
          <w:rFonts w:ascii="Times New Roman" w:cs="Times New Roman" w:eastAsia="Times New Roman" w:hAnsi="Times New Roman"/>
          <w:sz w:val="21"/>
          <w:szCs w:val="21"/>
          <w:color w:val="auto"/>
        </w:rPr>
        <w:t>The Company’s intangible assets consist of customer relationships for our non-regulated natural gas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operations, and non-compete agreements with certain former employees of Peoples. These intangible assets are amortized on a straight-line basis over their estimated useful lives of fifteen years for the customer relationships and five years for the non-compete agreements.</w:t>
      </w:r>
    </w:p>
    <w:p>
      <w:pPr>
        <w:spacing w:after="0" w:line="41" w:lineRule="exact"/>
        <w:rPr>
          <w:sz w:val="20"/>
          <w:szCs w:val="20"/>
          <w:color w:val="auto"/>
        </w:rPr>
      </w:pPr>
    </w:p>
    <w:p>
      <w:pPr>
        <w:ind w:left="700" w:right="20"/>
        <w:spacing w:after="0" w:line="233" w:lineRule="auto"/>
        <w:rPr>
          <w:sz w:val="20"/>
          <w:szCs w:val="20"/>
          <w:color w:val="auto"/>
        </w:rPr>
      </w:pPr>
      <w:r>
        <w:rPr>
          <w:rFonts w:ascii="Times New Roman" w:cs="Times New Roman" w:eastAsia="Times New Roman" w:hAnsi="Times New Roman"/>
          <w:sz w:val="21"/>
          <w:szCs w:val="21"/>
          <w:i w:val="1"/>
          <w:iCs w:val="1"/>
          <w:color w:val="auto"/>
        </w:rPr>
        <w:t>Derivative Instruments</w:t>
      </w:r>
      <w:r>
        <w:rPr>
          <w:rFonts w:ascii="Times New Roman" w:cs="Times New Roman" w:eastAsia="Times New Roman" w:hAnsi="Times New Roman"/>
          <w:sz w:val="21"/>
          <w:szCs w:val="21"/>
          <w:color w:val="auto"/>
        </w:rPr>
        <w:t>: The Company utilizes requirements contracts, spot purchase contracts and underground storage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meet regulated customers’ natural gas requirements that may have fixed or variable pricing. The variable price contracts qualify as derivative instruments; however, because the contract price is the prevailing price at the future transaction date the contract has no determinable fair value. The fixed price contracts and firm commitments to purchase a fixed quantity of gas in the future qualify for the normal purchases and normal sales exception that is allowed for contracts that are probable of delivery in the normal course of business and, as such, are accounted for under the accrual basis and are not recorded at fair value in the Company’s consolidated financial statements.</w:t>
      </w:r>
    </w:p>
    <w:p>
      <w:pPr>
        <w:spacing w:after="0" w:line="44" w:lineRule="exact"/>
        <w:rPr>
          <w:sz w:val="20"/>
          <w:szCs w:val="20"/>
          <w:color w:val="auto"/>
        </w:rPr>
      </w:pPr>
    </w:p>
    <w:p>
      <w:pPr>
        <w:ind w:left="700" w:right="20"/>
        <w:spacing w:after="0"/>
        <w:rPr>
          <w:sz w:val="20"/>
          <w:szCs w:val="20"/>
          <w:color w:val="auto"/>
        </w:rPr>
      </w:pPr>
      <w:r>
        <w:rPr>
          <w:rFonts w:ascii="Times New Roman" w:cs="Times New Roman" w:eastAsia="Times New Roman" w:hAnsi="Times New Roman"/>
          <w:sz w:val="21"/>
          <w:szCs w:val="21"/>
          <w:i w:val="1"/>
          <w:iCs w:val="1"/>
          <w:color w:val="auto"/>
        </w:rPr>
        <w:t>Asset Retirement Obligations</w:t>
      </w:r>
      <w:r>
        <w:rPr>
          <w:rFonts w:ascii="Times New Roman" w:cs="Times New Roman" w:eastAsia="Times New Roman" w:hAnsi="Times New Roman"/>
          <w:sz w:val="21"/>
          <w:szCs w:val="21"/>
          <w:color w:val="auto"/>
        </w:rPr>
        <w:t>: The Company recognizes asset retirement obligations associated with interim retirements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natural gas gathering, transmission, distribution, production wells, and storage pipeline components at fair value, as incurred, or when sufficient information becomes available to determine a reasonable estimate of the fair value of the retirement activities to be performed. These amounts are capitalized as costs of the related tangible long-lived assets. Since relevant market information is not available, the Company estimates fair value using discounted cash flow analyses. As the Company is able to recover the cost to retire assets through rates, the Company reports the unrecovered accretion of the asset retirement obligations due to the passage of time and the depreciation of the asset retirement costs as a regulatory asset.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2 – </w:t>
      </w:r>
      <w:r>
        <w:rPr>
          <w:rFonts w:ascii="Times New Roman" w:cs="Times New Roman" w:eastAsia="Times New Roman" w:hAnsi="Times New Roman"/>
          <w:sz w:val="21"/>
          <w:szCs w:val="21"/>
          <w:b w:val="1"/>
          <w:bCs w:val="1"/>
          <w:i w:val="1"/>
          <w:iCs w:val="1"/>
          <w:color w:val="auto"/>
        </w:rPr>
        <w:t>Revenue Recognition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presents our revenues disaggregated by major source and customer class: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color w:val="auto"/>
              </w:rPr>
              <w:t>September 30, 2020</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September 30, 2019</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Water Revenues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Wastewater</w:t>
            </w:r>
          </w:p>
        </w:tc>
        <w:tc>
          <w:tcPr>
            <w:tcW w:w="10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Natural Gas</w:t>
            </w:r>
          </w:p>
        </w:tc>
        <w:tc>
          <w:tcPr>
            <w:tcW w:w="120" w:type="dxa"/>
            <w:vAlign w:val="bottom"/>
          </w:tcPr>
          <w:p>
            <w:pPr>
              <w:spacing w:after="0"/>
              <w:rPr>
                <w:sz w:val="10"/>
                <w:szCs w:val="10"/>
                <w:color w:val="auto"/>
              </w:rPr>
            </w:pPr>
          </w:p>
        </w:tc>
        <w:tc>
          <w:tcPr>
            <w:tcW w:w="780" w:type="dxa"/>
            <w:vAlign w:val="bottom"/>
          </w:tcPr>
          <w:p>
            <w:pPr>
              <w:jc w:val="right"/>
              <w:ind w:right="249"/>
              <w:spacing w:after="0" w:line="118" w:lineRule="exact"/>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Water Revenues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Wastewater</w:t>
            </w:r>
          </w:p>
        </w:tc>
        <w:tc>
          <w:tcPr>
            <w:tcW w:w="120" w:type="dxa"/>
            <w:vAlign w:val="bottom"/>
          </w:tcPr>
          <w:p>
            <w:pPr>
              <w:spacing w:after="0"/>
              <w:rPr>
                <w:sz w:val="10"/>
                <w:szCs w:val="10"/>
                <w:color w:val="auto"/>
              </w:rPr>
            </w:pPr>
          </w:p>
        </w:tc>
        <w:tc>
          <w:tcPr>
            <w:tcW w:w="760" w:type="dxa"/>
            <w:vAlign w:val="bottom"/>
          </w:tcPr>
          <w:p>
            <w:pPr>
              <w:jc w:val="right"/>
              <w:ind w:right="229"/>
              <w:spacing w:after="0" w:line="118" w:lineRule="exact"/>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3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0" w:type="dxa"/>
            <w:vAlign w:val="bottom"/>
          </w:tcPr>
          <w:p>
            <w:pPr>
              <w:spacing w:after="0"/>
              <w:rPr>
                <w:sz w:val="1"/>
                <w:szCs w:val="1"/>
                <w:color w:val="auto"/>
              </w:rPr>
            </w:pPr>
          </w:p>
        </w:tc>
      </w:tr>
      <w:tr>
        <w:trPr>
          <w:trHeight w:val="140"/>
        </w:trPr>
        <w:tc>
          <w:tcPr>
            <w:tcW w:w="27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Residential</w:t>
            </w:r>
          </w:p>
        </w:tc>
        <w:tc>
          <w:tcPr>
            <w:tcW w:w="680" w:type="dxa"/>
            <w:vAlign w:val="bottom"/>
            <w:gridSpan w:val="2"/>
            <w:shd w:val="clear" w:color="auto" w:fill="CCEEFF"/>
          </w:tcPr>
          <w:p>
            <w:pPr>
              <w:jc w:val="right"/>
              <w:ind w:right="1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157,387</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24,175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46,913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56"/>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145,643</w:t>
            </w:r>
          </w:p>
        </w:tc>
        <w:tc>
          <w:tcPr>
            <w:tcW w:w="3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21,437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Commercial</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41,693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4,794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7,993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42,883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4,037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Fire protection</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8,535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8,565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Industrial</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1,407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8,730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390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Gas transportation</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26,248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Other water</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9,524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7,332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Other wastewater</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1,462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758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Customer rate credits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(3,757)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Other utility</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5,763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6,548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2,984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222,404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30,496</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88,324</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6,548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213,153</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26,622</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2,984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Alternative revenue program</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(341)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162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Other and eliminations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556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803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6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Consolidated</w:t>
            </w: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49"/>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222,063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30,353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88,880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7,351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213,088</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26,784</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3,754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color w:val="auto"/>
              </w:rPr>
              <w:t>Nine Months Ended</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Nine Months Ended</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color w:val="auto"/>
              </w:rPr>
              <w:t>September 30, 2020</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September 30, 2019</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Water Revenues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Wastewater</w:t>
            </w:r>
          </w:p>
        </w:tc>
        <w:tc>
          <w:tcPr>
            <w:tcW w:w="10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Natural Gas</w:t>
            </w:r>
          </w:p>
        </w:tc>
        <w:tc>
          <w:tcPr>
            <w:tcW w:w="120" w:type="dxa"/>
            <w:vAlign w:val="bottom"/>
          </w:tcPr>
          <w:p>
            <w:pPr>
              <w:spacing w:after="0"/>
              <w:rPr>
                <w:sz w:val="10"/>
                <w:szCs w:val="10"/>
                <w:color w:val="auto"/>
              </w:rPr>
            </w:pPr>
          </w:p>
        </w:tc>
        <w:tc>
          <w:tcPr>
            <w:tcW w:w="780" w:type="dxa"/>
            <w:vAlign w:val="bottom"/>
          </w:tcPr>
          <w:p>
            <w:pPr>
              <w:jc w:val="right"/>
              <w:ind w:right="249"/>
              <w:spacing w:after="0" w:line="118" w:lineRule="exact"/>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Water Revenues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Wastewater</w:t>
            </w:r>
          </w:p>
        </w:tc>
        <w:tc>
          <w:tcPr>
            <w:tcW w:w="120" w:type="dxa"/>
            <w:vAlign w:val="bottom"/>
          </w:tcPr>
          <w:p>
            <w:pPr>
              <w:spacing w:after="0"/>
              <w:rPr>
                <w:sz w:val="10"/>
                <w:szCs w:val="10"/>
                <w:color w:val="auto"/>
              </w:rPr>
            </w:pPr>
          </w:p>
        </w:tc>
        <w:tc>
          <w:tcPr>
            <w:tcW w:w="760" w:type="dxa"/>
            <w:vAlign w:val="bottom"/>
          </w:tcPr>
          <w:p>
            <w:pPr>
              <w:jc w:val="right"/>
              <w:ind w:right="229"/>
              <w:spacing w:after="0" w:line="118" w:lineRule="exact"/>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3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0" w:type="dxa"/>
            <w:vAlign w:val="bottom"/>
          </w:tcPr>
          <w:p>
            <w:pPr>
              <w:spacing w:after="0"/>
              <w:rPr>
                <w:sz w:val="1"/>
                <w:szCs w:val="1"/>
                <w:color w:val="auto"/>
              </w:rPr>
            </w:pPr>
          </w:p>
        </w:tc>
      </w:tr>
      <w:tr>
        <w:trPr>
          <w:trHeight w:val="140"/>
        </w:trPr>
        <w:tc>
          <w:tcPr>
            <w:tcW w:w="27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Residential</w:t>
            </w:r>
          </w:p>
        </w:tc>
        <w:tc>
          <w:tcPr>
            <w:tcW w:w="680" w:type="dxa"/>
            <w:vAlign w:val="bottom"/>
            <w:gridSpan w:val="2"/>
            <w:shd w:val="clear" w:color="auto" w:fill="CCEEFF"/>
          </w:tcPr>
          <w:p>
            <w:pPr>
              <w:jc w:val="right"/>
              <w:ind w:right="1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431,022</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70,421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156,004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56"/>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386,240</w:t>
            </w:r>
          </w:p>
        </w:tc>
        <w:tc>
          <w:tcPr>
            <w:tcW w:w="3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61,647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Commercial</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108,311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14,186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23,887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108,329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11,400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Fire protection</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26,437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24,903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Industrial</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22,597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3,721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23,052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1,358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Gas transportation</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75,951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Other water</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23,378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31,177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Other wastewater</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3,449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3,578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Customer rate credits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(3,757)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Other utility</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12,672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16,088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9,234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607,988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88,963</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272,235</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16,088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573,701</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77,983</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9,234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Alternative revenue program</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(281)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217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Other and eliminations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2,392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6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Consolidated</w:t>
            </w: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49"/>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607,707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88,715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273,798</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18,480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573,918</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77,930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11,802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1"/>
          <w:szCs w:val="21"/>
          <w:color w:val="auto"/>
        </w:rPr>
        <w:t>On March 16, 2020, the Company completed the Peoples Gas Acquisition, which expanded the Company’s regulated utility business, to include natural gas distribution. The natural gas revenues of Peoples are included for the period since the date of the acquisition.</w:t>
      </w:r>
    </w:p>
    <w:p>
      <w:pPr>
        <w:spacing w:after="0" w:line="167"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Revenues from Contracts with Customers – </w:t>
      </w:r>
      <w:r>
        <w:rPr>
          <w:rFonts w:ascii="Times New Roman" w:cs="Times New Roman" w:eastAsia="Times New Roman" w:hAnsi="Times New Roman"/>
          <w:sz w:val="21"/>
          <w:szCs w:val="21"/>
          <w:color w:val="auto"/>
        </w:rPr>
        <w:t>These revenues are composed of four main categories: water, wastewater, natural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gas, and other. Water revenues represent revenues earned for supplying customers with water service. Wastewater revenues represent revenues earned for treating wastewater and releasing it into the environment. Natural gas revenues represent revenues earned for the delivery of natural gas to customers. Other revenues are associated fees that relate to our utility businesses but are not water, wastewater, or natural gas revenues. Refer to the description below for a discussion of the performance obligation for each of these revenue streams.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ind w:left="340" w:right="2420"/>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1"/>
          <w:szCs w:val="21"/>
          <w:b w:val="1"/>
          <w:bCs w:val="1"/>
          <w:i w:val="1"/>
          <w:iCs w:val="1"/>
          <w:color w:val="auto"/>
        </w:rPr>
        <w:t xml:space="preserve">Tariff Revenues – </w:t>
      </w:r>
      <w:r>
        <w:rPr>
          <w:rFonts w:ascii="Times New Roman" w:cs="Times New Roman" w:eastAsia="Times New Roman" w:hAnsi="Times New Roman"/>
          <w:sz w:val="21"/>
          <w:szCs w:val="21"/>
          <w:color w:val="auto"/>
        </w:rPr>
        <w:t>These revenues are categorized by customer class: residential, commercial, fire protection, industrial, gas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transportation, other water and other wastewater, and customer rate credits. The rates that generate these revenues are approved by the respective state utility commission, and revenues are billed cyclically and accrued for when unbilled. Other water and other wastewater revenues consist primarily of fines, penalties, surcharges, and availability lot fees. Customer rate credits represent a commitment that the Company made, associated with the approval of the Peoples Gas Acquisition by the Pennsylvania Public Utility Commission, to provide $23,000 of customer rate credits before the end of 2020 to its natural gas utility customers and water and wastewater customers served by Aqua Pennsylvania, Inc. The Company granted $4,080 of customer rate credits to its water and wastewater customers during the third quarter of 2020, and natural gas utility customers will be granted credits of $18,920 in the fourth quarter of 2020. Our performance obligation for tariff revenues is to provide potable water, wastewater treatment service, or delivery of natural gas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17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1"/>
          <w:szCs w:val="21"/>
          <w:b w:val="1"/>
          <w:bCs w:val="1"/>
          <w:i w:val="1"/>
          <w:iCs w:val="1"/>
          <w:color w:val="auto"/>
        </w:rPr>
        <w:t xml:space="preserve">Other Utility Revenues – </w:t>
      </w:r>
      <w:r>
        <w:rPr>
          <w:rFonts w:ascii="Times New Roman" w:cs="Times New Roman" w:eastAsia="Times New Roman" w:hAnsi="Times New Roman"/>
          <w:sz w:val="21"/>
          <w:szCs w:val="21"/>
          <w:color w:val="auto"/>
        </w:rPr>
        <w:t>Other utility revenues represent revenues earned primarily from: antenna revenues, which represent fees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fees earned from developers for accessing our water mains; miscellaneous service revenue from gas distribution operations; gas processing and handling revenue; sales of natural gas at market-based rates and contracted fixed prices; sales of gas purchased from third parties; and other gas marketing activities. The performance obligations vary for these revenues, but all are primarily recognized over time as the service is delivered.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Alternative Revenue Program:</w:t>
      </w:r>
    </w:p>
    <w:p>
      <w:pPr>
        <w:spacing w:after="0" w:line="219" w:lineRule="exact"/>
        <w:rPr>
          <w:sz w:val="20"/>
          <w:szCs w:val="20"/>
          <w:color w:val="auto"/>
        </w:rPr>
      </w:pPr>
    </w:p>
    <w:p>
      <w:pPr>
        <w:ind w:left="640" w:right="20"/>
        <w:spacing w:after="0" w:line="229" w:lineRule="auto"/>
        <w:rPr>
          <w:sz w:val="20"/>
          <w:szCs w:val="20"/>
          <w:color w:val="auto"/>
        </w:rPr>
      </w:pPr>
      <w:r>
        <w:rPr>
          <w:rFonts w:ascii="Times New Roman" w:cs="Times New Roman" w:eastAsia="Times New Roman" w:hAnsi="Times New Roman"/>
          <w:sz w:val="21"/>
          <w:szCs w:val="21"/>
          <w:color w:val="auto"/>
        </w:rPr>
        <w:t>Water / Wastewater Revenues: These revenues represent the difference between the actual billed utility volumetric water and wastewater revenues for Aqua Illinois and the revenues set in the last Aqua Illinois rate case. In accordance with the Illinois Commerce Commission, we recognize revenues based on the target amount established in the last rate case, and then record either a regulatory asset or liability based on the cumulative annual difference between the target and actual, which results in either a payment from customers or a refund due to customers . The cumulative annual difference is either refunded to customers or collected from customers over a nine-month period.</w:t>
      </w:r>
    </w:p>
    <w:p>
      <w:pPr>
        <w:spacing w:after="0" w:line="6" w:lineRule="exact"/>
        <w:rPr>
          <w:sz w:val="20"/>
          <w:szCs w:val="20"/>
          <w:color w:val="auto"/>
        </w:rPr>
      </w:pPr>
    </w:p>
    <w:p>
      <w:pPr>
        <w:ind w:left="640" w:right="60"/>
        <w:spacing w:after="0" w:line="230" w:lineRule="auto"/>
        <w:rPr>
          <w:sz w:val="20"/>
          <w:szCs w:val="20"/>
          <w:color w:val="auto"/>
        </w:rPr>
      </w:pPr>
      <w:r>
        <w:rPr>
          <w:rFonts w:ascii="Times New Roman" w:cs="Times New Roman" w:eastAsia="Times New Roman" w:hAnsi="Times New Roman"/>
          <w:sz w:val="21"/>
          <w:szCs w:val="21"/>
          <w:color w:val="auto"/>
        </w:rPr>
        <w:t>Natural Gas Revenues: These revenues represent the weather-normalization adjustment (“WNA”) mechanism in place for our natural gas customers served in Kentucky. The WNA serves to minimize the effects of weather on the Company’s results for its residential and small commercial natural gas customers. This regulatory mechanism adjusts revenues earned for the variance between actual and normal weather and can have either positive (warmer than normal) or negative (colder than normal) effects on revenues. Customer bills are adjusted in the December through April billing months, with rates adjusted for the difference between actual revenues and revenues calculated under this mechanism billed to the customers.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4" w:name="page15"/>
    <w:bookmarkEnd w:id="14"/>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1"/>
          <w:szCs w:val="21"/>
          <w:color w:val="auto"/>
        </w:rPr>
        <w:t>These revenue programs represent a contract between the utility and its regulators, not customers, and therefore are not within the scope of the Financial Accounting Standards Board’s (“FASB”) accounting guidance for recognizing revenue from contracts with customers.</w:t>
      </w:r>
    </w:p>
    <w:p>
      <w:pPr>
        <w:spacing w:after="0" w:line="16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1"/>
          <w:szCs w:val="21"/>
          <w:b w:val="1"/>
          <w:bCs w:val="1"/>
          <w:i w:val="1"/>
          <w:iCs w:val="1"/>
          <w:color w:val="auto"/>
        </w:rPr>
        <w:t xml:space="preserve">Other and Eliminations – </w:t>
      </w:r>
      <w:r>
        <w:rPr>
          <w:rFonts w:ascii="Times New Roman" w:cs="Times New Roman" w:eastAsia="Times New Roman" w:hAnsi="Times New Roman"/>
          <w:sz w:val="21"/>
          <w:szCs w:val="21"/>
          <w:color w:val="auto"/>
        </w:rPr>
        <w:t>Other and eliminations consist of our market-based revenues, which comprises Aqua Infrastructure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Aqua Resources (described below) and intercompany eliminations for revenue billed between our subsidiaries.</w:t>
      </w:r>
    </w:p>
    <w:p>
      <w:pPr>
        <w:spacing w:after="0" w:line="149" w:lineRule="exact"/>
        <w:rPr>
          <w:sz w:val="20"/>
          <w:szCs w:val="20"/>
          <w:color w:val="auto"/>
        </w:rPr>
      </w:pPr>
    </w:p>
    <w:p>
      <w:pPr>
        <w:ind w:right="320"/>
        <w:spacing w:after="0" w:line="234" w:lineRule="auto"/>
        <w:rPr>
          <w:sz w:val="20"/>
          <w:szCs w:val="20"/>
          <w:color w:val="auto"/>
        </w:rPr>
      </w:pPr>
      <w:r>
        <w:rPr>
          <w:rFonts w:ascii="Times New Roman" w:cs="Times New Roman" w:eastAsia="Times New Roman" w:hAnsi="Times New Roman"/>
          <w:sz w:val="21"/>
          <w:szCs w:val="21"/>
          <w:color w:val="auto"/>
        </w:rPr>
        <w:t>Aqua Infrastructure is the holding company for our 49% investment in a joint venture that operates a private pipeline system to supply raw water to natural gas well drilling operations in the Marcellus Shale of north central Pennsylvania. The joint venture earns revenues through providing non-utility raw water supply services to natural gas drilling companies that enter into water supply contracts. The performance obligation is to deliver non-potable water to the joint venture’s customers. Aqua Infrastructure’s share of the revenues recognized by the joint venture is reflected, net, in equity earnings in joint venture on our consolidated statements of operations and comprehensive income.</w:t>
      </w:r>
    </w:p>
    <w:p>
      <w:pPr>
        <w:spacing w:after="0" w:line="179"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1"/>
          <w:szCs w:val="21"/>
          <w:color w:val="auto"/>
        </w:rPr>
        <w:t>Aqua Resources earns revenues by providing non-regulated water services through an operating and maintenance contract, and third party water and sewer service line protection and repair services. The performance obligations are performing agreed upon contract services to operate the water system, or allowing the use of our logo to a third party water and sewer service line repair. Revenues are primarily recognized over time as service is delivered.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3 – </w:t>
      </w:r>
      <w:r>
        <w:rPr>
          <w:rFonts w:ascii="Times New Roman" w:cs="Times New Roman" w:eastAsia="Times New Roman" w:hAnsi="Times New Roman"/>
          <w:sz w:val="21"/>
          <w:szCs w:val="21"/>
          <w:b w:val="1"/>
          <w:bCs w:val="1"/>
          <w:i w:val="1"/>
          <w:iCs w:val="1"/>
          <w:color w:val="auto"/>
        </w:rPr>
        <w:t>Acquisitions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Peoples Gas Acquisition</w:t>
      </w:r>
    </w:p>
    <w:p>
      <w:pPr>
        <w:spacing w:after="0" w:line="219"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1"/>
          <w:szCs w:val="21"/>
          <w:color w:val="auto"/>
        </w:rPr>
        <w:t>On March 16, 2020 (the “Closing Date”), the Company completed the Peoples Gas Acquisition and paid cash consideration of $3,465,344, which is subject to adjustment based upon the terms of the purchase agreement. Purchase price adjustments include the completion of a closing balance sheet, which was provided to the seller, and the finalization of an adjustment for utility capital expenditures made by the seller during the period between November 1, 2018 and closing. There is a dispute between the parties regarding this adjustment for utility capital expenditures. It is expected the matter will be resolved in accordance with the provisions of the purchase agreement or by the competent court of law with jurisdiction over the matter. The estimated purchase price paid by the Company was determined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Base purchase price</w:t>
            </w:r>
          </w:p>
        </w:tc>
        <w:tc>
          <w:tcPr>
            <w:tcW w:w="1140" w:type="dxa"/>
            <w:vAlign w:val="bottom"/>
            <w:gridSpan w:val="2"/>
            <w:shd w:val="clear" w:color="auto" w:fill="CCEEFF"/>
          </w:tcPr>
          <w:p>
            <w:pPr>
              <w:jc w:val="right"/>
              <w:ind w:right="953"/>
              <w:spacing w:after="0"/>
              <w:rPr>
                <w:sz w:val="20"/>
                <w:szCs w:val="20"/>
                <w:color w:val="auto"/>
              </w:rPr>
            </w:pPr>
            <w:r>
              <w:rPr>
                <w:rFonts w:ascii="Times New Roman" w:cs="Times New Roman" w:eastAsia="Times New Roman" w:hAnsi="Times New Roman"/>
                <w:sz w:val="20"/>
                <w:szCs w:val="20"/>
                <w:color w:val="auto"/>
                <w:w w:val="7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4,275,000</w:t>
            </w:r>
          </w:p>
        </w:tc>
      </w:tr>
      <w:tr>
        <w:trPr>
          <w:trHeight w:val="201"/>
        </w:trPr>
        <w:tc>
          <w:tcPr>
            <w:tcW w:w="81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Adjustments: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1"/>
        </w:trPr>
        <w:tc>
          <w:tcPr>
            <w:tcW w:w="8140" w:type="dxa"/>
            <w:vAlign w:val="bottom"/>
            <w:shd w:val="clear" w:color="auto" w:fill="CCEEFF"/>
          </w:tcPr>
          <w:p>
            <w:pPr>
              <w:ind w:left="100"/>
              <w:spacing w:after="0" w:line="201" w:lineRule="exact"/>
              <w:rPr>
                <w:sz w:val="20"/>
                <w:szCs w:val="20"/>
                <w:color w:val="auto"/>
              </w:rPr>
            </w:pPr>
            <w:r>
              <w:rPr>
                <w:rFonts w:ascii="Times New Roman" w:cs="Times New Roman" w:eastAsia="Times New Roman" w:hAnsi="Times New Roman"/>
                <w:sz w:val="20"/>
                <w:szCs w:val="20"/>
                <w:color w:val="auto"/>
              </w:rPr>
              <w:t>Estimated change in working capital</w:t>
            </w: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20"/>
                <w:szCs w:val="20"/>
                <w:color w:val="auto"/>
              </w:rPr>
              <w:t>43,935</w:t>
            </w:r>
          </w:p>
        </w:tc>
      </w:tr>
      <w:tr>
        <w:trPr>
          <w:trHeight w:val="201"/>
        </w:trPr>
        <w:tc>
          <w:tcPr>
            <w:tcW w:w="8140" w:type="dxa"/>
            <w:vAlign w:val="bottom"/>
          </w:tcPr>
          <w:p>
            <w:pPr>
              <w:ind w:left="100"/>
              <w:spacing w:after="0" w:line="201" w:lineRule="exact"/>
              <w:rPr>
                <w:sz w:val="20"/>
                <w:szCs w:val="20"/>
                <w:color w:val="auto"/>
              </w:rPr>
            </w:pPr>
            <w:r>
              <w:rPr>
                <w:rFonts w:ascii="Times New Roman" w:cs="Times New Roman" w:eastAsia="Times New Roman" w:hAnsi="Times New Roman"/>
                <w:sz w:val="20"/>
                <w:szCs w:val="20"/>
                <w:color w:val="auto"/>
              </w:rPr>
              <w:t>Certain estimated capital expenditures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247,500</w:t>
            </w:r>
          </w:p>
        </w:tc>
      </w:tr>
      <w:tr>
        <w:trPr>
          <w:trHeight w:val="201"/>
        </w:trPr>
        <w:tc>
          <w:tcPr>
            <w:tcW w:w="8140" w:type="dxa"/>
            <w:vAlign w:val="bottom"/>
            <w:shd w:val="clear" w:color="auto" w:fill="CCEEFF"/>
          </w:tcPr>
          <w:p>
            <w:pPr>
              <w:ind w:left="100"/>
              <w:spacing w:after="0" w:line="201" w:lineRule="exact"/>
              <w:rPr>
                <w:sz w:val="20"/>
                <w:szCs w:val="20"/>
                <w:color w:val="auto"/>
              </w:rPr>
            </w:pPr>
            <w:r>
              <w:rPr>
                <w:rFonts w:ascii="Times New Roman" w:cs="Times New Roman" w:eastAsia="Times New Roman" w:hAnsi="Times New Roman"/>
                <w:sz w:val="20"/>
                <w:szCs w:val="20"/>
                <w:color w:val="auto"/>
              </w:rPr>
              <w:t>Assumption of indebtedness</w:t>
            </w:r>
          </w:p>
        </w:tc>
        <w:tc>
          <w:tcPr>
            <w:tcW w:w="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20"/>
                <w:szCs w:val="20"/>
                <w:color w:val="auto"/>
              </w:rPr>
              <w:t>(1,101,091)</w:t>
            </w:r>
          </w:p>
        </w:tc>
      </w:tr>
      <w:tr>
        <w:trPr>
          <w:trHeight w:val="194"/>
        </w:trPr>
        <w:tc>
          <w:tcPr>
            <w:tcW w:w="8140" w:type="dxa"/>
            <w:vAlign w:val="bottom"/>
          </w:tcPr>
          <w:p>
            <w:pPr>
              <w:spacing w:after="0" w:line="194" w:lineRule="exact"/>
              <w:rPr>
                <w:sz w:val="20"/>
                <w:szCs w:val="20"/>
                <w:color w:val="auto"/>
              </w:rPr>
            </w:pPr>
            <w:r>
              <w:rPr>
                <w:rFonts w:ascii="Times New Roman" w:cs="Times New Roman" w:eastAsia="Times New Roman" w:hAnsi="Times New Roman"/>
                <w:sz w:val="20"/>
                <w:szCs w:val="20"/>
                <w:color w:val="auto"/>
              </w:rPr>
              <w:t>Cash consideration</w:t>
            </w: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53"/>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20"/>
                <w:szCs w:val="20"/>
                <w:color w:val="auto"/>
              </w:rPr>
              <w:t>3,465,344</w:t>
            </w:r>
          </w:p>
        </w:tc>
      </w:tr>
    </w:tbl>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-144145</wp:posOffset>
            </wp:positionV>
            <wp:extent cx="19704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040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ind w:left="340" w:right="2420"/>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1"/>
          <w:szCs w:val="21"/>
          <w:color w:val="auto"/>
        </w:rPr>
        <w:t xml:space="preserve">The assumption of $1,101,091 of indebtedness as of the Closing Date, consisted of $920,091 of senior notes and $181,000 of short-term debt. The acquisition was financed through a series of financing transactions which included the issuance of common stock from a public offering and a private placement, a tangible equity unit offering, and short and long-term debt. Refer to Note 6 – </w:t>
      </w:r>
      <w:r>
        <w:rPr>
          <w:rFonts w:ascii="Times New Roman" w:cs="Times New Roman" w:eastAsia="Times New Roman" w:hAnsi="Times New Roman"/>
          <w:sz w:val="21"/>
          <w:szCs w:val="21"/>
          <w:i w:val="1"/>
          <w:iCs w:val="1"/>
          <w:color w:val="auto"/>
        </w:rPr>
        <w:t>Capitalization</w:t>
      </w:r>
      <w:r>
        <w:rPr>
          <w:rFonts w:ascii="Times New Roman" w:cs="Times New Roman" w:eastAsia="Times New Roman" w:hAnsi="Times New Roman"/>
          <w:sz w:val="21"/>
          <w:szCs w:val="21"/>
          <w:color w:val="auto"/>
        </w:rPr>
        <w:t xml:space="preserve"> for further information on these financings.</w:t>
      </w:r>
    </w:p>
    <w:p>
      <w:pPr>
        <w:spacing w:after="0" w:line="179"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1"/>
          <w:szCs w:val="21"/>
          <w:color w:val="auto"/>
        </w:rPr>
        <w:t>The Company accounted for the Peoples Gas Acquisition as a business combination using the acquisition method of accounting. The estimated purchase price is allocated to the net tangible and intangible assets based upon their estimated fair values at the date of the acquisition. The purchase price allocation is preliminary and subject to revision. The Company has not completed the allocation of the purchase price as we are finalizing the valuation of the net assets acquired, including the evaluation of certain acquired contracts and asset retirement obligations, among others. Additionally, we are finalizing the purchase price for the capital expenditures adjustments provided for in the purchase agreement. During the third quarter of 2020, the Company recorded an adjustment to reduce goodwill by $2,127 primarily reflecting an adjustment to deferred income taxes. The Company expects to finalize the purchase price allocation no later than the first quarter of 2021. Additionally, in the event we identify changes to acquired deferred tax asset valuation allowances or liabilities related to uncertain tax positions during the one year measurement period, and they are related to new information obtained about facts and circumstances that existed as of the acquisition date, those changes are considered a measurement-period adjustment, and we record the offset to goodwill. The preliminary purchase price allocation is as follows: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135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209" w:lineRule="auto"/>
        <w:rPr>
          <w:sz w:val="20"/>
          <w:szCs w:val="20"/>
          <w:color w:val="auto"/>
        </w:rPr>
      </w:pPr>
      <w:r>
        <w:rPr>
          <w:rFonts w:ascii="Times New Roman" w:cs="Times New Roman" w:eastAsia="Times New Roman" w:hAnsi="Times New Roman"/>
          <w:sz w:val="20"/>
          <w:szCs w:val="20"/>
          <w:color w:val="auto"/>
        </w:rPr>
        <w:t>Current assets</w:t>
      </w:r>
    </w:p>
    <w:p>
      <w:pPr>
        <w:spacing w:after="0" w:line="209" w:lineRule="auto"/>
        <w:rPr>
          <w:sz w:val="20"/>
          <w:szCs w:val="20"/>
          <w:color w:val="auto"/>
        </w:rPr>
      </w:pPr>
      <w:r>
        <w:rPr>
          <w:rFonts w:ascii="Times New Roman" w:cs="Times New Roman" w:eastAsia="Times New Roman" w:hAnsi="Times New Roman"/>
          <w:sz w:val="20"/>
          <w:szCs w:val="20"/>
          <w:color w:val="auto"/>
        </w:rPr>
        <w:t>Regulatory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127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210" w:lineRule="auto"/>
        <w:rPr>
          <w:sz w:val="20"/>
          <w:szCs w:val="20"/>
          <w:color w:val="auto"/>
        </w:rPr>
      </w:pPr>
      <w:r>
        <w:rPr>
          <w:rFonts w:ascii="Times New Roman" w:cs="Times New Roman" w:eastAsia="Times New Roman" w:hAnsi="Times New Roman"/>
          <w:sz w:val="20"/>
          <w:szCs w:val="20"/>
          <w:color w:val="auto"/>
        </w:rPr>
        <w:t>Goodwill</w:t>
      </w:r>
    </w:p>
    <w:p>
      <w:pPr>
        <w:spacing w:after="0" w:line="223" w:lineRule="auto"/>
        <w:rPr>
          <w:sz w:val="20"/>
          <w:szCs w:val="20"/>
          <w:color w:val="auto"/>
        </w:rPr>
      </w:pPr>
      <w:r>
        <w:rPr>
          <w:rFonts w:ascii="Times New Roman" w:cs="Times New Roman" w:eastAsia="Times New Roman" w:hAnsi="Times New Roman"/>
          <w:sz w:val="20"/>
          <w:szCs w:val="20"/>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133590" cy="127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Total assets acquired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127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209" w:lineRule="auto"/>
        <w:rPr>
          <w:sz w:val="20"/>
          <w:szCs w:val="20"/>
          <w:color w:val="auto"/>
        </w:rPr>
      </w:pPr>
      <w:r>
        <w:rPr>
          <w:rFonts w:ascii="Times New Roman" w:cs="Times New Roman" w:eastAsia="Times New Roman" w:hAnsi="Times New Roman"/>
          <w:sz w:val="20"/>
          <w:szCs w:val="20"/>
          <w:color w:val="auto"/>
        </w:rPr>
        <w:t>Loans payable</w:t>
      </w:r>
    </w:p>
    <w:p>
      <w:pPr>
        <w:spacing w:after="0" w:line="209" w:lineRule="auto"/>
        <w:rPr>
          <w:sz w:val="20"/>
          <w:szCs w:val="20"/>
          <w:color w:val="auto"/>
        </w:rPr>
      </w:pPr>
      <w:r>
        <w:rPr>
          <w:rFonts w:ascii="Times New Roman" w:cs="Times New Roman" w:eastAsia="Times New Roman" w:hAnsi="Times New Roman"/>
          <w:sz w:val="20"/>
          <w:szCs w:val="20"/>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127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210" w:lineRule="auto"/>
        <w:rPr>
          <w:sz w:val="20"/>
          <w:szCs w:val="20"/>
          <w:color w:val="auto"/>
        </w:rPr>
      </w:pPr>
      <w:r>
        <w:rPr>
          <w:rFonts w:ascii="Times New Roman" w:cs="Times New Roman" w:eastAsia="Times New Roman" w:hAnsi="Times New Roman"/>
          <w:sz w:val="20"/>
          <w:szCs w:val="20"/>
          <w:color w:val="auto"/>
        </w:rPr>
        <w:t>Long-term debt</w:t>
      </w:r>
    </w:p>
    <w:p>
      <w:pPr>
        <w:spacing w:after="0" w:line="209" w:lineRule="auto"/>
        <w:rPr>
          <w:sz w:val="20"/>
          <w:szCs w:val="20"/>
          <w:color w:val="auto"/>
        </w:rPr>
      </w:pPr>
      <w:r>
        <w:rPr>
          <w:rFonts w:ascii="Times New Roman" w:cs="Times New Roman" w:eastAsia="Times New Roman" w:hAnsi="Times New Roman"/>
          <w:sz w:val="20"/>
          <w:szCs w:val="20"/>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127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209" w:lineRule="auto"/>
        <w:rPr>
          <w:sz w:val="20"/>
          <w:szCs w:val="20"/>
          <w:color w:val="auto"/>
        </w:rPr>
      </w:pPr>
      <w:r>
        <w:rPr>
          <w:rFonts w:ascii="Times New Roman" w:cs="Times New Roman" w:eastAsia="Times New Roman" w:hAnsi="Times New Roman"/>
          <w:sz w:val="20"/>
          <w:szCs w:val="20"/>
          <w:color w:val="auto"/>
        </w:rPr>
        <w:t>Regulatory liabilities</w:t>
      </w:r>
    </w:p>
    <w:p>
      <w:pPr>
        <w:spacing w:after="0" w:line="224" w:lineRule="auto"/>
        <w:rPr>
          <w:sz w:val="20"/>
          <w:szCs w:val="20"/>
          <w:color w:val="auto"/>
        </w:rPr>
      </w:pPr>
      <w:r>
        <w:rPr>
          <w:rFonts w:ascii="Times New Roman" w:cs="Times New Roman" w:eastAsia="Times New Roman" w:hAnsi="Times New Roman"/>
          <w:sz w:val="20"/>
          <w:szCs w:val="20"/>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127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Total liabilities assumed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33590" cy="144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5"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200660</wp:posOffset>
            </wp:positionV>
            <wp:extent cx="7133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2040" w:type="dxa"/>
            <w:vAlign w:val="bottom"/>
          </w:tcPr>
          <w:p>
            <w:pPr>
              <w:jc w:val="right"/>
              <w:ind w:right="763"/>
              <w:spacing w:after="0"/>
              <w:rPr>
                <w:sz w:val="20"/>
                <w:szCs w:val="20"/>
                <w:color w:val="auto"/>
              </w:rPr>
            </w:pPr>
            <w:r>
              <w:rPr>
                <w:rFonts w:ascii="Times New Roman" w:cs="Times New Roman" w:eastAsia="Times New Roman" w:hAnsi="Times New Roman"/>
                <w:sz w:val="20"/>
                <w:szCs w:val="20"/>
                <w:color w:val="auto"/>
              </w:rPr>
              <w:t>March 16,</w:t>
            </w:r>
          </w:p>
        </w:tc>
      </w:tr>
      <w:tr>
        <w:trPr>
          <w:trHeight w:val="237"/>
        </w:trPr>
        <w:tc>
          <w:tcPr>
            <w:tcW w:w="4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963"/>
              <w:spacing w:after="0"/>
              <w:rPr>
                <w:sz w:val="20"/>
                <w:szCs w:val="20"/>
                <w:color w:val="auto"/>
              </w:rPr>
            </w:pPr>
            <w:r>
              <w:rPr>
                <w:rFonts w:ascii="Times New Roman" w:cs="Times New Roman" w:eastAsia="Times New Roman" w:hAnsi="Times New Roman"/>
                <w:sz w:val="20"/>
                <w:szCs w:val="20"/>
                <w:color w:val="auto"/>
              </w:rPr>
              <w:t>2020</w:t>
            </w:r>
          </w:p>
        </w:tc>
      </w:tr>
      <w:tr>
        <w:trPr>
          <w:trHeight w:val="158"/>
        </w:trPr>
        <w:tc>
          <w:tcPr>
            <w:tcW w:w="480" w:type="dxa"/>
            <w:vAlign w:val="bottom"/>
          </w:tcPr>
          <w:p>
            <w:pPr>
              <w:jc w:val="right"/>
              <w:ind w:right="287"/>
              <w:spacing w:after="0" w:line="158" w:lineRule="exact"/>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tcPr>
          <w:p>
            <w:pPr>
              <w:jc w:val="right"/>
              <w:spacing w:after="0" w:line="158" w:lineRule="exact"/>
              <w:rPr>
                <w:sz w:val="20"/>
                <w:szCs w:val="20"/>
                <w:color w:val="auto"/>
              </w:rPr>
            </w:pPr>
            <w:r>
              <w:rPr>
                <w:rFonts w:ascii="Times New Roman" w:cs="Times New Roman" w:eastAsia="Times New Roman" w:hAnsi="Times New Roman"/>
                <w:sz w:val="17"/>
                <w:szCs w:val="17"/>
                <w:color w:val="auto"/>
              </w:rPr>
              <w:t>2,476,551</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242,531</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283,794</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2,267,310</w:t>
            </w:r>
          </w:p>
        </w:tc>
      </w:tr>
      <w:tr>
        <w:trPr>
          <w:trHeight w:val="237"/>
        </w:trPr>
        <w:tc>
          <w:tcPr>
            <w:tcW w:w="4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75,069</w:t>
            </w:r>
          </w:p>
        </w:tc>
      </w:tr>
      <w:tr>
        <w:trPr>
          <w:trHeight w:val="194"/>
        </w:trPr>
        <w:tc>
          <w:tcPr>
            <w:tcW w:w="4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20"/>
                <w:szCs w:val="20"/>
                <w:color w:val="auto"/>
              </w:rPr>
              <w:t>5,345,255</w:t>
            </w:r>
          </w:p>
        </w:tc>
      </w:tr>
      <w:tr>
        <w:trPr>
          <w:trHeight w:val="358"/>
        </w:trPr>
        <w:tc>
          <w:tcPr>
            <w:tcW w:w="4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5,136</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181,000</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183,971</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999,460</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229,581</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123,029</w:t>
            </w:r>
          </w:p>
        </w:tc>
      </w:tr>
      <w:tr>
        <w:trPr>
          <w:trHeight w:val="237"/>
        </w:trPr>
        <w:tc>
          <w:tcPr>
            <w:tcW w:w="4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157,734</w:t>
            </w:r>
          </w:p>
        </w:tc>
      </w:tr>
      <w:tr>
        <w:trPr>
          <w:trHeight w:val="194"/>
        </w:trPr>
        <w:tc>
          <w:tcPr>
            <w:tcW w:w="4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20"/>
                <w:szCs w:val="20"/>
                <w:color w:val="auto"/>
              </w:rPr>
              <w:t>1,879,911</w:t>
            </w:r>
          </w:p>
        </w:tc>
      </w:tr>
      <w:tr>
        <w:trPr>
          <w:trHeight w:val="194"/>
        </w:trPr>
        <w:tc>
          <w:tcPr>
            <w:tcW w:w="4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r>
      <w:tr>
        <w:trPr>
          <w:trHeight w:val="194"/>
        </w:trPr>
        <w:tc>
          <w:tcPr>
            <w:tcW w:w="480" w:type="dxa"/>
            <w:vAlign w:val="bottom"/>
            <w:tcBorders>
              <w:bottom w:val="single" w:sz="8" w:color="auto"/>
            </w:tcBorders>
          </w:tcPr>
          <w:p>
            <w:pPr>
              <w:jc w:val="right"/>
              <w:ind w:right="287"/>
              <w:spacing w:after="0" w:line="194" w:lineRule="exact"/>
              <w:rPr>
                <w:sz w:val="20"/>
                <w:szCs w:val="20"/>
                <w:color w:val="auto"/>
              </w:rPr>
            </w:pPr>
            <w:r>
              <w:rPr>
                <w:rFonts w:ascii="Times New Roman" w:cs="Times New Roman" w:eastAsia="Times New Roman" w:hAnsi="Times New Roman"/>
                <w:sz w:val="20"/>
                <w:szCs w:val="20"/>
                <w:color w:val="auto"/>
                <w:w w:val="79"/>
              </w:rPr>
              <w:t>$</w:t>
            </w:r>
          </w:p>
        </w:tc>
        <w:tc>
          <w:tcPr>
            <w:tcW w:w="20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20"/>
                <w:szCs w:val="20"/>
                <w:color w:val="auto"/>
              </w:rPr>
              <w:t>3,465,344</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000" w:space="720"/>
            <w:col w:w="2520"/>
          </w:cols>
          <w:pgMar w:left="320" w:top="112" w:right="339" w:bottom="1440" w:gutter="0" w:footer="0" w:header="0"/>
          <w:type w:val="continuous"/>
        </w:sectPr>
      </w:pPr>
    </w:p>
    <w:bookmarkStart w:id="16" w:name="page17"/>
    <w:bookmarkEnd w:id="16"/>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1"/>
          <w:szCs w:val="21"/>
          <w:color w:val="auto"/>
        </w:rPr>
        <w:t>The fair value of long-term debt was determined based on prevailing market prices for similar debt issuances as of March 16, 2020, which resulted in an adjustment to increase the carrying amount by $84,569. The fair value adjustment will be amortized over the remaining life of the debt.</w:t>
      </w:r>
    </w:p>
    <w:p>
      <w:pPr>
        <w:spacing w:after="0" w:line="173"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1"/>
          <w:szCs w:val="21"/>
          <w:color w:val="auto"/>
        </w:rPr>
        <w:t>Goodwill is attributable to the assembled workforce of Peoples, planned growth in new markets, and planned growth in rate base through continued investment in utility infrastructure. Goodwill recorded for the Peoples Gas Acquisition is not expected to be deductible for tax purposes.</w:t>
      </w:r>
    </w:p>
    <w:p>
      <w:pPr>
        <w:spacing w:after="0" w:line="173"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1"/>
          <w:szCs w:val="21"/>
          <w:color w:val="auto"/>
        </w:rPr>
        <w:t>The Company incurred transaction-related expenses for the Peoples Gas Acquisition, which consists of costs recorded as operations and maintenance expenses in the first quarter of 2020 of $25,397, and for the three and nine months ended September 30, 2019 of $2,496 and $21,886, respectively, primarily representing expenses associated with investment banking fees, including bridge financing, employee related costs, obtaining regulatory approvals, legal expenses, and integration planning. There were no further transaction-related expenses for the Peoples Gas Acquisition in the second and third quarter of 2020. Additionally, for the year to date 2019 period through settlement on April 24, 2019, the change in fair value of interest rate swap agreements of $23,742 represents expense recognized from the mark-to-market adjustment. The interest rate swap agreements were settled on April 24, 2019, which coincided with debt financings to partially fund the Peoples Gas Acquisition.</w:t>
      </w:r>
    </w:p>
    <w:p>
      <w:pPr>
        <w:spacing w:after="0" w:line="179"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1"/>
          <w:szCs w:val="21"/>
          <w:color w:val="auto"/>
        </w:rPr>
        <w:t>The results of Peoples have been included in our consolidated financial statements as of the Closing Date. Peoples contributed revenues of $280,300 and earnings of $6,131 for the period from the Closing Date to September 30, 2020. The following pro forma summary presents consolidated information as if the Peoples Gas Acquisition had occurred on January 1,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80" w:type="dxa"/>
            <w:vAlign w:val="bottom"/>
            <w:gridSpan w:val="5"/>
          </w:tcPr>
          <w:p>
            <w:pPr>
              <w:jc w:val="center"/>
              <w:ind w:right="620"/>
              <w:spacing w:after="0"/>
              <w:rPr>
                <w:sz w:val="20"/>
                <w:szCs w:val="20"/>
                <w:color w:val="auto"/>
              </w:rPr>
            </w:pPr>
            <w:r>
              <w:rPr>
                <w:rFonts w:ascii="Times New Roman" w:cs="Times New Roman" w:eastAsia="Times New Roman" w:hAnsi="Times New Roman"/>
                <w:sz w:val="21"/>
                <w:szCs w:val="21"/>
                <w:color w:val="auto"/>
              </w:rPr>
              <w:t>Three Months Ended</w:t>
            </w:r>
          </w:p>
        </w:tc>
        <w:tc>
          <w:tcPr>
            <w:tcW w:w="400" w:type="dxa"/>
            <w:vAlign w:val="bottom"/>
          </w:tcPr>
          <w:p>
            <w:pPr>
              <w:spacing w:after="0"/>
              <w:rPr>
                <w:sz w:val="20"/>
                <w:szCs w:val="20"/>
                <w:color w:val="auto"/>
              </w:rPr>
            </w:pPr>
          </w:p>
        </w:tc>
        <w:tc>
          <w:tcPr>
            <w:tcW w:w="3120" w:type="dxa"/>
            <w:vAlign w:val="bottom"/>
            <w:gridSpan w:val="4"/>
          </w:tcPr>
          <w:p>
            <w:pPr>
              <w:jc w:val="center"/>
              <w:ind w:right="293"/>
              <w:spacing w:after="0"/>
              <w:rPr>
                <w:sz w:val="20"/>
                <w:szCs w:val="20"/>
                <w:color w:val="auto"/>
              </w:rPr>
            </w:pPr>
            <w:r>
              <w:rPr>
                <w:rFonts w:ascii="Times New Roman" w:cs="Times New Roman" w:eastAsia="Times New Roman" w:hAnsi="Times New Roman"/>
                <w:sz w:val="21"/>
                <w:szCs w:val="21"/>
                <w:color w:val="auto"/>
              </w:rPr>
              <w:t>Nine Months Ended</w:t>
            </w:r>
          </w:p>
        </w:tc>
      </w:tr>
      <w:tr>
        <w:trPr>
          <w:trHeight w:val="255"/>
        </w:trPr>
        <w:tc>
          <w:tcPr>
            <w:tcW w:w="40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21"/>
                <w:szCs w:val="21"/>
                <w:color w:val="auto"/>
              </w:rPr>
              <w:t>September 30,</w:t>
            </w:r>
          </w:p>
        </w:tc>
        <w:tc>
          <w:tcPr>
            <w:tcW w:w="10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21"/>
                <w:szCs w:val="21"/>
                <w:color w:val="auto"/>
              </w:rPr>
              <w:t>September 30,</w:t>
            </w:r>
          </w:p>
        </w:tc>
        <w:tc>
          <w:tcPr>
            <w:tcW w:w="1040" w:type="dxa"/>
            <w:vAlign w:val="bottom"/>
            <w:tcBorders>
              <w:bottom w:val="single" w:sz="8" w:color="auto"/>
            </w:tcBorders>
          </w:tcPr>
          <w:p>
            <w:pPr>
              <w:spacing w:after="0"/>
              <w:rPr>
                <w:sz w:val="22"/>
                <w:szCs w:val="22"/>
                <w:color w:val="auto"/>
              </w:rPr>
            </w:pPr>
          </w:p>
        </w:tc>
      </w:tr>
      <w:tr>
        <w:trPr>
          <w:trHeight w:val="221"/>
        </w:trPr>
        <w:tc>
          <w:tcPr>
            <w:tcW w:w="40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3"/>
              <w:spacing w:after="0" w:line="221" w:lineRule="exact"/>
              <w:rPr>
                <w:sz w:val="20"/>
                <w:szCs w:val="20"/>
                <w:color w:val="auto"/>
              </w:rPr>
            </w:pPr>
            <w:r>
              <w:rPr>
                <w:rFonts w:ascii="Times New Roman" w:cs="Times New Roman" w:eastAsia="Times New Roman" w:hAnsi="Times New Roman"/>
                <w:sz w:val="21"/>
                <w:szCs w:val="21"/>
                <w:color w:val="auto"/>
              </w:rPr>
              <w:t>2019</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3"/>
              <w:spacing w:after="0" w:line="221" w:lineRule="exact"/>
              <w:rPr>
                <w:sz w:val="20"/>
                <w:szCs w:val="20"/>
                <w:color w:val="auto"/>
              </w:rPr>
            </w:pPr>
            <w:r>
              <w:rPr>
                <w:rFonts w:ascii="Times New Roman" w:cs="Times New Roman" w:eastAsia="Times New Roman" w:hAnsi="Times New Roman"/>
                <w:sz w:val="21"/>
                <w:szCs w:val="21"/>
                <w:color w:val="auto"/>
              </w:rPr>
              <w:t>2019</w:t>
            </w:r>
          </w:p>
        </w:tc>
      </w:tr>
      <w:tr>
        <w:trPr>
          <w:trHeight w:val="221"/>
        </w:trPr>
        <w:tc>
          <w:tcPr>
            <w:tcW w:w="404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Operating revenues</w:t>
            </w:r>
          </w:p>
        </w:tc>
        <w:tc>
          <w:tcPr>
            <w:tcW w:w="400" w:type="dxa"/>
            <w:vAlign w:val="bottom"/>
            <w:shd w:val="clear" w:color="auto" w:fill="CCEEFF"/>
          </w:tcPr>
          <w:p>
            <w:pPr>
              <w:jc w:val="right"/>
              <w:ind w:right="173"/>
              <w:spacing w:after="0" w:line="221" w:lineRule="exact"/>
              <w:rPr>
                <w:sz w:val="20"/>
                <w:szCs w:val="20"/>
                <w:color w:val="auto"/>
              </w:rPr>
            </w:pPr>
            <w:r>
              <w:rPr>
                <w:rFonts w:ascii="Times New Roman" w:cs="Times New Roman" w:eastAsia="Times New Roman" w:hAnsi="Times New Roman"/>
                <w:sz w:val="21"/>
                <w:szCs w:val="21"/>
                <w:color w:val="auto"/>
                <w:w w:val="94"/>
              </w:rPr>
              <w:t>$</w:t>
            </w:r>
          </w:p>
        </w:tc>
        <w:tc>
          <w:tcPr>
            <w:tcW w:w="116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348,647</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04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341,636</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26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1,269,768</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04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1,292,057</w:t>
            </w:r>
          </w:p>
        </w:tc>
      </w:tr>
      <w:tr>
        <w:trPr>
          <w:trHeight w:val="279"/>
        </w:trPr>
        <w:tc>
          <w:tcPr>
            <w:tcW w:w="4040" w:type="dxa"/>
            <w:vAlign w:val="bottom"/>
          </w:tcPr>
          <w:p>
            <w:pPr>
              <w:spacing w:after="0"/>
              <w:rPr>
                <w:sz w:val="20"/>
                <w:szCs w:val="20"/>
                <w:color w:val="auto"/>
              </w:rPr>
            </w:pPr>
            <w:r>
              <w:rPr>
                <w:rFonts w:ascii="Times New Roman" w:cs="Times New Roman" w:eastAsia="Times New Roman" w:hAnsi="Times New Roman"/>
                <w:sz w:val="21"/>
                <w:szCs w:val="21"/>
                <w:color w:val="auto"/>
              </w:rPr>
              <w:t>Net income</w:t>
            </w: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55,732</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75,461</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264,785</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198,066</w:t>
            </w:r>
          </w:p>
        </w:tc>
      </w:tr>
    </w:tbl>
    <w:p>
      <w:pPr>
        <w:spacing w:after="0" w:line="149"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1"/>
          <w:szCs w:val="21"/>
          <w:color w:val="auto"/>
        </w:rPr>
        <w:t>The supplemental pro forma information is not necessarily representative of the actual results that may have occurred for these periods or of the results that may occur in the future. This supplemental pro forma information is based upon the historical operating results of Peoples for periods prior to the Closing Date, and is adjusted to reflect the effect of non-recurring acquisition-related costs, incurred in 2020 and 2019 as if they occurred on January 1, 2019, including $20,628 ($25,197 pre-tax) and $16,464 ($21,406 pre-tax) of expenses incurred in 2020 and 2019, respectively, primarily associated with investment banking fees, obtaining regulatory approvals, legal expenses and other direct costs of the Peoples Gas Acquisition, adjustments to reflect net acquisition financing as of January 1, 2019 of $39,567 ($50,883 pre-tax), the elimination of interest on debt that was not assumed in the acquisition of $7,971 ($11,210 pre-tax), and the elimination of a management fee charged quarterly to Peoples by its former parent company of $885 ($1,245 pre-tax).</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ind w:left="360" w:right="2400"/>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1"/>
          <w:szCs w:val="21"/>
          <w:color w:val="auto"/>
        </w:rPr>
        <w:t>On October 22, 2018, the Company obtained a commitment (the “Bridge Commitment”) from certain banks to provide senior unsecured bridge loans in an aggregate amount of up to $5,100,000 to, among other things, backstop the Peoples Gas Acquisition purchase price and refinancing of certain debt of the Company and Peoples. On March 16, 2020, as a result of our completion of the Peoples Gas Acquisition, the Company terminated the Bridge Commitment.</w:t>
      </w:r>
    </w:p>
    <w:p>
      <w:pPr>
        <w:spacing w:after="0" w:line="17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1"/>
          <w:szCs w:val="21"/>
          <w:color w:val="auto"/>
        </w:rPr>
        <w:t>Associated with the approval of the Peoples Gas Acquisition from the Pennsylvania Public Utility Commission, the Company has committed to addressing the replacement of gathering pipe over a seven year timeframe for an estimated cost of $120,000, which will be recoverable through customer rates. Additionally, the Company has committed to provide $23,000 of customer rate credits before the end of 2020 to its natural gas utility customers and water and wastewater customers served by Aqua Pennsylvania, Inc. (“Aqua Pennsylvania”). The Company granted $4,080 of customer rate credits to its water and wastewater customers during the third quarter of 2020, and natural gas utility customers will be granted credits of $18,920 in the fourth quarter of 2020.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Water and Wastewater Utility Acquisitions - Completed</w:t>
      </w:r>
    </w:p>
    <w:p>
      <w:pPr>
        <w:spacing w:after="0" w:line="219"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1"/>
          <w:szCs w:val="21"/>
          <w:color w:val="auto"/>
        </w:rPr>
        <w:t>In October 2020, the Company acquired the water and wastewater utility system of Rockwell Utilities, which serves 256 customers in the Village of Lakemoor in Lake County, Illinois. The total cash purchase price for the utility system was $4,815. The purchase price allocation for this acquisition consisted primarily of property, plant and equipment.</w:t>
      </w:r>
    </w:p>
    <w:p>
      <w:pPr>
        <w:spacing w:after="0" w:line="17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1"/>
          <w:szCs w:val="21"/>
          <w:color w:val="auto"/>
        </w:rPr>
        <w:t>In June 2020, the Company acquired the wastewater utility system assets of East Norriton Township, Pennsylvania, which serves 4,947 customers. The total cash purchase price for the utility system was $21,000. The purchase price allocation for this acquisition consisted primarily of property, plant and equipment.</w:t>
      </w:r>
    </w:p>
    <w:p>
      <w:pPr>
        <w:spacing w:after="0" w:line="173" w:lineRule="exact"/>
        <w:rPr>
          <w:sz w:val="20"/>
          <w:szCs w:val="20"/>
          <w:color w:val="auto"/>
        </w:rPr>
      </w:pPr>
    </w:p>
    <w:p>
      <w:pPr>
        <w:ind w:right="460"/>
        <w:spacing w:after="0" w:line="244" w:lineRule="auto"/>
        <w:rPr>
          <w:sz w:val="20"/>
          <w:szCs w:val="20"/>
          <w:color w:val="auto"/>
        </w:rPr>
      </w:pPr>
      <w:r>
        <w:rPr>
          <w:rFonts w:ascii="Times New Roman" w:cs="Times New Roman" w:eastAsia="Times New Roman" w:hAnsi="Times New Roman"/>
          <w:sz w:val="21"/>
          <w:szCs w:val="21"/>
          <w:color w:val="auto"/>
        </w:rPr>
        <w:t>In January 2020, the Company acquired the water utility system assets of the City of Campbell, Ohio, which serves 3,126 customers. The total cash purchase price for the utility system was $7,500. The purchase price allocation for this acquisition consisted primarily of acquired property, plant and equipment.</w:t>
      </w:r>
    </w:p>
    <w:p>
      <w:pPr>
        <w:spacing w:after="0" w:line="17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1"/>
          <w:szCs w:val="21"/>
          <w:color w:val="auto"/>
        </w:rPr>
        <w:t>In December 2019, the Company acquired the wastewater utility system assets of Cheltenham Township, Pennsylvania, which serves 9,887 customers for $50,250. The preliminary purchase price allocation for this acquisition consisted primarily of property, plant and equipment of $44,440 and goodwill of $5,810. Additionally, in 2019, the Company completed seven acquisitions of water and wastewater utility systems in three states adding 2,393 customers. The total purchase price of these utility systems consisted of $9,437 in cash. The purchase price allocation for these acquisitions consisted primarily of acquired property, plant and equipment and goodwill of $2,478. The pro forma effect of the utility systems acquired is not material either individually or collectively to the Company’s results of operations.</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8" w:name="page19"/>
    <w:bookmarkEnd w:id="18"/>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Water and Wastewater Utility Acquisitions – Pending Completion</w:t>
      </w:r>
    </w:p>
    <w:p>
      <w:pPr>
        <w:spacing w:after="0" w:line="219"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1"/>
          <w:szCs w:val="21"/>
          <w:color w:val="auto"/>
        </w:rPr>
        <w:t>In September 2020, the Company entered into a purchase agreement to acquire the wastewater utility system assets of Lower Makefield Township, Pennsylvania, which consists of approximately 11,000 customers for $53,000. The purchase price for this pending acquisition is subject to certain adjustments at closing, and is subject to regulatory approval, including the final determination of the fair value of the rate based acquired. We plan to finance the purchase price of this acquisition by utilizing our revolving credit facility until permanent debt is secured. Closing of our acquisition of the wastewater assets of Lower Makefield Township is expected to occur in the second half of 2021, subject to the timing of the regulatory approval process</w:t>
      </w:r>
    </w:p>
    <w:p>
      <w:pPr>
        <w:spacing w:after="0" w:line="179"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21"/>
          <w:szCs w:val="21"/>
          <w:color w:val="auto"/>
        </w:rPr>
        <w:t xml:space="preserve">In September 2019, the Company entered into a purchase agreement to acquire the wastewater utility system assets of the Delaware County Regional Water Quality Control Authority (“DELCORA”), which consists of approximately 16,000 customers, or the equivalent of 198,000 retail customers, in 42 municipalities in Southeast Pennsylvania for $276,500. In May 2020, Delaware County, Pennsylvania filed a lawsuit alleging that DELCORA does not have the legal authority to establish and fund a customer trust with the net proceeds of the transaction. The purchase price for this pending acquisition is subject to certain adjustments at closing, and is subject to regulatory approval, including the final determination of the fair value of the rate base acquired. We plan to finance the purchase price of this acquisition by the issuance of common stock upon settlement of our forward equity sale agreement (refer to Note 6 – </w:t>
      </w:r>
      <w:r>
        <w:rPr>
          <w:rFonts w:ascii="Times New Roman" w:cs="Times New Roman" w:eastAsia="Times New Roman" w:hAnsi="Times New Roman"/>
          <w:sz w:val="21"/>
          <w:szCs w:val="21"/>
          <w:i w:val="1"/>
          <w:iCs w:val="1"/>
          <w:color w:val="auto"/>
        </w:rPr>
        <w:t>Capitalization</w:t>
      </w:r>
      <w:r>
        <w:rPr>
          <w:rFonts w:ascii="Times New Roman" w:cs="Times New Roman" w:eastAsia="Times New Roman" w:hAnsi="Times New Roman"/>
          <w:sz w:val="21"/>
          <w:szCs w:val="21"/>
          <w:color w:val="auto"/>
        </w:rPr>
        <w:t xml:space="preserve"> for further info) and by utilizing our revolving credit facility until permanent debt is secured. Closing of our acquisition of DELCORA is expected to occur in the first half of 2021, subject to the timing of the regulatory approval process and DELCORA’s litigation with Delaware County.</w:t>
      </w:r>
    </w:p>
    <w:p>
      <w:pPr>
        <w:spacing w:after="0" w:line="177"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1"/>
          <w:szCs w:val="21"/>
          <w:color w:val="auto"/>
        </w:rPr>
        <w:t>In addition to the Company’s pending acquisition of Lower Makefield Township and DELCORA, the Company has a purchase agreement to acquire the wastewater utility system assets of New Garden Township, Pennsylvania, which will add approximately 2,106 customers, for a total purchase price in cash of $29,500. We plan to finance the purchase price of this acquisition utilizing our revolving credit facility until permanent debt is secured. The purchase price for this acquisition is subject to certain adjustments at closing, and is subject to regulatory approval, including the final determination of the fair value of the rate base acquired. Closing of our acquisition of New Garden Township is expected to occur in the fourth quarter of 2020, subject to the timing of the regulatory approval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4 – </w:t>
      </w:r>
      <w:r>
        <w:rPr>
          <w:rFonts w:ascii="Times New Roman" w:cs="Times New Roman" w:eastAsia="Times New Roman" w:hAnsi="Times New Roman"/>
          <w:sz w:val="21"/>
          <w:szCs w:val="21"/>
          <w:b w:val="1"/>
          <w:bCs w:val="1"/>
          <w:i w:val="1"/>
          <w:iCs w:val="1"/>
          <w:color w:val="auto"/>
        </w:rPr>
        <w:t>Goodwill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the changes in the Company’s goodwill, by business segment: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Regulated</w:t>
            </w:r>
          </w:p>
        </w:tc>
        <w:tc>
          <w:tcPr>
            <w:tcW w:w="200" w:type="dxa"/>
            <w:vAlign w:val="bottom"/>
          </w:tcPr>
          <w:p>
            <w:pPr>
              <w:spacing w:after="0"/>
              <w:rPr>
                <w:sz w:val="18"/>
                <w:szCs w:val="18"/>
                <w:color w:val="auto"/>
              </w:rPr>
            </w:pPr>
          </w:p>
        </w:tc>
        <w:tc>
          <w:tcPr>
            <w:tcW w:w="16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Regulated Natural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Water</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2"/>
              </w:rPr>
              <w:t>Gas</w:t>
            </w:r>
          </w:p>
        </w:tc>
        <w:tc>
          <w:tcPr>
            <w:tcW w:w="18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Consolidated</w:t>
            </w:r>
          </w:p>
        </w:tc>
      </w:tr>
      <w:tr>
        <w:trPr>
          <w:trHeight w:val="181"/>
        </w:trPr>
        <w:tc>
          <w:tcPr>
            <w:tcW w:w="562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Balance at December 31, 2019</w:t>
            </w:r>
          </w:p>
        </w:tc>
        <w:tc>
          <w:tcPr>
            <w:tcW w:w="1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58,981</w:t>
            </w: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51"/>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4,841</w:t>
            </w: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63,822</w:t>
            </w:r>
          </w:p>
        </w:tc>
      </w:tr>
      <w:tr>
        <w:trPr>
          <w:trHeight w:val="187"/>
        </w:trPr>
        <w:tc>
          <w:tcPr>
            <w:tcW w:w="562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Goodwill acquired</w:t>
            </w:r>
          </w:p>
        </w:tc>
        <w:tc>
          <w:tcPr>
            <w:tcW w:w="120" w:type="dxa"/>
            <w:vAlign w:val="bottom"/>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2,596</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2,267,310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2,269,906</w:t>
            </w:r>
          </w:p>
        </w:tc>
      </w:tr>
      <w:tr>
        <w:trPr>
          <w:trHeight w:val="187"/>
        </w:trPr>
        <w:tc>
          <w:tcPr>
            <w:tcW w:w="562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Reclassification to utility plant acquisition adjustment</w:t>
            </w: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(101)</w:t>
            </w:r>
          </w:p>
        </w:tc>
      </w:tr>
      <w:tr>
        <w:trPr>
          <w:trHeight w:val="181"/>
        </w:trPr>
        <w:tc>
          <w:tcPr>
            <w:tcW w:w="5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Balance at September 30, 2020</w:t>
            </w:r>
          </w:p>
        </w:tc>
        <w:tc>
          <w:tcPr>
            <w:tcW w:w="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61,476</w:t>
            </w:r>
          </w:p>
        </w:tc>
        <w:tc>
          <w:tcPr>
            <w:tcW w:w="200" w:type="dxa"/>
            <w:vAlign w:val="bottom"/>
          </w:tcPr>
          <w:p>
            <w:pPr>
              <w:spacing w:after="0"/>
              <w:rPr>
                <w:sz w:val="15"/>
                <w:szCs w:val="15"/>
                <w:color w:val="auto"/>
              </w:rPr>
            </w:pPr>
          </w:p>
        </w:tc>
        <w:tc>
          <w:tcPr>
            <w:tcW w:w="340" w:type="dxa"/>
            <w:vAlign w:val="bottom"/>
            <w:tcBorders>
              <w:bottom w:val="single" w:sz="8" w:color="auto"/>
            </w:tcBorders>
          </w:tcPr>
          <w:p>
            <w:pPr>
              <w:jc w:val="right"/>
              <w:ind w:right="151"/>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2,267,310</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1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4,841</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2,333,627</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1"/>
          <w:szCs w:val="21"/>
          <w:color w:val="auto"/>
        </w:rPr>
        <w:t xml:space="preserve">On March 16, 2020, the Company completed the Peoples Gas Acquisition, which resulted in goodwill of $2,267,310, subject to adjustment over the one year measurement period. Refer to Note 3 – </w:t>
      </w:r>
      <w:r>
        <w:rPr>
          <w:rFonts w:ascii="Times New Roman" w:cs="Times New Roman" w:eastAsia="Times New Roman" w:hAnsi="Times New Roman"/>
          <w:sz w:val="21"/>
          <w:szCs w:val="21"/>
          <w:i w:val="1"/>
          <w:iCs w:val="1"/>
          <w:color w:val="auto"/>
        </w:rPr>
        <w:t>Acquisitions</w:t>
      </w:r>
      <w:r>
        <w:rPr>
          <w:rFonts w:ascii="Times New Roman" w:cs="Times New Roman" w:eastAsia="Times New Roman" w:hAnsi="Times New Roman"/>
          <w:sz w:val="21"/>
          <w:szCs w:val="21"/>
          <w:color w:val="auto"/>
        </w:rPr>
        <w:t xml:space="preserve"> for information about the goodwill attributed to our Regulated Natural Gas segment.</w:t>
      </w:r>
    </w:p>
    <w:p>
      <w:pPr>
        <w:spacing w:after="0" w:line="173"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1"/>
          <w:szCs w:val="21"/>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 upon achieving specific objectives.</w:t>
      </w:r>
    </w:p>
    <w:p>
      <w:pPr>
        <w:spacing w:after="0" w:line="17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1"/>
          <w:szCs w:val="21"/>
          <w:color w:val="auto"/>
        </w:rPr>
        <w:t>Goodwill is not amortized but is tested for impairment annually, or more often, if circumstances indicate it is more likely than not that the fair value of a reporting unit is less than its carrying amount. When testing goodwill for impairment, the Company may assess qualitative factors, including macroeconomic conditions, industry and market considerations, cost factors, overall 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we may perform a quantitative goodwill impairment test by determining the fair value of a reporting unit based on a discounted cash flow analysis. If we perform a quantitative test and determine that the fair value of a reporting unit is less than its carrying amount, we would record an impairment loss for the amount by which a reporting unit’s carrying amount exceeds its fair value, not to exceed the carrying amount of goodwill. The Company performed a quantitative assessment for its annual test of the goodwill attributable to its Regulated Water and Aqua Resources reporting units for impairment and a qualitative assessment for its Regulated Natural Gas business reporting unit as of July 31, 2020, and concluded that it is more likely than not that the fair value of each reporting unit, which has goodwill recorded, exceeded its carrying amount, indicating that none of the Company’s goodwill was impaired.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5 – </w:t>
      </w:r>
      <w:r>
        <w:rPr>
          <w:rFonts w:ascii="Times New Roman" w:cs="Times New Roman" w:eastAsia="Times New Roman" w:hAnsi="Times New Roman"/>
          <w:sz w:val="21"/>
          <w:szCs w:val="21"/>
          <w:b w:val="1"/>
          <w:bCs w:val="1"/>
          <w:i w:val="1"/>
          <w:iCs w:val="1"/>
          <w:color w:val="auto"/>
        </w:rPr>
        <w:t>Assets Held for Sale and Other Dispositions</w:t>
      </w:r>
    </w:p>
    <w:p>
      <w:pPr>
        <w:spacing w:after="0" w:line="219"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1"/>
          <w:szCs w:val="21"/>
          <w:color w:val="auto"/>
        </w:rPr>
        <w:t>Subsequent to September 30, 2020, on October 30, 2020 the Company sold its investment in a joint venture. Our investment represented our 49% investment in a joint venture that operates a private pipeline system to supply raw water to natural gas well drilling operations in the Marcellus Shale of north central Pennsylvania. This investment was an unconsolidated affiliate and was accounted for under the equity method of accounting within our Aqua Infrastructure subsidiary. In the third quarter of 2020, we recorded a reserve of $3,700 associated with the anticipated sale.</w:t>
      </w:r>
    </w:p>
    <w:p>
      <w:pPr>
        <w:spacing w:after="0" w:line="17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In the fourth quarter of 2018, the Company decided to market for sale a water system in Virginia that serves approximately 500 customers. This water system was reported as assets held for sale in the Company’s consolidated balance sheet, and in April 2019, the Company completed the sale for proceeds of $1,882 and recognized a gain on sale of $403.</w:t>
      </w:r>
    </w:p>
    <w:p>
      <w:pPr>
        <w:spacing w:after="0" w:line="173"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1"/>
          <w:szCs w:val="21"/>
          <w:color w:val="auto"/>
        </w:rPr>
        <w:t>In the first quarter of 2017, the Company decided to market for sale a water system in Texas that serves approximately 265 customers. This water system was reported as assets held for sale in the Company’s consolidated balance sheet, and in September 2020, the Company completed the sale for proceeds of $395 and recognized a loss on sale of $469, of which $450 was previously reserved for in the second quarter of 2017.</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ind w:left="360" w:right="2400"/>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6 – </w:t>
      </w:r>
      <w:r>
        <w:rPr>
          <w:rFonts w:ascii="Times New Roman" w:cs="Times New Roman" w:eastAsia="Times New Roman" w:hAnsi="Times New Roman"/>
          <w:sz w:val="21"/>
          <w:szCs w:val="21"/>
          <w:b w:val="1"/>
          <w:bCs w:val="1"/>
          <w:i w:val="1"/>
          <w:iCs w:val="1"/>
          <w:color w:val="auto"/>
        </w:rPr>
        <w:t>Capitalization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Stockholders’ Equity</w:t>
      </w:r>
    </w:p>
    <w:p>
      <w:pPr>
        <w:spacing w:after="0" w:line="219"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1"/>
          <w:szCs w:val="21"/>
          <w:color w:val="auto"/>
        </w:rPr>
        <w:t>In August 2020, the Company entered into a forward equity sale agreement for 6,700,000 shares of common stock with a third party (the “forward purchaser”). In connection with the forward equity sale agreement, the forward purchaser borrowed an equal number of shares of the Company’s common stock from stock lenders and sold the borrowed shares to the public. The Company will not receive any proceeds from the sale of its common stock by the forward purchaser until settlement of the shares underlying the forward equity sale agreement. The actual proceeds to be received by the Company will vary depending upon the settlement date, the number of shares designated for settlement on that settlement date and the method of settlement. The Company intends to use any proceeds received upon settlement of the forward equity sale agreement to fund general corporate purposes, including for water and wastewater utility acquisitions, working capital and capital expenditures. The forward equity sale agreement is accounted for as an equity instrument and was recorded at a fair value of $0 at inception. The fair value will not be adjusted so long as the Company continues to meet the accounting requirements for equity instruments.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may elect to settle the forward equity sale agreement by means of a physical share settlement, net cash settlement, or net share settlement, on a settlement date or dates, no later than August 10, 2021. The forward equity sale agreement provides that the forward price will be computed based upon the initial forward price of $46.00 per share, and is subsequently adjusted for a floating interest rate factor equal to a specified daily rate less a spread and scheduled dividends during the term of the agreement. As of September 30, 2020, the forward price was $45.71 per share. Under limited circumstances or certain unanticipated events, the forward purchaser also has the ability to require the Company to physically settle the forward equity sale agreement in shares prior to the maturity date. As of September 30, 2020, the Company has not settled any portion of the forward equity sale agreement.</w:t>
      </w:r>
    </w:p>
    <w:p>
      <w:pPr>
        <w:spacing w:after="0" w:line="356"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21"/>
          <w:szCs w:val="21"/>
          <w:color w:val="auto"/>
        </w:rPr>
        <w:t>In May 2020, the Company’s shareholders approved an increase in the number of authorized shares of common stock, par value $0.50 per share, from 300,000,000 shares to 600,000,000 shares.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1" w:name="page22"/>
    <w:bookmarkEnd w:id="21"/>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ind w:left="340" w:right="2420"/>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Private Placement</w:t>
      </w:r>
    </w:p>
    <w:p>
      <w:pPr>
        <w:spacing w:after="0" w:line="219" w:lineRule="exact"/>
        <w:rPr>
          <w:sz w:val="20"/>
          <w:szCs w:val="20"/>
          <w:color w:val="auto"/>
        </w:rPr>
      </w:pPr>
    </w:p>
    <w:p>
      <w:pPr>
        <w:ind w:right="260"/>
        <w:spacing w:after="0" w:line="234" w:lineRule="auto"/>
        <w:rPr>
          <w:sz w:val="20"/>
          <w:szCs w:val="20"/>
          <w:color w:val="auto"/>
        </w:rPr>
      </w:pPr>
      <w:r>
        <w:rPr>
          <w:rFonts w:ascii="Times New Roman" w:cs="Times New Roman" w:eastAsia="Times New Roman" w:hAnsi="Times New Roman"/>
          <w:sz w:val="21"/>
          <w:szCs w:val="21"/>
          <w:color w:val="auto"/>
        </w:rPr>
        <w:t>On March 29, 2019, the Company entered into a Stock Purchase Agreement (the “Stock Purchase Agreement”) with Canada Pension Plan Investment Board (the “Investor”), pursuant to which the Company agreed to issue and sell to the Investor in a private placement (the “Private Placement”) 21,661,095 newly issued shares of common stock, par value $0.50 per share (the “Common Stock”). On March 16, 2020, in connection with the closing of the Peoples Gas Acquisition, the Company closed on the Private Placement and received gross proceeds of $749,907, less expenses of $20,606. The Investor has agreed to certain transfer restrictions for a period of 15 months from the closing date of the Peoples Gas Acquisition.</w:t>
      </w:r>
    </w:p>
    <w:p>
      <w:pPr>
        <w:spacing w:after="0" w:line="17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1"/>
          <w:szCs w:val="21"/>
          <w:color w:val="auto"/>
        </w:rPr>
        <w:t>The shares issued and sold to the Investor pursuant to the Private Placement were to be priced at the lower of (1) $34.62, which represents a 4.5% discount to the trailing 20 consecutive trading day volume weighted average price of the Common Stock ending on, and including, March 28, 2019, and (2) the volume weighted average price per share in the Company’s subsequent public offering of Common Stock to fund a portion of the Peoples Gas Acquisition. Based on the common stock offering noted below, the Private Placement was priced at $34.62 per share.</w:t>
      </w:r>
    </w:p>
    <w:p>
      <w:pPr>
        <w:spacing w:after="0" w:line="177"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1"/>
          <w:szCs w:val="21"/>
          <w:color w:val="auto"/>
        </w:rPr>
        <w:t>The Stock Purchase Agreement contains customary representations, warranties and covenants of the Company and the Investor, and the parties have agreed to indemnify each other for losses related to breaches of their respective representations and warranties. At the closing of the Private Placement, the Company reimbursed the Investor for reasonable out-of-pocket diligence expenses of $4,000.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Common Stock / Tangible Equity Unit Issuances</w:t>
      </w:r>
    </w:p>
    <w:p>
      <w:pPr>
        <w:spacing w:after="0" w:line="21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1"/>
          <w:szCs w:val="21"/>
          <w:color w:val="auto"/>
        </w:rPr>
        <w:t>On April 23, 2019, the Company issued $1,293,750, less expenses of $30,651, of its common stock and $690,000, less expenses of $16,358, of its tangible equity units (the “Units”), with a stated amount of $50 per unit. These issuances were part of the permanent financing to close the Peoples Gas Acquisition. The common stock was issued at $34.62 per share and thus the Private Placement noted above was priced at $34.62 per share.</w:t>
      </w:r>
    </w:p>
    <w:p>
      <w:pPr>
        <w:spacing w:after="0" w:line="179"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1"/>
          <w:szCs w:val="21"/>
          <w:color w:val="auto"/>
        </w:rPr>
        <w:t>Each Unit consists of a prepaid stock purchase contract and an amortizing note due April 30, 2022, each issued by the Company. Unless earlier settled or redeemed, each stock purchase contract will automatically settle on April 30, 2022 (subject to postponement in limited circumstances) for between 1.1790 and 1.4442 shares of the Company’s common stock, subject to adjustment, based upon the applicable market value of the common stock, as described in the final prospectus supplement relating to the Units. During the first nine months of 2020, 1,979,570 stock purchase contracts were early settled by the holders of the contracts, resulting in the issuance of 2,335,654 shares of the Company’s common stock. The balance of stock purchase contracts is 7,711,138. The amortizing notes have an initial principal amount of $8.62909, or $119,081 in aggregate, and bear interest at a rate of 3.00% per year, and pay equal quarterly cash installments of $0.75000 per amortizing note (except for the July 30, 2019 installment payment, which was $0.80833 per amortizing note), that will constitute a payment of interest and a partial repayment of principal, and which cash payment in the aggregate will be equivalent to 6.00% per year with respect to each $50 stated amount of the Units. The amortizing notes represent unsecured senior obligations of the Company.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2" w:name="page23"/>
    <w:bookmarkEnd w:id="22"/>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ind w:left="340" w:right="2420"/>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1"/>
          <w:szCs w:val="21"/>
          <w:color w:val="auto"/>
        </w:rPr>
        <w:t>The issuance of common stock and the Units (including the component stock purchase contracts and amortizing notes), and entry into the forward equity sales agreement were separate public issuances or offerings made by means of separate prospectus supplements pursuant to the Company’s universal “pay as you go” shelf registration statement, filed with the SEC in February 2018, which allows for the potential future offer and sale by us, from time to time, in one or more public offerings, of an indeterminate amount of the Company’s common stock, preferred stock, debt securities, and other securities specified therein at indeterminate prices. This registration statement expires in February 2021, and we intend to file a new three-year universal shelf registration statement.</w:t>
      </w:r>
    </w:p>
    <w:p>
      <w:pPr>
        <w:spacing w:after="0" w:line="17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1"/>
          <w:szCs w:val="21"/>
          <w:color w:val="auto"/>
        </w:rPr>
        <w:t>The Company recorded the issuance of the purchase contract portion of the Units as additional paid-in-capital of $570,919, less allocable issuance costs of $13,530, in our financial statements. The Company recorded the amortizing notes portion of the Units of $119,081 as long-term debt and recorded allocable issuance costs of $2,828 as debt issuance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Long-term Debt and Loans Payable</w:t>
      </w:r>
    </w:p>
    <w:p>
      <w:pPr>
        <w:spacing w:after="0" w:line="219"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1"/>
          <w:szCs w:val="21"/>
          <w:color w:val="auto"/>
        </w:rPr>
        <w:t>On April 3, 2020, the Company entered into a credit agreement that provided the Company with short-term borrowing capacity of up to $500,000 in unsecured term loans, which matures on April 2, 2021 (the “Term Loan Agreement”). The Company borrowed the full $500,000 on April 3, 2020, which was used for general corporate purposes and to strengthen its liquidity and cash position, and maximize its financial flexibility in light of the uncertainty surrounding the impact of the COVID-19 pandemic. In May and June 2020, the Company repaid $300,000 and $200,000 of the term loans, respectively, and based on the Company’s ability to access financial markets, we terminated the facility. The term loans bore interest at either the Adjusted LIBO Rate or the Alternate Base Rate, as each such term is defined in the Term Loan Agreement. Amounts under the term loan could not be re-borrowed upon repayment. Additionally, on April 13, 2020, the Company issued $1,100,000 of long-term debt, less expenses of $10,525, of which $500,000 is due in 2030, and $600,000 is due in 2050 with interest rates of 2.704% and 3.351%, respectively. The Company used the proceeds from this issuance to repay in full the borrowings of $181,000 of short-term debt assumed in the Peoples Gas Acquisition, $150,000 of short-term debt issued on March 13, 2020, and to repay borrowings under its existing five year unsecured revolving credit agreement. Further, on May 1, 2020, Aqua Pennsylvania issued $175,000 of first mortgage bonds, of which $75,000 is due in 2051, $50,000 is due in 2055, and $50,000 is due in 2056 with interest rates of 3.49%, 3.54%, and</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3.55%, respectively. The proceeds from these bonds were used to repay existing indebtedness and for general corporate purposes.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3" w:name="page24"/>
    <w:bookmarkEnd w:id="23"/>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ind w:left="380" w:right="2380"/>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1"/>
          <w:szCs w:val="21"/>
          <w:color w:val="auto"/>
        </w:rPr>
        <w:t>On March 13, 2020, in connection with the closing of the Peoples Gas Acquisition, the Company amended its existing five year unsecured revolving credit agreement, which expires in December 2023, to provide the Company with an additional $300,000 of borrowing capacity, and pursuant to the terms of the revolving credit facility, our borrowing capacity thereunder was further increased by $150,000 upon the completion of the Peoples Gas Acquisition on March 16, 2020. As a result of these increases, our total borrowing capacity increased to $1,000,000. Further, on March 13, 2020, the Company entered into a 364 day $150,000 credit agreement pursuant to which the Company borrowed $150,000, which was used to fund a portion of the Peoples Gas Acquisition in lieu of additional borrowings under our revolving credit facility, which was subsequently repaid with the proceeds from the Company’s April 2020 long-term debt issuance noted above.</w:t>
      </w:r>
    </w:p>
    <w:p>
      <w:pPr>
        <w:spacing w:after="0" w:line="17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1"/>
          <w:szCs w:val="21"/>
          <w:color w:val="auto"/>
        </w:rPr>
        <w:t>The Company completed the Peoples Gas Acquisition on March 16, 2020, which resulted in the assumption of $1,101,091 of indebtedness, which includes $920,091 of senior notes and $181,000 of short-term debt. The senior notes have maturities ranging from 2020 to 2032 and interest rates that range from 2.90% to 6.42%. The short-term debt assumed at closing was repaid with the proceeds from the Company’s April 2020 long-term debt issuance noted above.</w:t>
      </w:r>
    </w:p>
    <w:p>
      <w:pPr>
        <w:spacing w:after="0" w:line="179"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21"/>
          <w:szCs w:val="21"/>
          <w:color w:val="auto"/>
        </w:rPr>
        <w:t>On April 26, 2019, the Company issued $900,000 of long-term debt (the “Senior Notes”), less expenses of $7,931, of which $400,000 is due in 2029, and $500,000 is due in 2049 with interest rates of 3.566% and 4.276%, respectively.</w:t>
      </w:r>
    </w:p>
    <w:p>
      <w:pPr>
        <w:spacing w:after="0" w:line="15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1"/>
          <w:szCs w:val="21"/>
          <w:color w:val="auto"/>
        </w:rPr>
        <w:t>The Company used the net proceeds from the April 2019 issuance of Senior Notes, together with the net proceeds from the common stock offering and tangible equity unit offering noted above, as well as the proceeds from the Private Placement of common stock noted above, to (1) secure funding for the Peoples Gas Acquisition, (2) complete the redemption of $313,500 aggregate principal amount of certain of the Company’s outstanding notes noted below, (3) pay related costs and expenses, and (4) for general corporate purposes.</w:t>
      </w:r>
    </w:p>
    <w:p>
      <w:pPr>
        <w:spacing w:after="0" w:line="17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1"/>
          <w:szCs w:val="21"/>
          <w:color w:val="auto"/>
        </w:rPr>
        <w:t>On May 18, 2019, the Company redeemed $313,500 of the Company’s outstanding notes (the “Company Debt Refinancing”) that had maturities ranging from 2019-2037 and interest rates ranging from 3.57-5.83%. Additionally, the Company Debt Refinancing was subject to a make whole payment of $25,237, and $18,528 of this payment was expensed in 2019 and was presented in the consolidated statements of operations and comprehensive income on the line item “loss on debt extinguishment.” The balance of the payment, or $6,709, was deferred as a regulatory asset, as it represents an amount by which the Company expects to receive prospective rate recovery. Further, in the third quarter of 2020, the Company recorded a regulatory asset for $3,888, as it represents an amount on which the Company expects to receive prospective rate recovery. The recognition of this regulatory asset in the third quarter of 2020 has been presented in the consolidated statements of operations and comprehensive income within the line item “Other.”</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24" w:name="page25"/>
    <w:bookmarkEnd w:id="24"/>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7 – </w:t>
      </w:r>
      <w:r>
        <w:rPr>
          <w:rFonts w:ascii="Times New Roman" w:cs="Times New Roman" w:eastAsia="Times New Roman" w:hAnsi="Times New Roman"/>
          <w:sz w:val="21"/>
          <w:szCs w:val="21"/>
          <w:b w:val="1"/>
          <w:bCs w:val="1"/>
          <w:i w:val="1"/>
          <w:iCs w:val="1"/>
          <w:color w:val="auto"/>
        </w:rPr>
        <w:t>Interest Rate Swap Agreements</w:t>
      </w:r>
    </w:p>
    <w:p>
      <w:pPr>
        <w:spacing w:after="0" w:line="219"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1"/>
          <w:szCs w:val="21"/>
          <w:color w:val="auto"/>
        </w:rPr>
        <w:t>In October 2018, the Company entered into interest rate swap agreements to mitigate interest rate risk associated with an anticipated $850,000 of future debt issuances to fund a portion of the Peoples Gas Acquisition and refinance a portion of the Company’s borrowings. On April 24, 2019, the Company settled the interest rate swap agreements upon issuance of $900,000 of long-term debt used to finance a portion of the purchase price of the Peoples Gas Acquisition and redeem $313,500 of the Company’s existing debt. The settlement resulted in a payment by the Company of $83,520 in April 2019.</w:t>
      </w:r>
    </w:p>
    <w:p>
      <w:pPr>
        <w:spacing w:after="0" w:line="177"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1"/>
          <w:szCs w:val="21"/>
          <w:color w:val="auto"/>
        </w:rPr>
        <w:t>The interest rate swaps did not qualify for hedge accounting, and any changes in the fair value of the swaps was included in our earnings. The interest rate swaps were classified as financial derivatives used for non-trading activities. Other than the interest rate swaps, the Company had no other derivative instruments. The Company recorded the fair value of the interest rate swaps by discounting the future net cash flows associated with the debt issuance utilizing level 2 methods and assumptions and recognized either an asset or liability at the balance sheet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provides a summary of the amounts recognized in earnings for our interest rate swap agreements: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Amount of Gain (Loss) Recognized in Income</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color w:val="auto"/>
              </w:rPr>
              <w:t>Amount of Gain (Loss) Recognized in Income</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 Derivatives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on Derivatives</w:t>
            </w:r>
          </w:p>
        </w:tc>
        <w:tc>
          <w:tcPr>
            <w:tcW w:w="0" w:type="dxa"/>
            <w:vAlign w:val="bottom"/>
          </w:tcPr>
          <w:p>
            <w:pPr>
              <w:spacing w:after="0"/>
              <w:rPr>
                <w:sz w:val="1"/>
                <w:szCs w:val="1"/>
                <w:color w:val="auto"/>
              </w:rPr>
            </w:pPr>
          </w:p>
        </w:tc>
      </w:tr>
      <w:tr>
        <w:trPr>
          <w:trHeight w:val="154"/>
        </w:trPr>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Location of Gain (Loss)</w:t>
            </w:r>
          </w:p>
        </w:tc>
        <w:tc>
          <w:tcPr>
            <w:tcW w:w="200" w:type="dxa"/>
            <w:vAlign w:val="bottom"/>
          </w:tcPr>
          <w:p>
            <w:pPr>
              <w:spacing w:after="0"/>
              <w:rPr>
                <w:sz w:val="13"/>
                <w:szCs w:val="13"/>
                <w:color w:val="auto"/>
              </w:rPr>
            </w:pPr>
          </w:p>
        </w:tc>
        <w:tc>
          <w:tcPr>
            <w:tcW w:w="3080" w:type="dxa"/>
            <w:vAlign w:val="bottom"/>
            <w:tcBorders>
              <w:top w:val="single" w:sz="8" w:color="auto"/>
              <w:bottom w:val="single" w:sz="8" w:color="auto"/>
            </w:tcBorders>
          </w:tcPr>
          <w:p>
            <w:pPr>
              <w:jc w:val="center"/>
              <w:spacing w:after="0" w:line="154" w:lineRule="exact"/>
              <w:rPr>
                <w:sz w:val="20"/>
                <w:szCs w:val="20"/>
                <w:color w:val="auto"/>
              </w:rPr>
            </w:pPr>
            <w:r>
              <w:rPr>
                <w:rFonts w:ascii="Times New Roman" w:cs="Times New Roman" w:eastAsia="Times New Roman" w:hAnsi="Times New Roman"/>
                <w:sz w:val="16"/>
                <w:szCs w:val="16"/>
                <w:color w:val="auto"/>
              </w:rPr>
              <w:t>Three Months Ended September 30,</w:t>
            </w: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2900" w:type="dxa"/>
            <w:vAlign w:val="bottom"/>
            <w:tcBorders>
              <w:top w:val="single" w:sz="8" w:color="auto"/>
              <w:bottom w:val="single" w:sz="8" w:color="auto"/>
            </w:tcBorders>
          </w:tcPr>
          <w:p>
            <w:pPr>
              <w:jc w:val="center"/>
              <w:ind w:right="200"/>
              <w:spacing w:after="0" w:line="154" w:lineRule="exact"/>
              <w:rPr>
                <w:sz w:val="20"/>
                <w:szCs w:val="20"/>
                <w:color w:val="auto"/>
              </w:rPr>
            </w:pPr>
            <w:r>
              <w:rPr>
                <w:rFonts w:ascii="Times New Roman" w:cs="Times New Roman" w:eastAsia="Times New Roman" w:hAnsi="Times New Roman"/>
                <w:sz w:val="16"/>
                <w:szCs w:val="16"/>
                <w:color w:val="auto"/>
              </w:rPr>
              <w:t>Nine Months Ended September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3280" w:type="dxa"/>
            <w:vAlign w:val="bottom"/>
            <w:gridSpan w:val="2"/>
            <w:vMerge w:val="restart"/>
          </w:tcPr>
          <w:p>
            <w:pPr>
              <w:jc w:val="center"/>
              <w:ind w:left="200"/>
              <w:spacing w:after="0"/>
              <w:rPr>
                <w:sz w:val="20"/>
                <w:szCs w:val="20"/>
                <w:color w:val="auto"/>
              </w:rPr>
            </w:pPr>
            <w:r>
              <w:rPr>
                <w:rFonts w:ascii="Times New Roman" w:cs="Times New Roman" w:eastAsia="Times New Roman" w:hAnsi="Times New Roman"/>
                <w:sz w:val="16"/>
                <w:szCs w:val="16"/>
                <w:color w:val="auto"/>
                <w:w w:val="99"/>
              </w:rPr>
              <w:t>2019</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00" w:type="dxa"/>
            <w:vAlign w:val="bottom"/>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9"/>
              </w:rPr>
              <w:t>2019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Derivatives not designated as</w:t>
            </w:r>
          </w:p>
        </w:tc>
        <w:tc>
          <w:tcPr>
            <w:tcW w:w="26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Recognized</w:t>
            </w:r>
          </w:p>
        </w:tc>
        <w:tc>
          <w:tcPr>
            <w:tcW w:w="32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1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9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9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hedging instrument:</w:t>
            </w:r>
          </w:p>
        </w:tc>
        <w:tc>
          <w:tcPr>
            <w:tcW w:w="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Interest rate swaps</w:t>
            </w:r>
          </w:p>
        </w:tc>
        <w:tc>
          <w:tcPr>
            <w:tcW w:w="2240" w:type="dxa"/>
            <w:vAlign w:val="bottom"/>
            <w:gridSpan w:val="2"/>
            <w:shd w:val="clear" w:color="auto" w:fill="CCEEFF"/>
          </w:tcPr>
          <w:p>
            <w:pPr>
              <w:ind w:left="260"/>
              <w:spacing w:after="0" w:line="161" w:lineRule="exact"/>
              <w:rPr>
                <w:sz w:val="20"/>
                <w:szCs w:val="20"/>
                <w:color w:val="auto"/>
              </w:rPr>
            </w:pPr>
            <w:r>
              <w:rPr>
                <w:rFonts w:ascii="Times New Roman" w:cs="Times New Roman" w:eastAsia="Times New Roman" w:hAnsi="Times New Roman"/>
                <w:sz w:val="16"/>
                <w:szCs w:val="16"/>
                <w:color w:val="auto"/>
              </w:rPr>
              <w:t>Other income (expense)</w:t>
            </w:r>
          </w:p>
        </w:tc>
        <w:tc>
          <w:tcPr>
            <w:tcW w:w="3280" w:type="dxa"/>
            <w:vAlign w:val="bottom"/>
            <w:gridSpan w:val="2"/>
            <w:shd w:val="clear" w:color="auto" w:fill="CCEEFF"/>
          </w:tcPr>
          <w:p>
            <w:pPr>
              <w:jc w:val="right"/>
              <w:ind w:right="292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ind w:right="32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100"/>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29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(23,742)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8 – </w:t>
      </w:r>
      <w:r>
        <w:rPr>
          <w:rFonts w:ascii="Times New Roman" w:cs="Times New Roman" w:eastAsia="Times New Roman" w:hAnsi="Times New Roman"/>
          <w:sz w:val="21"/>
          <w:szCs w:val="21"/>
          <w:b w:val="1"/>
          <w:bCs w:val="1"/>
          <w:i w:val="1"/>
          <w:iCs w:val="1"/>
          <w:color w:val="auto"/>
        </w:rPr>
        <w:t>Financial Instruments</w:t>
      </w:r>
    </w:p>
    <w:p>
      <w:pPr>
        <w:spacing w:after="0" w:line="219"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1"/>
          <w:szCs w:val="21"/>
          <w:color w:val="auto"/>
        </w:rPr>
        <w:t>The Company follows the FASB’s accounting guidance for fair value measurements and 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77" w:lineRule="exact"/>
        <w:rPr>
          <w:sz w:val="20"/>
          <w:szCs w:val="20"/>
          <w:color w:val="auto"/>
        </w:rPr>
      </w:pPr>
    </w:p>
    <w:p>
      <w:pPr>
        <w:ind w:left="640" w:right="360"/>
        <w:spacing w:after="0" w:line="262" w:lineRule="auto"/>
        <w:rPr>
          <w:sz w:val="20"/>
          <w:szCs w:val="20"/>
          <w:color w:val="auto"/>
        </w:rPr>
      </w:pPr>
      <w:r>
        <w:rPr>
          <w:rFonts w:ascii="Times New Roman" w:cs="Times New Roman" w:eastAsia="Times New Roman" w:hAnsi="Times New Roman"/>
          <w:sz w:val="21"/>
          <w:szCs w:val="21"/>
          <w:color w:val="auto"/>
        </w:rPr>
        <w:t>Level 1: unadjusted quoted prices in active markets for identical assets or liabilities that the Company has the ability to access;</w:t>
      </w:r>
    </w:p>
    <w:p>
      <w:pPr>
        <w:spacing w:after="0" w:line="21" w:lineRule="exact"/>
        <w:rPr>
          <w:sz w:val="20"/>
          <w:szCs w:val="20"/>
          <w:color w:val="auto"/>
        </w:rPr>
      </w:pPr>
    </w:p>
    <w:p>
      <w:pPr>
        <w:ind w:left="640" w:right="220"/>
        <w:spacing w:after="0" w:line="238" w:lineRule="auto"/>
        <w:rPr>
          <w:sz w:val="20"/>
          <w:szCs w:val="20"/>
          <w:color w:val="auto"/>
        </w:rPr>
      </w:pPr>
      <w:r>
        <w:rPr>
          <w:rFonts w:ascii="Times New Roman" w:cs="Times New Roman" w:eastAsia="Times New Roman" w:hAnsi="Times New Roman"/>
          <w:sz w:val="21"/>
          <w:szCs w:val="21"/>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Level 3: inputs that are unobservable and significant to the fair value measurement.</w:t>
      </w:r>
    </w:p>
    <w:p>
      <w:pPr>
        <w:spacing w:after="0" w:line="213"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1"/>
          <w:szCs w:val="21"/>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There have been no changes in the valuation techniques used to measure fair value, or asset or liability transfers between the levels of the fair value hierarchy for the quarter ended September 30, 2020.</w:t>
      </w:r>
    </w:p>
    <w:p>
      <w:pPr>
        <w:spacing w:after="0" w:line="179" w:lineRule="exact"/>
        <w:rPr>
          <w:sz w:val="20"/>
          <w:szCs w:val="20"/>
          <w:color w:val="auto"/>
        </w:rPr>
      </w:pPr>
    </w:p>
    <w:p>
      <w:pPr>
        <w:ind w:right="660"/>
        <w:spacing w:after="0" w:line="244" w:lineRule="auto"/>
        <w:rPr>
          <w:sz w:val="20"/>
          <w:szCs w:val="20"/>
          <w:color w:val="auto"/>
        </w:rPr>
      </w:pPr>
      <w:r>
        <w:rPr>
          <w:rFonts w:ascii="Times New Roman" w:cs="Times New Roman" w:eastAsia="Times New Roman" w:hAnsi="Times New Roman"/>
          <w:sz w:val="21"/>
          <w:szCs w:val="21"/>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fair value of loans payable is determined based on its carrying amount and utilizing Level 1 methods and assumptions. As of September 30, 2020 and December 31, 2019, the carrying amount of the Company’s loans payable was $47,185 and $25,724, respectively, which equates to their estimated fair value. The fair value of cash and cash equivalents, which is comprised of uninvested cash and prior to our completion of the Peoples Gas Acquisition on March 16, 2020, the proceeds from the April 2019 issuances of common stock, tangible equity units, and long-term debt for the Peoples Gas Acquisition, which were held in an interest-bearing account, is determined based on Level 1 methods and assumptions. As of September 30, 2020, and December 31, 2019, the carrying amounts of the Company's cash and cash equivalents was $8,494 and $1,868,922,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September 30, 2020, and December 31, 2019, the carrying amount of these securities was $24,855 and $23,419, respectively, which equates to their fair value, and is reported in the consolidated balance sheet in deferred charges and other assets.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Unrealized gain and losses on equity securities held in conjunction with our non-qualified pension plan is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tcPr>
          <w:p>
            <w:pPr>
              <w:spacing w:after="0"/>
              <w:rPr>
                <w:sz w:val="17"/>
                <w:szCs w:val="17"/>
                <w:color w:val="auto"/>
              </w:rPr>
            </w:pPr>
          </w:p>
        </w:tc>
        <w:tc>
          <w:tcPr>
            <w:tcW w:w="1940" w:type="dxa"/>
            <w:vAlign w:val="bottom"/>
            <w:gridSpan w:val="5"/>
          </w:tcPr>
          <w:p>
            <w:pPr>
              <w:jc w:val="right"/>
              <w:ind w:right="31"/>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4"/>
          </w:tcPr>
          <w:p>
            <w:pPr>
              <w:jc w:val="right"/>
              <w:ind w:right="191"/>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9"/>
        </w:trPr>
        <w:tc>
          <w:tcPr>
            <w:tcW w:w="6880" w:type="dxa"/>
            <w:vAlign w:val="bottom"/>
          </w:tcPr>
          <w:p>
            <w:pPr>
              <w:spacing w:after="0"/>
              <w:rPr>
                <w:sz w:val="19"/>
                <w:szCs w:val="19"/>
                <w:color w:val="auto"/>
              </w:rPr>
            </w:pPr>
          </w:p>
        </w:tc>
        <w:tc>
          <w:tcPr>
            <w:tcW w:w="1940" w:type="dxa"/>
            <w:vAlign w:val="bottom"/>
            <w:tcBorders>
              <w:bottom w:val="single" w:sz="8" w:color="auto"/>
            </w:tcBorders>
            <w:gridSpan w:val="5"/>
          </w:tcPr>
          <w:p>
            <w:pPr>
              <w:jc w:val="right"/>
              <w:ind w:right="271"/>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181"/>
        </w:trPr>
        <w:tc>
          <w:tcPr>
            <w:tcW w:w="688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2020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71"/>
              <w:spacing w:after="0" w:line="181" w:lineRule="exact"/>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91"/>
              <w:spacing w:after="0" w:line="181" w:lineRule="exact"/>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81"/>
        </w:trPr>
        <w:tc>
          <w:tcPr>
            <w:tcW w:w="688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Net gain recognized during the period on equity securities</w:t>
            </w:r>
          </w:p>
        </w:tc>
        <w:tc>
          <w:tcPr>
            <w:tcW w:w="720" w:type="dxa"/>
            <w:vAlign w:val="bottom"/>
            <w:tcBorders>
              <w:top w:val="single" w:sz="8" w:color="auto"/>
            </w:tcBorders>
            <w:shd w:val="clear" w:color="auto" w:fill="CCEEFF"/>
          </w:tcPr>
          <w:p>
            <w:pPr>
              <w:jc w:val="right"/>
              <w:ind w:right="531"/>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471"/>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244</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87"/>
        </w:trPr>
        <w:tc>
          <w:tcPr>
            <w:tcW w:w="6880" w:type="dxa"/>
            <w:vAlign w:val="bottom"/>
            <w:tcBorders>
              <w:bottom w:val="single" w:sz="8" w:color="CCEEFF"/>
            </w:tcBorders>
          </w:tcPr>
          <w:p>
            <w:pPr>
              <w:spacing w:after="0" w:line="188" w:lineRule="exact"/>
              <w:rPr>
                <w:sz w:val="20"/>
                <w:szCs w:val="20"/>
                <w:color w:val="auto"/>
              </w:rPr>
            </w:pPr>
            <w:r>
              <w:rPr>
                <w:rFonts w:ascii="Times New Roman" w:cs="Times New Roman" w:eastAsia="Times New Roman" w:hAnsi="Times New Roman"/>
                <w:sz w:val="18"/>
                <w:szCs w:val="18"/>
                <w:color w:val="auto"/>
              </w:rPr>
              <w:t>Less: net gain / loss recognized during the period on equity securities sold during the period</w:t>
            </w: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6"/>
        </w:trPr>
        <w:tc>
          <w:tcPr>
            <w:tcW w:w="68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Unrealized gain recognized during the reporting period on equity securities still held at the</w:t>
            </w:r>
          </w:p>
        </w:tc>
        <w:tc>
          <w:tcPr>
            <w:tcW w:w="720" w:type="dxa"/>
            <w:vAlign w:val="bottom"/>
            <w:vMerge w:val="restart"/>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305</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6"/>
        </w:trPr>
        <w:tc>
          <w:tcPr>
            <w:tcW w:w="68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reporting date</w:t>
            </w:r>
          </w:p>
        </w:tc>
        <w:tc>
          <w:tcPr>
            <w:tcW w:w="72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21"/>
          <w:szCs w:val="21"/>
          <w:color w:val="auto"/>
        </w:rPr>
        <w:t>The net gain (loss) recognized on equity securities is presented on the consolidated statements of operations and comprehensive income on the line item “Other.”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carrying amounts and estimated fair values of the Company’s long-term debt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40" w:type="dxa"/>
            <w:vAlign w:val="bottom"/>
          </w:tcPr>
          <w:p>
            <w:pPr>
              <w:jc w:val="right"/>
              <w:ind w:right="793"/>
              <w:spacing w:after="0"/>
              <w:rPr>
                <w:sz w:val="20"/>
                <w:szCs w:val="20"/>
                <w:color w:val="auto"/>
              </w:rPr>
            </w:pPr>
            <w:r>
              <w:rPr>
                <w:rFonts w:ascii="Times New Roman" w:cs="Times New Roman" w:eastAsia="Times New Roman" w:hAnsi="Times New Roman"/>
                <w:sz w:val="21"/>
                <w:szCs w:val="21"/>
                <w:color w:val="auto"/>
              </w:rPr>
              <w:t>September 30,</w:t>
            </w: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00" w:type="dxa"/>
            <w:vAlign w:val="bottom"/>
          </w:tcPr>
          <w:p>
            <w:pPr>
              <w:jc w:val="right"/>
              <w:ind w:right="793"/>
              <w:spacing w:after="0"/>
              <w:rPr>
                <w:sz w:val="20"/>
                <w:szCs w:val="20"/>
                <w:color w:val="auto"/>
              </w:rPr>
            </w:pPr>
            <w:r>
              <w:rPr>
                <w:rFonts w:ascii="Times New Roman" w:cs="Times New Roman" w:eastAsia="Times New Roman" w:hAnsi="Times New Roman"/>
                <w:sz w:val="21"/>
                <w:szCs w:val="21"/>
                <w:color w:val="auto"/>
              </w:rPr>
              <w:t>December 31,</w:t>
            </w:r>
          </w:p>
        </w:tc>
      </w:tr>
      <w:tr>
        <w:trPr>
          <w:trHeight w:val="255"/>
        </w:trPr>
        <w:tc>
          <w:tcPr>
            <w:tcW w:w="48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21"/>
                <w:szCs w:val="21"/>
                <w:color w:val="auto"/>
              </w:rPr>
              <w:t>2020</w:t>
            </w:r>
          </w:p>
        </w:tc>
        <w:tc>
          <w:tcPr>
            <w:tcW w:w="4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ind w:right="1173"/>
              <w:spacing w:after="0"/>
              <w:rPr>
                <w:sz w:val="20"/>
                <w:szCs w:val="20"/>
                <w:color w:val="auto"/>
              </w:rPr>
            </w:pPr>
            <w:r>
              <w:rPr>
                <w:rFonts w:ascii="Times New Roman" w:cs="Times New Roman" w:eastAsia="Times New Roman" w:hAnsi="Times New Roman"/>
                <w:sz w:val="21"/>
                <w:szCs w:val="21"/>
                <w:color w:val="auto"/>
              </w:rPr>
              <w:t>2019</w:t>
            </w:r>
          </w:p>
        </w:tc>
      </w:tr>
      <w:tr>
        <w:trPr>
          <w:trHeight w:val="221"/>
        </w:trPr>
        <w:tc>
          <w:tcPr>
            <w:tcW w:w="480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Carrying amount</w:t>
            </w:r>
          </w:p>
        </w:tc>
        <w:tc>
          <w:tcPr>
            <w:tcW w:w="500" w:type="dxa"/>
            <w:vAlign w:val="bottom"/>
            <w:shd w:val="clear" w:color="auto" w:fill="CCEEFF"/>
          </w:tcPr>
          <w:p>
            <w:pPr>
              <w:jc w:val="right"/>
              <w:ind w:right="29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254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5,396,819</w:t>
            </w: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250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3,077,400</w:t>
            </w:r>
          </w:p>
        </w:tc>
      </w:tr>
      <w:tr>
        <w:trPr>
          <w:trHeight w:val="279"/>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Estimated fair value</w:t>
            </w:r>
          </w:p>
        </w:tc>
        <w:tc>
          <w:tcPr>
            <w:tcW w:w="50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5,925,191</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3,324,377</w:t>
            </w:r>
          </w:p>
        </w:tc>
      </w:tr>
    </w:tbl>
    <w:p>
      <w:pPr>
        <w:spacing w:after="0" w:line="16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21"/>
          <w:szCs w:val="21"/>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5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1"/>
          <w:szCs w:val="21"/>
          <w:color w:val="auto"/>
        </w:rPr>
        <w:t>The Company’s customers’ advances for construction have a carrying value of $105,613 as of September 30, 2020, and $95,556 as of December 31, 2019. Their relative fair values cannot be accurately estimated because future refund payments depend on several variables, including new customer connections, customer consumption levels, and future rates. Portions of these non-interest-bearing instruments are payable annually through 2030 and amounts not paid by the respective contract expiration dates become non-refundable. The fair value of these amounts would, however, be less than their carrying value due to the non-interest-bearing feature.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9 – </w:t>
      </w:r>
      <w:r>
        <w:rPr>
          <w:rFonts w:ascii="Times New Roman" w:cs="Times New Roman" w:eastAsia="Times New Roman" w:hAnsi="Times New Roman"/>
          <w:sz w:val="21"/>
          <w:szCs w:val="21"/>
          <w:b w:val="1"/>
          <w:bCs w:val="1"/>
          <w:i w:val="1"/>
          <w:iCs w:val="1"/>
          <w:color w:val="auto"/>
        </w:rPr>
        <w:t>Net Income per Common Share</w:t>
      </w:r>
    </w:p>
    <w:p>
      <w:pPr>
        <w:spacing w:after="0" w:line="219"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21"/>
          <w:szCs w:val="21"/>
          <w:color w:val="auto"/>
        </w:rPr>
        <w:t>Basic net income per common share is based on the weighted average number of common shares outstanding and the minimum number of shares to be issued upon settlement of the stock purchase contracts issued under the tangible equity units. Diluted net income per common share is based on the weighted average number of common shares outstanding, potentially dilutive shares, and the expected number of shares to be issued upon settlement of the stock purchase contracts issued under the tangible equity units, based on the applicable market value of our common stock. The dilutive effect of employee stock-based compensation and shares issuable under the forward equity sale agreement (from the date the Company entered into the forward equity sale agreement to the settlement date) are included in the computation of diluted net income per common share. The dilutive effect of stock-based compensation and shares issuable under the forward equity sale agreement are calculated using the treasury stock method and expected proceeds upon exercise or issuance of the stock-based compensation and settlement of the forward equity sale agreement. The treasury stock method assumes that the proceeds from stock-based compensation and settlement of the forward equity sale agreement are used to purchase the Company’s common stock at the average market price during the period. The following table summarizes the shares, in thousands, used in computing basic and diluted net income per common share:</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20" w:type="dxa"/>
            <w:vAlign w:val="bottom"/>
          </w:tcPr>
          <w:p>
            <w:pPr>
              <w:spacing w:after="0"/>
              <w:rPr>
                <w:sz w:val="21"/>
                <w:szCs w:val="21"/>
                <w:color w:val="auto"/>
              </w:rPr>
            </w:pPr>
          </w:p>
        </w:tc>
        <w:tc>
          <w:tcPr>
            <w:tcW w:w="2740" w:type="dxa"/>
            <w:vAlign w:val="bottom"/>
            <w:gridSpan w:val="4"/>
          </w:tcPr>
          <w:p>
            <w:pPr>
              <w:jc w:val="center"/>
              <w:ind w:right="180"/>
              <w:spacing w:after="0"/>
              <w:rPr>
                <w:sz w:val="20"/>
                <w:szCs w:val="20"/>
                <w:color w:val="auto"/>
              </w:rPr>
            </w:pPr>
            <w:r>
              <w:rPr>
                <w:rFonts w:ascii="Times New Roman" w:cs="Times New Roman" w:eastAsia="Times New Roman" w:hAnsi="Times New Roman"/>
                <w:sz w:val="21"/>
                <w:szCs w:val="21"/>
                <w:color w:val="auto"/>
              </w:rPr>
              <w:t>Three Months Ended</w:t>
            </w:r>
          </w:p>
        </w:tc>
        <w:tc>
          <w:tcPr>
            <w:tcW w:w="2480" w:type="dxa"/>
            <w:vAlign w:val="bottom"/>
            <w:gridSpan w:val="3"/>
          </w:tcPr>
          <w:p>
            <w:pPr>
              <w:jc w:val="right"/>
              <w:ind w:right="273"/>
              <w:spacing w:after="0"/>
              <w:rPr>
                <w:sz w:val="20"/>
                <w:szCs w:val="20"/>
                <w:color w:val="auto"/>
              </w:rPr>
            </w:pPr>
            <w:r>
              <w:rPr>
                <w:rFonts w:ascii="Times New Roman" w:cs="Times New Roman" w:eastAsia="Times New Roman" w:hAnsi="Times New Roman"/>
                <w:sz w:val="21"/>
                <w:szCs w:val="21"/>
                <w:color w:val="auto"/>
              </w:rPr>
              <w:t>Nine Months Ended</w:t>
            </w:r>
          </w:p>
        </w:tc>
        <w:tc>
          <w:tcPr>
            <w:tcW w:w="0" w:type="dxa"/>
            <w:vAlign w:val="bottom"/>
          </w:tcPr>
          <w:p>
            <w:pPr>
              <w:spacing w:after="0"/>
              <w:rPr>
                <w:sz w:val="1"/>
                <w:szCs w:val="1"/>
                <w:color w:val="auto"/>
              </w:rPr>
            </w:pPr>
          </w:p>
        </w:tc>
      </w:tr>
      <w:tr>
        <w:trPr>
          <w:trHeight w:val="255"/>
        </w:trPr>
        <w:tc>
          <w:tcPr>
            <w:tcW w:w="6020" w:type="dxa"/>
            <w:vAlign w:val="bottom"/>
          </w:tcPr>
          <w:p>
            <w:pPr>
              <w:spacing w:after="0"/>
              <w:rPr>
                <w:sz w:val="22"/>
                <w:szCs w:val="22"/>
                <w:color w:val="auto"/>
              </w:rPr>
            </w:pPr>
          </w:p>
        </w:tc>
        <w:tc>
          <w:tcPr>
            <w:tcW w:w="2740" w:type="dxa"/>
            <w:vAlign w:val="bottom"/>
            <w:gridSpan w:val="4"/>
          </w:tcPr>
          <w:p>
            <w:pPr>
              <w:jc w:val="center"/>
              <w:ind w:right="180"/>
              <w:spacing w:after="0"/>
              <w:rPr>
                <w:sz w:val="20"/>
                <w:szCs w:val="20"/>
                <w:color w:val="auto"/>
              </w:rPr>
            </w:pPr>
            <w:r>
              <w:rPr>
                <w:rFonts w:ascii="Times New Roman" w:cs="Times New Roman" w:eastAsia="Times New Roman" w:hAnsi="Times New Roman"/>
                <w:sz w:val="21"/>
                <w:szCs w:val="21"/>
                <w:color w:val="auto"/>
              </w:rPr>
              <w:t>September 30,</w:t>
            </w:r>
          </w:p>
        </w:tc>
        <w:tc>
          <w:tcPr>
            <w:tcW w:w="2480" w:type="dxa"/>
            <w:vAlign w:val="bottom"/>
            <w:gridSpan w:val="3"/>
          </w:tcPr>
          <w:p>
            <w:pPr>
              <w:jc w:val="right"/>
              <w:ind w:right="513"/>
              <w:spacing w:after="0"/>
              <w:rPr>
                <w:sz w:val="20"/>
                <w:szCs w:val="20"/>
                <w:color w:val="auto"/>
              </w:rPr>
            </w:pPr>
            <w:r>
              <w:rPr>
                <w:rFonts w:ascii="Times New Roman" w:cs="Times New Roman" w:eastAsia="Times New Roman" w:hAnsi="Times New Roman"/>
                <w:sz w:val="21"/>
                <w:szCs w:val="21"/>
                <w:color w:val="auto"/>
              </w:rPr>
              <w:t>September 30,</w:t>
            </w:r>
          </w:p>
        </w:tc>
        <w:tc>
          <w:tcPr>
            <w:tcW w:w="0" w:type="dxa"/>
            <w:vAlign w:val="bottom"/>
          </w:tcPr>
          <w:p>
            <w:pPr>
              <w:spacing w:after="0"/>
              <w:rPr>
                <w:sz w:val="1"/>
                <w:szCs w:val="1"/>
                <w:color w:val="auto"/>
              </w:rPr>
            </w:pPr>
          </w:p>
        </w:tc>
      </w:tr>
      <w:tr>
        <w:trPr>
          <w:trHeight w:val="221"/>
        </w:trPr>
        <w:tc>
          <w:tcPr>
            <w:tcW w:w="60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3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18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93"/>
              <w:spacing w:after="0" w:line="221" w:lineRule="exact"/>
              <w:rPr>
                <w:sz w:val="20"/>
                <w:szCs w:val="20"/>
                <w:color w:val="auto"/>
              </w:rPr>
            </w:pPr>
            <w:r>
              <w:rPr>
                <w:rFonts w:ascii="Times New Roman" w:cs="Times New Roman" w:eastAsia="Times New Roman" w:hAnsi="Times New Roman"/>
                <w:sz w:val="21"/>
                <w:szCs w:val="21"/>
                <w:color w:val="auto"/>
              </w:rPr>
              <w:t>2019</w:t>
            </w:r>
          </w:p>
        </w:tc>
        <w:tc>
          <w:tcPr>
            <w:tcW w:w="2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3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0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73"/>
              <w:spacing w:after="0" w:line="221" w:lineRule="exact"/>
              <w:rPr>
                <w:sz w:val="20"/>
                <w:szCs w:val="20"/>
                <w:color w:val="auto"/>
              </w:rPr>
            </w:pPr>
            <w:r>
              <w:rPr>
                <w:rFonts w:ascii="Times New Roman" w:cs="Times New Roman" w:eastAsia="Times New Roman" w:hAnsi="Times New Roman"/>
                <w:sz w:val="21"/>
                <w:szCs w:val="21"/>
                <w:color w:val="auto"/>
              </w:rPr>
              <w:t>2019</w:t>
            </w:r>
          </w:p>
        </w:tc>
        <w:tc>
          <w:tcPr>
            <w:tcW w:w="0" w:type="dxa"/>
            <w:vAlign w:val="bottom"/>
          </w:tcPr>
          <w:p>
            <w:pPr>
              <w:spacing w:after="0"/>
              <w:rPr>
                <w:sz w:val="1"/>
                <w:szCs w:val="1"/>
                <w:color w:val="auto"/>
              </w:rPr>
            </w:pPr>
          </w:p>
        </w:tc>
      </w:tr>
      <w:tr>
        <w:trPr>
          <w:trHeight w:val="180"/>
        </w:trPr>
        <w:tc>
          <w:tcPr>
            <w:tcW w:w="6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20"/>
                <w:szCs w:val="20"/>
                <w:color w:val="auto"/>
              </w:rPr>
              <w:t>Average common shares outstanding during the period for basic</w:t>
            </w: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computation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254,280</w:t>
            </w: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232,053</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248,212</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209,971</w:t>
            </w:r>
          </w:p>
        </w:tc>
        <w:tc>
          <w:tcPr>
            <w:tcW w:w="0" w:type="dxa"/>
            <w:vAlign w:val="bottom"/>
          </w:tcPr>
          <w:p>
            <w:pPr>
              <w:spacing w:after="0"/>
              <w:rPr>
                <w:sz w:val="1"/>
                <w:szCs w:val="1"/>
                <w:color w:val="auto"/>
              </w:rPr>
            </w:pPr>
          </w:p>
        </w:tc>
      </w:tr>
      <w:tr>
        <w:trPr>
          <w:trHeight w:val="227"/>
        </w:trPr>
        <w:tc>
          <w:tcPr>
            <w:tcW w:w="6020" w:type="dxa"/>
            <w:vAlign w:val="bottom"/>
          </w:tcPr>
          <w:p>
            <w:pPr>
              <w:spacing w:after="0" w:line="227" w:lineRule="exact"/>
              <w:rPr>
                <w:sz w:val="20"/>
                <w:szCs w:val="20"/>
                <w:color w:val="auto"/>
              </w:rPr>
            </w:pPr>
            <w:r>
              <w:rPr>
                <w:rFonts w:ascii="Times New Roman" w:cs="Times New Roman" w:eastAsia="Times New Roman" w:hAnsi="Times New Roman"/>
                <w:sz w:val="21"/>
                <w:szCs w:val="21"/>
                <w:color w:val="auto"/>
              </w:rPr>
              <w:t>Effect of dilutive securities: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Forward equity sale agreement</w:t>
            </w:r>
          </w:p>
        </w:tc>
        <w:tc>
          <w:tcPr>
            <w:tcW w:w="110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w:t>
            </w:r>
          </w:p>
        </w:tc>
        <w:tc>
          <w:tcPr>
            <w:tcW w:w="118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27"/>
        </w:trPr>
        <w:tc>
          <w:tcPr>
            <w:tcW w:w="602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Issuance of common stock from private placement</w:t>
            </w:r>
          </w:p>
        </w:tc>
        <w:tc>
          <w:tcPr>
            <w:tcW w:w="110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180" w:type="dxa"/>
            <w:vAlign w:val="bottom"/>
          </w:tcPr>
          <w:p>
            <w:pPr>
              <w:spacing w:after="0"/>
              <w:rPr>
                <w:sz w:val="19"/>
                <w:szCs w:val="19"/>
                <w:color w:val="auto"/>
              </w:rPr>
            </w:pPr>
          </w:p>
        </w:tc>
        <w:tc>
          <w:tcPr>
            <w:tcW w:w="126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5,929</w:t>
            </w:r>
          </w:p>
        </w:tc>
        <w:tc>
          <w:tcPr>
            <w:tcW w:w="118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Tangible equity units</w:t>
            </w:r>
          </w:p>
        </w:tc>
        <w:tc>
          <w:tcPr>
            <w:tcW w:w="110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591</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615</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27"/>
        </w:trPr>
        <w:tc>
          <w:tcPr>
            <w:tcW w:w="602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Employee stock-based compensation</w:t>
            </w:r>
          </w:p>
        </w:tc>
        <w:tc>
          <w:tcPr>
            <w:tcW w:w="110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291</w:t>
            </w:r>
          </w:p>
        </w:tc>
        <w:tc>
          <w:tcPr>
            <w:tcW w:w="180" w:type="dxa"/>
            <w:vAlign w:val="bottom"/>
          </w:tcPr>
          <w:p>
            <w:pPr>
              <w:spacing w:after="0"/>
              <w:rPr>
                <w:sz w:val="19"/>
                <w:szCs w:val="19"/>
                <w:color w:val="auto"/>
              </w:rPr>
            </w:pPr>
          </w:p>
        </w:tc>
        <w:tc>
          <w:tcPr>
            <w:tcW w:w="126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411</w:t>
            </w:r>
          </w:p>
        </w:tc>
        <w:tc>
          <w:tcPr>
            <w:tcW w:w="200" w:type="dxa"/>
            <w:vAlign w:val="bottom"/>
          </w:tcPr>
          <w:p>
            <w:pPr>
              <w:spacing w:after="0"/>
              <w:rPr>
                <w:sz w:val="19"/>
                <w:szCs w:val="19"/>
                <w:color w:val="auto"/>
              </w:rPr>
            </w:pPr>
          </w:p>
        </w:tc>
        <w:tc>
          <w:tcPr>
            <w:tcW w:w="130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383</w:t>
            </w:r>
          </w:p>
        </w:tc>
        <w:tc>
          <w:tcPr>
            <w:tcW w:w="118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364</w:t>
            </w:r>
          </w:p>
        </w:tc>
        <w:tc>
          <w:tcPr>
            <w:tcW w:w="0" w:type="dxa"/>
            <w:vAlign w:val="bottom"/>
          </w:tcPr>
          <w:p>
            <w:pPr>
              <w:spacing w:after="0"/>
              <w:rPr>
                <w:sz w:val="1"/>
                <w:szCs w:val="1"/>
                <w:color w:val="auto"/>
              </w:rPr>
            </w:pPr>
          </w:p>
        </w:tc>
      </w:tr>
      <w:tr>
        <w:trPr>
          <w:trHeight w:val="180"/>
        </w:trPr>
        <w:tc>
          <w:tcPr>
            <w:tcW w:w="60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20"/>
                <w:szCs w:val="20"/>
                <w:color w:val="auto"/>
              </w:rPr>
              <w:t>Average common shares outstanding during the period for diluted</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255,162</w:t>
            </w:r>
          </w:p>
        </w:tc>
        <w:tc>
          <w:tcPr>
            <w:tcW w:w="1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232,464</w:t>
            </w:r>
          </w:p>
        </w:tc>
        <w:tc>
          <w:tcPr>
            <w:tcW w:w="2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255,139</w:t>
            </w:r>
          </w:p>
        </w:tc>
        <w:tc>
          <w:tcPr>
            <w:tcW w:w="2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210,335</w:t>
            </w:r>
          </w:p>
        </w:tc>
        <w:tc>
          <w:tcPr>
            <w:tcW w:w="0" w:type="dxa"/>
            <w:vAlign w:val="bottom"/>
          </w:tcPr>
          <w:p>
            <w:pPr>
              <w:spacing w:after="0"/>
              <w:rPr>
                <w:sz w:val="1"/>
                <w:szCs w:val="1"/>
                <w:color w:val="auto"/>
              </w:rPr>
            </w:pPr>
          </w:p>
        </w:tc>
      </w:tr>
      <w:tr>
        <w:trPr>
          <w:trHeight w:val="241"/>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1"/>
                <w:szCs w:val="21"/>
                <w:color w:val="auto"/>
              </w:rPr>
              <w:t>computation</w:t>
            </w: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1"/>
          <w:szCs w:val="21"/>
          <w:color w:val="auto"/>
        </w:rPr>
        <w:t>For the three and nine months ended September 30, 2020, the average common shares outstanding during the period for diluted computation reflects the impact of the issuance of common stock from the March 16, 2020 private placement as if the shares were issued on January 1, 2020.</w:t>
      </w:r>
    </w:p>
    <w:p>
      <w:pPr>
        <w:spacing w:after="0" w:line="173"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1"/>
          <w:szCs w:val="21"/>
          <w:color w:val="auto"/>
        </w:rPr>
        <w:t>For the three and nine months ended September 30, 2020, the average common shares outstanding during the period for basic computation includes the weighted-average impact of 9,091,179 and 9,464,482 shares, respectively, based on the minimum number of shares of 9,091,179 to be issued in April 2022 upon settlement of the stock purchase contracts issued in April 2019 under the tangible equity units. Further, for the three and nine months ended September 30, 2020, average common shares outstanding during the period for diluted computation includes the impact of the additional shares to be issued in April 2022 upon settlement of the stock purchase contracts based on the threshold appreciation price of $42.41.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1"/>
          <w:szCs w:val="21"/>
          <w:color w:val="auto"/>
        </w:rPr>
        <w:t>For the three and nine months ended September 30, 2020, all of the Company’s employee stock options were included in the calculations of diluted net income per share as the calculated cost to exercise employee stock options was less than the average market price of the Company’s common stock during this period. For the three and nine months ended September 30, 2019, all of the Company’s employee stock options were included in the calculations of diluted net income per share as the calculated cost to exercise employee stock options was less than the average market price of the Company’s common stock during this period. Additionally, the dilutive effect of performance share units and restricted share units granted are included in the Company’s calculation of diluted net income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10 – </w:t>
      </w:r>
      <w:r>
        <w:rPr>
          <w:rFonts w:ascii="Times New Roman" w:cs="Times New Roman" w:eastAsia="Times New Roman" w:hAnsi="Times New Roman"/>
          <w:sz w:val="21"/>
          <w:szCs w:val="21"/>
          <w:b w:val="1"/>
          <w:bCs w:val="1"/>
          <w:i w:val="1"/>
          <w:iCs w:val="1"/>
          <w:color w:val="auto"/>
        </w:rPr>
        <w:t>Stock-based Compensation</w:t>
      </w:r>
    </w:p>
    <w:p>
      <w:pPr>
        <w:spacing w:after="0" w:line="21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1"/>
          <w:szCs w:val="21"/>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awards, stock units and other stock-based awards, subject to adjustment as 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September 30, 2020, 2,427,371 shares were still available for issuance under the Plan. No further grants may be made under the Company’s 2004 Equity Compensation Plan.</w:t>
      </w:r>
    </w:p>
    <w:p>
      <w:pPr>
        <w:spacing w:after="0" w:line="18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b w:val="1"/>
          <w:bCs w:val="1"/>
          <w:i w:val="1"/>
          <w:iCs w:val="1"/>
          <w:color w:val="auto"/>
        </w:rPr>
        <w:t xml:space="preserve">Performance Share Units </w:t>
      </w:r>
      <w:r>
        <w:rPr>
          <w:rFonts w:ascii="Times New Roman" w:cs="Times New Roman" w:eastAsia="Times New Roman" w:hAnsi="Times New Roman"/>
          <w:sz w:val="21"/>
          <w:szCs w:val="21"/>
          <w:color w:val="auto"/>
        </w:rPr>
        <w:t>– A performance share unit (“PSU”) represents the right to receive a share of the Company’s common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costs for stock-based compensation related to PSUs: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2680" w:type="dxa"/>
            <w:vAlign w:val="bottom"/>
            <w:gridSpan w:val="4"/>
          </w:tcPr>
          <w:p>
            <w:pPr>
              <w:jc w:val="center"/>
              <w:ind w:left="353"/>
              <w:spacing w:after="0"/>
              <w:rPr>
                <w:sz w:val="20"/>
                <w:szCs w:val="20"/>
                <w:color w:val="auto"/>
              </w:rPr>
            </w:pPr>
            <w:r>
              <w:rPr>
                <w:rFonts w:ascii="Times New Roman" w:cs="Times New Roman" w:eastAsia="Times New Roman" w:hAnsi="Times New Roman"/>
                <w:sz w:val="21"/>
                <w:szCs w:val="21"/>
                <w:color w:val="auto"/>
              </w:rPr>
              <w:t>Three Months Ended</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4"/>
          </w:tcPr>
          <w:p>
            <w:pPr>
              <w:jc w:val="right"/>
              <w:ind w:right="573"/>
              <w:spacing w:after="0"/>
              <w:rPr>
                <w:sz w:val="20"/>
                <w:szCs w:val="20"/>
                <w:color w:val="auto"/>
              </w:rPr>
            </w:pPr>
            <w:r>
              <w:rPr>
                <w:rFonts w:ascii="Times New Roman" w:cs="Times New Roman" w:eastAsia="Times New Roman" w:hAnsi="Times New Roman"/>
                <w:sz w:val="21"/>
                <w:szCs w:val="21"/>
                <w:color w:val="auto"/>
              </w:rPr>
              <w:t>Nine Months Ended</w:t>
            </w:r>
          </w:p>
        </w:tc>
      </w:tr>
      <w:tr>
        <w:trPr>
          <w:trHeight w:val="255"/>
        </w:trPr>
        <w:tc>
          <w:tcPr>
            <w:tcW w:w="48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center"/>
              <w:ind w:right="373"/>
              <w:spacing w:after="0"/>
              <w:rPr>
                <w:sz w:val="20"/>
                <w:szCs w:val="20"/>
                <w:color w:val="auto"/>
              </w:rPr>
            </w:pPr>
            <w:r>
              <w:rPr>
                <w:rFonts w:ascii="Times New Roman" w:cs="Times New Roman" w:eastAsia="Times New Roman" w:hAnsi="Times New Roman"/>
                <w:sz w:val="21"/>
                <w:szCs w:val="21"/>
                <w:color w:val="auto"/>
              </w:rPr>
              <w:t>September 30,</w:t>
            </w:r>
          </w:p>
        </w:tc>
        <w:tc>
          <w:tcPr>
            <w:tcW w:w="4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4"/>
          </w:tcPr>
          <w:p>
            <w:pPr>
              <w:jc w:val="right"/>
              <w:ind w:right="813"/>
              <w:spacing w:after="0"/>
              <w:rPr>
                <w:sz w:val="20"/>
                <w:szCs w:val="20"/>
                <w:color w:val="auto"/>
              </w:rPr>
            </w:pPr>
            <w:r>
              <w:rPr>
                <w:rFonts w:ascii="Times New Roman" w:cs="Times New Roman" w:eastAsia="Times New Roman" w:hAnsi="Times New Roman"/>
                <w:sz w:val="21"/>
                <w:szCs w:val="21"/>
                <w:color w:val="auto"/>
              </w:rPr>
              <w:t>September 30,</w:t>
            </w:r>
          </w:p>
        </w:tc>
      </w:tr>
      <w:tr>
        <w:trPr>
          <w:trHeight w:val="221"/>
        </w:trPr>
        <w:tc>
          <w:tcPr>
            <w:tcW w:w="48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2019</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3"/>
              <w:spacing w:after="0" w:line="221" w:lineRule="exact"/>
              <w:rPr>
                <w:sz w:val="20"/>
                <w:szCs w:val="20"/>
                <w:color w:val="auto"/>
              </w:rPr>
            </w:pPr>
            <w:r>
              <w:rPr>
                <w:rFonts w:ascii="Times New Roman" w:cs="Times New Roman" w:eastAsia="Times New Roman" w:hAnsi="Times New Roman"/>
                <w:sz w:val="21"/>
                <w:szCs w:val="21"/>
                <w:color w:val="auto"/>
              </w:rPr>
              <w:t>2019</w:t>
            </w:r>
          </w:p>
        </w:tc>
      </w:tr>
      <w:tr>
        <w:trPr>
          <w:trHeight w:val="180"/>
        </w:trPr>
        <w:tc>
          <w:tcPr>
            <w:tcW w:w="4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20"/>
                <w:szCs w:val="20"/>
                <w:color w:val="auto"/>
              </w:rPr>
              <w:t>Stock-based compensation within operations and</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55"/>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maintenance expenses</w:t>
            </w:r>
          </w:p>
        </w:tc>
        <w:tc>
          <w:tcPr>
            <w:tcW w:w="96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21"/>
                <w:szCs w:val="21"/>
                <w:color w:val="auto"/>
                <w:w w:val="9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918</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21"/>
                <w:szCs w:val="21"/>
                <w:color w:val="auto"/>
                <w:w w:val="7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584</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2,364</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2,434</w:t>
            </w:r>
          </w:p>
        </w:tc>
      </w:tr>
      <w:tr>
        <w:trPr>
          <w:trHeight w:val="279"/>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Income tax benefit</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660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682</w:t>
            </w:r>
          </w:p>
        </w:tc>
      </w:tr>
      <w:tr>
        <w:trPr>
          <w:trHeight w:val="427"/>
        </w:trPr>
        <w:tc>
          <w:tcPr>
            <w:tcW w:w="48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4"/>
        </w:trPr>
        <w:tc>
          <w:tcPr>
            <w:tcW w:w="48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the PSU transactions for the nine months ended September 30, 2020:</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6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Number</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center"/>
              <w:ind w:right="73"/>
              <w:spacing w:after="0"/>
              <w:rPr>
                <w:sz w:val="20"/>
                <w:szCs w:val="20"/>
                <w:color w:val="auto"/>
              </w:rPr>
            </w:pPr>
            <w:r>
              <w:rPr>
                <w:rFonts w:ascii="Times New Roman" w:cs="Times New Roman" w:eastAsia="Times New Roman" w:hAnsi="Times New Roman"/>
                <w:sz w:val="21"/>
                <w:szCs w:val="21"/>
                <w:color w:val="auto"/>
                <w:w w:val="97"/>
              </w:rPr>
              <w:t>Weighted</w:t>
            </w:r>
          </w:p>
        </w:tc>
      </w:tr>
      <w:tr>
        <w:trPr>
          <w:trHeight w:val="227"/>
        </w:trPr>
        <w:tc>
          <w:tcPr>
            <w:tcW w:w="8060" w:type="dxa"/>
            <w:vAlign w:val="bottom"/>
          </w:tcPr>
          <w:p>
            <w:pPr>
              <w:spacing w:after="0"/>
              <w:rPr>
                <w:sz w:val="19"/>
                <w:szCs w:val="19"/>
                <w:color w:val="auto"/>
              </w:rPr>
            </w:pPr>
          </w:p>
        </w:tc>
        <w:tc>
          <w:tcPr>
            <w:tcW w:w="1520" w:type="dxa"/>
            <w:vAlign w:val="bottom"/>
          </w:tcPr>
          <w:p>
            <w:pPr>
              <w:jc w:val="center"/>
              <w:spacing w:after="0" w:line="227" w:lineRule="exact"/>
              <w:rPr>
                <w:sz w:val="20"/>
                <w:szCs w:val="20"/>
                <w:color w:val="auto"/>
              </w:rPr>
            </w:pPr>
            <w:r>
              <w:rPr>
                <w:rFonts w:ascii="Times New Roman" w:cs="Times New Roman" w:eastAsia="Times New Roman" w:hAnsi="Times New Roman"/>
                <w:sz w:val="21"/>
                <w:szCs w:val="21"/>
                <w:color w:val="auto"/>
                <w:w w:val="91"/>
              </w:rPr>
              <w:t>of</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73"/>
              <w:spacing w:after="0" w:line="227" w:lineRule="exact"/>
              <w:rPr>
                <w:sz w:val="20"/>
                <w:szCs w:val="20"/>
                <w:color w:val="auto"/>
              </w:rPr>
            </w:pPr>
            <w:r>
              <w:rPr>
                <w:rFonts w:ascii="Times New Roman" w:cs="Times New Roman" w:eastAsia="Times New Roman" w:hAnsi="Times New Roman"/>
                <w:sz w:val="21"/>
                <w:szCs w:val="21"/>
                <w:color w:val="auto"/>
              </w:rPr>
              <w:t>Average</w:t>
            </w:r>
          </w:p>
        </w:tc>
      </w:tr>
      <w:tr>
        <w:trPr>
          <w:trHeight w:val="255"/>
        </w:trPr>
        <w:tc>
          <w:tcPr>
            <w:tcW w:w="806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Share Units</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21"/>
                <w:szCs w:val="21"/>
                <w:color w:val="auto"/>
                <w:w w:val="98"/>
              </w:rPr>
              <w:t>Fair Value</w:t>
            </w:r>
          </w:p>
        </w:tc>
      </w:tr>
      <w:tr>
        <w:trPr>
          <w:trHeight w:val="221"/>
        </w:trPr>
        <w:tc>
          <w:tcPr>
            <w:tcW w:w="806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Nonvested share units at beginning of period</w:t>
            </w:r>
          </w:p>
        </w:tc>
        <w:tc>
          <w:tcPr>
            <w:tcW w:w="152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261,398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26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16.35</w:t>
            </w:r>
          </w:p>
        </w:tc>
      </w:tr>
      <w:tr>
        <w:trPr>
          <w:trHeight w:val="227"/>
        </w:trPr>
        <w:tc>
          <w:tcPr>
            <w:tcW w:w="806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Granted</w:t>
            </w:r>
          </w:p>
        </w:tc>
        <w:tc>
          <w:tcPr>
            <w:tcW w:w="15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106,384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55.43</w:t>
            </w:r>
          </w:p>
        </w:tc>
      </w:tr>
      <w:tr>
        <w:trPr>
          <w:trHeight w:val="227"/>
        </w:trPr>
        <w:tc>
          <w:tcPr>
            <w:tcW w:w="806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Performance criteria adjustment</w:t>
            </w:r>
          </w:p>
        </w:tc>
        <w:tc>
          <w:tcPr>
            <w:tcW w:w="15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60,009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47.26</w:t>
            </w:r>
          </w:p>
        </w:tc>
      </w:tr>
      <w:tr>
        <w:trPr>
          <w:trHeight w:val="227"/>
        </w:trPr>
        <w:tc>
          <w:tcPr>
            <w:tcW w:w="806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Forfeited</w:t>
            </w:r>
          </w:p>
        </w:tc>
        <w:tc>
          <w:tcPr>
            <w:tcW w:w="15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(2,481)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35.34</w:t>
            </w:r>
          </w:p>
        </w:tc>
      </w:tr>
      <w:tr>
        <w:trPr>
          <w:trHeight w:val="227"/>
        </w:trPr>
        <w:tc>
          <w:tcPr>
            <w:tcW w:w="806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Share units issued</w:t>
            </w:r>
          </w:p>
        </w:tc>
        <w:tc>
          <w:tcPr>
            <w:tcW w:w="152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(169,352)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25.75</w:t>
            </w:r>
          </w:p>
        </w:tc>
      </w:tr>
      <w:tr>
        <w:trPr>
          <w:trHeight w:val="221"/>
        </w:trPr>
        <w:tc>
          <w:tcPr>
            <w:tcW w:w="8060" w:type="dxa"/>
            <w:vAlign w:val="bottom"/>
          </w:tcPr>
          <w:p>
            <w:pPr>
              <w:spacing w:after="0" w:line="221" w:lineRule="exact"/>
              <w:rPr>
                <w:sz w:val="20"/>
                <w:szCs w:val="20"/>
                <w:color w:val="auto"/>
              </w:rPr>
            </w:pPr>
            <w:r>
              <w:rPr>
                <w:rFonts w:ascii="Times New Roman" w:cs="Times New Roman" w:eastAsia="Times New Roman" w:hAnsi="Times New Roman"/>
                <w:sz w:val="21"/>
                <w:szCs w:val="21"/>
                <w:color w:val="auto"/>
              </w:rPr>
              <w:t>Nonvested share units at end of period</w:t>
            </w:r>
          </w:p>
        </w:tc>
        <w:tc>
          <w:tcPr>
            <w:tcW w:w="15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255,958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1" w:lineRule="exact"/>
              <w:rPr>
                <w:sz w:val="20"/>
                <w:szCs w:val="20"/>
                <w:color w:val="auto"/>
              </w:rPr>
            </w:pPr>
            <w:r>
              <w:rPr>
                <w:rFonts w:ascii="Times New Roman" w:cs="Times New Roman" w:eastAsia="Times New Roman" w:hAnsi="Times New Roman"/>
                <w:sz w:val="21"/>
                <w:szCs w:val="21"/>
                <w:color w:val="auto"/>
              </w:rPr>
              <w:t>33.44</w:t>
            </w:r>
          </w:p>
        </w:tc>
      </w:tr>
      <w:tr>
        <w:trPr>
          <w:trHeight w:val="20"/>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nine months ended September 30, 2020 was $55.43 The Company did not grant PSUs during the nine months ended September 30, 2019.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29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Restricted Stock Units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 restricted stock unit (“RSU”) represents the right to receive a share of the Company’s common stock.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cost and income tax benefit for stock-based compensation related to RSUs: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5"/>
          </w:tcPr>
          <w:p>
            <w:pPr>
              <w:jc w:val="center"/>
              <w:ind w:right="520"/>
              <w:spacing w:after="0"/>
              <w:rPr>
                <w:sz w:val="20"/>
                <w:szCs w:val="20"/>
                <w:color w:val="auto"/>
              </w:rPr>
            </w:pPr>
            <w:r>
              <w:rPr>
                <w:rFonts w:ascii="Times New Roman" w:cs="Times New Roman" w:eastAsia="Times New Roman" w:hAnsi="Times New Roman"/>
                <w:sz w:val="21"/>
                <w:szCs w:val="21"/>
                <w:color w:val="auto"/>
              </w:rPr>
              <w:t>Three Months Ended</w:t>
            </w:r>
          </w:p>
        </w:tc>
        <w:tc>
          <w:tcPr>
            <w:tcW w:w="340" w:type="dxa"/>
            <w:vAlign w:val="bottom"/>
          </w:tcPr>
          <w:p>
            <w:pPr>
              <w:spacing w:after="0"/>
              <w:rPr>
                <w:sz w:val="20"/>
                <w:szCs w:val="20"/>
                <w:color w:val="auto"/>
              </w:rPr>
            </w:pPr>
          </w:p>
        </w:tc>
        <w:tc>
          <w:tcPr>
            <w:tcW w:w="2980" w:type="dxa"/>
            <w:vAlign w:val="bottom"/>
            <w:gridSpan w:val="4"/>
          </w:tcPr>
          <w:p>
            <w:pPr>
              <w:jc w:val="center"/>
              <w:ind w:right="233"/>
              <w:spacing w:after="0"/>
              <w:rPr>
                <w:sz w:val="20"/>
                <w:szCs w:val="20"/>
                <w:color w:val="auto"/>
              </w:rPr>
            </w:pPr>
            <w:r>
              <w:rPr>
                <w:rFonts w:ascii="Times New Roman" w:cs="Times New Roman" w:eastAsia="Times New Roman" w:hAnsi="Times New Roman"/>
                <w:sz w:val="21"/>
                <w:szCs w:val="21"/>
                <w:color w:val="auto"/>
              </w:rPr>
              <w:t>Nine Months Ended</w:t>
            </w:r>
          </w:p>
        </w:tc>
      </w:tr>
      <w:tr>
        <w:trPr>
          <w:trHeight w:val="255"/>
        </w:trPr>
        <w:tc>
          <w:tcPr>
            <w:tcW w:w="4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40" w:type="dxa"/>
            <w:vAlign w:val="bottom"/>
            <w:gridSpan w:val="5"/>
          </w:tcPr>
          <w:p>
            <w:pPr>
              <w:jc w:val="center"/>
              <w:ind w:right="520"/>
              <w:spacing w:after="0"/>
              <w:rPr>
                <w:sz w:val="20"/>
                <w:szCs w:val="20"/>
                <w:color w:val="auto"/>
              </w:rPr>
            </w:pPr>
            <w:r>
              <w:rPr>
                <w:rFonts w:ascii="Times New Roman" w:cs="Times New Roman" w:eastAsia="Times New Roman" w:hAnsi="Times New Roman"/>
                <w:sz w:val="21"/>
                <w:szCs w:val="21"/>
                <w:color w:val="auto"/>
              </w:rPr>
              <w:t>September 30,</w:t>
            </w:r>
          </w:p>
        </w:tc>
        <w:tc>
          <w:tcPr>
            <w:tcW w:w="340" w:type="dxa"/>
            <w:vAlign w:val="bottom"/>
          </w:tcPr>
          <w:p>
            <w:pPr>
              <w:spacing w:after="0"/>
              <w:rPr>
                <w:sz w:val="22"/>
                <w:szCs w:val="22"/>
                <w:color w:val="auto"/>
              </w:rPr>
            </w:pPr>
          </w:p>
        </w:tc>
        <w:tc>
          <w:tcPr>
            <w:tcW w:w="1960" w:type="dxa"/>
            <w:vAlign w:val="bottom"/>
            <w:gridSpan w:val="3"/>
          </w:tcPr>
          <w:p>
            <w:pPr>
              <w:jc w:val="center"/>
              <w:ind w:left="573"/>
              <w:spacing w:after="0"/>
              <w:rPr>
                <w:sz w:val="20"/>
                <w:szCs w:val="20"/>
                <w:color w:val="auto"/>
              </w:rPr>
            </w:pPr>
            <w:r>
              <w:rPr>
                <w:rFonts w:ascii="Times New Roman" w:cs="Times New Roman" w:eastAsia="Times New Roman" w:hAnsi="Times New Roman"/>
                <w:sz w:val="21"/>
                <w:szCs w:val="21"/>
                <w:color w:val="auto"/>
              </w:rPr>
              <w:t>September 30,</w:t>
            </w:r>
          </w:p>
        </w:tc>
        <w:tc>
          <w:tcPr>
            <w:tcW w:w="1020" w:type="dxa"/>
            <w:vAlign w:val="bottom"/>
          </w:tcPr>
          <w:p>
            <w:pPr>
              <w:spacing w:after="0"/>
              <w:rPr>
                <w:sz w:val="22"/>
                <w:szCs w:val="22"/>
                <w:color w:val="auto"/>
              </w:rPr>
            </w:pPr>
          </w:p>
        </w:tc>
      </w:tr>
      <w:tr>
        <w:trPr>
          <w:trHeight w:val="221"/>
        </w:trPr>
        <w:tc>
          <w:tcPr>
            <w:tcW w:w="48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3"/>
              <w:spacing w:after="0" w:line="221" w:lineRule="exact"/>
              <w:rPr>
                <w:sz w:val="20"/>
                <w:szCs w:val="20"/>
                <w:color w:val="auto"/>
              </w:rPr>
            </w:pPr>
            <w:r>
              <w:rPr>
                <w:rFonts w:ascii="Times New Roman" w:cs="Times New Roman" w:eastAsia="Times New Roman" w:hAnsi="Times New Roman"/>
                <w:sz w:val="21"/>
                <w:szCs w:val="21"/>
                <w:color w:val="auto"/>
              </w:rPr>
              <w:t>2019</w:t>
            </w:r>
          </w:p>
        </w:tc>
        <w:tc>
          <w:tcPr>
            <w:tcW w:w="2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00" w:type="dxa"/>
            <w:vAlign w:val="bottom"/>
            <w:tcBorders>
              <w:top w:val="single" w:sz="8" w:color="auto"/>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53"/>
              <w:spacing w:after="0" w:line="221" w:lineRule="exact"/>
              <w:rPr>
                <w:sz w:val="20"/>
                <w:szCs w:val="20"/>
                <w:color w:val="auto"/>
              </w:rPr>
            </w:pPr>
            <w:r>
              <w:rPr>
                <w:rFonts w:ascii="Times New Roman" w:cs="Times New Roman" w:eastAsia="Times New Roman" w:hAnsi="Times New Roman"/>
                <w:sz w:val="21"/>
                <w:szCs w:val="21"/>
                <w:color w:val="auto"/>
              </w:rPr>
              <w:t>2019</w:t>
            </w:r>
          </w:p>
        </w:tc>
      </w:tr>
      <w:tr>
        <w:trPr>
          <w:trHeight w:val="180"/>
        </w:trPr>
        <w:tc>
          <w:tcPr>
            <w:tcW w:w="4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20"/>
                <w:szCs w:val="20"/>
                <w:color w:val="auto"/>
              </w:rPr>
              <w:t>Stock-based compensation within operations and</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55"/>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maintenance expenses</w:t>
            </w:r>
          </w:p>
        </w:tc>
        <w:tc>
          <w:tcPr>
            <w:tcW w:w="2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550</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1"/>
                <w:szCs w:val="2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395</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21"/>
                <w:szCs w:val="21"/>
                <w:color w:val="auto"/>
                <w:w w:val="7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1,582</w:t>
            </w:r>
          </w:p>
        </w:tc>
        <w:tc>
          <w:tcPr>
            <w:tcW w:w="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1"/>
                <w:szCs w:val="2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1,231</w:t>
            </w:r>
          </w:p>
        </w:tc>
      </w:tr>
      <w:tr>
        <w:trPr>
          <w:trHeight w:val="279"/>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Income tax benefit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112</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438</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348</w:t>
            </w:r>
          </w:p>
        </w:tc>
      </w:tr>
      <w:tr>
        <w:trPr>
          <w:trHeight w:val="441"/>
        </w:trPr>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21"/>
                <w:szCs w:val="21"/>
                <w:color w:val="auto"/>
              </w:rPr>
              <w:t>29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4"/>
        </w:trPr>
        <w:tc>
          <w:tcPr>
            <w:tcW w:w="4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the RSU transactions for the nine months ended September 30, 2020:</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60" w:type="dxa"/>
            <w:vAlign w:val="bottom"/>
          </w:tcPr>
          <w:p>
            <w:pPr>
              <w:spacing w:after="0"/>
              <w:rPr>
                <w:sz w:val="21"/>
                <w:szCs w:val="21"/>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21"/>
                <w:szCs w:val="21"/>
                <w:color w:val="auto"/>
              </w:rPr>
              <w:t>Number</w:t>
            </w:r>
          </w:p>
        </w:tc>
        <w:tc>
          <w:tcPr>
            <w:tcW w:w="240" w:type="dxa"/>
            <w:vAlign w:val="bottom"/>
          </w:tcPr>
          <w:p>
            <w:pPr>
              <w:spacing w:after="0"/>
              <w:rPr>
                <w:sz w:val="21"/>
                <w:szCs w:val="21"/>
                <w:color w:val="auto"/>
              </w:rPr>
            </w:pPr>
          </w:p>
        </w:tc>
        <w:tc>
          <w:tcPr>
            <w:tcW w:w="1380" w:type="dxa"/>
            <w:vAlign w:val="bottom"/>
          </w:tcPr>
          <w:p>
            <w:pPr>
              <w:jc w:val="center"/>
              <w:ind w:right="133"/>
              <w:spacing w:after="0"/>
              <w:rPr>
                <w:sz w:val="20"/>
                <w:szCs w:val="20"/>
                <w:color w:val="auto"/>
              </w:rPr>
            </w:pPr>
            <w:r>
              <w:rPr>
                <w:rFonts w:ascii="Times New Roman" w:cs="Times New Roman" w:eastAsia="Times New Roman" w:hAnsi="Times New Roman"/>
                <w:sz w:val="21"/>
                <w:szCs w:val="21"/>
                <w:color w:val="auto"/>
              </w:rPr>
              <w:t>Weighted</w:t>
            </w:r>
          </w:p>
        </w:tc>
      </w:tr>
      <w:tr>
        <w:trPr>
          <w:trHeight w:val="227"/>
        </w:trPr>
        <w:tc>
          <w:tcPr>
            <w:tcW w:w="7960" w:type="dxa"/>
            <w:vAlign w:val="bottom"/>
          </w:tcPr>
          <w:p>
            <w:pPr>
              <w:spacing w:after="0"/>
              <w:rPr>
                <w:sz w:val="19"/>
                <w:szCs w:val="19"/>
                <w:color w:val="auto"/>
              </w:rPr>
            </w:pPr>
          </w:p>
        </w:tc>
        <w:tc>
          <w:tcPr>
            <w:tcW w:w="1660" w:type="dxa"/>
            <w:vAlign w:val="bottom"/>
            <w:gridSpan w:val="2"/>
          </w:tcPr>
          <w:p>
            <w:pPr>
              <w:jc w:val="center"/>
              <w:ind w:right="220"/>
              <w:spacing w:after="0" w:line="227" w:lineRule="exact"/>
              <w:rPr>
                <w:sz w:val="20"/>
                <w:szCs w:val="20"/>
                <w:color w:val="auto"/>
              </w:rPr>
            </w:pPr>
            <w:r>
              <w:rPr>
                <w:rFonts w:ascii="Times New Roman" w:cs="Times New Roman" w:eastAsia="Times New Roman" w:hAnsi="Times New Roman"/>
                <w:sz w:val="21"/>
                <w:szCs w:val="21"/>
                <w:color w:val="auto"/>
                <w:w w:val="91"/>
              </w:rPr>
              <w:t>of</w:t>
            </w:r>
          </w:p>
        </w:tc>
        <w:tc>
          <w:tcPr>
            <w:tcW w:w="240" w:type="dxa"/>
            <w:vAlign w:val="bottom"/>
          </w:tcPr>
          <w:p>
            <w:pPr>
              <w:spacing w:after="0"/>
              <w:rPr>
                <w:sz w:val="19"/>
                <w:szCs w:val="19"/>
                <w:color w:val="auto"/>
              </w:rPr>
            </w:pPr>
          </w:p>
        </w:tc>
        <w:tc>
          <w:tcPr>
            <w:tcW w:w="1380" w:type="dxa"/>
            <w:vAlign w:val="bottom"/>
          </w:tcPr>
          <w:p>
            <w:pPr>
              <w:jc w:val="center"/>
              <w:ind w:right="133"/>
              <w:spacing w:after="0" w:line="227" w:lineRule="exact"/>
              <w:rPr>
                <w:sz w:val="20"/>
                <w:szCs w:val="20"/>
                <w:color w:val="auto"/>
              </w:rPr>
            </w:pPr>
            <w:r>
              <w:rPr>
                <w:rFonts w:ascii="Times New Roman" w:cs="Times New Roman" w:eastAsia="Times New Roman" w:hAnsi="Times New Roman"/>
                <w:sz w:val="21"/>
                <w:szCs w:val="21"/>
                <w:color w:val="auto"/>
                <w:w w:val="98"/>
              </w:rPr>
              <w:t>Average</w:t>
            </w:r>
          </w:p>
        </w:tc>
      </w:tr>
      <w:tr>
        <w:trPr>
          <w:trHeight w:val="255"/>
        </w:trPr>
        <w:tc>
          <w:tcPr>
            <w:tcW w:w="7960" w:type="dxa"/>
            <w:vAlign w:val="bottom"/>
          </w:tcPr>
          <w:p>
            <w:pPr>
              <w:spacing w:after="0"/>
              <w:rPr>
                <w:sz w:val="22"/>
                <w:szCs w:val="22"/>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21"/>
                <w:szCs w:val="21"/>
                <w:color w:val="auto"/>
              </w:rPr>
              <w:t>Stock Units</w:t>
            </w:r>
          </w:p>
        </w:tc>
        <w:tc>
          <w:tcPr>
            <w:tcW w:w="240" w:type="dxa"/>
            <w:vAlign w:val="bottom"/>
          </w:tcPr>
          <w:p>
            <w:pPr>
              <w:spacing w:after="0"/>
              <w:rPr>
                <w:sz w:val="22"/>
                <w:szCs w:val="22"/>
                <w:color w:val="auto"/>
              </w:rPr>
            </w:pPr>
          </w:p>
        </w:tc>
        <w:tc>
          <w:tcPr>
            <w:tcW w:w="1380" w:type="dxa"/>
            <w:vAlign w:val="bottom"/>
          </w:tcPr>
          <w:p>
            <w:pPr>
              <w:jc w:val="center"/>
              <w:ind w:right="133"/>
              <w:spacing w:after="0"/>
              <w:rPr>
                <w:sz w:val="20"/>
                <w:szCs w:val="20"/>
                <w:color w:val="auto"/>
              </w:rPr>
            </w:pPr>
            <w:r>
              <w:rPr>
                <w:rFonts w:ascii="Times New Roman" w:cs="Times New Roman" w:eastAsia="Times New Roman" w:hAnsi="Times New Roman"/>
                <w:sz w:val="21"/>
                <w:szCs w:val="21"/>
                <w:color w:val="auto"/>
              </w:rPr>
              <w:t>Fair Value</w:t>
            </w:r>
          </w:p>
        </w:tc>
      </w:tr>
      <w:tr>
        <w:trPr>
          <w:trHeight w:val="221"/>
        </w:trPr>
        <w:tc>
          <w:tcPr>
            <w:tcW w:w="7960" w:type="dxa"/>
            <w:vAlign w:val="bottom"/>
            <w:tcBorders>
              <w:top w:val="single" w:sz="8" w:color="CCEEFF"/>
            </w:tcBorders>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Nonvested stock units at beginning of period</w:t>
            </w:r>
          </w:p>
        </w:tc>
        <w:tc>
          <w:tcPr>
            <w:tcW w:w="1440" w:type="dxa"/>
            <w:vAlign w:val="bottom"/>
            <w:tcBorders>
              <w:top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141,884</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380" w:type="dxa"/>
            <w:vAlign w:val="bottom"/>
            <w:tcBorders>
              <w:top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34.39</w:t>
            </w:r>
          </w:p>
        </w:tc>
      </w:tr>
      <w:tr>
        <w:trPr>
          <w:trHeight w:val="227"/>
        </w:trPr>
        <w:tc>
          <w:tcPr>
            <w:tcW w:w="796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Granted</w:t>
            </w:r>
          </w:p>
        </w:tc>
        <w:tc>
          <w:tcPr>
            <w:tcW w:w="144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61,685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49.40</w:t>
            </w:r>
          </w:p>
        </w:tc>
      </w:tr>
      <w:tr>
        <w:trPr>
          <w:trHeight w:val="227"/>
        </w:trPr>
        <w:tc>
          <w:tcPr>
            <w:tcW w:w="796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Stock units vested and issued</w:t>
            </w:r>
          </w:p>
        </w:tc>
        <w:tc>
          <w:tcPr>
            <w:tcW w:w="1660" w:type="dxa"/>
            <w:vAlign w:val="bottom"/>
            <w:gridSpan w:val="2"/>
            <w:shd w:val="clear" w:color="auto" w:fill="CCEEFF"/>
          </w:tcPr>
          <w:p>
            <w:pPr>
              <w:jc w:val="right"/>
              <w:ind w:right="220"/>
              <w:spacing w:after="0" w:line="227" w:lineRule="exact"/>
              <w:rPr>
                <w:sz w:val="20"/>
                <w:szCs w:val="20"/>
                <w:color w:val="auto"/>
              </w:rPr>
            </w:pPr>
            <w:r>
              <w:rPr>
                <w:rFonts w:ascii="Times New Roman" w:cs="Times New Roman" w:eastAsia="Times New Roman" w:hAnsi="Times New Roman"/>
                <w:sz w:val="21"/>
                <w:szCs w:val="21"/>
                <w:color w:val="auto"/>
              </w:rPr>
              <w:t>(40,186)</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31.34</w:t>
            </w:r>
          </w:p>
        </w:tc>
      </w:tr>
      <w:tr>
        <w:trPr>
          <w:trHeight w:val="227"/>
        </w:trPr>
        <w:tc>
          <w:tcPr>
            <w:tcW w:w="796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Forfeited</w:t>
            </w:r>
          </w:p>
        </w:tc>
        <w:tc>
          <w:tcPr>
            <w:tcW w:w="1660" w:type="dxa"/>
            <w:vAlign w:val="bottom"/>
            <w:gridSpan w:val="2"/>
          </w:tcPr>
          <w:p>
            <w:pPr>
              <w:jc w:val="right"/>
              <w:ind w:right="220"/>
              <w:spacing w:after="0" w:line="227" w:lineRule="exact"/>
              <w:rPr>
                <w:sz w:val="20"/>
                <w:szCs w:val="20"/>
                <w:color w:val="auto"/>
              </w:rPr>
            </w:pPr>
            <w:r>
              <w:rPr>
                <w:rFonts w:ascii="Times New Roman" w:cs="Times New Roman" w:eastAsia="Times New Roman" w:hAnsi="Times New Roman"/>
                <w:sz w:val="21"/>
                <w:szCs w:val="21"/>
                <w:color w:val="auto"/>
              </w:rPr>
              <w:t>(704)</w:t>
            </w:r>
          </w:p>
        </w:tc>
        <w:tc>
          <w:tcPr>
            <w:tcW w:w="240" w:type="dxa"/>
            <w:vAlign w:val="bottom"/>
          </w:tcPr>
          <w:p>
            <w:pPr>
              <w:spacing w:after="0"/>
              <w:rPr>
                <w:sz w:val="19"/>
                <w:szCs w:val="19"/>
                <w:color w:val="auto"/>
              </w:rPr>
            </w:pPr>
          </w:p>
        </w:tc>
        <w:tc>
          <w:tcPr>
            <w:tcW w:w="138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41.87</w:t>
            </w:r>
          </w:p>
        </w:tc>
      </w:tr>
      <w:tr>
        <w:trPr>
          <w:trHeight w:val="221"/>
        </w:trPr>
        <w:tc>
          <w:tcPr>
            <w:tcW w:w="7960" w:type="dxa"/>
            <w:vAlign w:val="bottom"/>
            <w:tcBorders>
              <w:top w:val="single" w:sz="8" w:color="CCEEFF"/>
              <w:bottom w:val="single" w:sz="8" w:color="CCEEFF"/>
            </w:tcBorders>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Nonvested stock units at end of period</w:t>
            </w:r>
          </w:p>
        </w:tc>
        <w:tc>
          <w:tcPr>
            <w:tcW w:w="1440" w:type="dxa"/>
            <w:vAlign w:val="bottom"/>
            <w:tcBorders>
              <w:top w:val="single" w:sz="8" w:color="auto"/>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162,679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40.76</w:t>
            </w:r>
          </w:p>
        </w:tc>
      </w:tr>
      <w:tr>
        <w:trPr>
          <w:trHeight w:val="20"/>
        </w:trPr>
        <w:tc>
          <w:tcPr>
            <w:tcW w:w="79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1"/>
          <w:szCs w:val="21"/>
          <w:color w:val="auto"/>
        </w:rPr>
        <w:t>The per unit weighted-average fair value at the date of grant for RSUs granted during the nine months ended September 30, 2020 and 2019 was $49.40 and $36.01, respectively.</w:t>
      </w:r>
    </w:p>
    <w:p>
      <w:pPr>
        <w:spacing w:after="0" w:line="149"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1"/>
          <w:szCs w:val="21"/>
          <w:b w:val="1"/>
          <w:bCs w:val="1"/>
          <w:i w:val="1"/>
          <w:iCs w:val="1"/>
          <w:color w:val="auto"/>
        </w:rPr>
        <w:t xml:space="preserve">Stock Options </w:t>
      </w:r>
      <w:r>
        <w:rPr>
          <w:rFonts w:ascii="Times New Roman" w:cs="Times New Roman" w:eastAsia="Times New Roman" w:hAnsi="Times New Roman"/>
          <w:sz w:val="21"/>
          <w:szCs w:val="21"/>
          <w:color w:val="auto"/>
        </w:rPr>
        <w:t>– A stock option represents the option to purchase a number of shares of common stock of the Company 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2420" w:type="dxa"/>
            <w:vAlign w:val="bottom"/>
            <w:gridSpan w:val="4"/>
          </w:tcPr>
          <w:p>
            <w:pPr>
              <w:jc w:val="center"/>
              <w:ind w:left="313"/>
              <w:spacing w:after="0"/>
              <w:rPr>
                <w:sz w:val="20"/>
                <w:szCs w:val="20"/>
                <w:color w:val="auto"/>
              </w:rPr>
            </w:pPr>
            <w:r>
              <w:rPr>
                <w:rFonts w:ascii="Times New Roman" w:cs="Times New Roman" w:eastAsia="Times New Roman" w:hAnsi="Times New Roman"/>
                <w:sz w:val="21"/>
                <w:szCs w:val="21"/>
                <w:color w:val="auto"/>
              </w:rPr>
              <w:t>Three Months Ended</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4"/>
          </w:tcPr>
          <w:p>
            <w:pPr>
              <w:jc w:val="right"/>
              <w:ind w:right="433"/>
              <w:spacing w:after="0"/>
              <w:rPr>
                <w:sz w:val="20"/>
                <w:szCs w:val="20"/>
                <w:color w:val="auto"/>
              </w:rPr>
            </w:pPr>
            <w:r>
              <w:rPr>
                <w:rFonts w:ascii="Times New Roman" w:cs="Times New Roman" w:eastAsia="Times New Roman" w:hAnsi="Times New Roman"/>
                <w:sz w:val="21"/>
                <w:szCs w:val="21"/>
                <w:color w:val="auto"/>
              </w:rPr>
              <w:t>Nine Months Ended</w:t>
            </w:r>
          </w:p>
        </w:tc>
      </w:tr>
      <w:tr>
        <w:trPr>
          <w:trHeight w:val="255"/>
        </w:trPr>
        <w:tc>
          <w:tcPr>
            <w:tcW w:w="5340" w:type="dxa"/>
            <w:vAlign w:val="bottom"/>
          </w:tcPr>
          <w:p>
            <w:pPr>
              <w:spacing w:after="0"/>
              <w:rPr>
                <w:sz w:val="22"/>
                <w:szCs w:val="22"/>
                <w:color w:val="auto"/>
              </w:rPr>
            </w:pPr>
          </w:p>
        </w:tc>
        <w:tc>
          <w:tcPr>
            <w:tcW w:w="2420" w:type="dxa"/>
            <w:vAlign w:val="bottom"/>
            <w:tcBorders>
              <w:bottom w:val="single" w:sz="8" w:color="auto"/>
            </w:tcBorders>
            <w:gridSpan w:val="4"/>
          </w:tcPr>
          <w:p>
            <w:pPr>
              <w:jc w:val="center"/>
              <w:ind w:left="313"/>
              <w:spacing w:after="0"/>
              <w:rPr>
                <w:sz w:val="20"/>
                <w:szCs w:val="20"/>
                <w:color w:val="auto"/>
              </w:rPr>
            </w:pPr>
            <w:r>
              <w:rPr>
                <w:rFonts w:ascii="Times New Roman" w:cs="Times New Roman" w:eastAsia="Times New Roman" w:hAnsi="Times New Roman"/>
                <w:sz w:val="21"/>
                <w:szCs w:val="21"/>
                <w:color w:val="auto"/>
              </w:rPr>
              <w:t>September 30,</w:t>
            </w:r>
          </w:p>
        </w:tc>
        <w:tc>
          <w:tcPr>
            <w:tcW w:w="4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21"/>
                <w:szCs w:val="21"/>
                <w:color w:val="auto"/>
              </w:rPr>
              <w:t>September 30,</w:t>
            </w:r>
          </w:p>
        </w:tc>
      </w:tr>
      <w:tr>
        <w:trPr>
          <w:trHeight w:val="221"/>
        </w:trPr>
        <w:tc>
          <w:tcPr>
            <w:tcW w:w="53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2019</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3"/>
              <w:spacing w:after="0" w:line="221" w:lineRule="exact"/>
              <w:rPr>
                <w:sz w:val="20"/>
                <w:szCs w:val="20"/>
                <w:color w:val="auto"/>
              </w:rPr>
            </w:pPr>
            <w:r>
              <w:rPr>
                <w:rFonts w:ascii="Times New Roman" w:cs="Times New Roman" w:eastAsia="Times New Roman" w:hAnsi="Times New Roman"/>
                <w:sz w:val="21"/>
                <w:szCs w:val="21"/>
                <w:color w:val="auto"/>
              </w:rPr>
              <w:t>2019</w:t>
            </w:r>
          </w:p>
        </w:tc>
      </w:tr>
      <w:tr>
        <w:trPr>
          <w:trHeight w:val="180"/>
        </w:trPr>
        <w:tc>
          <w:tcPr>
            <w:tcW w:w="5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20"/>
                <w:szCs w:val="20"/>
                <w:color w:val="auto"/>
              </w:rPr>
              <w:t>Stock-based compensation within operations and</w:t>
            </w: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55"/>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maintenance expenses</w:t>
            </w:r>
          </w:p>
        </w:tc>
        <w:tc>
          <w:tcPr>
            <w:tcW w:w="90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21"/>
                <w:szCs w:val="21"/>
                <w:color w:val="auto"/>
                <w:w w:val="9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279</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21"/>
                <w:szCs w:val="21"/>
                <w:color w:val="auto"/>
                <w:w w:val="7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637</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1,046</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21"/>
                <w:szCs w:val="21"/>
                <w:color w:val="auto"/>
                <w:w w:val="7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1,625</w:t>
            </w:r>
          </w:p>
        </w:tc>
      </w:tr>
      <w:tr>
        <w:trPr>
          <w:trHeight w:val="279"/>
        </w:trPr>
        <w:tc>
          <w:tcPr>
            <w:tcW w:w="5340" w:type="dxa"/>
            <w:vAlign w:val="bottom"/>
          </w:tcPr>
          <w:p>
            <w:pPr>
              <w:spacing w:after="0"/>
              <w:rPr>
                <w:sz w:val="20"/>
                <w:szCs w:val="20"/>
                <w:color w:val="auto"/>
              </w:rPr>
            </w:pPr>
            <w:r>
              <w:rPr>
                <w:rFonts w:ascii="Times New Roman" w:cs="Times New Roman" w:eastAsia="Times New Roman" w:hAnsi="Times New Roman"/>
                <w:sz w:val="21"/>
                <w:szCs w:val="21"/>
                <w:color w:val="auto"/>
              </w:rPr>
              <w:t>Income tax benefit</w:t>
            </w: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180</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458</w:t>
            </w:r>
          </w:p>
        </w:tc>
      </w:tr>
    </w:tbl>
    <w:p>
      <w:pPr>
        <w:spacing w:after="0" w:line="376" w:lineRule="exact"/>
        <w:rPr>
          <w:sz w:val="20"/>
          <w:szCs w:val="20"/>
          <w:color w:val="auto"/>
        </w:rPr>
      </w:pPr>
    </w:p>
    <w:p>
      <w:pPr>
        <w:ind w:right="1060"/>
        <w:spacing w:after="0" w:line="262" w:lineRule="auto"/>
        <w:rPr>
          <w:sz w:val="20"/>
          <w:szCs w:val="20"/>
          <w:color w:val="auto"/>
        </w:rPr>
      </w:pPr>
      <w:r>
        <w:rPr>
          <w:rFonts w:ascii="Times New Roman" w:cs="Times New Roman" w:eastAsia="Times New Roman" w:hAnsi="Times New Roman"/>
          <w:sz w:val="21"/>
          <w:szCs w:val="21"/>
          <w:color w:val="auto"/>
        </w:rPr>
        <w:t>The fair value of options was estimated at the grant date using the Black-Scholes option-pricing model. The following assumptions were used in the application of this valuation model:</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00" w:type="dxa"/>
            <w:vAlign w:val="bottom"/>
            <w:tcBorders>
              <w:bottom w:val="single" w:sz="8" w:color="CCEEFF"/>
            </w:tcBorders>
          </w:tcPr>
          <w:p>
            <w:pPr>
              <w:spacing w:after="0"/>
              <w:rPr>
                <w:sz w:val="22"/>
                <w:szCs w:val="22"/>
                <w:color w:val="auto"/>
              </w:rPr>
            </w:pPr>
          </w:p>
        </w:tc>
        <w:tc>
          <w:tcPr>
            <w:tcW w:w="446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21"/>
                <w:szCs w:val="21"/>
                <w:color w:val="auto"/>
              </w:rPr>
              <w:t>2019</w:t>
            </w:r>
          </w:p>
        </w:tc>
      </w:tr>
      <w:tr>
        <w:trPr>
          <w:trHeight w:val="221"/>
        </w:trPr>
        <w:tc>
          <w:tcPr>
            <w:tcW w:w="410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Expected term (years)</w:t>
            </w:r>
          </w:p>
        </w:tc>
        <w:tc>
          <w:tcPr>
            <w:tcW w:w="4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5.47</w:t>
            </w:r>
          </w:p>
        </w:tc>
      </w:tr>
      <w:tr>
        <w:trPr>
          <w:trHeight w:val="227"/>
        </w:trPr>
        <w:tc>
          <w:tcPr>
            <w:tcW w:w="4100" w:type="dxa"/>
            <w:vAlign w:val="bottom"/>
          </w:tcPr>
          <w:p>
            <w:pPr>
              <w:spacing w:after="0" w:line="227" w:lineRule="exact"/>
              <w:rPr>
                <w:sz w:val="20"/>
                <w:szCs w:val="20"/>
                <w:color w:val="auto"/>
              </w:rPr>
            </w:pPr>
            <w:r>
              <w:rPr>
                <w:rFonts w:ascii="Times New Roman" w:cs="Times New Roman" w:eastAsia="Times New Roman" w:hAnsi="Times New Roman"/>
                <w:sz w:val="21"/>
                <w:szCs w:val="21"/>
                <w:color w:val="auto"/>
              </w:rPr>
              <w:t>Risk-free interest rate</w:t>
            </w:r>
          </w:p>
        </w:tc>
        <w:tc>
          <w:tcPr>
            <w:tcW w:w="4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6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2.53%</w:t>
            </w:r>
          </w:p>
        </w:tc>
      </w:tr>
      <w:tr>
        <w:trPr>
          <w:trHeight w:val="227"/>
        </w:trPr>
        <w:tc>
          <w:tcPr>
            <w:tcW w:w="410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Expected volatility</w:t>
            </w:r>
          </w:p>
        </w:tc>
        <w:tc>
          <w:tcPr>
            <w:tcW w:w="4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17.7%</w:t>
            </w:r>
          </w:p>
        </w:tc>
      </w:tr>
      <w:tr>
        <w:trPr>
          <w:trHeight w:val="227"/>
        </w:trPr>
        <w:tc>
          <w:tcPr>
            <w:tcW w:w="4100" w:type="dxa"/>
            <w:vAlign w:val="bottom"/>
          </w:tcPr>
          <w:p>
            <w:pPr>
              <w:spacing w:after="0" w:line="227" w:lineRule="exact"/>
              <w:rPr>
                <w:sz w:val="20"/>
                <w:szCs w:val="20"/>
                <w:color w:val="auto"/>
              </w:rPr>
            </w:pPr>
            <w:r>
              <w:rPr>
                <w:rFonts w:ascii="Times New Roman" w:cs="Times New Roman" w:eastAsia="Times New Roman" w:hAnsi="Times New Roman"/>
                <w:sz w:val="21"/>
                <w:szCs w:val="21"/>
                <w:color w:val="auto"/>
              </w:rPr>
              <w:t>Dividend yield</w:t>
            </w:r>
          </w:p>
        </w:tc>
        <w:tc>
          <w:tcPr>
            <w:tcW w:w="4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6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2.44%</w:t>
            </w:r>
          </w:p>
        </w:tc>
      </w:tr>
      <w:tr>
        <w:trPr>
          <w:trHeight w:val="227"/>
        </w:trPr>
        <w:tc>
          <w:tcPr>
            <w:tcW w:w="410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Grant date fair value per option</w:t>
            </w:r>
          </w:p>
        </w:tc>
        <w:tc>
          <w:tcPr>
            <w:tcW w:w="5080" w:type="dxa"/>
            <w:vAlign w:val="bottom"/>
            <w:gridSpan w:val="2"/>
            <w:shd w:val="clear" w:color="auto" w:fill="CCEEFF"/>
          </w:tcPr>
          <w:p>
            <w:pPr>
              <w:jc w:val="right"/>
              <w:ind w:right="520"/>
              <w:spacing w:after="0" w:line="227" w:lineRule="exact"/>
              <w:rPr>
                <w:sz w:val="20"/>
                <w:szCs w:val="20"/>
                <w:color w:val="auto"/>
              </w:rPr>
            </w:pPr>
            <w:r>
              <w:rPr>
                <w:rFonts w:ascii="Times New Roman" w:cs="Times New Roman" w:eastAsia="Times New Roman" w:hAnsi="Times New Roman"/>
                <w:sz w:val="21"/>
                <w:szCs w:val="21"/>
                <w:color w:val="auto"/>
              </w:rPr>
              <w:t>$</w:t>
            </w:r>
          </w:p>
        </w:tc>
        <w:tc>
          <w:tcPr>
            <w:tcW w:w="206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5.25</w:t>
            </w:r>
          </w:p>
        </w:tc>
      </w:tr>
      <w:tr>
        <w:trPr>
          <w:trHeight w:val="479"/>
        </w:trPr>
        <w:tc>
          <w:tcPr>
            <w:tcW w:w="4100" w:type="dxa"/>
            <w:vAlign w:val="bottom"/>
          </w:tcPr>
          <w:p>
            <w:pPr>
              <w:spacing w:after="0"/>
              <w:rPr>
                <w:sz w:val="24"/>
                <w:szCs w:val="24"/>
                <w:color w:val="auto"/>
              </w:rPr>
            </w:pPr>
          </w:p>
        </w:tc>
        <w:tc>
          <w:tcPr>
            <w:tcW w:w="4460" w:type="dxa"/>
            <w:vAlign w:val="bottom"/>
          </w:tcPr>
          <w:p>
            <w:pPr>
              <w:jc w:val="right"/>
              <w:ind w:right="2713"/>
              <w:spacing w:after="0"/>
              <w:rPr>
                <w:sz w:val="20"/>
                <w:szCs w:val="20"/>
                <w:color w:val="auto"/>
              </w:rPr>
            </w:pPr>
            <w:r>
              <w:rPr>
                <w:rFonts w:ascii="Times New Roman" w:cs="Times New Roman" w:eastAsia="Times New Roman" w:hAnsi="Times New Roman"/>
                <w:sz w:val="21"/>
                <w:szCs w:val="21"/>
                <w:color w:val="auto"/>
              </w:rPr>
              <w:t>30</w:t>
            </w:r>
          </w:p>
        </w:tc>
        <w:tc>
          <w:tcPr>
            <w:tcW w:w="6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04"/>
        </w:trPr>
        <w:tc>
          <w:tcPr>
            <w:tcW w:w="41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20"/>
        <w:spacing w:after="0" w:line="238" w:lineRule="auto"/>
        <w:rPr>
          <w:sz w:val="20"/>
          <w:szCs w:val="20"/>
          <w:color w:val="auto"/>
        </w:rPr>
      </w:pPr>
      <w:r>
        <w:rPr>
          <w:rFonts w:ascii="Times New Roman" w:cs="Times New Roman" w:eastAsia="Times New Roman" w:hAnsi="Times New Roman"/>
          <w:sz w:val="21"/>
          <w:szCs w:val="21"/>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did not grant stock options for the nine months ended September 30, 2020.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stock option transactions for the nine months ended September 30,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21"/>
                <w:szCs w:val="21"/>
                <w:color w:val="auto"/>
              </w:rPr>
              <w:t>Weighted</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Weighted</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7"/>
        </w:trPr>
        <w:tc>
          <w:tcPr>
            <w:tcW w:w="5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260"/>
              <w:spacing w:after="0" w:line="227" w:lineRule="exact"/>
              <w:rPr>
                <w:sz w:val="20"/>
                <w:szCs w:val="20"/>
                <w:color w:val="auto"/>
              </w:rPr>
            </w:pPr>
            <w:r>
              <w:rPr>
                <w:rFonts w:ascii="Times New Roman" w:cs="Times New Roman" w:eastAsia="Times New Roman" w:hAnsi="Times New Roman"/>
                <w:sz w:val="21"/>
                <w:szCs w:val="21"/>
                <w:color w:val="auto"/>
                <w:w w:val="98"/>
              </w:rPr>
              <w:t>Average</w:t>
            </w:r>
          </w:p>
        </w:tc>
        <w:tc>
          <w:tcPr>
            <w:tcW w:w="1180" w:type="dxa"/>
            <w:vAlign w:val="bottom"/>
          </w:tcPr>
          <w:p>
            <w:pPr>
              <w:jc w:val="center"/>
              <w:spacing w:after="0" w:line="227" w:lineRule="exact"/>
              <w:rPr>
                <w:sz w:val="20"/>
                <w:szCs w:val="20"/>
                <w:color w:val="auto"/>
              </w:rPr>
            </w:pPr>
            <w:r>
              <w:rPr>
                <w:rFonts w:ascii="Times New Roman" w:cs="Times New Roman" w:eastAsia="Times New Roman" w:hAnsi="Times New Roman"/>
                <w:sz w:val="21"/>
                <w:szCs w:val="21"/>
                <w:color w:val="auto"/>
                <w:w w:val="98"/>
              </w:rPr>
              <w:t>Average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5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260"/>
              <w:spacing w:after="0" w:line="227" w:lineRule="exact"/>
              <w:rPr>
                <w:sz w:val="20"/>
                <w:szCs w:val="20"/>
                <w:color w:val="auto"/>
              </w:rPr>
            </w:pPr>
            <w:r>
              <w:rPr>
                <w:rFonts w:ascii="Times New Roman" w:cs="Times New Roman" w:eastAsia="Times New Roman" w:hAnsi="Times New Roman"/>
                <w:sz w:val="21"/>
                <w:szCs w:val="21"/>
                <w:color w:val="auto"/>
              </w:rPr>
              <w:t>Exercise</w:t>
            </w:r>
          </w:p>
        </w:tc>
        <w:tc>
          <w:tcPr>
            <w:tcW w:w="1180" w:type="dxa"/>
            <w:vAlign w:val="bottom"/>
          </w:tcPr>
          <w:p>
            <w:pPr>
              <w:jc w:val="center"/>
              <w:spacing w:after="0" w:line="227" w:lineRule="exact"/>
              <w:rPr>
                <w:sz w:val="20"/>
                <w:szCs w:val="20"/>
                <w:color w:val="auto"/>
              </w:rPr>
            </w:pPr>
            <w:r>
              <w:rPr>
                <w:rFonts w:ascii="Times New Roman" w:cs="Times New Roman" w:eastAsia="Times New Roman" w:hAnsi="Times New Roman"/>
                <w:sz w:val="21"/>
                <w:szCs w:val="21"/>
                <w:color w:val="auto"/>
              </w:rPr>
              <w:t>Remaining</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93"/>
              <w:spacing w:after="0" w:line="227" w:lineRule="exact"/>
              <w:rPr>
                <w:sz w:val="20"/>
                <w:szCs w:val="20"/>
                <w:color w:val="auto"/>
              </w:rPr>
            </w:pPr>
            <w:r>
              <w:rPr>
                <w:rFonts w:ascii="Times New Roman" w:cs="Times New Roman" w:eastAsia="Times New Roman" w:hAnsi="Times New Roman"/>
                <w:sz w:val="21"/>
                <w:szCs w:val="21"/>
                <w:color w:val="auto"/>
              </w:rPr>
              <w:t>Aggregate</w:t>
            </w:r>
          </w:p>
        </w:tc>
      </w:tr>
      <w:tr>
        <w:trPr>
          <w:trHeight w:val="255"/>
        </w:trPr>
        <w:tc>
          <w:tcPr>
            <w:tcW w:w="5480" w:type="dxa"/>
            <w:vAlign w:val="bottom"/>
          </w:tcPr>
          <w:p>
            <w:pPr>
              <w:spacing w:after="0"/>
              <w:rPr>
                <w:sz w:val="22"/>
                <w:szCs w:val="22"/>
                <w:color w:val="auto"/>
              </w:rPr>
            </w:pPr>
          </w:p>
        </w:tc>
        <w:tc>
          <w:tcPr>
            <w:tcW w:w="150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Shares</w:t>
            </w:r>
          </w:p>
        </w:tc>
        <w:tc>
          <w:tcPr>
            <w:tcW w:w="200" w:type="dxa"/>
            <w:vAlign w:val="bottom"/>
          </w:tcPr>
          <w:p>
            <w:pPr>
              <w:spacing w:after="0"/>
              <w:rPr>
                <w:sz w:val="22"/>
                <w:szCs w:val="22"/>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Price</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Life (years)</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Intrinsic Value</w:t>
            </w:r>
          </w:p>
        </w:tc>
      </w:tr>
      <w:tr>
        <w:trPr>
          <w:trHeight w:val="221"/>
        </w:trPr>
        <w:tc>
          <w:tcPr>
            <w:tcW w:w="5480" w:type="dxa"/>
            <w:vAlign w:val="bottom"/>
            <w:tcBorders>
              <w:top w:val="single" w:sz="8" w:color="CCEEFF"/>
            </w:tcBorders>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Outstanding at beginning of period</w:t>
            </w:r>
          </w:p>
        </w:tc>
        <w:tc>
          <w:tcPr>
            <w:tcW w:w="1300" w:type="dxa"/>
            <w:vAlign w:val="bottom"/>
            <w:tcBorders>
              <w:top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1,041,756</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Borders>
              <w:top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34.22</w:t>
            </w: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27"/>
        </w:trPr>
        <w:tc>
          <w:tcPr>
            <w:tcW w:w="548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Granted</w:t>
            </w:r>
          </w:p>
        </w:tc>
        <w:tc>
          <w:tcPr>
            <w:tcW w:w="130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548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Forfeited</w:t>
            </w:r>
          </w:p>
        </w:tc>
        <w:tc>
          <w:tcPr>
            <w:tcW w:w="1500" w:type="dxa"/>
            <w:vAlign w:val="bottom"/>
            <w:gridSpan w:val="2"/>
            <w:shd w:val="clear" w:color="auto" w:fill="CCEEFF"/>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(17,308)</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35.78</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548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Exercised</w:t>
            </w:r>
          </w:p>
        </w:tc>
        <w:tc>
          <w:tcPr>
            <w:tcW w:w="150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(63,787)</w:t>
            </w:r>
          </w:p>
        </w:tc>
        <w:tc>
          <w:tcPr>
            <w:tcW w:w="20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19.04</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1"/>
        </w:trPr>
        <w:tc>
          <w:tcPr>
            <w:tcW w:w="5480" w:type="dxa"/>
            <w:vAlign w:val="bottom"/>
            <w:tcBorders>
              <w:top w:val="single" w:sz="8" w:color="CCEEFF"/>
              <w:bottom w:val="single" w:sz="8" w:color="CCEEFF"/>
            </w:tcBorders>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Outstanding at end of period</w:t>
            </w:r>
          </w:p>
        </w:tc>
        <w:tc>
          <w:tcPr>
            <w:tcW w:w="1300" w:type="dxa"/>
            <w:vAlign w:val="bottom"/>
            <w:tcBorders>
              <w:top w:val="single" w:sz="8" w:color="auto"/>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960,661</w:t>
            </w:r>
          </w:p>
        </w:tc>
        <w:tc>
          <w:tcPr>
            <w:tcW w:w="200" w:type="dxa"/>
            <w:vAlign w:val="bottom"/>
            <w:tcBorders>
              <w:top w:val="single" w:sz="8" w:color="CCEEFF"/>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Borders>
              <w:top w:val="single" w:sz="8" w:color="CCEEFF"/>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35.20</w:t>
            </w:r>
          </w:p>
        </w:tc>
        <w:tc>
          <w:tcPr>
            <w:tcW w:w="180" w:type="dxa"/>
            <w:vAlign w:val="bottom"/>
            <w:tcBorders>
              <w:top w:val="single" w:sz="8" w:color="CCEEFF"/>
              <w:bottom w:val="single" w:sz="8" w:color="auto"/>
            </w:tcBorders>
            <w:shd w:val="clear" w:color="auto" w:fill="CCEEFF"/>
          </w:tcPr>
          <w:p>
            <w:pPr>
              <w:spacing w:after="0"/>
              <w:rPr>
                <w:sz w:val="19"/>
                <w:szCs w:val="19"/>
                <w:color w:val="auto"/>
              </w:rPr>
            </w:pPr>
          </w:p>
        </w:tc>
        <w:tc>
          <w:tcPr>
            <w:tcW w:w="1180" w:type="dxa"/>
            <w:vAlign w:val="bottom"/>
            <w:tcBorders>
              <w:top w:val="single" w:sz="8" w:color="CCEEFF"/>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8.1</w:t>
            </w:r>
          </w:p>
        </w:tc>
        <w:tc>
          <w:tcPr>
            <w:tcW w:w="340" w:type="dxa"/>
            <w:vAlign w:val="bottom"/>
            <w:tcBorders>
              <w:top w:val="single" w:sz="8" w:color="CCEEFF"/>
              <w:bottom w:val="single" w:sz="8" w:color="auto"/>
            </w:tcBorders>
            <w:gridSpan w:val="2"/>
            <w:shd w:val="clear" w:color="auto" w:fill="CCEEFF"/>
          </w:tcPr>
          <w:p>
            <w:pPr>
              <w:jc w:val="right"/>
              <w:ind w:right="40"/>
              <w:spacing w:after="0" w:line="221" w:lineRule="exact"/>
              <w:rPr>
                <w:sz w:val="20"/>
                <w:szCs w:val="20"/>
                <w:color w:val="auto"/>
              </w:rPr>
            </w:pPr>
            <w:r>
              <w:rPr>
                <w:rFonts w:ascii="Times New Roman" w:cs="Times New Roman" w:eastAsia="Times New Roman" w:hAnsi="Times New Roman"/>
                <w:sz w:val="21"/>
                <w:szCs w:val="21"/>
                <w:color w:val="auto"/>
              </w:rPr>
              <w:t>$</w:t>
            </w:r>
          </w:p>
        </w:tc>
        <w:tc>
          <w:tcPr>
            <w:tcW w:w="1300" w:type="dxa"/>
            <w:vAlign w:val="bottom"/>
            <w:tcBorders>
              <w:top w:val="single" w:sz="8" w:color="CCEEFF"/>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4,848</w:t>
            </w:r>
          </w:p>
        </w:tc>
      </w:tr>
      <w:tr>
        <w:trPr>
          <w:trHeight w:val="20"/>
        </w:trPr>
        <w:tc>
          <w:tcPr>
            <w:tcW w:w="5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7"/>
        </w:trPr>
        <w:tc>
          <w:tcPr>
            <w:tcW w:w="5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5480" w:type="dxa"/>
            <w:vAlign w:val="bottom"/>
            <w:tcBorders>
              <w:bottom w:val="single" w:sz="8" w:color="CCEEFF"/>
            </w:tcBorders>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Exercisable at end of period</w:t>
            </w:r>
          </w:p>
        </w:tc>
        <w:tc>
          <w:tcPr>
            <w:tcW w:w="130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430,660</w:t>
            </w:r>
          </w:p>
        </w:tc>
        <w:tc>
          <w:tcPr>
            <w:tcW w:w="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34.43</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7.7</w:t>
            </w:r>
          </w:p>
        </w:tc>
        <w:tc>
          <w:tcPr>
            <w:tcW w:w="340" w:type="dxa"/>
            <w:vAlign w:val="bottom"/>
            <w:tcBorders>
              <w:bottom w:val="single" w:sz="8" w:color="auto"/>
            </w:tcBorders>
            <w:gridSpan w:val="2"/>
            <w:shd w:val="clear" w:color="auto" w:fill="CCEEFF"/>
          </w:tcPr>
          <w:p>
            <w:pPr>
              <w:jc w:val="right"/>
              <w:ind w:right="40"/>
              <w:spacing w:after="0" w:line="227" w:lineRule="exact"/>
              <w:rPr>
                <w:sz w:val="20"/>
                <w:szCs w:val="20"/>
                <w:color w:val="auto"/>
              </w:rPr>
            </w:pPr>
            <w:r>
              <w:rPr>
                <w:rFonts w:ascii="Times New Roman" w:cs="Times New Roman" w:eastAsia="Times New Roman" w:hAnsi="Times New Roman"/>
                <w:sz w:val="21"/>
                <w:szCs w:val="21"/>
                <w:color w:val="auto"/>
              </w:rPr>
              <w:t>$</w:t>
            </w:r>
          </w:p>
        </w:tc>
        <w:tc>
          <w:tcPr>
            <w:tcW w:w="130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2,508</w:t>
            </w:r>
          </w:p>
        </w:tc>
      </w:tr>
      <w:tr>
        <w:trPr>
          <w:trHeight w:val="20"/>
        </w:trPr>
        <w:tc>
          <w:tcPr>
            <w:tcW w:w="5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Restricted Stock – </w:t>
      </w:r>
      <w:r>
        <w:rPr>
          <w:rFonts w:ascii="Times New Roman" w:cs="Times New Roman" w:eastAsia="Times New Roman" w:hAnsi="Times New Roman"/>
          <w:sz w:val="21"/>
          <w:szCs w:val="21"/>
          <w:color w:val="auto"/>
        </w:rPr>
        <w:t>Restricted stock awards provide the grantee with the rights of a shareholder, including the right to receive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following table provides the compensation cost and income tax benefit for stock-based compensation related to restricted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60" w:type="dxa"/>
            <w:vAlign w:val="bottom"/>
          </w:tcPr>
          <w:p>
            <w:pPr>
              <w:jc w:val="center"/>
              <w:ind w:left="393"/>
              <w:spacing w:after="0"/>
              <w:rPr>
                <w:sz w:val="20"/>
                <w:szCs w:val="20"/>
                <w:color w:val="auto"/>
              </w:rPr>
            </w:pPr>
            <w:r>
              <w:rPr>
                <w:rFonts w:ascii="Times New Roman" w:cs="Times New Roman" w:eastAsia="Times New Roman" w:hAnsi="Times New Roman"/>
                <w:sz w:val="21"/>
                <w:szCs w:val="21"/>
                <w:color w:val="auto"/>
              </w:rPr>
              <w:t>Three Months Ended</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21"/>
                <w:szCs w:val="21"/>
                <w:color w:val="auto"/>
              </w:rPr>
              <w:t>Nine Months Ended</w:t>
            </w:r>
          </w:p>
        </w:tc>
        <w:tc>
          <w:tcPr>
            <w:tcW w:w="0" w:type="dxa"/>
            <w:vAlign w:val="bottom"/>
          </w:tcPr>
          <w:p>
            <w:pPr>
              <w:spacing w:after="0"/>
              <w:rPr>
                <w:sz w:val="1"/>
                <w:szCs w:val="1"/>
                <w:color w:val="auto"/>
              </w:rPr>
            </w:pPr>
          </w:p>
        </w:tc>
      </w:tr>
      <w:tr>
        <w:trPr>
          <w:trHeight w:val="255"/>
        </w:trPr>
        <w:tc>
          <w:tcPr>
            <w:tcW w:w="4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6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21"/>
                <w:szCs w:val="21"/>
                <w:color w:val="auto"/>
              </w:rPr>
              <w:t>September 30,</w:t>
            </w:r>
          </w:p>
        </w:tc>
        <w:tc>
          <w:tcPr>
            <w:tcW w:w="4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21"/>
                <w:szCs w:val="21"/>
                <w:color w:val="auto"/>
              </w:rPr>
              <w:t>September 30,</w:t>
            </w:r>
          </w:p>
        </w:tc>
        <w:tc>
          <w:tcPr>
            <w:tcW w:w="0" w:type="dxa"/>
            <w:vAlign w:val="bottom"/>
          </w:tcPr>
          <w:p>
            <w:pPr>
              <w:spacing w:after="0"/>
              <w:rPr>
                <w:sz w:val="1"/>
                <w:szCs w:val="1"/>
                <w:color w:val="auto"/>
              </w:rPr>
            </w:pPr>
          </w:p>
        </w:tc>
      </w:tr>
      <w:tr>
        <w:trPr>
          <w:trHeight w:val="221"/>
        </w:trPr>
        <w:tc>
          <w:tcPr>
            <w:tcW w:w="48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tcPr>
          <w:p>
            <w:pPr>
              <w:jc w:val="center"/>
              <w:ind w:left="373"/>
              <w:spacing w:after="0" w:line="221" w:lineRule="exact"/>
              <w:rPr>
                <w:sz w:val="20"/>
                <w:szCs w:val="20"/>
                <w:color w:val="auto"/>
              </w:rPr>
            </w:pPr>
            <w:r>
              <w:rPr>
                <w:rFonts w:ascii="Times New Roman" w:cs="Times New Roman" w:eastAsia="Times New Roman" w:hAnsi="Times New Roman"/>
                <w:sz w:val="21"/>
                <w:szCs w:val="21"/>
                <w:color w:val="auto"/>
                <w:w w:val="99"/>
              </w:rPr>
              <w:t>2020</w:t>
            </w:r>
          </w:p>
        </w:tc>
        <w:tc>
          <w:tcPr>
            <w:tcW w:w="48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87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20"/>
                <w:szCs w:val="20"/>
                <w:color w:val="auto"/>
              </w:rPr>
              <w:t>Stock-based compensation within operations and</w:t>
            </w:r>
          </w:p>
        </w:tc>
        <w:tc>
          <w:tcPr>
            <w:tcW w:w="58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maintenance expenses</w:t>
            </w:r>
          </w:p>
        </w:tc>
        <w:tc>
          <w:tcPr>
            <w:tcW w:w="3040" w:type="dxa"/>
            <w:vAlign w:val="bottom"/>
            <w:gridSpan w:val="2"/>
            <w:shd w:val="clear" w:color="auto" w:fill="CCEEFF"/>
          </w:tcPr>
          <w:p>
            <w:pPr>
              <w:jc w:val="right"/>
              <w:ind w:right="2233"/>
              <w:spacing w:after="0"/>
              <w:rPr>
                <w:sz w:val="20"/>
                <w:szCs w:val="20"/>
                <w:color w:val="auto"/>
              </w:rPr>
            </w:pPr>
            <w:r>
              <w:rPr>
                <w:rFonts w:ascii="Times New Roman" w:cs="Times New Roman" w:eastAsia="Times New Roman" w:hAnsi="Times New Roman"/>
                <w:sz w:val="21"/>
                <w:szCs w:val="2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103</w:t>
            </w: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21"/>
                <w:szCs w:val="21"/>
                <w:color w:val="auto"/>
                <w:w w:val="94"/>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220</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Income tax benefit</w:t>
            </w:r>
          </w:p>
        </w:tc>
        <w:tc>
          <w:tcPr>
            <w:tcW w:w="3040" w:type="dxa"/>
            <w:vAlign w:val="bottom"/>
            <w:gridSpan w:val="2"/>
            <w:vMerge w:val="restart"/>
          </w:tcPr>
          <w:p>
            <w:pPr>
              <w:jc w:val="right"/>
              <w:ind w:right="1993"/>
              <w:spacing w:after="0"/>
              <w:rPr>
                <w:sz w:val="20"/>
                <w:szCs w:val="20"/>
                <w:color w:val="auto"/>
              </w:rPr>
            </w:pPr>
            <w:r>
              <w:rPr>
                <w:rFonts w:ascii="Times New Roman" w:cs="Times New Roman" w:eastAsia="Times New Roman" w:hAnsi="Times New Roman"/>
                <w:sz w:val="21"/>
                <w:szCs w:val="21"/>
                <w:color w:val="auto"/>
              </w:rPr>
              <w:t>31</w:t>
            </w:r>
          </w:p>
        </w:tc>
        <w:tc>
          <w:tcPr>
            <w:tcW w:w="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800" w:type="dxa"/>
            <w:vAlign w:val="bottom"/>
          </w:tcPr>
          <w:p>
            <w:pPr>
              <w:spacing w:after="0"/>
              <w:rPr>
                <w:sz w:val="17"/>
                <w:szCs w:val="17"/>
                <w:color w:val="auto"/>
              </w:rPr>
            </w:pPr>
          </w:p>
        </w:tc>
        <w:tc>
          <w:tcPr>
            <w:tcW w:w="304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8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restricted stock transactions for the nine months ended September 30,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60" w:type="dxa"/>
            <w:vAlign w:val="bottom"/>
          </w:tcPr>
          <w:p>
            <w:pPr>
              <w:spacing w:after="0"/>
              <w:rPr>
                <w:sz w:val="21"/>
                <w:szCs w:val="21"/>
                <w:color w:val="auto"/>
              </w:rPr>
            </w:pPr>
          </w:p>
        </w:tc>
        <w:tc>
          <w:tcPr>
            <w:tcW w:w="1980" w:type="dxa"/>
            <w:vAlign w:val="bottom"/>
            <w:gridSpan w:val="2"/>
          </w:tcPr>
          <w:p>
            <w:pPr>
              <w:jc w:val="center"/>
              <w:ind w:right="280"/>
              <w:spacing w:after="0"/>
              <w:rPr>
                <w:sz w:val="20"/>
                <w:szCs w:val="20"/>
                <w:color w:val="auto"/>
              </w:rPr>
            </w:pPr>
            <w:r>
              <w:rPr>
                <w:rFonts w:ascii="Times New Roman" w:cs="Times New Roman" w:eastAsia="Times New Roman" w:hAnsi="Times New Roman"/>
                <w:sz w:val="21"/>
                <w:szCs w:val="21"/>
                <w:color w:val="auto"/>
              </w:rPr>
              <w:t>Number</w:t>
            </w:r>
          </w:p>
        </w:tc>
        <w:tc>
          <w:tcPr>
            <w:tcW w:w="420" w:type="dxa"/>
            <w:vAlign w:val="bottom"/>
          </w:tcPr>
          <w:p>
            <w:pPr>
              <w:spacing w:after="0"/>
              <w:rPr>
                <w:sz w:val="21"/>
                <w:szCs w:val="21"/>
                <w:color w:val="auto"/>
              </w:rPr>
            </w:pPr>
          </w:p>
        </w:tc>
        <w:tc>
          <w:tcPr>
            <w:tcW w:w="1580" w:type="dxa"/>
            <w:vAlign w:val="bottom"/>
          </w:tcPr>
          <w:p>
            <w:pPr>
              <w:jc w:val="center"/>
              <w:ind w:right="293"/>
              <w:spacing w:after="0"/>
              <w:rPr>
                <w:sz w:val="20"/>
                <w:szCs w:val="20"/>
                <w:color w:val="auto"/>
              </w:rPr>
            </w:pPr>
            <w:r>
              <w:rPr>
                <w:rFonts w:ascii="Times New Roman" w:cs="Times New Roman" w:eastAsia="Times New Roman" w:hAnsi="Times New Roman"/>
                <w:sz w:val="21"/>
                <w:szCs w:val="21"/>
                <w:color w:val="auto"/>
              </w:rPr>
              <w:t>Weighted</w:t>
            </w:r>
          </w:p>
        </w:tc>
      </w:tr>
      <w:tr>
        <w:trPr>
          <w:trHeight w:val="227"/>
        </w:trPr>
        <w:tc>
          <w:tcPr>
            <w:tcW w:w="7260" w:type="dxa"/>
            <w:vAlign w:val="bottom"/>
          </w:tcPr>
          <w:p>
            <w:pPr>
              <w:spacing w:after="0"/>
              <w:rPr>
                <w:sz w:val="19"/>
                <w:szCs w:val="19"/>
                <w:color w:val="auto"/>
              </w:rPr>
            </w:pPr>
          </w:p>
        </w:tc>
        <w:tc>
          <w:tcPr>
            <w:tcW w:w="1980" w:type="dxa"/>
            <w:vAlign w:val="bottom"/>
            <w:gridSpan w:val="2"/>
          </w:tcPr>
          <w:p>
            <w:pPr>
              <w:jc w:val="center"/>
              <w:ind w:right="280"/>
              <w:spacing w:after="0" w:line="227" w:lineRule="exact"/>
              <w:rPr>
                <w:sz w:val="20"/>
                <w:szCs w:val="20"/>
                <w:color w:val="auto"/>
              </w:rPr>
            </w:pPr>
            <w:r>
              <w:rPr>
                <w:rFonts w:ascii="Times New Roman" w:cs="Times New Roman" w:eastAsia="Times New Roman" w:hAnsi="Times New Roman"/>
                <w:sz w:val="21"/>
                <w:szCs w:val="21"/>
                <w:color w:val="auto"/>
              </w:rPr>
              <w:t>of</w:t>
            </w:r>
          </w:p>
        </w:tc>
        <w:tc>
          <w:tcPr>
            <w:tcW w:w="420" w:type="dxa"/>
            <w:vAlign w:val="bottom"/>
          </w:tcPr>
          <w:p>
            <w:pPr>
              <w:spacing w:after="0"/>
              <w:rPr>
                <w:sz w:val="19"/>
                <w:szCs w:val="19"/>
                <w:color w:val="auto"/>
              </w:rPr>
            </w:pPr>
          </w:p>
        </w:tc>
        <w:tc>
          <w:tcPr>
            <w:tcW w:w="1580" w:type="dxa"/>
            <w:vAlign w:val="bottom"/>
          </w:tcPr>
          <w:p>
            <w:pPr>
              <w:jc w:val="center"/>
              <w:ind w:right="293"/>
              <w:spacing w:after="0" w:line="227" w:lineRule="exact"/>
              <w:rPr>
                <w:sz w:val="20"/>
                <w:szCs w:val="20"/>
                <w:color w:val="auto"/>
              </w:rPr>
            </w:pPr>
            <w:r>
              <w:rPr>
                <w:rFonts w:ascii="Times New Roman" w:cs="Times New Roman" w:eastAsia="Times New Roman" w:hAnsi="Times New Roman"/>
                <w:sz w:val="21"/>
                <w:szCs w:val="21"/>
                <w:color w:val="auto"/>
                <w:w w:val="98"/>
              </w:rPr>
              <w:t>Average</w:t>
            </w:r>
          </w:p>
        </w:tc>
      </w:tr>
      <w:tr>
        <w:trPr>
          <w:trHeight w:val="255"/>
        </w:trPr>
        <w:tc>
          <w:tcPr>
            <w:tcW w:w="7260" w:type="dxa"/>
            <w:vAlign w:val="bottom"/>
          </w:tcPr>
          <w:p>
            <w:pPr>
              <w:spacing w:after="0"/>
              <w:rPr>
                <w:sz w:val="22"/>
                <w:szCs w:val="22"/>
                <w:color w:val="auto"/>
              </w:rPr>
            </w:pPr>
          </w:p>
        </w:tc>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21"/>
                <w:szCs w:val="21"/>
                <w:color w:val="auto"/>
                <w:w w:val="99"/>
              </w:rPr>
              <w:t>Shares</w:t>
            </w:r>
          </w:p>
        </w:tc>
        <w:tc>
          <w:tcPr>
            <w:tcW w:w="420" w:type="dxa"/>
            <w:vAlign w:val="bottom"/>
          </w:tcPr>
          <w:p>
            <w:pPr>
              <w:spacing w:after="0"/>
              <w:rPr>
                <w:sz w:val="22"/>
                <w:szCs w:val="22"/>
                <w:color w:val="auto"/>
              </w:rPr>
            </w:pPr>
          </w:p>
        </w:tc>
        <w:tc>
          <w:tcPr>
            <w:tcW w:w="1580" w:type="dxa"/>
            <w:vAlign w:val="bottom"/>
          </w:tcPr>
          <w:p>
            <w:pPr>
              <w:jc w:val="center"/>
              <w:ind w:right="313"/>
              <w:spacing w:after="0"/>
              <w:rPr>
                <w:sz w:val="20"/>
                <w:szCs w:val="20"/>
                <w:color w:val="auto"/>
              </w:rPr>
            </w:pPr>
            <w:r>
              <w:rPr>
                <w:rFonts w:ascii="Times New Roman" w:cs="Times New Roman" w:eastAsia="Times New Roman" w:hAnsi="Times New Roman"/>
                <w:sz w:val="21"/>
                <w:szCs w:val="21"/>
                <w:color w:val="auto"/>
                <w:w w:val="98"/>
              </w:rPr>
              <w:t>Fair Value</w:t>
            </w:r>
          </w:p>
        </w:tc>
      </w:tr>
      <w:tr>
        <w:trPr>
          <w:trHeight w:val="221"/>
        </w:trPr>
        <w:tc>
          <w:tcPr>
            <w:tcW w:w="7260" w:type="dxa"/>
            <w:vAlign w:val="bottom"/>
            <w:tcBorders>
              <w:top w:val="single" w:sz="8" w:color="CCEEFF"/>
            </w:tcBorders>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Nonvested restricted stock at beginning of period</w:t>
            </w:r>
          </w:p>
        </w:tc>
        <w:tc>
          <w:tcPr>
            <w:tcW w:w="1720" w:type="dxa"/>
            <w:vAlign w:val="bottom"/>
            <w:tcBorders>
              <w:top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33"/>
              <w:spacing w:after="0" w:line="221" w:lineRule="exact"/>
              <w:rPr>
                <w:sz w:val="20"/>
                <w:szCs w:val="20"/>
                <w:color w:val="auto"/>
              </w:rPr>
            </w:pPr>
            <w:r>
              <w:rPr>
                <w:rFonts w:ascii="Times New Roman" w:cs="Times New Roman" w:eastAsia="Times New Roman" w:hAnsi="Times New Roman"/>
                <w:sz w:val="21"/>
                <w:szCs w:val="21"/>
                <w:color w:val="auto"/>
              </w:rPr>
              <w:t>$</w:t>
            </w:r>
          </w:p>
        </w:tc>
        <w:tc>
          <w:tcPr>
            <w:tcW w:w="1580" w:type="dxa"/>
            <w:vAlign w:val="bottom"/>
            <w:tcBorders>
              <w:top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w:t>
            </w:r>
          </w:p>
        </w:tc>
      </w:tr>
      <w:tr>
        <w:trPr>
          <w:trHeight w:val="227"/>
        </w:trPr>
        <w:tc>
          <w:tcPr>
            <w:tcW w:w="726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Granted</w:t>
            </w:r>
          </w:p>
        </w:tc>
        <w:tc>
          <w:tcPr>
            <w:tcW w:w="17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13,228</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34.02</w:t>
            </w:r>
          </w:p>
        </w:tc>
      </w:tr>
      <w:tr>
        <w:trPr>
          <w:trHeight w:val="227"/>
        </w:trPr>
        <w:tc>
          <w:tcPr>
            <w:tcW w:w="726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Vested</w:t>
            </w:r>
          </w:p>
        </w:tc>
        <w:tc>
          <w:tcPr>
            <w:tcW w:w="172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r>
      <w:tr>
        <w:trPr>
          <w:trHeight w:val="221"/>
        </w:trPr>
        <w:tc>
          <w:tcPr>
            <w:tcW w:w="7260" w:type="dxa"/>
            <w:vAlign w:val="bottom"/>
          </w:tcPr>
          <w:p>
            <w:pPr>
              <w:spacing w:after="0" w:line="221" w:lineRule="exact"/>
              <w:rPr>
                <w:sz w:val="20"/>
                <w:szCs w:val="20"/>
                <w:color w:val="auto"/>
              </w:rPr>
            </w:pPr>
            <w:r>
              <w:rPr>
                <w:rFonts w:ascii="Times New Roman" w:cs="Times New Roman" w:eastAsia="Times New Roman" w:hAnsi="Times New Roman"/>
                <w:sz w:val="21"/>
                <w:szCs w:val="21"/>
                <w:color w:val="auto"/>
              </w:rPr>
              <w:t>Nonvested restricted stock at end of period</w:t>
            </w:r>
          </w:p>
        </w:tc>
        <w:tc>
          <w:tcPr>
            <w:tcW w:w="1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13,228</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33"/>
              <w:spacing w:after="0" w:line="221" w:lineRule="exact"/>
              <w:rPr>
                <w:sz w:val="20"/>
                <w:szCs w:val="20"/>
                <w:color w:val="auto"/>
              </w:rPr>
            </w:pPr>
            <w:r>
              <w:rPr>
                <w:rFonts w:ascii="Times New Roman" w:cs="Times New Roman" w:eastAsia="Times New Roman" w:hAnsi="Times New Roman"/>
                <w:sz w:val="21"/>
                <w:szCs w:val="21"/>
                <w:color w:val="auto"/>
              </w:rPr>
              <w:t>$</w:t>
            </w:r>
          </w:p>
        </w:tc>
        <w:tc>
          <w:tcPr>
            <w:tcW w:w="15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34.02</w:t>
            </w:r>
          </w:p>
        </w:tc>
      </w:tr>
      <w:tr>
        <w:trPr>
          <w:trHeight w:val="20"/>
        </w:trPr>
        <w:tc>
          <w:tcPr>
            <w:tcW w:w="7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1"/>
          <w:szCs w:val="21"/>
          <w:color w:val="auto"/>
        </w:rPr>
        <w:t>The weighted-average fair value at the date of grant for restricted stock awards granted during the nine months ended September 30, 2020 was $34.02. The Company did not grant restricted stock for the nine months ended September 30, 2019.</w:t>
      </w:r>
    </w:p>
    <w:p>
      <w:pPr>
        <w:spacing w:after="0" w:line="149"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Stock Awards </w:t>
      </w:r>
      <w:r>
        <w:rPr>
          <w:rFonts w:ascii="Times New Roman" w:cs="Times New Roman" w:eastAsia="Times New Roman" w:hAnsi="Times New Roman"/>
          <w:sz w:val="21"/>
          <w:szCs w:val="21"/>
          <w:color w:val="auto"/>
        </w:rPr>
        <w:t>– Stock awards represent the issuance of the Company’s common stock, without restriction. The issuance of stock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awards results in compensation expense that is equal to the fair market value of the stock on the grant date and is expensed immediately upon grant. The following table provides the compensation cost and income tax benefit for stock-based compensation related to stock awards: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center"/>
              <w:ind w:left="333"/>
              <w:spacing w:after="0"/>
              <w:rPr>
                <w:sz w:val="20"/>
                <w:szCs w:val="20"/>
                <w:color w:val="auto"/>
              </w:rPr>
            </w:pPr>
            <w:r>
              <w:rPr>
                <w:rFonts w:ascii="Times New Roman" w:cs="Times New Roman" w:eastAsia="Times New Roman" w:hAnsi="Times New Roman"/>
                <w:sz w:val="21"/>
                <w:szCs w:val="21"/>
                <w:color w:val="auto"/>
              </w:rPr>
              <w:t>Three Months Ended</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60" w:type="dxa"/>
            <w:vAlign w:val="bottom"/>
            <w:gridSpan w:val="4"/>
          </w:tcPr>
          <w:p>
            <w:pPr>
              <w:jc w:val="center"/>
              <w:ind w:right="233"/>
              <w:spacing w:after="0"/>
              <w:rPr>
                <w:sz w:val="20"/>
                <w:szCs w:val="20"/>
                <w:color w:val="auto"/>
              </w:rPr>
            </w:pPr>
            <w:r>
              <w:rPr>
                <w:rFonts w:ascii="Times New Roman" w:cs="Times New Roman" w:eastAsia="Times New Roman" w:hAnsi="Times New Roman"/>
                <w:sz w:val="21"/>
                <w:szCs w:val="21"/>
                <w:color w:val="auto"/>
              </w:rPr>
              <w:t>Nine Months Ended</w:t>
            </w:r>
          </w:p>
        </w:tc>
      </w:tr>
      <w:tr>
        <w:trPr>
          <w:trHeight w:val="255"/>
        </w:trPr>
        <w:tc>
          <w:tcPr>
            <w:tcW w:w="4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tcBorders>
              <w:bottom w:val="single" w:sz="8" w:color="auto"/>
            </w:tcBorders>
            <w:gridSpan w:val="4"/>
          </w:tcPr>
          <w:p>
            <w:pPr>
              <w:jc w:val="center"/>
              <w:ind w:left="333"/>
              <w:spacing w:after="0"/>
              <w:rPr>
                <w:sz w:val="20"/>
                <w:szCs w:val="20"/>
                <w:color w:val="auto"/>
              </w:rPr>
            </w:pPr>
            <w:r>
              <w:rPr>
                <w:rFonts w:ascii="Times New Roman" w:cs="Times New Roman" w:eastAsia="Times New Roman" w:hAnsi="Times New Roman"/>
                <w:sz w:val="21"/>
                <w:szCs w:val="21"/>
                <w:color w:val="auto"/>
              </w:rPr>
              <w:t>September 30,</w:t>
            </w:r>
          </w:p>
        </w:tc>
        <w:tc>
          <w:tcPr>
            <w:tcW w:w="42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jc w:val="center"/>
              <w:ind w:left="613"/>
              <w:spacing w:after="0"/>
              <w:rPr>
                <w:sz w:val="20"/>
                <w:szCs w:val="20"/>
                <w:color w:val="auto"/>
              </w:rPr>
            </w:pPr>
            <w:r>
              <w:rPr>
                <w:rFonts w:ascii="Times New Roman" w:cs="Times New Roman" w:eastAsia="Times New Roman" w:hAnsi="Times New Roman"/>
                <w:sz w:val="21"/>
                <w:szCs w:val="21"/>
                <w:color w:val="auto"/>
              </w:rPr>
              <w:t>September 30,</w:t>
            </w:r>
          </w:p>
        </w:tc>
        <w:tc>
          <w:tcPr>
            <w:tcW w:w="1060" w:type="dxa"/>
            <w:vAlign w:val="bottom"/>
            <w:tcBorders>
              <w:bottom w:val="single" w:sz="8" w:color="auto"/>
            </w:tcBorders>
          </w:tcPr>
          <w:p>
            <w:pPr>
              <w:spacing w:after="0"/>
              <w:rPr>
                <w:sz w:val="22"/>
                <w:szCs w:val="22"/>
                <w:color w:val="auto"/>
              </w:rPr>
            </w:pPr>
          </w:p>
        </w:tc>
      </w:tr>
      <w:tr>
        <w:trPr>
          <w:trHeight w:val="221"/>
        </w:trPr>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420" w:type="dxa"/>
            <w:vAlign w:val="bottom"/>
          </w:tcPr>
          <w:p>
            <w:pPr>
              <w:spacing w:after="0"/>
              <w:rPr>
                <w:sz w:val="19"/>
                <w:szCs w:val="19"/>
                <w:color w:val="auto"/>
              </w:rPr>
            </w:pPr>
          </w:p>
        </w:tc>
        <w:tc>
          <w:tcPr>
            <w:tcW w:w="1140" w:type="dxa"/>
            <w:vAlign w:val="bottom"/>
            <w:gridSpan w:val="2"/>
          </w:tcPr>
          <w:p>
            <w:pPr>
              <w:jc w:val="right"/>
              <w:ind w:right="40"/>
              <w:spacing w:after="0" w:line="221" w:lineRule="exact"/>
              <w:rPr>
                <w:sz w:val="20"/>
                <w:szCs w:val="20"/>
                <w:color w:val="auto"/>
              </w:rPr>
            </w:pPr>
            <w:r>
              <w:rPr>
                <w:rFonts w:ascii="Times New Roman" w:cs="Times New Roman" w:eastAsia="Times New Roman" w:hAnsi="Times New Roman"/>
                <w:sz w:val="21"/>
                <w:szCs w:val="21"/>
                <w:color w:val="auto"/>
              </w:rPr>
              <w:t>2019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49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473"/>
              <w:spacing w:after="0" w:line="221" w:lineRule="exact"/>
              <w:rPr>
                <w:sz w:val="20"/>
                <w:szCs w:val="20"/>
                <w:color w:val="auto"/>
              </w:rPr>
            </w:pPr>
            <w:r>
              <w:rPr>
                <w:rFonts w:ascii="Times New Roman" w:cs="Times New Roman" w:eastAsia="Times New Roman" w:hAnsi="Times New Roman"/>
                <w:sz w:val="21"/>
                <w:szCs w:val="21"/>
                <w:color w:val="auto"/>
              </w:rPr>
              <w:t>2019</w:t>
            </w:r>
          </w:p>
        </w:tc>
      </w:tr>
      <w:tr>
        <w:trPr>
          <w:trHeight w:val="180"/>
        </w:trPr>
        <w:tc>
          <w:tcPr>
            <w:tcW w:w="444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20"/>
                <w:szCs w:val="20"/>
                <w:color w:val="auto"/>
              </w:rPr>
              <w:t>Stock-based compensation within operations and</w:t>
            </w:r>
          </w:p>
        </w:tc>
        <w:tc>
          <w:tcPr>
            <w:tcW w:w="2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25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maintenance expenses</w:t>
            </w:r>
          </w:p>
        </w:tc>
        <w:tc>
          <w:tcPr>
            <w:tcW w:w="1160" w:type="dxa"/>
            <w:vAlign w:val="bottom"/>
            <w:gridSpan w:val="2"/>
            <w:shd w:val="clear" w:color="auto" w:fill="CCEEFF"/>
          </w:tcPr>
          <w:p>
            <w:pPr>
              <w:jc w:val="right"/>
              <w:ind w:right="693"/>
              <w:spacing w:after="0"/>
              <w:rPr>
                <w:sz w:val="20"/>
                <w:szCs w:val="20"/>
                <w:color w:val="auto"/>
              </w:rPr>
            </w:pPr>
            <w:r>
              <w:rPr>
                <w:rFonts w:ascii="Times New Roman" w:cs="Times New Roman" w:eastAsia="Times New Roman" w:hAnsi="Times New Roman"/>
                <w:sz w:val="21"/>
                <w:szCs w:val="2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175</w:t>
            </w:r>
          </w:p>
        </w:tc>
        <w:tc>
          <w:tcPr>
            <w:tcW w:w="11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21"/>
                <w:szCs w:val="2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158</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1"/>
                <w:szCs w:val="2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520</w:t>
            </w:r>
          </w:p>
        </w:tc>
        <w:tc>
          <w:tcPr>
            <w:tcW w:w="2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540</w:t>
            </w:r>
          </w:p>
        </w:tc>
      </w:tr>
      <w:tr>
        <w:trPr>
          <w:trHeight w:val="279"/>
        </w:trPr>
        <w:tc>
          <w:tcPr>
            <w:tcW w:w="4440" w:type="dxa"/>
            <w:vAlign w:val="bottom"/>
          </w:tcPr>
          <w:p>
            <w:pPr>
              <w:spacing w:after="0"/>
              <w:rPr>
                <w:sz w:val="20"/>
                <w:szCs w:val="20"/>
                <w:color w:val="auto"/>
              </w:rPr>
            </w:pPr>
            <w:r>
              <w:rPr>
                <w:rFonts w:ascii="Times New Roman" w:cs="Times New Roman" w:eastAsia="Times New Roman" w:hAnsi="Times New Roman"/>
                <w:sz w:val="21"/>
                <w:szCs w:val="21"/>
                <w:color w:val="auto"/>
              </w:rPr>
              <w:t>Income tax benefit</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156</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stock award transactions for the nine months ended September 30, 2020:</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Number</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center"/>
              <w:ind w:right="213"/>
              <w:spacing w:after="0"/>
              <w:rPr>
                <w:sz w:val="20"/>
                <w:szCs w:val="20"/>
                <w:color w:val="auto"/>
              </w:rPr>
            </w:pPr>
            <w:r>
              <w:rPr>
                <w:rFonts w:ascii="Times New Roman" w:cs="Times New Roman" w:eastAsia="Times New Roman" w:hAnsi="Times New Roman"/>
                <w:sz w:val="21"/>
                <w:szCs w:val="21"/>
                <w:color w:val="auto"/>
                <w:w w:val="97"/>
              </w:rPr>
              <w:t>Weighted</w:t>
            </w:r>
          </w:p>
        </w:tc>
      </w:tr>
      <w:tr>
        <w:trPr>
          <w:trHeight w:val="227"/>
        </w:trPr>
        <w:tc>
          <w:tcPr>
            <w:tcW w:w="7160" w:type="dxa"/>
            <w:vAlign w:val="bottom"/>
          </w:tcPr>
          <w:p>
            <w:pPr>
              <w:spacing w:after="0"/>
              <w:rPr>
                <w:sz w:val="19"/>
                <w:szCs w:val="19"/>
                <w:color w:val="auto"/>
              </w:rPr>
            </w:pPr>
          </w:p>
        </w:tc>
        <w:tc>
          <w:tcPr>
            <w:tcW w:w="1800" w:type="dxa"/>
            <w:vAlign w:val="bottom"/>
          </w:tcPr>
          <w:p>
            <w:pPr>
              <w:jc w:val="center"/>
              <w:spacing w:after="0" w:line="227" w:lineRule="exact"/>
              <w:rPr>
                <w:sz w:val="20"/>
                <w:szCs w:val="20"/>
                <w:color w:val="auto"/>
              </w:rPr>
            </w:pPr>
            <w:r>
              <w:rPr>
                <w:rFonts w:ascii="Times New Roman" w:cs="Times New Roman" w:eastAsia="Times New Roman" w:hAnsi="Times New Roman"/>
                <w:sz w:val="21"/>
                <w:szCs w:val="21"/>
                <w:color w:val="auto"/>
              </w:rPr>
              <w:t>of</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center"/>
              <w:ind w:right="213"/>
              <w:spacing w:after="0" w:line="227" w:lineRule="exact"/>
              <w:rPr>
                <w:sz w:val="20"/>
                <w:szCs w:val="20"/>
                <w:color w:val="auto"/>
              </w:rPr>
            </w:pPr>
            <w:r>
              <w:rPr>
                <w:rFonts w:ascii="Times New Roman" w:cs="Times New Roman" w:eastAsia="Times New Roman" w:hAnsi="Times New Roman"/>
                <w:sz w:val="21"/>
                <w:szCs w:val="21"/>
                <w:color w:val="auto"/>
              </w:rPr>
              <w:t>Average</w:t>
            </w:r>
          </w:p>
        </w:tc>
      </w:tr>
      <w:tr>
        <w:trPr>
          <w:trHeight w:val="255"/>
        </w:trPr>
        <w:tc>
          <w:tcPr>
            <w:tcW w:w="716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Stock Awards</w:t>
            </w:r>
          </w:p>
        </w:tc>
        <w:tc>
          <w:tcPr>
            <w:tcW w:w="2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21"/>
                <w:szCs w:val="21"/>
                <w:color w:val="auto"/>
                <w:w w:val="98"/>
              </w:rPr>
              <w:t>Fair Value</w:t>
            </w:r>
          </w:p>
        </w:tc>
      </w:tr>
      <w:tr>
        <w:trPr>
          <w:trHeight w:val="221"/>
        </w:trPr>
        <w:tc>
          <w:tcPr>
            <w:tcW w:w="716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Nonvested stock awards at beginning of period</w:t>
            </w:r>
          </w:p>
        </w:tc>
        <w:tc>
          <w:tcPr>
            <w:tcW w:w="180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68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w:t>
            </w:r>
          </w:p>
        </w:tc>
      </w:tr>
      <w:tr>
        <w:trPr>
          <w:trHeight w:val="227"/>
        </w:trPr>
        <w:tc>
          <w:tcPr>
            <w:tcW w:w="7160" w:type="dxa"/>
            <w:vAlign w:val="bottom"/>
          </w:tcPr>
          <w:p>
            <w:pPr>
              <w:ind w:left="100"/>
              <w:spacing w:after="0" w:line="227" w:lineRule="exact"/>
              <w:rPr>
                <w:sz w:val="20"/>
                <w:szCs w:val="20"/>
                <w:color w:val="auto"/>
              </w:rPr>
            </w:pPr>
            <w:r>
              <w:rPr>
                <w:rFonts w:ascii="Times New Roman" w:cs="Times New Roman" w:eastAsia="Times New Roman" w:hAnsi="Times New Roman"/>
                <w:sz w:val="21"/>
                <w:szCs w:val="21"/>
                <w:color w:val="auto"/>
              </w:rPr>
              <w:t>Granted</w:t>
            </w:r>
          </w:p>
        </w:tc>
        <w:tc>
          <w:tcPr>
            <w:tcW w:w="180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12,824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40.54</w:t>
            </w:r>
          </w:p>
        </w:tc>
      </w:tr>
      <w:tr>
        <w:trPr>
          <w:trHeight w:val="227"/>
        </w:trPr>
        <w:tc>
          <w:tcPr>
            <w:tcW w:w="7160" w:type="dxa"/>
            <w:vAlign w:val="bottom"/>
            <w:shd w:val="clear" w:color="auto" w:fill="CCEEFF"/>
          </w:tcPr>
          <w:p>
            <w:pPr>
              <w:ind w:left="100"/>
              <w:spacing w:after="0" w:line="227" w:lineRule="exact"/>
              <w:rPr>
                <w:sz w:val="20"/>
                <w:szCs w:val="20"/>
                <w:color w:val="auto"/>
              </w:rPr>
            </w:pPr>
            <w:r>
              <w:rPr>
                <w:rFonts w:ascii="Times New Roman" w:cs="Times New Roman" w:eastAsia="Times New Roman" w:hAnsi="Times New Roman"/>
                <w:sz w:val="21"/>
                <w:szCs w:val="21"/>
                <w:color w:val="auto"/>
              </w:rPr>
              <w:t>Vested</w:t>
            </w:r>
          </w:p>
        </w:tc>
        <w:tc>
          <w:tcPr>
            <w:tcW w:w="1800" w:type="dxa"/>
            <w:vAlign w:val="bottom"/>
            <w:tcBorders>
              <w:bottom w:val="single" w:sz="8" w:color="auto"/>
            </w:tcBorders>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(12,824)</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40.54</w:t>
            </w:r>
          </w:p>
        </w:tc>
      </w:tr>
      <w:tr>
        <w:trPr>
          <w:trHeight w:val="221"/>
        </w:trPr>
        <w:tc>
          <w:tcPr>
            <w:tcW w:w="7160" w:type="dxa"/>
            <w:vAlign w:val="bottom"/>
          </w:tcPr>
          <w:p>
            <w:pPr>
              <w:spacing w:after="0" w:line="221" w:lineRule="exact"/>
              <w:rPr>
                <w:sz w:val="20"/>
                <w:szCs w:val="20"/>
                <w:color w:val="auto"/>
              </w:rPr>
            </w:pPr>
            <w:r>
              <w:rPr>
                <w:rFonts w:ascii="Times New Roman" w:cs="Times New Roman" w:eastAsia="Times New Roman" w:hAnsi="Times New Roman"/>
                <w:sz w:val="21"/>
                <w:szCs w:val="21"/>
                <w:color w:val="auto"/>
              </w:rPr>
              <w:t>Nonvested stock awards at end of period</w:t>
            </w:r>
          </w:p>
        </w:tc>
        <w:tc>
          <w:tcPr>
            <w:tcW w:w="18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line="221" w:lineRule="exact"/>
              <w:rPr>
                <w:sz w:val="20"/>
                <w:szCs w:val="20"/>
                <w:color w:val="auto"/>
              </w:rPr>
            </w:pPr>
            <w:r>
              <w:rPr>
                <w:rFonts w:ascii="Times New Roman" w:cs="Times New Roman" w:eastAsia="Times New Roman" w:hAnsi="Times New Roman"/>
                <w:sz w:val="21"/>
                <w:szCs w:val="21"/>
                <w:color w:val="auto"/>
              </w:rPr>
              <w:t>-</w:t>
            </w:r>
          </w:p>
        </w:tc>
      </w:tr>
      <w:tr>
        <w:trPr>
          <w:trHeight w:val="20"/>
        </w:trPr>
        <w:tc>
          <w:tcPr>
            <w:tcW w:w="71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21"/>
          <w:szCs w:val="21"/>
          <w:color w:val="auto"/>
        </w:rPr>
        <w:t>The weighted-average fair value at the date of grant for stock awards granted during the nine months ended September 30, 2020 and 2019 was $40.54 and $40.41, respectively.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11 – </w:t>
      </w:r>
      <w:r>
        <w:rPr>
          <w:rFonts w:ascii="Times New Roman" w:cs="Times New Roman" w:eastAsia="Times New Roman" w:hAnsi="Times New Roman"/>
          <w:sz w:val="21"/>
          <w:szCs w:val="21"/>
          <w:b w:val="1"/>
          <w:bCs w:val="1"/>
          <w:i w:val="1"/>
          <w:iCs w:val="1"/>
          <w:color w:val="auto"/>
        </w:rPr>
        <w:t>Pension Plans and Other Postretirement Benefits</w:t>
      </w:r>
    </w:p>
    <w:p>
      <w:pPr>
        <w:spacing w:after="0" w:line="21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1"/>
          <w:szCs w:val="21"/>
          <w:color w:val="auto"/>
        </w:rPr>
        <w:t>The Company maintains a qualified defined benefit pension plan (the “Pension Plan”), a nonqualified pension plan, and other postretirement benefit plans for certain of its employees. The net periodic benefit cost is based on estimated values and an extensive use of assumptions about the discount rate, expected return on plan assets, the rate of future compensation increases received by the Company’s employees, mortality, turnover, and medical costs. The following tables provide the components of net periodic benefit cost for the Company’s legacy pension and other postretirement benefit plans: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6"/>
          </w:tcPr>
          <w:p>
            <w:pPr>
              <w:jc w:val="center"/>
              <w:ind w:right="500"/>
              <w:spacing w:after="0"/>
              <w:rPr>
                <w:sz w:val="20"/>
                <w:szCs w:val="20"/>
                <w:color w:val="auto"/>
              </w:rPr>
            </w:pPr>
            <w:r>
              <w:rPr>
                <w:rFonts w:ascii="Times New Roman" w:cs="Times New Roman" w:eastAsia="Times New Roman" w:hAnsi="Times New Roman"/>
                <w:sz w:val="21"/>
                <w:szCs w:val="21"/>
                <w:color w:val="auto"/>
              </w:rPr>
              <w:t>Pension Benefits</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193"/>
        </w:trPr>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280"/>
              <w:spacing w:after="0" w:line="194" w:lineRule="exact"/>
              <w:rPr>
                <w:sz w:val="20"/>
                <w:szCs w:val="20"/>
                <w:color w:val="auto"/>
              </w:rPr>
            </w:pPr>
            <w:r>
              <w:rPr>
                <w:rFonts w:ascii="Times New Roman" w:cs="Times New Roman" w:eastAsia="Times New Roman" w:hAnsi="Times New Roman"/>
                <w:sz w:val="21"/>
                <w:szCs w:val="21"/>
                <w:color w:val="auto"/>
              </w:rPr>
              <w:t>Three Months Ended</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80" w:type="dxa"/>
            <w:vAlign w:val="bottom"/>
            <w:gridSpan w:val="4"/>
          </w:tcPr>
          <w:p>
            <w:pPr>
              <w:jc w:val="right"/>
              <w:ind w:right="753"/>
              <w:spacing w:after="0" w:line="194" w:lineRule="exact"/>
              <w:rPr>
                <w:sz w:val="20"/>
                <w:szCs w:val="20"/>
                <w:color w:val="auto"/>
              </w:rPr>
            </w:pPr>
            <w:r>
              <w:rPr>
                <w:rFonts w:ascii="Times New Roman" w:cs="Times New Roman" w:eastAsia="Times New Roman" w:hAnsi="Times New Roman"/>
                <w:sz w:val="21"/>
                <w:szCs w:val="21"/>
                <w:color w:val="auto"/>
              </w:rPr>
              <w:t>Nine Months Ended</w:t>
            </w:r>
          </w:p>
        </w:tc>
      </w:tr>
      <w:tr>
        <w:trPr>
          <w:trHeight w:val="255"/>
        </w:trPr>
        <w:tc>
          <w:tcPr>
            <w:tcW w:w="4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1"/>
                <w:szCs w:val="21"/>
                <w:color w:val="auto"/>
              </w:rPr>
              <w:t>September 30,</w:t>
            </w:r>
          </w:p>
        </w:tc>
        <w:tc>
          <w:tcPr>
            <w:tcW w:w="9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1"/>
                <w:szCs w:val="21"/>
                <w:color w:val="auto"/>
              </w:rPr>
              <w:t>September 30,</w:t>
            </w:r>
          </w:p>
        </w:tc>
        <w:tc>
          <w:tcPr>
            <w:tcW w:w="1060" w:type="dxa"/>
            <w:vAlign w:val="bottom"/>
            <w:tcBorders>
              <w:bottom w:val="single" w:sz="8" w:color="auto"/>
            </w:tcBorders>
          </w:tcPr>
          <w:p>
            <w:pPr>
              <w:spacing w:after="0"/>
              <w:rPr>
                <w:sz w:val="22"/>
                <w:szCs w:val="22"/>
                <w:color w:val="auto"/>
              </w:rPr>
            </w:pPr>
          </w:p>
        </w:tc>
      </w:tr>
      <w:tr>
        <w:trPr>
          <w:trHeight w:val="221"/>
        </w:trPr>
        <w:tc>
          <w:tcPr>
            <w:tcW w:w="4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3"/>
              <w:spacing w:after="0" w:line="221" w:lineRule="exact"/>
              <w:rPr>
                <w:sz w:val="20"/>
                <w:szCs w:val="20"/>
                <w:color w:val="auto"/>
              </w:rPr>
            </w:pPr>
            <w:r>
              <w:rPr>
                <w:rFonts w:ascii="Times New Roman" w:cs="Times New Roman" w:eastAsia="Times New Roman" w:hAnsi="Times New Roman"/>
                <w:sz w:val="21"/>
                <w:szCs w:val="21"/>
                <w:color w:val="auto"/>
                <w:w w:val="99"/>
              </w:rPr>
              <w:t>2019</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3"/>
              <w:spacing w:after="0" w:line="221" w:lineRule="exact"/>
              <w:rPr>
                <w:sz w:val="20"/>
                <w:szCs w:val="20"/>
                <w:color w:val="auto"/>
              </w:rPr>
            </w:pPr>
            <w:r>
              <w:rPr>
                <w:rFonts w:ascii="Times New Roman" w:cs="Times New Roman" w:eastAsia="Times New Roman" w:hAnsi="Times New Roman"/>
                <w:sz w:val="21"/>
                <w:szCs w:val="21"/>
                <w:color w:val="auto"/>
              </w:rPr>
              <w:t>2019</w:t>
            </w:r>
          </w:p>
        </w:tc>
      </w:tr>
      <w:tr>
        <w:trPr>
          <w:trHeight w:val="221"/>
        </w:trPr>
        <w:tc>
          <w:tcPr>
            <w:tcW w:w="448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Service cost</w:t>
            </w:r>
          </w:p>
        </w:tc>
        <w:tc>
          <w:tcPr>
            <w:tcW w:w="320" w:type="dxa"/>
            <w:vAlign w:val="bottom"/>
            <w:shd w:val="clear" w:color="auto" w:fill="CCEEFF"/>
          </w:tcPr>
          <w:p>
            <w:pPr>
              <w:jc w:val="right"/>
              <w:ind w:right="11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16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763</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90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680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right="233"/>
              <w:spacing w:after="0" w:line="221" w:lineRule="exact"/>
              <w:rPr>
                <w:sz w:val="20"/>
                <w:szCs w:val="20"/>
                <w:color w:val="auto"/>
              </w:rPr>
            </w:pPr>
            <w:r>
              <w:rPr>
                <w:rFonts w:ascii="Times New Roman" w:cs="Times New Roman" w:eastAsia="Times New Roman" w:hAnsi="Times New Roman"/>
                <w:sz w:val="21"/>
                <w:szCs w:val="21"/>
                <w:color w:val="auto"/>
              </w:rPr>
              <w:t>$</w:t>
            </w:r>
          </w:p>
        </w:tc>
        <w:tc>
          <w:tcPr>
            <w:tcW w:w="116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2,289</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2,040</w:t>
            </w:r>
          </w:p>
        </w:tc>
      </w:tr>
      <w:tr>
        <w:trPr>
          <w:trHeight w:val="227"/>
        </w:trPr>
        <w:tc>
          <w:tcPr>
            <w:tcW w:w="4480" w:type="dxa"/>
            <w:vAlign w:val="bottom"/>
          </w:tcPr>
          <w:p>
            <w:pPr>
              <w:spacing w:after="0" w:line="227" w:lineRule="exact"/>
              <w:rPr>
                <w:sz w:val="20"/>
                <w:szCs w:val="20"/>
                <w:color w:val="auto"/>
              </w:rPr>
            </w:pPr>
            <w:r>
              <w:rPr>
                <w:rFonts w:ascii="Times New Roman" w:cs="Times New Roman" w:eastAsia="Times New Roman" w:hAnsi="Times New Roman"/>
                <w:sz w:val="21"/>
                <w:szCs w:val="21"/>
                <w:color w:val="auto"/>
              </w:rPr>
              <w:t>Interest cost</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2,540</w:t>
            </w:r>
          </w:p>
        </w:tc>
        <w:tc>
          <w:tcPr>
            <w:tcW w:w="440" w:type="dxa"/>
            <w:vAlign w:val="bottom"/>
          </w:tcPr>
          <w:p>
            <w:pPr>
              <w:spacing w:after="0"/>
              <w:rPr>
                <w:sz w:val="19"/>
                <w:szCs w:val="19"/>
                <w:color w:val="auto"/>
              </w:rPr>
            </w:pPr>
          </w:p>
        </w:tc>
        <w:tc>
          <w:tcPr>
            <w:tcW w:w="90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2,954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7,620</w:t>
            </w:r>
          </w:p>
        </w:tc>
        <w:tc>
          <w:tcPr>
            <w:tcW w:w="56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8,862</w:t>
            </w:r>
          </w:p>
        </w:tc>
      </w:tr>
      <w:tr>
        <w:trPr>
          <w:trHeight w:val="227"/>
        </w:trPr>
        <w:tc>
          <w:tcPr>
            <w:tcW w:w="448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Expected return on plan assets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(3,938)</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line="227" w:lineRule="exact"/>
              <w:rPr>
                <w:sz w:val="20"/>
                <w:szCs w:val="20"/>
                <w:color w:val="auto"/>
              </w:rPr>
            </w:pPr>
            <w:r>
              <w:rPr>
                <w:rFonts w:ascii="Times New Roman" w:cs="Times New Roman" w:eastAsia="Times New Roman" w:hAnsi="Times New Roman"/>
                <w:sz w:val="21"/>
                <w:szCs w:val="21"/>
                <w:color w:val="auto"/>
              </w:rPr>
              <w:t>(3,818)</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(11,814)</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(11,454)</w:t>
            </w:r>
          </w:p>
        </w:tc>
      </w:tr>
      <w:tr>
        <w:trPr>
          <w:trHeight w:val="227"/>
        </w:trPr>
        <w:tc>
          <w:tcPr>
            <w:tcW w:w="4480" w:type="dxa"/>
            <w:vAlign w:val="bottom"/>
          </w:tcPr>
          <w:p>
            <w:pPr>
              <w:spacing w:after="0" w:line="227" w:lineRule="exact"/>
              <w:rPr>
                <w:sz w:val="20"/>
                <w:szCs w:val="20"/>
                <w:color w:val="auto"/>
              </w:rPr>
            </w:pPr>
            <w:r>
              <w:rPr>
                <w:rFonts w:ascii="Times New Roman" w:cs="Times New Roman" w:eastAsia="Times New Roman" w:hAnsi="Times New Roman"/>
                <w:sz w:val="21"/>
                <w:szCs w:val="21"/>
                <w:color w:val="auto"/>
              </w:rPr>
              <w:t>Amortization of prior service cost</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148</w:t>
            </w:r>
          </w:p>
        </w:tc>
        <w:tc>
          <w:tcPr>
            <w:tcW w:w="440" w:type="dxa"/>
            <w:vAlign w:val="bottom"/>
          </w:tcPr>
          <w:p>
            <w:pPr>
              <w:spacing w:after="0"/>
              <w:rPr>
                <w:sz w:val="19"/>
                <w:szCs w:val="19"/>
                <w:color w:val="auto"/>
              </w:rPr>
            </w:pPr>
          </w:p>
        </w:tc>
        <w:tc>
          <w:tcPr>
            <w:tcW w:w="90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155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444</w:t>
            </w:r>
          </w:p>
        </w:tc>
        <w:tc>
          <w:tcPr>
            <w:tcW w:w="56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465</w:t>
            </w:r>
          </w:p>
        </w:tc>
      </w:tr>
      <w:tr>
        <w:trPr>
          <w:trHeight w:val="227"/>
        </w:trPr>
        <w:tc>
          <w:tcPr>
            <w:tcW w:w="448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Amortization of actuarial loss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1,992</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1,982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5,976</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5,946</w:t>
            </w:r>
          </w:p>
        </w:tc>
      </w:tr>
      <w:tr>
        <w:trPr>
          <w:trHeight w:val="221"/>
        </w:trPr>
        <w:tc>
          <w:tcPr>
            <w:tcW w:w="4480" w:type="dxa"/>
            <w:vAlign w:val="bottom"/>
          </w:tcPr>
          <w:p>
            <w:pPr>
              <w:spacing w:after="0" w:line="221" w:lineRule="exact"/>
              <w:rPr>
                <w:sz w:val="20"/>
                <w:szCs w:val="20"/>
                <w:color w:val="auto"/>
              </w:rPr>
            </w:pPr>
            <w:r>
              <w:rPr>
                <w:rFonts w:ascii="Times New Roman" w:cs="Times New Roman" w:eastAsia="Times New Roman" w:hAnsi="Times New Roman"/>
                <w:sz w:val="21"/>
                <w:szCs w:val="21"/>
                <w:color w:val="auto"/>
              </w:rPr>
              <w:t>Net periodic benefit cost</w:t>
            </w:r>
          </w:p>
        </w:tc>
        <w:tc>
          <w:tcPr>
            <w:tcW w:w="320" w:type="dxa"/>
            <w:vAlign w:val="bottom"/>
            <w:tcBorders>
              <w:top w:val="single" w:sz="8" w:color="auto"/>
              <w:bottom w:val="single" w:sz="8" w:color="auto"/>
            </w:tcBorders>
          </w:tcPr>
          <w:p>
            <w:pPr>
              <w:jc w:val="right"/>
              <w:ind w:right="11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1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1,505</w:t>
            </w: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9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1,953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center"/>
              <w:ind w:right="233"/>
              <w:spacing w:after="0" w:line="221" w:lineRule="exact"/>
              <w:rPr>
                <w:sz w:val="20"/>
                <w:szCs w:val="20"/>
                <w:color w:val="auto"/>
              </w:rPr>
            </w:pPr>
            <w:r>
              <w:rPr>
                <w:rFonts w:ascii="Times New Roman" w:cs="Times New Roman" w:eastAsia="Times New Roman" w:hAnsi="Times New Roman"/>
                <w:sz w:val="21"/>
                <w:szCs w:val="21"/>
                <w:color w:val="auto"/>
              </w:rPr>
              <w:t>$</w:t>
            </w:r>
          </w:p>
        </w:tc>
        <w:tc>
          <w:tcPr>
            <w:tcW w:w="11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4,515</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5,859</w:t>
            </w:r>
          </w:p>
        </w:tc>
      </w:tr>
      <w:tr>
        <w:trPr>
          <w:trHeight w:val="20"/>
        </w:trPr>
        <w:tc>
          <w:tcPr>
            <w:tcW w:w="4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07"/>
        </w:trPr>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rPr>
              <w:t>Other</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5"/>
        </w:trPr>
        <w:tc>
          <w:tcPr>
            <w:tcW w:w="4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6"/>
          </w:tcPr>
          <w:p>
            <w:pPr>
              <w:jc w:val="center"/>
              <w:ind w:right="500"/>
              <w:spacing w:after="0"/>
              <w:rPr>
                <w:sz w:val="20"/>
                <w:szCs w:val="20"/>
                <w:color w:val="auto"/>
              </w:rPr>
            </w:pPr>
            <w:r>
              <w:rPr>
                <w:rFonts w:ascii="Times New Roman" w:cs="Times New Roman" w:eastAsia="Times New Roman" w:hAnsi="Times New Roman"/>
                <w:sz w:val="21"/>
                <w:szCs w:val="21"/>
                <w:color w:val="auto"/>
              </w:rPr>
              <w:t>Postretirement Benefits</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193"/>
        </w:trPr>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jc w:val="center"/>
              <w:ind w:right="160"/>
              <w:spacing w:after="0" w:line="194" w:lineRule="exact"/>
              <w:rPr>
                <w:sz w:val="20"/>
                <w:szCs w:val="20"/>
                <w:color w:val="auto"/>
              </w:rPr>
            </w:pPr>
            <w:r>
              <w:rPr>
                <w:rFonts w:ascii="Times New Roman" w:cs="Times New Roman" w:eastAsia="Times New Roman" w:hAnsi="Times New Roman"/>
                <w:sz w:val="21"/>
                <w:szCs w:val="21"/>
                <w:color w:val="auto"/>
              </w:rPr>
              <w:t>Three Months Ended</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80" w:type="dxa"/>
            <w:vAlign w:val="bottom"/>
            <w:gridSpan w:val="4"/>
          </w:tcPr>
          <w:p>
            <w:pPr>
              <w:jc w:val="right"/>
              <w:ind w:right="653"/>
              <w:spacing w:after="0" w:line="194" w:lineRule="exact"/>
              <w:rPr>
                <w:sz w:val="20"/>
                <w:szCs w:val="20"/>
                <w:color w:val="auto"/>
              </w:rPr>
            </w:pPr>
            <w:r>
              <w:rPr>
                <w:rFonts w:ascii="Times New Roman" w:cs="Times New Roman" w:eastAsia="Times New Roman" w:hAnsi="Times New Roman"/>
                <w:sz w:val="21"/>
                <w:szCs w:val="21"/>
                <w:color w:val="auto"/>
              </w:rPr>
              <w:t>Nine Months Ended</w:t>
            </w:r>
          </w:p>
        </w:tc>
      </w:tr>
      <w:tr>
        <w:trPr>
          <w:trHeight w:val="255"/>
        </w:trPr>
        <w:tc>
          <w:tcPr>
            <w:tcW w:w="4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60" w:type="dxa"/>
            <w:vAlign w:val="bottom"/>
            <w:gridSpan w:val="5"/>
          </w:tcPr>
          <w:p>
            <w:pPr>
              <w:jc w:val="center"/>
              <w:ind w:right="160"/>
              <w:spacing w:after="0"/>
              <w:rPr>
                <w:sz w:val="20"/>
                <w:szCs w:val="20"/>
                <w:color w:val="auto"/>
              </w:rPr>
            </w:pPr>
            <w:r>
              <w:rPr>
                <w:rFonts w:ascii="Times New Roman" w:cs="Times New Roman" w:eastAsia="Times New Roman" w:hAnsi="Times New Roman"/>
                <w:sz w:val="21"/>
                <w:szCs w:val="21"/>
                <w:color w:val="auto"/>
              </w:rPr>
              <w:t>September 30,</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980" w:type="dxa"/>
            <w:vAlign w:val="bottom"/>
            <w:gridSpan w:val="4"/>
          </w:tcPr>
          <w:p>
            <w:pPr>
              <w:jc w:val="right"/>
              <w:ind w:right="893"/>
              <w:spacing w:after="0"/>
              <w:rPr>
                <w:sz w:val="20"/>
                <w:szCs w:val="20"/>
                <w:color w:val="auto"/>
              </w:rPr>
            </w:pPr>
            <w:r>
              <w:rPr>
                <w:rFonts w:ascii="Times New Roman" w:cs="Times New Roman" w:eastAsia="Times New Roman" w:hAnsi="Times New Roman"/>
                <w:sz w:val="21"/>
                <w:szCs w:val="21"/>
                <w:color w:val="auto"/>
              </w:rPr>
              <w:t>September 30,</w:t>
            </w:r>
          </w:p>
        </w:tc>
      </w:tr>
      <w:tr>
        <w:trPr>
          <w:trHeight w:val="221"/>
        </w:trPr>
        <w:tc>
          <w:tcPr>
            <w:tcW w:w="44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3"/>
              <w:spacing w:after="0" w:line="221" w:lineRule="exact"/>
              <w:rPr>
                <w:sz w:val="20"/>
                <w:szCs w:val="20"/>
                <w:color w:val="auto"/>
              </w:rPr>
            </w:pPr>
            <w:r>
              <w:rPr>
                <w:rFonts w:ascii="Times New Roman" w:cs="Times New Roman" w:eastAsia="Times New Roman" w:hAnsi="Times New Roman"/>
                <w:sz w:val="21"/>
                <w:szCs w:val="21"/>
                <w:color w:val="auto"/>
                <w:w w:val="99"/>
              </w:rPr>
              <w:t>2019</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0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93"/>
              <w:spacing w:after="0" w:line="221" w:lineRule="exact"/>
              <w:rPr>
                <w:sz w:val="20"/>
                <w:szCs w:val="20"/>
                <w:color w:val="auto"/>
              </w:rPr>
            </w:pPr>
            <w:r>
              <w:rPr>
                <w:rFonts w:ascii="Times New Roman" w:cs="Times New Roman" w:eastAsia="Times New Roman" w:hAnsi="Times New Roman"/>
                <w:sz w:val="21"/>
                <w:szCs w:val="21"/>
                <w:color w:val="auto"/>
              </w:rPr>
              <w:t>2019</w:t>
            </w:r>
          </w:p>
        </w:tc>
      </w:tr>
      <w:tr>
        <w:trPr>
          <w:trHeight w:val="221"/>
        </w:trPr>
        <w:tc>
          <w:tcPr>
            <w:tcW w:w="448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Service cost</w:t>
            </w:r>
          </w:p>
        </w:tc>
        <w:tc>
          <w:tcPr>
            <w:tcW w:w="320" w:type="dxa"/>
            <w:vAlign w:val="bottom"/>
            <w:shd w:val="clear" w:color="auto" w:fill="CCEEFF"/>
          </w:tcPr>
          <w:p>
            <w:pPr>
              <w:jc w:val="right"/>
              <w:ind w:right="11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16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217</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90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205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right="233"/>
              <w:spacing w:after="0" w:line="221" w:lineRule="exact"/>
              <w:rPr>
                <w:sz w:val="20"/>
                <w:szCs w:val="20"/>
                <w:color w:val="auto"/>
              </w:rPr>
            </w:pPr>
            <w:r>
              <w:rPr>
                <w:rFonts w:ascii="Times New Roman" w:cs="Times New Roman" w:eastAsia="Times New Roman" w:hAnsi="Times New Roman"/>
                <w:sz w:val="21"/>
                <w:szCs w:val="21"/>
                <w:color w:val="auto"/>
              </w:rPr>
              <w:t>$</w:t>
            </w:r>
          </w:p>
        </w:tc>
        <w:tc>
          <w:tcPr>
            <w:tcW w:w="116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651</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615</w:t>
            </w:r>
          </w:p>
        </w:tc>
      </w:tr>
      <w:tr>
        <w:trPr>
          <w:trHeight w:val="227"/>
        </w:trPr>
        <w:tc>
          <w:tcPr>
            <w:tcW w:w="4480" w:type="dxa"/>
            <w:vAlign w:val="bottom"/>
          </w:tcPr>
          <w:p>
            <w:pPr>
              <w:spacing w:after="0" w:line="227" w:lineRule="exact"/>
              <w:rPr>
                <w:sz w:val="20"/>
                <w:szCs w:val="20"/>
                <w:color w:val="auto"/>
              </w:rPr>
            </w:pPr>
            <w:r>
              <w:rPr>
                <w:rFonts w:ascii="Times New Roman" w:cs="Times New Roman" w:eastAsia="Times New Roman" w:hAnsi="Times New Roman"/>
                <w:sz w:val="21"/>
                <w:szCs w:val="21"/>
                <w:color w:val="auto"/>
              </w:rPr>
              <w:t>Interest cost</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677</w:t>
            </w:r>
          </w:p>
        </w:tc>
        <w:tc>
          <w:tcPr>
            <w:tcW w:w="440" w:type="dxa"/>
            <w:vAlign w:val="bottom"/>
          </w:tcPr>
          <w:p>
            <w:pPr>
              <w:spacing w:after="0"/>
              <w:rPr>
                <w:sz w:val="19"/>
                <w:szCs w:val="19"/>
                <w:color w:val="auto"/>
              </w:rPr>
            </w:pPr>
          </w:p>
        </w:tc>
        <w:tc>
          <w:tcPr>
            <w:tcW w:w="90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750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2,031</w:t>
            </w:r>
          </w:p>
        </w:tc>
        <w:tc>
          <w:tcPr>
            <w:tcW w:w="56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2,250</w:t>
            </w:r>
          </w:p>
        </w:tc>
      </w:tr>
      <w:tr>
        <w:trPr>
          <w:trHeight w:val="227"/>
        </w:trPr>
        <w:tc>
          <w:tcPr>
            <w:tcW w:w="448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Expected return on plan assets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(675)</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line="227" w:lineRule="exact"/>
              <w:rPr>
                <w:sz w:val="20"/>
                <w:szCs w:val="20"/>
                <w:color w:val="auto"/>
              </w:rPr>
            </w:pPr>
            <w:r>
              <w:rPr>
                <w:rFonts w:ascii="Times New Roman" w:cs="Times New Roman" w:eastAsia="Times New Roman" w:hAnsi="Times New Roman"/>
                <w:sz w:val="21"/>
                <w:szCs w:val="21"/>
                <w:color w:val="auto"/>
              </w:rPr>
              <w:t>(621)</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(2,025)</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(1,863)</w:t>
            </w:r>
          </w:p>
        </w:tc>
      </w:tr>
      <w:tr>
        <w:trPr>
          <w:trHeight w:val="227"/>
        </w:trPr>
        <w:tc>
          <w:tcPr>
            <w:tcW w:w="4480" w:type="dxa"/>
            <w:vAlign w:val="bottom"/>
          </w:tcPr>
          <w:p>
            <w:pPr>
              <w:spacing w:after="0" w:line="227" w:lineRule="exact"/>
              <w:rPr>
                <w:sz w:val="20"/>
                <w:szCs w:val="20"/>
                <w:color w:val="auto"/>
              </w:rPr>
            </w:pPr>
            <w:r>
              <w:rPr>
                <w:rFonts w:ascii="Times New Roman" w:cs="Times New Roman" w:eastAsia="Times New Roman" w:hAnsi="Times New Roman"/>
                <w:sz w:val="21"/>
                <w:szCs w:val="21"/>
                <w:color w:val="auto"/>
              </w:rPr>
              <w:t>Amortization of prior service credit</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(116)</w:t>
            </w:r>
          </w:p>
        </w:tc>
        <w:tc>
          <w:tcPr>
            <w:tcW w:w="440" w:type="dxa"/>
            <w:vAlign w:val="bottom"/>
          </w:tcPr>
          <w:p>
            <w:pPr>
              <w:spacing w:after="0"/>
              <w:rPr>
                <w:sz w:val="19"/>
                <w:szCs w:val="19"/>
                <w:color w:val="auto"/>
              </w:rPr>
            </w:pPr>
          </w:p>
        </w:tc>
        <w:tc>
          <w:tcPr>
            <w:tcW w:w="960" w:type="dxa"/>
            <w:vAlign w:val="bottom"/>
            <w:gridSpan w:val="2"/>
          </w:tcPr>
          <w:p>
            <w:pPr>
              <w:jc w:val="right"/>
              <w:ind w:right="60"/>
              <w:spacing w:after="0" w:line="227" w:lineRule="exact"/>
              <w:rPr>
                <w:sz w:val="20"/>
                <w:szCs w:val="20"/>
                <w:color w:val="auto"/>
              </w:rPr>
            </w:pPr>
            <w:r>
              <w:rPr>
                <w:rFonts w:ascii="Times New Roman" w:cs="Times New Roman" w:eastAsia="Times New Roman" w:hAnsi="Times New Roman"/>
                <w:sz w:val="21"/>
                <w:szCs w:val="21"/>
                <w:color w:val="auto"/>
              </w:rPr>
              <w:t>(116)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(348)</w:t>
            </w:r>
          </w:p>
        </w:tc>
        <w:tc>
          <w:tcPr>
            <w:tcW w:w="56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(348)</w:t>
            </w:r>
          </w:p>
        </w:tc>
      </w:tr>
      <w:tr>
        <w:trPr>
          <w:trHeight w:val="227"/>
        </w:trPr>
        <w:tc>
          <w:tcPr>
            <w:tcW w:w="448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Amortization of actuarial loss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156</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166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468</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498</w:t>
            </w:r>
          </w:p>
        </w:tc>
      </w:tr>
      <w:tr>
        <w:trPr>
          <w:trHeight w:val="221"/>
        </w:trPr>
        <w:tc>
          <w:tcPr>
            <w:tcW w:w="4480" w:type="dxa"/>
            <w:vAlign w:val="bottom"/>
          </w:tcPr>
          <w:p>
            <w:pPr>
              <w:spacing w:after="0" w:line="221" w:lineRule="exact"/>
              <w:rPr>
                <w:sz w:val="20"/>
                <w:szCs w:val="20"/>
                <w:color w:val="auto"/>
              </w:rPr>
            </w:pPr>
            <w:r>
              <w:rPr>
                <w:rFonts w:ascii="Times New Roman" w:cs="Times New Roman" w:eastAsia="Times New Roman" w:hAnsi="Times New Roman"/>
                <w:sz w:val="21"/>
                <w:szCs w:val="21"/>
                <w:color w:val="auto"/>
              </w:rPr>
              <w:t>Net periodic benefit cost</w:t>
            </w:r>
          </w:p>
        </w:tc>
        <w:tc>
          <w:tcPr>
            <w:tcW w:w="320" w:type="dxa"/>
            <w:vAlign w:val="bottom"/>
            <w:tcBorders>
              <w:top w:val="single" w:sz="8" w:color="auto"/>
              <w:bottom w:val="single" w:sz="8" w:color="auto"/>
            </w:tcBorders>
          </w:tcPr>
          <w:p>
            <w:pPr>
              <w:jc w:val="right"/>
              <w:ind w:right="11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1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259</w:t>
            </w: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9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384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center"/>
              <w:ind w:right="233"/>
              <w:spacing w:after="0" w:line="221" w:lineRule="exact"/>
              <w:rPr>
                <w:sz w:val="20"/>
                <w:szCs w:val="20"/>
                <w:color w:val="auto"/>
              </w:rPr>
            </w:pPr>
            <w:r>
              <w:rPr>
                <w:rFonts w:ascii="Times New Roman" w:cs="Times New Roman" w:eastAsia="Times New Roman" w:hAnsi="Times New Roman"/>
                <w:sz w:val="21"/>
                <w:szCs w:val="21"/>
                <w:color w:val="auto"/>
              </w:rPr>
              <w:t>$</w:t>
            </w:r>
          </w:p>
        </w:tc>
        <w:tc>
          <w:tcPr>
            <w:tcW w:w="11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777</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1,152</w:t>
            </w:r>
          </w:p>
        </w:tc>
      </w:tr>
      <w:tr>
        <w:trPr>
          <w:trHeight w:val="20"/>
        </w:trPr>
        <w:tc>
          <w:tcPr>
            <w:tcW w:w="4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680"/>
        <w:spacing w:after="0" w:line="262" w:lineRule="auto"/>
        <w:rPr>
          <w:sz w:val="20"/>
          <w:szCs w:val="20"/>
          <w:color w:val="auto"/>
        </w:rPr>
      </w:pPr>
      <w:r>
        <w:rPr>
          <w:rFonts w:ascii="Times New Roman" w:cs="Times New Roman" w:eastAsia="Times New Roman" w:hAnsi="Times New Roman"/>
          <w:sz w:val="21"/>
          <w:szCs w:val="21"/>
          <w:color w:val="auto"/>
        </w:rPr>
        <w:t>The Company presents the components of net periodic benefit cost other than service cost in the consolidated statements of operations and comprehensive income on the line item “Other.”</w:t>
      </w:r>
    </w:p>
    <w:p>
      <w:pPr>
        <w:spacing w:after="0" w:line="15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1"/>
          <w:szCs w:val="21"/>
          <w:color w:val="auto"/>
        </w:rPr>
        <w:t>The Company made cash contributions of $16,277 to its Pension Plan during the first nine months of 2020, which completed the Company’s cash contributions for the year.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1"/>
          <w:szCs w:val="21"/>
          <w:color w:val="auto"/>
        </w:rPr>
        <w:t>On March 16, 2020, we completed the Peoples Gas Acquisition and assumed the pension and other postretirement benefit plans for its employees. The operating results of Peoples has been included in our consolidated financial statements since the date of acquisition. As such, the following table presents the components of net periodic benefit costs for the period since March 16, 2020 that are related to the Peoples’ pension and other postretirement benefit plans acquired: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0" w:type="dxa"/>
            <w:vAlign w:val="bottom"/>
            <w:gridSpan w:val="3"/>
          </w:tcPr>
          <w:p>
            <w:pPr>
              <w:jc w:val="center"/>
              <w:ind w:left="213"/>
              <w:spacing w:after="0"/>
              <w:rPr>
                <w:sz w:val="20"/>
                <w:szCs w:val="20"/>
                <w:color w:val="auto"/>
              </w:rPr>
            </w:pPr>
            <w:r>
              <w:rPr>
                <w:rFonts w:ascii="Times New Roman" w:cs="Times New Roman" w:eastAsia="Times New Roman" w:hAnsi="Times New Roman"/>
                <w:sz w:val="21"/>
                <w:szCs w:val="21"/>
                <w:color w:val="auto"/>
              </w:rPr>
              <w:t>Three Months Ended</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80" w:type="dxa"/>
            <w:vAlign w:val="bottom"/>
            <w:gridSpan w:val="5"/>
          </w:tcPr>
          <w:p>
            <w:pPr>
              <w:ind w:left="360"/>
              <w:spacing w:after="0"/>
              <w:rPr>
                <w:sz w:val="20"/>
                <w:szCs w:val="20"/>
                <w:color w:val="auto"/>
              </w:rPr>
            </w:pPr>
            <w:r>
              <w:rPr>
                <w:rFonts w:ascii="Times New Roman" w:cs="Times New Roman" w:eastAsia="Times New Roman" w:hAnsi="Times New Roman"/>
                <w:sz w:val="21"/>
                <w:szCs w:val="21"/>
                <w:color w:val="auto"/>
              </w:rPr>
              <w:t>Nine Months Ended</w:t>
            </w:r>
          </w:p>
        </w:tc>
      </w:tr>
      <w:tr>
        <w:trPr>
          <w:trHeight w:val="255"/>
        </w:trPr>
        <w:tc>
          <w:tcPr>
            <w:tcW w:w="4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3"/>
          </w:tcPr>
          <w:p>
            <w:pPr>
              <w:jc w:val="center"/>
              <w:ind w:left="213"/>
              <w:spacing w:after="0"/>
              <w:rPr>
                <w:sz w:val="20"/>
                <w:szCs w:val="20"/>
                <w:color w:val="auto"/>
              </w:rPr>
            </w:pPr>
            <w:r>
              <w:rPr>
                <w:rFonts w:ascii="Times New Roman" w:cs="Times New Roman" w:eastAsia="Times New Roman" w:hAnsi="Times New Roman"/>
                <w:sz w:val="21"/>
                <w:szCs w:val="21"/>
                <w:color w:val="auto"/>
              </w:rPr>
              <w:t>September 30, 2020</w:t>
            </w:r>
          </w:p>
        </w:tc>
        <w:tc>
          <w:tcPr>
            <w:tcW w:w="5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21"/>
                <w:szCs w:val="21"/>
                <w:color w:val="auto"/>
              </w:rPr>
              <w:t>September 30, 2020</w:t>
            </w:r>
          </w:p>
        </w:tc>
      </w:tr>
      <w:tr>
        <w:trPr>
          <w:trHeight w:val="327"/>
        </w:trPr>
        <w:tc>
          <w:tcPr>
            <w:tcW w:w="4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ind w:right="73"/>
              <w:spacing w:after="0"/>
              <w:rPr>
                <w:sz w:val="20"/>
                <w:szCs w:val="20"/>
                <w:color w:val="auto"/>
              </w:rPr>
            </w:pPr>
            <w:r>
              <w:rPr>
                <w:rFonts w:ascii="Times New Roman" w:cs="Times New Roman" w:eastAsia="Times New Roman" w:hAnsi="Times New Roman"/>
                <w:sz w:val="21"/>
                <w:szCs w:val="21"/>
                <w:color w:val="auto"/>
              </w:rPr>
              <w:t>Other</w:t>
            </w:r>
          </w:p>
        </w:tc>
      </w:tr>
      <w:tr>
        <w:trPr>
          <w:trHeight w:val="227"/>
        </w:trPr>
        <w:tc>
          <w:tcPr>
            <w:tcW w:w="4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213"/>
              <w:spacing w:after="0" w:line="227" w:lineRule="exact"/>
              <w:rPr>
                <w:sz w:val="20"/>
                <w:szCs w:val="20"/>
                <w:color w:val="auto"/>
              </w:rPr>
            </w:pPr>
            <w:r>
              <w:rPr>
                <w:rFonts w:ascii="Times New Roman" w:cs="Times New Roman" w:eastAsia="Times New Roman" w:hAnsi="Times New Roman"/>
                <w:sz w:val="21"/>
                <w:szCs w:val="21"/>
                <w:color w:val="auto"/>
              </w:rPr>
              <w:t>Pension</w:t>
            </w:r>
          </w:p>
        </w:tc>
        <w:tc>
          <w:tcPr>
            <w:tcW w:w="2340" w:type="dxa"/>
            <w:vAlign w:val="bottom"/>
            <w:gridSpan w:val="4"/>
          </w:tcPr>
          <w:p>
            <w:pPr>
              <w:ind w:left="200"/>
              <w:spacing w:after="0" w:line="227" w:lineRule="exact"/>
              <w:rPr>
                <w:sz w:val="20"/>
                <w:szCs w:val="20"/>
                <w:color w:val="auto"/>
              </w:rPr>
            </w:pPr>
            <w:r>
              <w:rPr>
                <w:rFonts w:ascii="Times New Roman" w:cs="Times New Roman" w:eastAsia="Times New Roman" w:hAnsi="Times New Roman"/>
                <w:sz w:val="21"/>
                <w:szCs w:val="21"/>
                <w:color w:val="auto"/>
              </w:rPr>
              <w:t>Other Postretirement</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ind w:right="73"/>
              <w:spacing w:after="0" w:line="227" w:lineRule="exact"/>
              <w:rPr>
                <w:sz w:val="20"/>
                <w:szCs w:val="20"/>
                <w:color w:val="auto"/>
              </w:rPr>
            </w:pPr>
            <w:r>
              <w:rPr>
                <w:rFonts w:ascii="Times New Roman" w:cs="Times New Roman" w:eastAsia="Times New Roman" w:hAnsi="Times New Roman"/>
                <w:sz w:val="21"/>
                <w:szCs w:val="21"/>
                <w:color w:val="auto"/>
              </w:rPr>
              <w:t>Postretirement</w:t>
            </w:r>
          </w:p>
        </w:tc>
      </w:tr>
      <w:tr>
        <w:trPr>
          <w:trHeight w:val="255"/>
        </w:trPr>
        <w:tc>
          <w:tcPr>
            <w:tcW w:w="43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21"/>
                <w:szCs w:val="21"/>
                <w:color w:val="auto"/>
              </w:rPr>
              <w:t>Benefits</w:t>
            </w:r>
          </w:p>
        </w:tc>
        <w:tc>
          <w:tcPr>
            <w:tcW w:w="2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21"/>
                <w:szCs w:val="21"/>
                <w:color w:val="auto"/>
              </w:rPr>
              <w:t>Benefits</w:t>
            </w:r>
          </w:p>
        </w:tc>
        <w:tc>
          <w:tcPr>
            <w:tcW w:w="52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Pension Benefits</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1"/>
                <w:szCs w:val="21"/>
                <w:color w:val="auto"/>
              </w:rPr>
              <w:t>Benefits</w:t>
            </w:r>
          </w:p>
        </w:tc>
      </w:tr>
      <w:tr>
        <w:trPr>
          <w:trHeight w:val="261"/>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Service cost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229</w:t>
            </w:r>
          </w:p>
        </w:tc>
        <w:tc>
          <w:tcPr>
            <w:tcW w:w="1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21"/>
                <w:szCs w:val="21"/>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1"/>
                <w:szCs w:val="21"/>
                <w:color w:val="auto"/>
              </w:rPr>
              <w:t>445</w:t>
            </w:r>
          </w:p>
        </w:tc>
        <w:tc>
          <w:tcPr>
            <w:tcW w:w="3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21"/>
                <w:szCs w:val="21"/>
                <w:color w:val="auto"/>
                <w:w w:val="7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494</w:t>
            </w:r>
          </w:p>
        </w:tc>
        <w:tc>
          <w:tcPr>
            <w:tcW w:w="2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440" w:type="dxa"/>
            <w:vAlign w:val="bottom"/>
            <w:shd w:val="clear" w:color="auto" w:fill="CCEEFF"/>
          </w:tcPr>
          <w:p>
            <w:pPr>
              <w:jc w:val="center"/>
              <w:ind w:left="893"/>
              <w:spacing w:after="0"/>
              <w:rPr>
                <w:sz w:val="20"/>
                <w:szCs w:val="20"/>
                <w:color w:val="auto"/>
              </w:rPr>
            </w:pPr>
            <w:r>
              <w:rPr>
                <w:rFonts w:ascii="Times New Roman" w:cs="Times New Roman" w:eastAsia="Times New Roman" w:hAnsi="Times New Roman"/>
                <w:sz w:val="21"/>
                <w:szCs w:val="21"/>
                <w:color w:val="auto"/>
              </w:rPr>
              <w:t>963</w:t>
            </w:r>
          </w:p>
        </w:tc>
      </w:tr>
      <w:tr>
        <w:trPr>
          <w:trHeight w:val="281"/>
        </w:trPr>
        <w:tc>
          <w:tcPr>
            <w:tcW w:w="4300" w:type="dxa"/>
            <w:vAlign w:val="bottom"/>
          </w:tcPr>
          <w:p>
            <w:pPr>
              <w:spacing w:after="0"/>
              <w:rPr>
                <w:sz w:val="20"/>
                <w:szCs w:val="20"/>
                <w:color w:val="auto"/>
              </w:rPr>
            </w:pPr>
            <w:r>
              <w:rPr>
                <w:rFonts w:ascii="Times New Roman" w:cs="Times New Roman" w:eastAsia="Times New Roman" w:hAnsi="Times New Roman"/>
                <w:sz w:val="21"/>
                <w:szCs w:val="21"/>
                <w:color w:val="auto"/>
              </w:rPr>
              <w:t>Interest cost</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1,102</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312</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2,383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ind w:left="893"/>
              <w:spacing w:after="0"/>
              <w:rPr>
                <w:sz w:val="20"/>
                <w:szCs w:val="20"/>
                <w:color w:val="auto"/>
              </w:rPr>
            </w:pPr>
            <w:r>
              <w:rPr>
                <w:rFonts w:ascii="Times New Roman" w:cs="Times New Roman" w:eastAsia="Times New Roman" w:hAnsi="Times New Roman"/>
                <w:sz w:val="21"/>
                <w:szCs w:val="21"/>
                <w:color w:val="auto"/>
              </w:rPr>
              <w:t>676</w:t>
            </w:r>
          </w:p>
        </w:tc>
      </w:tr>
      <w:tr>
        <w:trPr>
          <w:trHeight w:val="281"/>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Expected return on plan assets</w:t>
            </w:r>
          </w:p>
        </w:tc>
        <w:tc>
          <w:tcPr>
            <w:tcW w:w="2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(1,738)</w:t>
            </w:r>
          </w:p>
        </w:tc>
        <w:tc>
          <w:tcPr>
            <w:tcW w:w="200" w:type="dxa"/>
            <w:vAlign w:val="bottom"/>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1"/>
                <w:szCs w:val="21"/>
                <w:color w:val="auto"/>
              </w:rPr>
              <w:t>(436)</w:t>
            </w:r>
          </w:p>
        </w:tc>
        <w:tc>
          <w:tcPr>
            <w:tcW w:w="3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(3,759)</w:t>
            </w: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center"/>
              <w:ind w:left="873"/>
              <w:spacing w:after="0"/>
              <w:rPr>
                <w:sz w:val="20"/>
                <w:szCs w:val="20"/>
                <w:color w:val="auto"/>
              </w:rPr>
            </w:pPr>
            <w:r>
              <w:rPr>
                <w:rFonts w:ascii="Times New Roman" w:cs="Times New Roman" w:eastAsia="Times New Roman" w:hAnsi="Times New Roman"/>
                <w:sz w:val="21"/>
                <w:szCs w:val="21"/>
                <w:color w:val="auto"/>
              </w:rPr>
              <w:t>(944)</w:t>
            </w:r>
          </w:p>
        </w:tc>
      </w:tr>
      <w:tr>
        <w:trPr>
          <w:trHeight w:val="247"/>
        </w:trPr>
        <w:tc>
          <w:tcPr>
            <w:tcW w:w="4300" w:type="dxa"/>
            <w:vAlign w:val="bottom"/>
          </w:tcPr>
          <w:p>
            <w:pPr>
              <w:spacing w:after="0"/>
              <w:rPr>
                <w:sz w:val="20"/>
                <w:szCs w:val="20"/>
                <w:color w:val="auto"/>
              </w:rPr>
            </w:pPr>
            <w:r>
              <w:rPr>
                <w:rFonts w:ascii="Times New Roman" w:cs="Times New Roman" w:eastAsia="Times New Roman" w:hAnsi="Times New Roman"/>
                <w:sz w:val="21"/>
                <w:szCs w:val="21"/>
                <w:color w:val="auto"/>
              </w:rPr>
              <w:t>Net periodic benefit (income) cost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(407)</w:t>
            </w:r>
          </w:p>
        </w:tc>
        <w:tc>
          <w:tcPr>
            <w:tcW w:w="200" w:type="dxa"/>
            <w:vAlign w:val="bottom"/>
          </w:tcPr>
          <w:p>
            <w:pPr>
              <w:spacing w:after="0"/>
              <w:rPr>
                <w:sz w:val="21"/>
                <w:szCs w:val="21"/>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321</w:t>
            </w:r>
          </w:p>
        </w:tc>
        <w:tc>
          <w:tcPr>
            <w:tcW w:w="300" w:type="dxa"/>
            <w:vAlign w:val="bottom"/>
          </w:tcPr>
          <w:p>
            <w:pPr>
              <w:spacing w:after="0"/>
              <w:rPr>
                <w:sz w:val="21"/>
                <w:szCs w:val="21"/>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21"/>
                <w:szCs w:val="21"/>
                <w:color w:val="auto"/>
                <w:w w:val="7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(882)</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center"/>
              <w:ind w:left="893"/>
              <w:spacing w:after="0"/>
              <w:rPr>
                <w:sz w:val="20"/>
                <w:szCs w:val="20"/>
                <w:color w:val="auto"/>
              </w:rPr>
            </w:pPr>
            <w:r>
              <w:rPr>
                <w:rFonts w:ascii="Times New Roman" w:cs="Times New Roman" w:eastAsia="Times New Roman" w:hAnsi="Times New Roman"/>
                <w:sz w:val="21"/>
                <w:szCs w:val="21"/>
                <w:color w:val="auto"/>
              </w:rPr>
              <w:t>695</w:t>
            </w: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21"/>
          <w:szCs w:val="21"/>
          <w:color w:val="auto"/>
        </w:rPr>
        <w:t>On April 1, 2020, the Company merged the pension plans acquired in the Peoples Gas Acquisition into the Company’s Pension Plan.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12 – </w:t>
      </w:r>
      <w:r>
        <w:rPr>
          <w:rFonts w:ascii="Times New Roman" w:cs="Times New Roman" w:eastAsia="Times New Roman" w:hAnsi="Times New Roman"/>
          <w:sz w:val="21"/>
          <w:szCs w:val="21"/>
          <w:b w:val="1"/>
          <w:bCs w:val="1"/>
          <w:i w:val="1"/>
          <w:iCs w:val="1"/>
          <w:color w:val="auto"/>
        </w:rPr>
        <w:t>Rate Activity</w:t>
      </w:r>
    </w:p>
    <w:p>
      <w:pPr>
        <w:spacing w:after="0" w:line="219"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1"/>
          <w:szCs w:val="21"/>
          <w:color w:val="auto"/>
        </w:rPr>
        <w:t>Subsequent to September 30, 2020, on October 26, 2020, the Company’s water and wastewater utility operating divisions in North Carolina received an order from the North Carolina Utilities Commission resulting in an increase of $3,426 in annual revenue, and new rates went into effect on October 26, 2020.</w:t>
      </w:r>
    </w:p>
    <w:p>
      <w:pPr>
        <w:spacing w:after="0" w:line="173"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1"/>
          <w:szCs w:val="21"/>
          <w:color w:val="auto"/>
        </w:rPr>
        <w:t>During the first nine months of 2020, the Company’s water and wastewater utility operating divisions in Indiana and Ohio were granted base rate increases designed to increase total operating revenues on an annual basis by $1,054. Further, during the first nine months of 2020, the Company’s water and wastewater utility operating divisions in Illinois, Ohio, North Carolina, Virginia, and Pennsylvania received approval to bill infrastructure rehabilitation surcharges designed to increase total operating revenues on an annual basis by $12,280.</w:t>
      </w:r>
    </w:p>
    <w:p>
      <w:pPr>
        <w:spacing w:after="0" w:line="17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1"/>
          <w:szCs w:val="21"/>
          <w:color w:val="auto"/>
        </w:rPr>
        <w:t>In August 2018, Aqua Pennsylvania filed for a base rate increase in water and wastewater rates for its customers. In May 2019 the Company received an order from the Pennsylvania Public Utility Commission resulting in an increase of $47,000 in annual revenue, and new rates went into effect on May 24, 2019. The rates in effect at the time of the filing also included $29,493 in Distribution System Improvement Charges (“DSIC”), which was 7.5% above prior base rates. Consequently, the aggregate base rates increased by $76,493 since the last base rate increase and the DSIC was reset to zero.</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13 – </w:t>
      </w:r>
      <w:r>
        <w:rPr>
          <w:rFonts w:ascii="Times New Roman" w:cs="Times New Roman" w:eastAsia="Times New Roman" w:hAnsi="Times New Roman"/>
          <w:sz w:val="21"/>
          <w:szCs w:val="21"/>
          <w:b w:val="1"/>
          <w:bCs w:val="1"/>
          <w:i w:val="1"/>
          <w:iCs w:val="1"/>
          <w:color w:val="auto"/>
        </w:rPr>
        <w:t>Taxes Other than Income Taxes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provides the components of taxes other than income taxes: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gridSpan w:val="4"/>
          </w:tcPr>
          <w:p>
            <w:pPr>
              <w:jc w:val="right"/>
              <w:ind w:right="573"/>
              <w:spacing w:after="0"/>
              <w:rPr>
                <w:sz w:val="20"/>
                <w:szCs w:val="20"/>
                <w:color w:val="auto"/>
              </w:rPr>
            </w:pPr>
            <w:r>
              <w:rPr>
                <w:rFonts w:ascii="Times New Roman" w:cs="Times New Roman" w:eastAsia="Times New Roman" w:hAnsi="Times New Roman"/>
                <w:sz w:val="21"/>
                <w:szCs w:val="21"/>
                <w:color w:val="auto"/>
              </w:rPr>
              <w:t>Three Months Ended</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4"/>
          </w:tcPr>
          <w:p>
            <w:pPr>
              <w:jc w:val="right"/>
              <w:ind w:right="733"/>
              <w:spacing w:after="0"/>
              <w:rPr>
                <w:sz w:val="20"/>
                <w:szCs w:val="20"/>
                <w:color w:val="auto"/>
              </w:rPr>
            </w:pPr>
            <w:r>
              <w:rPr>
                <w:rFonts w:ascii="Times New Roman" w:cs="Times New Roman" w:eastAsia="Times New Roman" w:hAnsi="Times New Roman"/>
                <w:sz w:val="21"/>
                <w:szCs w:val="21"/>
                <w:color w:val="auto"/>
              </w:rPr>
              <w:t>Nine Months Ended</w:t>
            </w:r>
          </w:p>
        </w:tc>
      </w:tr>
      <w:tr>
        <w:trPr>
          <w:trHeight w:val="255"/>
        </w:trPr>
        <w:tc>
          <w:tcPr>
            <w:tcW w:w="44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21"/>
                <w:szCs w:val="21"/>
                <w:color w:val="auto"/>
              </w:rPr>
              <w:t>September 30,</w:t>
            </w:r>
          </w:p>
        </w:tc>
        <w:tc>
          <w:tcPr>
            <w:tcW w:w="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1"/>
                <w:szCs w:val="21"/>
                <w:color w:val="auto"/>
              </w:rPr>
              <w:t>September 30,</w:t>
            </w:r>
          </w:p>
        </w:tc>
        <w:tc>
          <w:tcPr>
            <w:tcW w:w="1040" w:type="dxa"/>
            <w:vAlign w:val="bottom"/>
            <w:tcBorders>
              <w:bottom w:val="single" w:sz="8" w:color="auto"/>
            </w:tcBorders>
          </w:tcPr>
          <w:p>
            <w:pPr>
              <w:spacing w:after="0"/>
              <w:rPr>
                <w:sz w:val="22"/>
                <w:szCs w:val="22"/>
                <w:color w:val="auto"/>
              </w:rPr>
            </w:pPr>
          </w:p>
        </w:tc>
      </w:tr>
      <w:tr>
        <w:trPr>
          <w:trHeight w:val="221"/>
        </w:trPr>
        <w:tc>
          <w:tcPr>
            <w:tcW w:w="4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3"/>
              <w:spacing w:after="0" w:line="221" w:lineRule="exact"/>
              <w:rPr>
                <w:sz w:val="20"/>
                <w:szCs w:val="20"/>
                <w:color w:val="auto"/>
              </w:rPr>
            </w:pPr>
            <w:r>
              <w:rPr>
                <w:rFonts w:ascii="Times New Roman" w:cs="Times New Roman" w:eastAsia="Times New Roman" w:hAnsi="Times New Roman"/>
                <w:sz w:val="21"/>
                <w:szCs w:val="21"/>
                <w:color w:val="auto"/>
              </w:rPr>
              <w:t>2019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3"/>
              <w:spacing w:after="0" w:line="221" w:lineRule="exact"/>
              <w:rPr>
                <w:sz w:val="20"/>
                <w:szCs w:val="20"/>
                <w:color w:val="auto"/>
              </w:rPr>
            </w:pPr>
            <w:r>
              <w:rPr>
                <w:rFonts w:ascii="Times New Roman" w:cs="Times New Roman" w:eastAsia="Times New Roman" w:hAnsi="Times New Roman"/>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3"/>
              <w:spacing w:after="0" w:line="221" w:lineRule="exact"/>
              <w:rPr>
                <w:sz w:val="20"/>
                <w:szCs w:val="20"/>
                <w:color w:val="auto"/>
              </w:rPr>
            </w:pPr>
            <w:r>
              <w:rPr>
                <w:rFonts w:ascii="Times New Roman" w:cs="Times New Roman" w:eastAsia="Times New Roman" w:hAnsi="Times New Roman"/>
                <w:sz w:val="21"/>
                <w:szCs w:val="21"/>
                <w:color w:val="auto"/>
              </w:rPr>
              <w:t>2019</w:t>
            </w:r>
          </w:p>
        </w:tc>
      </w:tr>
      <w:tr>
        <w:trPr>
          <w:trHeight w:val="221"/>
        </w:trPr>
        <w:tc>
          <w:tcPr>
            <w:tcW w:w="444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Property</w:t>
            </w:r>
          </w:p>
        </w:tc>
        <w:tc>
          <w:tcPr>
            <w:tcW w:w="280" w:type="dxa"/>
            <w:vAlign w:val="bottom"/>
            <w:shd w:val="clear" w:color="auto" w:fill="CCEEFF"/>
          </w:tcPr>
          <w:p>
            <w:pPr>
              <w:jc w:val="right"/>
              <w:ind w:right="7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10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8,437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24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7,020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3"/>
              <w:spacing w:after="0" w:line="221" w:lineRule="exact"/>
              <w:rPr>
                <w:sz w:val="20"/>
                <w:szCs w:val="20"/>
                <w:color w:val="auto"/>
              </w:rPr>
            </w:pPr>
            <w:r>
              <w:rPr>
                <w:rFonts w:ascii="Times New Roman" w:cs="Times New Roman" w:eastAsia="Times New Roman" w:hAnsi="Times New Roman"/>
                <w:sz w:val="21"/>
                <w:szCs w:val="21"/>
                <w:color w:val="auto"/>
                <w:w w:val="94"/>
              </w:rPr>
              <w:t>$</w:t>
            </w:r>
          </w:p>
        </w:tc>
        <w:tc>
          <w:tcPr>
            <w:tcW w:w="126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23,746</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04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20,415</w:t>
            </w:r>
          </w:p>
        </w:tc>
      </w:tr>
      <w:tr>
        <w:trPr>
          <w:trHeight w:val="227"/>
        </w:trPr>
        <w:tc>
          <w:tcPr>
            <w:tcW w:w="4440" w:type="dxa"/>
            <w:vAlign w:val="bottom"/>
          </w:tcPr>
          <w:p>
            <w:pPr>
              <w:spacing w:after="0" w:line="227" w:lineRule="exact"/>
              <w:rPr>
                <w:sz w:val="20"/>
                <w:szCs w:val="20"/>
                <w:color w:val="auto"/>
              </w:rPr>
            </w:pPr>
            <w:r>
              <w:rPr>
                <w:rFonts w:ascii="Times New Roman" w:cs="Times New Roman" w:eastAsia="Times New Roman" w:hAnsi="Times New Roman"/>
                <w:sz w:val="21"/>
                <w:szCs w:val="21"/>
                <w:color w:val="auto"/>
              </w:rPr>
              <w:t>Gross receipts, excise and franchise</w:t>
            </w:r>
          </w:p>
        </w:tc>
        <w:tc>
          <w:tcPr>
            <w:tcW w:w="280" w:type="dxa"/>
            <w:vAlign w:val="bottom"/>
          </w:tcPr>
          <w:p>
            <w:pPr>
              <w:spacing w:after="0"/>
              <w:rPr>
                <w:sz w:val="19"/>
                <w:szCs w:val="19"/>
                <w:color w:val="auto"/>
              </w:rPr>
            </w:pPr>
          </w:p>
        </w:tc>
        <w:tc>
          <w:tcPr>
            <w:tcW w:w="110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4,023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3,423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10,724</w:t>
            </w:r>
          </w:p>
        </w:tc>
        <w:tc>
          <w:tcPr>
            <w:tcW w:w="560" w:type="dxa"/>
            <w:vAlign w:val="bottom"/>
          </w:tcPr>
          <w:p>
            <w:pPr>
              <w:spacing w:after="0"/>
              <w:rPr>
                <w:sz w:val="19"/>
                <w:szCs w:val="19"/>
                <w:color w:val="auto"/>
              </w:rPr>
            </w:pPr>
          </w:p>
        </w:tc>
        <w:tc>
          <w:tcPr>
            <w:tcW w:w="104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10,181</w:t>
            </w:r>
          </w:p>
        </w:tc>
      </w:tr>
      <w:tr>
        <w:trPr>
          <w:trHeight w:val="227"/>
        </w:trPr>
        <w:tc>
          <w:tcPr>
            <w:tcW w:w="444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Payroll</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4,788</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2,216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13,760</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7,988</w:t>
            </w:r>
          </w:p>
        </w:tc>
      </w:tr>
      <w:tr>
        <w:trPr>
          <w:trHeight w:val="227"/>
        </w:trPr>
        <w:tc>
          <w:tcPr>
            <w:tcW w:w="4440" w:type="dxa"/>
            <w:vAlign w:val="bottom"/>
          </w:tcPr>
          <w:p>
            <w:pPr>
              <w:spacing w:after="0" w:line="227" w:lineRule="exact"/>
              <w:rPr>
                <w:sz w:val="20"/>
                <w:szCs w:val="20"/>
                <w:color w:val="auto"/>
              </w:rPr>
            </w:pPr>
            <w:r>
              <w:rPr>
                <w:rFonts w:ascii="Times New Roman" w:cs="Times New Roman" w:eastAsia="Times New Roman" w:hAnsi="Times New Roman"/>
                <w:sz w:val="21"/>
                <w:szCs w:val="21"/>
                <w:color w:val="auto"/>
              </w:rPr>
              <w:t>Regulatory assessments</w:t>
            </w:r>
          </w:p>
        </w:tc>
        <w:tc>
          <w:tcPr>
            <w:tcW w:w="280" w:type="dxa"/>
            <w:vAlign w:val="bottom"/>
          </w:tcPr>
          <w:p>
            <w:pPr>
              <w:spacing w:after="0"/>
              <w:rPr>
                <w:sz w:val="19"/>
                <w:szCs w:val="19"/>
                <w:color w:val="auto"/>
              </w:rPr>
            </w:pPr>
          </w:p>
        </w:tc>
        <w:tc>
          <w:tcPr>
            <w:tcW w:w="110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867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718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2,266</w:t>
            </w:r>
          </w:p>
        </w:tc>
        <w:tc>
          <w:tcPr>
            <w:tcW w:w="560" w:type="dxa"/>
            <w:vAlign w:val="bottom"/>
          </w:tcPr>
          <w:p>
            <w:pPr>
              <w:spacing w:after="0"/>
              <w:rPr>
                <w:sz w:val="19"/>
                <w:szCs w:val="19"/>
                <w:color w:val="auto"/>
              </w:rPr>
            </w:pPr>
          </w:p>
        </w:tc>
        <w:tc>
          <w:tcPr>
            <w:tcW w:w="104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2,213</w:t>
            </w:r>
          </w:p>
        </w:tc>
      </w:tr>
      <w:tr>
        <w:trPr>
          <w:trHeight w:val="227"/>
        </w:trPr>
        <w:tc>
          <w:tcPr>
            <w:tcW w:w="444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Pumping fees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1,941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1,726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4,509</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3,967</w:t>
            </w:r>
          </w:p>
        </w:tc>
      </w:tr>
      <w:tr>
        <w:trPr>
          <w:trHeight w:val="227"/>
        </w:trPr>
        <w:tc>
          <w:tcPr>
            <w:tcW w:w="4440" w:type="dxa"/>
            <w:vAlign w:val="bottom"/>
          </w:tcPr>
          <w:p>
            <w:pPr>
              <w:spacing w:after="0" w:line="227" w:lineRule="exact"/>
              <w:rPr>
                <w:sz w:val="20"/>
                <w:szCs w:val="20"/>
                <w:color w:val="auto"/>
              </w:rPr>
            </w:pPr>
            <w:r>
              <w:rPr>
                <w:rFonts w:ascii="Times New Roman" w:cs="Times New Roman" w:eastAsia="Times New Roman" w:hAnsi="Times New Roman"/>
                <w:sz w:val="21"/>
                <w:szCs w:val="21"/>
                <w:color w:val="auto"/>
              </w:rPr>
              <w:t>Other</w:t>
            </w:r>
          </w:p>
        </w:tc>
        <w:tc>
          <w:tcPr>
            <w:tcW w:w="280" w:type="dxa"/>
            <w:vAlign w:val="bottom"/>
          </w:tcPr>
          <w:p>
            <w:pPr>
              <w:spacing w:after="0"/>
              <w:rPr>
                <w:sz w:val="19"/>
                <w:szCs w:val="19"/>
                <w:color w:val="auto"/>
              </w:rPr>
            </w:pPr>
          </w:p>
        </w:tc>
        <w:tc>
          <w:tcPr>
            <w:tcW w:w="110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499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98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1,419</w:t>
            </w:r>
          </w:p>
        </w:tc>
        <w:tc>
          <w:tcPr>
            <w:tcW w:w="560" w:type="dxa"/>
            <w:vAlign w:val="bottom"/>
          </w:tcPr>
          <w:p>
            <w:pPr>
              <w:spacing w:after="0"/>
              <w:rPr>
                <w:sz w:val="19"/>
                <w:szCs w:val="19"/>
                <w:color w:val="auto"/>
              </w:rPr>
            </w:pPr>
          </w:p>
        </w:tc>
        <w:tc>
          <w:tcPr>
            <w:tcW w:w="104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274</w:t>
            </w:r>
          </w:p>
        </w:tc>
      </w:tr>
      <w:tr>
        <w:trPr>
          <w:trHeight w:val="221"/>
        </w:trPr>
        <w:tc>
          <w:tcPr>
            <w:tcW w:w="4440" w:type="dxa"/>
            <w:vAlign w:val="bottom"/>
            <w:tcBorders>
              <w:top w:val="single" w:sz="8" w:color="CCEEFF"/>
              <w:bottom w:val="single" w:sz="8" w:color="CCEEFF"/>
            </w:tcBorders>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Total taxes other than income</w:t>
            </w:r>
          </w:p>
        </w:tc>
        <w:tc>
          <w:tcPr>
            <w:tcW w:w="280" w:type="dxa"/>
            <w:vAlign w:val="bottom"/>
            <w:tcBorders>
              <w:top w:val="single" w:sz="8" w:color="auto"/>
              <w:bottom w:val="single" w:sz="8" w:color="auto"/>
            </w:tcBorders>
            <w:shd w:val="clear" w:color="auto" w:fill="CCEEFF"/>
          </w:tcPr>
          <w:p>
            <w:pPr>
              <w:jc w:val="right"/>
              <w:ind w:right="7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100" w:type="dxa"/>
            <w:vAlign w:val="bottom"/>
            <w:tcBorders>
              <w:top w:val="single" w:sz="8" w:color="auto"/>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20,555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240" w:type="dxa"/>
            <w:vAlign w:val="bottom"/>
            <w:tcBorders>
              <w:top w:val="single" w:sz="8" w:color="auto"/>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15,201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13"/>
              <w:spacing w:after="0" w:line="221" w:lineRule="exact"/>
              <w:rPr>
                <w:sz w:val="20"/>
                <w:szCs w:val="20"/>
                <w:color w:val="auto"/>
              </w:rPr>
            </w:pPr>
            <w:r>
              <w:rPr>
                <w:rFonts w:ascii="Times New Roman" w:cs="Times New Roman" w:eastAsia="Times New Roman" w:hAnsi="Times New Roman"/>
                <w:sz w:val="21"/>
                <w:szCs w:val="21"/>
                <w:color w:val="auto"/>
                <w:w w:val="94"/>
              </w:rPr>
              <w:t>$</w:t>
            </w:r>
          </w:p>
        </w:tc>
        <w:tc>
          <w:tcPr>
            <w:tcW w:w="1260" w:type="dxa"/>
            <w:vAlign w:val="bottom"/>
            <w:tcBorders>
              <w:top w:val="single" w:sz="8" w:color="auto"/>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56,424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5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1040" w:type="dxa"/>
            <w:vAlign w:val="bottom"/>
            <w:tcBorders>
              <w:top w:val="single" w:sz="8" w:color="auto"/>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45,038</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14 – </w:t>
      </w:r>
      <w:r>
        <w:rPr>
          <w:rFonts w:ascii="Times New Roman" w:cs="Times New Roman" w:eastAsia="Times New Roman" w:hAnsi="Times New Roman"/>
          <w:sz w:val="21"/>
          <w:szCs w:val="21"/>
          <w:b w:val="1"/>
          <w:bCs w:val="1"/>
          <w:i w:val="1"/>
          <w:iCs w:val="1"/>
          <w:color w:val="auto"/>
        </w:rPr>
        <w:t>Segment Information</w:t>
      </w:r>
    </w:p>
    <w:p>
      <w:pPr>
        <w:spacing w:after="0" w:line="219"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21"/>
          <w:szCs w:val="21"/>
          <w:color w:val="auto"/>
        </w:rPr>
        <w:t>On March 16, 2020, the Company completed the Peoples Gas Acquisition, marking the Company’s entrance into the regulated natural gas business. The operating results of Peoples are included in the consolidated financial statements for the period since the acquisition date. As a result, the Company now has twelve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50"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21"/>
          <w:szCs w:val="21"/>
          <w:color w:val="auto"/>
        </w:rPr>
        <w:t>In addition to the Company’s two reportable segments, we include three of our operating segments within the Other category below. These segments are not quantitatively significant and are comprised of our non-regulated natural gas operations, Aqua Infrastructure, and Aqua Resources. Our non-regulated natural gas operations consist of utility service line protection solutions and repair services to households and the operation of gas marketing and production entities. Aqua Infrastructure provides non-utility raw water supply services for firms in the natural gas drilling industry. Aqua Resources manages a water system operating and maintenance contract and offers, through a third party, water and sewer service line protection solutions and repair services to households. In addition to these segments, Other is comprised of business activities not included in the reportable segments, including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1"/>
          <w:szCs w:val="21"/>
          <w:color w:val="auto"/>
        </w:rPr>
        <w:t>The following table presents information about the Company’s reportable segments, including the operating results and capital expenditures of the Regulated Natural Gas segment for the period since the completion of the Peoples Gas Acquisition on March 16, 2020: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4"/>
                <w:szCs w:val="14"/>
                <w:color w:val="auto"/>
              </w:rPr>
              <w:t>September 30, 2020</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September 30, 2019</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color w:val="auto"/>
              </w:rPr>
              <w:t>Regulated</w:t>
            </w:r>
          </w:p>
        </w:tc>
        <w:tc>
          <w:tcPr>
            <w:tcW w:w="100" w:type="dxa"/>
            <w:vAlign w:val="bottom"/>
          </w:tcPr>
          <w:p>
            <w:pPr>
              <w:spacing w:after="0"/>
              <w:rPr>
                <w:sz w:val="10"/>
                <w:szCs w:val="10"/>
                <w:color w:val="auto"/>
              </w:rPr>
            </w:pPr>
          </w:p>
        </w:tc>
        <w:tc>
          <w:tcPr>
            <w:tcW w:w="10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Regulated</w:t>
            </w:r>
          </w:p>
        </w:tc>
        <w:tc>
          <w:tcPr>
            <w:tcW w:w="200" w:type="dxa"/>
            <w:vAlign w:val="bottom"/>
          </w:tcPr>
          <w:p>
            <w:pPr>
              <w:spacing w:after="0"/>
              <w:rPr>
                <w:sz w:val="10"/>
                <w:szCs w:val="10"/>
                <w:color w:val="auto"/>
              </w:rPr>
            </w:pPr>
          </w:p>
        </w:tc>
        <w:tc>
          <w:tcPr>
            <w:tcW w:w="9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Regulated</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Water</w:t>
            </w: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Natural Gas</w:t>
            </w: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Water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5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Operating revenues</w:t>
            </w: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255,725</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88,880</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4,042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348,647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242,856</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9"/>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770</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243,626</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Operations and maintenance expense</w:t>
            </w:r>
          </w:p>
        </w:tc>
        <w:tc>
          <w:tcPr>
            <w:tcW w:w="120" w:type="dxa"/>
            <w:vAlign w:val="bottom"/>
          </w:tcPr>
          <w:p>
            <w:pPr>
              <w:spacing w:after="0"/>
              <w:rPr>
                <w:sz w:val="12"/>
                <w:szCs w:val="12"/>
                <w:color w:val="auto"/>
              </w:rPr>
            </w:pPr>
          </w:p>
        </w:tc>
        <w:tc>
          <w:tcPr>
            <w:tcW w:w="10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79,313</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59,560</w:t>
            </w:r>
          </w:p>
        </w:tc>
        <w:tc>
          <w:tcPr>
            <w:tcW w:w="2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136,174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81,078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944</w:t>
            </w:r>
          </w:p>
        </w:tc>
        <w:tc>
          <w:tcPr>
            <w:tcW w:w="6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82,022</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Purchased gas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14,841</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1,903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16,744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2"/>
                <w:szCs w:val="12"/>
                <w:color w:val="auto"/>
              </w:rPr>
            </w:pPr>
          </w:p>
        </w:tc>
        <w:tc>
          <w:tcPr>
            <w:tcW w:w="10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42,955</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25,793</w:t>
            </w: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1,193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69,941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39,781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152</w:t>
            </w:r>
          </w:p>
        </w:tc>
        <w:tc>
          <w:tcPr>
            <w:tcW w:w="6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39,933</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Operating income (loss)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117,551</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(15,459)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3,141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105,233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106,833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(363)</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106,470</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tcPr>
          <w:p>
            <w:pPr>
              <w:spacing w:after="0"/>
              <w:rPr>
                <w:sz w:val="12"/>
                <w:szCs w:val="12"/>
                <w:color w:val="auto"/>
              </w:rPr>
            </w:pPr>
          </w:p>
        </w:tc>
        <w:tc>
          <w:tcPr>
            <w:tcW w:w="10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27,063</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9,333</w:t>
            </w: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13,351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49,747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24,408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(1,445)</w:t>
            </w:r>
          </w:p>
        </w:tc>
        <w:tc>
          <w:tcPr>
            <w:tcW w:w="6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22,963</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3,082</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461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3,543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4,613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4,613</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Change in fair value of interest rate swap agreements</w:t>
            </w:r>
          </w:p>
        </w:tc>
        <w:tc>
          <w:tcPr>
            <w:tcW w:w="120" w:type="dxa"/>
            <w:vAlign w:val="bottom"/>
          </w:tcPr>
          <w:p>
            <w:pPr>
              <w:spacing w:after="0"/>
              <w:rPr>
                <w:sz w:val="12"/>
                <w:szCs w:val="12"/>
                <w:color w:val="auto"/>
              </w:rPr>
            </w:pPr>
          </w:p>
        </w:tc>
        <w:tc>
          <w:tcPr>
            <w:tcW w:w="10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Equity earnings (loss) in joint venture</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(3,626)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(3,626)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135</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Provision for income taxes (benefit)</w:t>
            </w:r>
          </w:p>
        </w:tc>
        <w:tc>
          <w:tcPr>
            <w:tcW w:w="120" w:type="dxa"/>
            <w:vAlign w:val="bottom"/>
          </w:tcPr>
          <w:p>
            <w:pPr>
              <w:spacing w:after="0"/>
              <w:rPr>
                <w:sz w:val="12"/>
                <w:szCs w:val="12"/>
                <w:color w:val="auto"/>
              </w:rPr>
            </w:pPr>
          </w:p>
        </w:tc>
        <w:tc>
          <w:tcPr>
            <w:tcW w:w="10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8,081</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(1,219)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(2,831)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4,031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(2,561)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1,008</w:t>
            </w:r>
          </w:p>
        </w:tc>
        <w:tc>
          <w:tcPr>
            <w:tcW w:w="6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(1,553)</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85,379</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(22,351)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(7,296)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55,732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88,888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(399)</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88,489</w:t>
            </w:r>
          </w:p>
        </w:tc>
        <w:tc>
          <w:tcPr>
            <w:tcW w:w="0" w:type="dxa"/>
            <w:vAlign w:val="bottom"/>
          </w:tcPr>
          <w:p>
            <w:pPr>
              <w:spacing w:after="0"/>
              <w:rPr>
                <w:sz w:val="1"/>
                <w:szCs w:val="1"/>
                <w:color w:val="auto"/>
              </w:rPr>
            </w:pPr>
          </w:p>
        </w:tc>
      </w:tr>
      <w:tr>
        <w:trPr>
          <w:trHeight w:val="272"/>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color w:val="auto"/>
              </w:rPr>
              <w:t>Nine Months Ended</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Nine Months Ended</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4"/>
                <w:szCs w:val="14"/>
                <w:color w:val="auto"/>
              </w:rPr>
              <w:t>September 30, 2020</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September 30, 2019</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color w:val="auto"/>
              </w:rPr>
              <w:t>Regulated</w:t>
            </w:r>
          </w:p>
        </w:tc>
        <w:tc>
          <w:tcPr>
            <w:tcW w:w="100" w:type="dxa"/>
            <w:vAlign w:val="bottom"/>
          </w:tcPr>
          <w:p>
            <w:pPr>
              <w:spacing w:after="0"/>
              <w:rPr>
                <w:sz w:val="10"/>
                <w:szCs w:val="10"/>
                <w:color w:val="auto"/>
              </w:rPr>
            </w:pPr>
          </w:p>
        </w:tc>
        <w:tc>
          <w:tcPr>
            <w:tcW w:w="10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Regulated</w:t>
            </w:r>
          </w:p>
        </w:tc>
        <w:tc>
          <w:tcPr>
            <w:tcW w:w="200" w:type="dxa"/>
            <w:vAlign w:val="bottom"/>
          </w:tcPr>
          <w:p>
            <w:pPr>
              <w:spacing w:after="0"/>
              <w:rPr>
                <w:sz w:val="10"/>
                <w:szCs w:val="10"/>
                <w:color w:val="auto"/>
              </w:rPr>
            </w:pPr>
          </w:p>
        </w:tc>
        <w:tc>
          <w:tcPr>
            <w:tcW w:w="9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Regulated</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Water</w:t>
            </w: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Natural Gas</w:t>
            </w: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Water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5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Operating revenues</w:t>
            </w: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706,008</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273,798</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8,894</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988,700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661,082</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9"/>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2,568</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663,650</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Operations and maintenance expense</w:t>
            </w:r>
          </w:p>
        </w:tc>
        <w:tc>
          <w:tcPr>
            <w:tcW w:w="120" w:type="dxa"/>
            <w:vAlign w:val="bottom"/>
          </w:tcPr>
          <w:p>
            <w:pPr>
              <w:spacing w:after="0"/>
              <w:rPr>
                <w:sz w:val="12"/>
                <w:szCs w:val="12"/>
                <w:color w:val="auto"/>
              </w:rPr>
            </w:pPr>
          </w:p>
        </w:tc>
        <w:tc>
          <w:tcPr>
            <w:tcW w:w="10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229,652</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120,192</w:t>
            </w: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21,571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371,415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229,498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18,283</w:t>
            </w:r>
          </w:p>
        </w:tc>
        <w:tc>
          <w:tcPr>
            <w:tcW w:w="6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247,781</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Purchased gas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68,807</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4,127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72,934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2"/>
                <w:szCs w:val="12"/>
                <w:color w:val="auto"/>
              </w:rPr>
            </w:pPr>
          </w:p>
        </w:tc>
        <w:tc>
          <w:tcPr>
            <w:tcW w:w="10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127,214</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56,026</w:t>
            </w: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2,838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186,078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115,454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519</w:t>
            </w:r>
          </w:p>
        </w:tc>
        <w:tc>
          <w:tcPr>
            <w:tcW w:w="6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115,973</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Operating income (loss)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303,850</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19,974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(21,975)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301,849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272,596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(17,738)</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254,858</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tcPr>
          <w:p>
            <w:pPr>
              <w:spacing w:after="0"/>
              <w:rPr>
                <w:sz w:val="12"/>
                <w:szCs w:val="12"/>
                <w:color w:val="auto"/>
              </w:rPr>
            </w:pPr>
          </w:p>
        </w:tc>
        <w:tc>
          <w:tcPr>
            <w:tcW w:w="10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78,500</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21,260</w:t>
            </w: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31,544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131,304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72,133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1,989</w:t>
            </w:r>
          </w:p>
        </w:tc>
        <w:tc>
          <w:tcPr>
            <w:tcW w:w="6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74,122</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7,905</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816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8,721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12,280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12,280</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Change in fair value of interest rate swap agreements</w:t>
            </w:r>
          </w:p>
        </w:tc>
        <w:tc>
          <w:tcPr>
            <w:tcW w:w="120" w:type="dxa"/>
            <w:vAlign w:val="bottom"/>
          </w:tcPr>
          <w:p>
            <w:pPr>
              <w:spacing w:after="0"/>
              <w:rPr>
                <w:sz w:val="12"/>
                <w:szCs w:val="12"/>
                <w:color w:val="auto"/>
              </w:rPr>
            </w:pPr>
          </w:p>
        </w:tc>
        <w:tc>
          <w:tcPr>
            <w:tcW w:w="10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23,742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23,742</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Equity earnings (loss) in joint venture</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(3,283)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(3,283)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1,918</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1,918</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Provision for income taxes (benefit)</w:t>
            </w:r>
          </w:p>
        </w:tc>
        <w:tc>
          <w:tcPr>
            <w:tcW w:w="120" w:type="dxa"/>
            <w:vAlign w:val="bottom"/>
          </w:tcPr>
          <w:p>
            <w:pPr>
              <w:spacing w:after="0"/>
              <w:rPr>
                <w:sz w:val="12"/>
                <w:szCs w:val="12"/>
                <w:color w:val="auto"/>
              </w:rPr>
            </w:pPr>
          </w:p>
        </w:tc>
        <w:tc>
          <w:tcPr>
            <w:tcW w:w="10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18,402</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(8,131)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(12,902)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(12,185)</w:t>
            </w:r>
          </w:p>
        </w:tc>
        <w:tc>
          <w:tcPr>
            <w:tcW w:w="6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(11,894)</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214,376</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9,177</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(41,411)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182,142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210,285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(49,969)</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160,316</w:t>
            </w:r>
          </w:p>
        </w:tc>
        <w:tc>
          <w:tcPr>
            <w:tcW w:w="0" w:type="dxa"/>
            <w:vAlign w:val="bottom"/>
          </w:tcPr>
          <w:p>
            <w:pPr>
              <w:spacing w:after="0"/>
              <w:rPr>
                <w:sz w:val="1"/>
                <w:szCs w:val="1"/>
                <w:color w:val="auto"/>
              </w:rPr>
            </w:pPr>
          </w:p>
        </w:tc>
      </w:tr>
      <w:tr>
        <w:trPr>
          <w:trHeight w:val="18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2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376,064</w:t>
            </w: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134,632</w:t>
            </w:r>
          </w:p>
        </w:tc>
        <w:tc>
          <w:tcPr>
            <w:tcW w:w="2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43,445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554,141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401,558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401,558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gridSpan w:val="2"/>
          </w:tcPr>
          <w:p>
            <w:pPr>
              <w:ind w:left="400"/>
              <w:spacing w:after="0"/>
              <w:rPr>
                <w:sz w:val="20"/>
                <w:szCs w:val="20"/>
                <w:color w:val="auto"/>
              </w:rPr>
            </w:pPr>
            <w:r>
              <w:rPr>
                <w:rFonts w:ascii="Times New Roman" w:cs="Times New Roman" w:eastAsia="Times New Roman" w:hAnsi="Times New Roman"/>
                <w:sz w:val="21"/>
                <w:szCs w:val="21"/>
                <w:color w:val="auto"/>
              </w:rPr>
              <w:t>September 30,</w:t>
            </w:r>
          </w:p>
        </w:tc>
        <w:tc>
          <w:tcPr>
            <w:tcW w:w="460" w:type="dxa"/>
            <w:vAlign w:val="bottom"/>
          </w:tcPr>
          <w:p>
            <w:pPr>
              <w:spacing w:after="0"/>
              <w:rPr>
                <w:sz w:val="24"/>
                <w:szCs w:val="24"/>
                <w:color w:val="auto"/>
              </w:rPr>
            </w:pPr>
          </w:p>
        </w:tc>
        <w:tc>
          <w:tcPr>
            <w:tcW w:w="2400" w:type="dxa"/>
            <w:vAlign w:val="bottom"/>
          </w:tcPr>
          <w:p>
            <w:pPr>
              <w:jc w:val="right"/>
              <w:ind w:right="713"/>
              <w:spacing w:after="0"/>
              <w:rPr>
                <w:sz w:val="20"/>
                <w:szCs w:val="20"/>
                <w:color w:val="auto"/>
              </w:rPr>
            </w:pPr>
            <w:r>
              <w:rPr>
                <w:rFonts w:ascii="Times New Roman" w:cs="Times New Roman" w:eastAsia="Times New Roman" w:hAnsi="Times New Roman"/>
                <w:sz w:val="21"/>
                <w:szCs w:val="21"/>
                <w:color w:val="auto"/>
              </w:rPr>
              <w:t>December 31,</w:t>
            </w:r>
          </w:p>
        </w:tc>
      </w:tr>
      <w:tr>
        <w:trPr>
          <w:trHeight w:val="284"/>
        </w:trPr>
        <w:tc>
          <w:tcPr>
            <w:tcW w:w="3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21"/>
                <w:szCs w:val="21"/>
                <w:color w:val="auto"/>
              </w:rPr>
              <w:t>2020</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21"/>
                <w:szCs w:val="21"/>
                <w:color w:val="auto"/>
              </w:rPr>
              <w:t>2019</w:t>
            </w:r>
          </w:p>
        </w:tc>
      </w:tr>
      <w:tr>
        <w:trPr>
          <w:trHeight w:val="328"/>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rPr>
              <w:t>Total assets:</w:t>
            </w: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48"/>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1"/>
                <w:szCs w:val="21"/>
                <w:color w:val="auto"/>
              </w:rPr>
              <w:t>Regulated water</w:t>
            </w:r>
          </w:p>
        </w:tc>
        <w:tc>
          <w:tcPr>
            <w:tcW w:w="2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21"/>
                <w:szCs w:val="21"/>
                <w:color w:val="auto"/>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7,698,216</w:t>
            </w:r>
          </w:p>
        </w:tc>
        <w:tc>
          <w:tcPr>
            <w:tcW w:w="3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21"/>
                <w:szCs w:val="21"/>
                <w:color w:val="auto"/>
                <w:w w:val="75"/>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7,269,404</w:t>
            </w:r>
          </w:p>
        </w:tc>
      </w:tr>
      <w:tr>
        <w:trPr>
          <w:trHeight w:val="348"/>
        </w:trPr>
        <w:tc>
          <w:tcPr>
            <w:tcW w:w="34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Regulated natural gas</w:t>
            </w: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5,269,844</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r>
      <w:tr>
        <w:trPr>
          <w:trHeight w:val="348"/>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1"/>
                <w:szCs w:val="21"/>
                <w:color w:val="auto"/>
              </w:rPr>
              <w:t>Other</w:t>
            </w:r>
          </w:p>
        </w:tc>
        <w:tc>
          <w:tcPr>
            <w:tcW w:w="15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431,428</w:t>
            </w:r>
          </w:p>
        </w:tc>
        <w:tc>
          <w:tcPr>
            <w:tcW w:w="34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2,092,581</w:t>
            </w:r>
          </w:p>
        </w:tc>
      </w:tr>
      <w:tr>
        <w:trPr>
          <w:trHeight w:val="314"/>
        </w:trPr>
        <w:tc>
          <w:tcPr>
            <w:tcW w:w="34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Consolidated</w:t>
            </w:r>
          </w:p>
        </w:tc>
        <w:tc>
          <w:tcPr>
            <w:tcW w:w="2020" w:type="dxa"/>
            <w:vAlign w:val="bottom"/>
            <w:gridSpan w:val="2"/>
          </w:tcPr>
          <w:p>
            <w:pPr>
              <w:jc w:val="right"/>
              <w:ind w:right="380"/>
              <w:spacing w:after="0"/>
              <w:rPr>
                <w:sz w:val="20"/>
                <w:szCs w:val="20"/>
                <w:color w:val="auto"/>
              </w:rPr>
            </w:pPr>
            <w:r>
              <w:rPr>
                <w:rFonts w:ascii="Times New Roman" w:cs="Times New Roman" w:eastAsia="Times New Roman" w:hAnsi="Times New Roman"/>
                <w:sz w:val="21"/>
                <w:szCs w:val="21"/>
                <w:color w:val="auto"/>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13,399,488</w:t>
            </w:r>
          </w:p>
        </w:tc>
        <w:tc>
          <w:tcPr>
            <w:tcW w:w="340" w:type="dxa"/>
            <w:vAlign w:val="bottom"/>
          </w:tcPr>
          <w:p>
            <w:pPr>
              <w:spacing w:after="0"/>
              <w:rPr>
                <w:sz w:val="24"/>
                <w:szCs w:val="24"/>
                <w:color w:val="auto"/>
              </w:rPr>
            </w:pP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21"/>
                <w:szCs w:val="21"/>
                <w:color w:val="auto"/>
                <w:w w:val="75"/>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9,361,985</w:t>
            </w:r>
          </w:p>
        </w:tc>
      </w:tr>
      <w:tr>
        <w:trPr>
          <w:trHeight w:val="20"/>
        </w:trPr>
        <w:tc>
          <w:tcPr>
            <w:tcW w:w="3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15 – </w:t>
      </w:r>
      <w:r>
        <w:rPr>
          <w:rFonts w:ascii="Times New Roman" w:cs="Times New Roman" w:eastAsia="Times New Roman" w:hAnsi="Times New Roman"/>
          <w:sz w:val="21"/>
          <w:szCs w:val="21"/>
          <w:b w:val="1"/>
          <w:bCs w:val="1"/>
          <w:i w:val="1"/>
          <w:iCs w:val="1"/>
          <w:color w:val="auto"/>
        </w:rPr>
        <w:t>Commitments and Contingencies</w:t>
      </w:r>
    </w:p>
    <w:p>
      <w:pPr>
        <w:spacing w:after="0" w:line="219"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1"/>
          <w:szCs w:val="21"/>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340"/>
          </w:cols>
          <w:pgMar w:left="320" w:top="111" w:right="239" w:bottom="1440" w:gutter="0" w:footer="0" w:header="0"/>
        </w:sectPr>
      </w:pPr>
    </w:p>
    <w:bookmarkStart w:id="37" w:name="page38"/>
    <w:bookmarkEnd w:id="37"/>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388"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21"/>
          <w:szCs w:val="21"/>
          <w:color w:val="auto"/>
        </w:rPr>
        <w:t>accordance with applicable accounting rules regarding the nature of the matter, the likelihood that a loss will be incurred, and the amounts involved. As of September 30, 2020, the aggregate amount of $16,917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the Company has insurance coverage for certain of these loss contingencies, and as of September 30, 2020, estimates that approximately $3,325 of the amount accrued for these matters are probable of recovery through insurance, which amount is also reported in the Company’s consolidated balance sheet as deferred charges and other assets, net.</w:t>
      </w:r>
    </w:p>
    <w:p>
      <w:pPr>
        <w:spacing w:after="0" w:line="18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21"/>
          <w:szCs w:val="21"/>
          <w:color w:val="auto"/>
        </w:rPr>
        <w:t>During a portion of 2019, the Company initiated a do not consume advisory for some of its water customers in one division served by the Company’s Illinois subsidiary. Although the Company had determined that it is reasonably possible that a fine or penalty may be incurred, it cannot estimate the possible range of loss at this time and no liability has been accrued for these future costs.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The Company plans to vigorously defend against this claim. A claim for the expenses incurred related to such claim was submitted to the Company’s insurance carrier for potential recovery of a portion of these costs, and on August 3, 2020, the Company received $2,874 in insurance proceeds.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8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1"/>
          <w:szCs w:val="21"/>
          <w:color w:val="auto"/>
        </w:rPr>
        <w:t>Although the results of legal proceedings cannot be predicted with certainty, other than disclosed above, there are no other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7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1"/>
          <w:szCs w:val="21"/>
          <w:color w:val="auto"/>
        </w:rPr>
        <w:t>In addition to the aforementioned loss contingencies, the Company self-insures its employee medical benefit program, and maintains stop-loss coverage to limit the exposure arising from these claims. The Company’s reserve for these claims totaled $1,535 at September 30, 2020 and represents a reserve for unpaid claim costs, including an estimate for the cost of incurred but not reported claims.</w:t>
      </w:r>
    </w:p>
    <w:p>
      <w:pPr>
        <w:spacing w:after="0" w:line="179"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21"/>
          <w:szCs w:val="21"/>
          <w:color w:val="auto"/>
        </w:rPr>
        <w:t>Associated with the approval of the Peoples Gas Acquisition from the Pennsylvania Public Utility Commission, the Company has committed to addressing the replacement of gathering pipe over a seven year timeframe for an estimated cost of $120,000, which will be recoverable through customer rates. Additionally, the Company has committed to provide $23,000 of customer rate credits before the end of 2020 to its natural gas utility customers and water and wastewater customers served by Aqua</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ind w:left="340" w:right="2420"/>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388"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1"/>
          <w:szCs w:val="21"/>
          <w:color w:val="auto"/>
        </w:rPr>
        <w:t>Pennsylvania, Inc. The Company granted $4,080 of customer rate credits to its water and wastewater customers served by Aqua Pennsylvania during the third quarter of 2020, and natural gas utility customers will be granted credits of $18,920 in the fourth quarter of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16 – </w:t>
      </w:r>
      <w:r>
        <w:rPr>
          <w:rFonts w:ascii="Times New Roman" w:cs="Times New Roman" w:eastAsia="Times New Roman" w:hAnsi="Times New Roman"/>
          <w:sz w:val="21"/>
          <w:szCs w:val="21"/>
          <w:b w:val="1"/>
          <w:bCs w:val="1"/>
          <w:i w:val="1"/>
          <w:iCs w:val="1"/>
          <w:color w:val="auto"/>
        </w:rPr>
        <w:t>Income Taxes</w:t>
      </w:r>
    </w:p>
    <w:p>
      <w:pPr>
        <w:spacing w:after="0" w:line="21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1"/>
          <w:szCs w:val="21"/>
          <w:color w:val="auto"/>
        </w:rPr>
        <w:t>On March 16, 2020, the Company completed the Peoples Gas Acquisition. On March 31, 2020, the Company changed the method of tax accounting for certain qualifying infrastructure investments at its Peoples Natural Gas subsidiary, its largest natural gas subsidiary in Pennsylvania. This change allows a tax deduction for qualifying utility asset improvement costs that were formerly capitalized for tax purposes. The Company is performing an analysis to determine the ultimate amount of qualifying utility asset improvement costs eligible to be deducted under the IRS’s final tangible property regulations that will be reflected on its 2020 Federal Tax Return to be filed in October 2021. As a result, the Company has estimated a portion of its infrastructure investment at Peoples Natural Gas since the acquisition date that will qualify as a utility system repairs deduction for 2020. Consistent with the Company’s accounting for differences between book and tax expenditures in Pennsylvania, the Company is utilizing the flow-through method to account for this timing difference and has increased income tax expense in the third quarter of 2020 by $6,466 due to the effect of the pre-tax loss recognized by the regulated natural gas segment, and reduced income tax expense by $4,710 for the nine months ended September 30, 2020. In addition, the calculation to determine the income tax benefits for qualifying capital expenditures made prior to March 16, 2020 (“catch-up adjustment”) has been finalized. During the third quarter of 2020, the Company completed its analysis and recorded a regulatory liability of $157,171 for these tax benefits which will remain on the consolidated balance sheet pending regulatory guidance.</w:t>
      </w:r>
    </w:p>
    <w:p>
      <w:pPr>
        <w:spacing w:after="0" w:line="18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1"/>
          <w:szCs w:val="21"/>
          <w:color w:val="auto"/>
        </w:rPr>
        <w:t>The Company’s effective tax rate was 6.7% and (1.8)% and (1.5)% and (8.0)% for the three and nine months ended September 30, 2020 and 2019, respectively. The increase in the effective tax rate for the third quarter can be attributed to a reduction in the income tax benefit recognized for qualifying infrastructure investments of Aqua Pennsylvania. The increase in the effective tax rate for the year-to-date period is due to an increase in our income before income taxes as compared to the prior period and the effect of the reduction in the income tax benefit recognized for qualifying infrastructure investments of Aqua Pennsylvania. The statutory Federal tax rate is 21% for three and nine months ended September 30, 2020 and 2019. For states with a corporate net income tax, the state corporate net income tax rates range from 2.5% to 9.99% for all periods presented. In determining its interim tax provision, the Company reflects its estimated permanent and flow-through tax differences for the taxable year, including the basis difference for the adoption of the tangible property regulations. Qualifying utility asset improvement costs and the amortization of excess deferred income taxes caused the year-to-date effective tax rate to be significantly different from the statutory rate.</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9" w:name="page40"/>
    <w:bookmarkEnd w:id="39"/>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ind w:left="340" w:right="2420"/>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1"/>
          <w:szCs w:val="21"/>
          <w:color w:val="auto"/>
        </w:rPr>
        <w:t>In connection with the completion of the Peoples Gas Acquisition, in the event the Company identifies changes to acquired deferred tax asset valuation allowances or liabilities related to uncertain tax positions during the one year measurement period, and they are related to new information obtained about facts and circumstances that existed as of the acquisition date, those changes are considered a measurement-period adjustment, and the offset will be an adjustment to goodwill. The Company records all other changes to deferred tax asset valuation allowances and liabilities related to uncertain tax positions in current-period income tax expense.</w:t>
      </w:r>
    </w:p>
    <w:p>
      <w:pPr>
        <w:spacing w:after="0" w:line="179"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1"/>
          <w:szCs w:val="21"/>
          <w:color w:val="auto"/>
        </w:rPr>
        <w:t>In response to the COVID-19 pandemic, President Donald Trump signed into law the Coronavirus Aid, Relief, and Economic Security (“CARES”) Act on March 27, 2020.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refundable employee retention credits. We evaluated the provisions of the CARES Act and do not anticipate that the associated impacts, if any, will have a material effect on our financial position or liquidity.</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0" w:name="page41"/>
    <w:bookmarkEnd w:id="40"/>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17 – </w:t>
      </w:r>
      <w:r>
        <w:rPr>
          <w:rFonts w:ascii="Times New Roman" w:cs="Times New Roman" w:eastAsia="Times New Roman" w:hAnsi="Times New Roman"/>
          <w:sz w:val="21"/>
          <w:szCs w:val="21"/>
          <w:b w:val="1"/>
          <w:bCs w:val="1"/>
          <w:i w:val="1"/>
          <w:iCs w:val="1"/>
          <w:color w:val="auto"/>
        </w:rPr>
        <w:t>Recent Accounting Pronouncements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Pronouncements to be adopted upon the effective date:</w:t>
      </w:r>
    </w:p>
    <w:p>
      <w:pPr>
        <w:spacing w:after="0" w:line="213" w:lineRule="exact"/>
        <w:rPr>
          <w:sz w:val="20"/>
          <w:szCs w:val="20"/>
          <w:color w:val="auto"/>
        </w:rPr>
      </w:pPr>
    </w:p>
    <w:p>
      <w:pPr>
        <w:ind w:right="300"/>
        <w:spacing w:after="0" w:line="232" w:lineRule="auto"/>
        <w:rPr>
          <w:sz w:val="20"/>
          <w:szCs w:val="20"/>
          <w:color w:val="auto"/>
        </w:rPr>
      </w:pPr>
      <w:r>
        <w:rPr>
          <w:rFonts w:ascii="Times New Roman" w:cs="Times New Roman" w:eastAsia="Times New Roman" w:hAnsi="Times New Roman"/>
          <w:sz w:val="21"/>
          <w:szCs w:val="21"/>
          <w:color w:val="auto"/>
        </w:rPr>
        <w:t>In August 2020, the FASB issued updated accounting guidance on accounting for convertible instruments and contracts in an entity’s own equity. The updated guidance reduces the number of accounting models for convertible debt and convertible preferred stock instruments and makes certain disclosure amendments intended to improve the information provided to users. Additionally, the guidance also amends the derivative guidance for the “own stock” scope exception, which exempts qualifying instruments from being accounted for as derivatives if certain criteria are met. Further, the standard changes the way certain convertible instruments are treated when calculating earnings per share. The updated accounting guidance is effective for fiscal years beginning after December 15, 2021 with early adoption permitted beginning in 2021. The Company is evaluating the requirements of the updated guidance to determine the impact of adoption.</w:t>
      </w:r>
    </w:p>
    <w:p>
      <w:pPr>
        <w:spacing w:after="0" w:line="17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1"/>
          <w:szCs w:val="21"/>
          <w:color w:val="auto"/>
        </w:rPr>
        <w:t>In March 2020, the FASB issued accounting guidance that provides companies with optional guidance, including expedients and exceptions for applying generally accepted accounting principles to contracts and other transactions affected by reference rate reform, such as the London Interbank Offered Rate (LIBOR). The accounting guidance was effective upon issuance and generally can be applied to applicable contract modifications through December 31, 2022. The Company is evaluating the impact of this accounting guidance.</w:t>
      </w:r>
    </w:p>
    <w:p>
      <w:pPr>
        <w:spacing w:after="0" w:line="177"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1"/>
          <w:szCs w:val="21"/>
          <w:color w:val="auto"/>
        </w:rPr>
        <w:t>In December 2019, the FASB issued updated accounting guidance that simplifies the accounting for income taxes. The updated guidance removes certain exceptions to the general principles of accounting for income taxes to reduce the cost and complexity of its application, including the accounting for intraperiod tax allocation when there is a loss from continuing operations and income or a gain from other items, deferred tax liabilities for equity method investments when a foreign subsidiary becomes an equity method investment or when a foreign equity method investment becomes a subsidiary, and calculating income taxes in an interim period when a year-to-date loss exceeds the anticipated loss for the year. Additionally, the updated guidance clarifies and amends the existing guidance over accounting for franchise taxes and other taxes partially based on income, an entity’s tax basis of goodwill, separate entity financial statements, interim recognition of enactment of tax laws or rate changes, and improvements to the Codification for income taxes related to employee stock ownership plans and investments in qualified affordable housing projects accounted for using the equity method. The updated accounting guidance is effective for fiscal years beginning after December 15, 2020 and interim periods within those fiscal years with early adoption permitted. The Company is evaluating the requirements of the updated guidance to determine the impact of adoption.</w:t>
      </w:r>
    </w:p>
    <w:p>
      <w:pPr>
        <w:spacing w:after="0" w:line="17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1"/>
          <w:szCs w:val="21"/>
          <w:color w:val="auto"/>
        </w:rPr>
        <w:t>In August 2018, the FASB issued updated accounting guidance that modifies the disclosures required for defined benefit pension and other postretirement benefit plans. The modifications in this update remove disclosures that are no longer considered cost beneficial, clarify the specific requirements of disclosures, and add disclosure requirements identified as relevant. The updated accounting guidance is effective for fiscal years ending after December 15, 2020, with early adoption available. The Company has evaluated the requirements of the updated guidance and has determined the impact of adoption to not be material to the Company’s financial statement disclosures for its defined benefit pension and other postretirement benefit plans.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Pronouncements adopted during the year:</w:t>
      </w:r>
    </w:p>
    <w:p>
      <w:pPr>
        <w:spacing w:after="0" w:line="213"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1"/>
          <w:szCs w:val="21"/>
          <w:color w:val="auto"/>
        </w:rPr>
        <w:t>In August 2018, the FASB issued updated accounting guidance on accounting for cloud computing arrangements. The updated guidance requires entities that are customers in cloud computing arrangements to defer implementation costs if they would be capitalized by the entity in software licensing arrangements under the internal-use software guidance. The guidance may be applied retrospectively or prospectively to implementation costs incurred after the date of adoption. The updated accounting guidance is effective for fiscal years beginning after December 15, 2019 and interim periods within those fiscal years. On January 1, 2020, we adopted the new guidance prospectively, which did not have a material impact on our consolidated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August 2018, the FASB issued updated accounting guidance that modifies the disclosure requirements on fair value measurements. The modifications in this update eliminates, amends, and adds disclosure requirements for fair value measurements, which is expected to reduce costs for preparers while providing more decision-useful information for financial statement users. The updated accounting guidance is effective for fiscal years ending after December 15, 2019, with early adoption available. On January 1, 2020, we adopted the new guidance, which did not have an impact on our consolidated financial statements.</w:t>
      </w:r>
    </w:p>
    <w:p>
      <w:pPr>
        <w:spacing w:after="0" w:line="384"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21"/>
          <w:szCs w:val="21"/>
          <w:color w:val="auto"/>
        </w:rPr>
        <w:t>In June 2016, the FASB issued updated accounting guidance on accounting for impairments of financial instruments, including trade receivables, which requires companies to estimate expected credit losses on trade receivables over their contractual life. Historically, companies reserve for expected credit losses by applying historical loss percentages to respective aging categories. Under the updated accounting guidance, companies will use a forward-looking methodology that incorporates lifetime expected credit losses, which will result in an allowance for expected credit losses for receivables that are either current or not yet due, which historically have not been reserved for. The updated accounting guidance is effective for fiscal years beginning after December 15, 2019 and interim periods within those fiscal years, with early adoption available. On January 1, 2020, we adopted the new guidance, which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jc w:val="center"/>
        <w:ind w:right="60"/>
        <w:spacing w:after="0" w:line="235" w:lineRule="auto"/>
        <w:rPr>
          <w:sz w:val="20"/>
          <w:szCs w:val="20"/>
          <w:color w:val="auto"/>
        </w:rPr>
      </w:pPr>
      <w:r>
        <w:rPr>
          <w:rFonts w:ascii="Times New Roman" w:cs="Times New Roman" w:eastAsia="Times New Roman" w:hAnsi="Times New Roman"/>
          <w:sz w:val="21"/>
          <w:szCs w:val="21"/>
          <w:color w:val="auto"/>
        </w:rPr>
        <w:t>FINANCIAL CONDITION AND RESULTS OF OPERATIONS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 – Management’s Discussion and Analysis of Financial Condition and Results of Operations</w:t>
      </w:r>
    </w:p>
    <w:p>
      <w:pPr>
        <w:spacing w:after="0" w:line="2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u w:val="single" w:color="auto"/>
          <w:color w:val="auto"/>
        </w:rPr>
        <w:t>Forward-looking Statements</w:t>
      </w:r>
    </w:p>
    <w:p>
      <w:pPr>
        <w:spacing w:after="0" w:line="209"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21"/>
          <w:szCs w:val="21"/>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the COVID-19 pandemic, the effects of regulation, abnormal weather, changes in capital requirements and funding, our ability to close acquisitions, changes to the capital markets, and our ability to assimilate acquired operations, as well as those risks, uncertainties and other factors discussed in our Annual Report on Form 10-K for the fiscal year ended December 31, 2019 under the captions “Risk Factors” and “Management’s Discussion and Analysis of Financial Condition and Results of Operations” and elsewhere in such report and those included under the captions “Risk Factors” in our Quarterly Reports for the quarters ended March 31, 2020, June 30, 2020, and this Quarterly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General Information</w:t>
      </w:r>
    </w:p>
    <w:p>
      <w:pPr>
        <w:spacing w:after="0" w:line="21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1"/>
          <w:szCs w:val="21"/>
          <w:color w:val="auto"/>
        </w:rPr>
        <w:t>Essential Utilities, Inc. (“we”, “us”, “our” or the “Company”), a Pennsylvania corporation, is the holding company for regulated utilities providing water, wastewater, or natural gas services to what we estimate to be almost five million people in Pennsylvania, Ohio, Texas, Illinois, North Carolina, New Jersey, Indiana, Virginia, West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other states. Additionally, pursuant to the Company’s growth strategy,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Lastly, the Company’s market-based activities are conducted through Aqua Infrastructure, LLC and Aqua Resources, Inc. and certain other non-regulated subsidiaries of Peoples. Aqua Infrastructure provides non-utility raw water supply services for firms in the natural gas drilling industry. Aqua Resources manages a water system operating and maintenance contract, and offers, through a third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jc w:val="center"/>
        <w:ind w:right="-99"/>
        <w:spacing w:after="0" w:line="235" w:lineRule="auto"/>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89" w:lineRule="exact"/>
        <w:rPr>
          <w:sz w:val="20"/>
          <w:szCs w:val="20"/>
          <w:color w:val="auto"/>
        </w:rPr>
      </w:pPr>
    </w:p>
    <w:p>
      <w:pPr>
        <w:ind w:right="520"/>
        <w:spacing w:after="0" w:line="244" w:lineRule="auto"/>
        <w:rPr>
          <w:sz w:val="20"/>
          <w:szCs w:val="20"/>
          <w:color w:val="auto"/>
        </w:rPr>
      </w:pPr>
      <w:r>
        <w:rPr>
          <w:rFonts w:ascii="Times New Roman" w:cs="Times New Roman" w:eastAsia="Times New Roman" w:hAnsi="Times New Roman"/>
          <w:sz w:val="21"/>
          <w:szCs w:val="21"/>
          <w:color w:val="auto"/>
        </w:rPr>
        <w:t>party, water and sewer service line protection solutions and repair services to households. The non-regulated subsidiaries of Peoples provide utility service line protection solutions and repair services to households and operates gas marketing and production entities.</w:t>
      </w:r>
    </w:p>
    <w:p>
      <w:pPr>
        <w:spacing w:after="0" w:line="17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1"/>
          <w:szCs w:val="21"/>
          <w:color w:val="auto"/>
        </w:rPr>
        <w:t>Essential Utilities, Inc., which prior to its name change in February 2020 was known as Aqua America, Inc., was formed in 1968 as a holding company for its primary subsidiary, Aqua Pennsylvania, formerly known as Philadelphia Suburban Water Company. In the early 1990s, we embarked on a growth-through-acquisition strategy focused on water and wastewater operations. Our most significant transactions to date have been the merger with Consumers Water Company in 1999, the acquisition of the regulated water and wastewater operations of AquaSource, Inc. in 2003, the acquisition of Heater Utilities, Inc. in 2004, the acquisition of American Water Works Company, Inc.’s regulated operations in Ohio in 2012, and the March 16, 2020 acquisition of Peoples, a Pittsburgh, Pennsylvania based natural gas distribution company. Since the early 1990s, our business strategy has been primarily directed toward the regulated water and wastewater utility industry, where we have more than quadrupled the number of regulated customers we serve, and have extended our regulated operations from southeastern Pennsylvania to include regulated water and wastewater operations in seven other states. On March 16, 2020, the Company completed the Peoples Gas Acquisition, a natural gas distribution utility, marking its entrance into the regulated natural gas business. The Company seeks to acquire businesses in the U.S. regulated sector, which includes water and wastewater utilities, natural gas utilities, and other regulated utilities, and to opportunistically pursue growth ventures in select market-based activities, such as infrastructure opportunities that are supplementary and complementary to our regulated businesses.</w:t>
      </w:r>
    </w:p>
    <w:p>
      <w:pPr>
        <w:spacing w:after="0" w:line="181"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21"/>
          <w:szCs w:val="21"/>
          <w:i w:val="1"/>
          <w:iCs w:val="1"/>
          <w:color w:val="auto"/>
        </w:rPr>
        <w:t>The following discussion and analysis of our financial condition and results of operations should be read together with our consolidated financial statements and related notes.</w:t>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u w:val="single" w:color="auto"/>
          <w:color w:val="auto"/>
        </w:rPr>
        <w:t>Recent Developments – COVID-19 Pandemic</w:t>
      </w:r>
    </w:p>
    <w:p>
      <w:pPr>
        <w:spacing w:after="0" w:line="213"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1"/>
          <w:szCs w:val="21"/>
          <w:color w:val="auto"/>
        </w:rPr>
        <w:t>The impact of the global outbreak of the current novel coronavirus (“COVID-19”) pandemic has created significant volatility in the global economy and led to reduced economic activity. We are monitoring the global outbreak of COVID-19 and taking steps to mitigate the potential risks to our employees and our customers posed by its spread, as described below.</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44" w:name="page45"/>
    <w:bookmarkEnd w:id="44"/>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jc w:val="center"/>
        <w:ind w:right="-39"/>
        <w:spacing w:after="0" w:line="235" w:lineRule="auto"/>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17"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1"/>
          <w:szCs w:val="21"/>
          <w:color w:val="auto"/>
        </w:rPr>
        <w:t>We provide a critical service to our customers, which means that it is paramount that we keep our employees who operate the business safe and informed. For example, we have taken precautions with regard to employee and facility hygiene, imposed travel restrictions on our employees and at time have directed our employees to work remotely wherever possible depending on the operating location and status of state and local regulations. We have implemented additional protocols for required work within customers’ premises to protect our employees, our customers and the public. Additionally, we have assessed and updated, where appropriate, our existing business continuity plan in the context of this pandemic, including our recent acquisition of Peoples. We also worked with our suppliers to understand the potential impacts to our supply chain. At this time, no material risks to our supply chain have been identified; however, if there were global shortages it could impact our maintenance and capital programs and the effects of any such impact cannot currently be anticipated. We continue to implement strong physical and cyber-security measures in an effort to ensure that our systems remain functional in order to both serve our operational needs with a remote workforce and maintain uninterrupted service to our customers. To maximize our financial flexibility in light of the uncertainty surrounding the impact of the COVID-19 pandemic, we entered into a credit agreement on April 3, 2020, which provided the Company with a short-term borrowing facility of $500,000 in unsecured term loans, which was drawn, and subsequent to the Company’s $1,100,000 issuance of long-term debt on April 13, 2020, in May and June of 2020 the Company repaid $300,000 and $200,000 of the term loan, respectively, and based on the Company’s ability to access financial markets, we terminated the facility.</w:t>
      </w:r>
    </w:p>
    <w:p>
      <w:pPr>
        <w:spacing w:after="0" w:line="18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1"/>
          <w:szCs w:val="21"/>
          <w:color w:val="auto"/>
        </w:rPr>
        <w:t>This continues to be a rapidly evolving situation, and we will continue to monitor developments affecting our business, workforce, and suppliers and take additional precautions as we believe are warranted. We are actively monitoring our utility billings and have noticed increases in residential customer usage offset by decreases in commercial and industrial usage. In response to concerns about customer economic hardship and affordability during the COVID-19 health crisis, our state regulators mandated the temporary curtailment of certain collection practices, such as disconnections from utility service. In addition, we are monitoring collections of customer utility accounts as to potential impacts on cash flows, and increased expenses for costs associated with workforce-related expenses, security and cleaning of company offices and operating facilities, as well as other one-time expenses above the expense amounts included in general rates. In some of the states where we operate, regulators have allowed utilities to resume disconnections from utility service for certain customers who have unpaid balances. Some public utility commission are issuing guidance for utilities to defer COVID-19 expenses in anticipation of seeking recovery in a future rate proceeding, and we are currently evaluating the impact of this guidance. We are continuing with our capital investment program, and based on the current situation, continue to believe we are able to complete the planned projects and improvements to our utility infrastructure. Despite our efforts, the ultimate impact to the Company of the COVID-19 pandemic also depends on factors beyond our knowledge or control, including the duration and severity of this pandemic as well as third party actions taken to contain its spread and mitigate its public health effects. Although we have experienced that some of our customers are facing economic hardships due to various impacts of the COVID-19 pandemic and may be unable to pay for our utility services, we do not currently anticipate a significant impact to our financial position, results of operations or cash flows as a result of the COVID-19 pandemic.</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5" w:name="page46"/>
    <w:bookmarkEnd w:id="45"/>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jc w:val="center"/>
        <w:spacing w:after="0" w:line="235" w:lineRule="auto"/>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Financial Condition</w:t>
      </w:r>
    </w:p>
    <w:p>
      <w:pPr>
        <w:spacing w:after="0" w:line="213"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1"/>
          <w:szCs w:val="21"/>
          <w:color w:val="auto"/>
        </w:rPr>
        <w:t>With the exception of periods in 2019 when the proceeds from the April 2019 financings were held as cash pending completion of the Peoples Gas Acquisition, the Company’s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long-term debt and equity will be adequate to provide sufficient working capital to maintain normal operations and to meet our financing requirements for at least the next twelve months.</w:t>
      </w:r>
    </w:p>
    <w:p>
      <w:pPr>
        <w:spacing w:after="0" w:line="384"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1"/>
          <w:szCs w:val="21"/>
          <w:color w:val="auto"/>
        </w:rPr>
        <w:t>During the first nine months of 2020, we incurred $554,141 of capital expenditures, expended $28,476 for the acquisition of water and wastewater utility systems, issued $729,301 of common stock in a private placement, $2,957,663 of long-term debt, and repaid debt and made sinking fund contributions and other loan repayments of $1,647,354. The capital expenditures were related to new and replacement water, wastewater, and natural gas mains, improvements to treatment plants, tanks, hydrants, and service lines, construction of natural gas fueled energy plants, well and booster improvements, information technology improvements, and other enhancements and improvements. The issuance of common stock and long-term debt was comprised principally of the issuance of $1,100,000 of long-term debt on April 13, 2020, the permanent financing to complete our acquisition of Peoples, and funds borrowed under our revolving credit facility. The repayment of debt and sinking fund contributions and other loan repayments was comprised principally of the repayment of funds borrowed under our revolving credit facility.</w:t>
      </w:r>
    </w:p>
    <w:p>
      <w:pPr>
        <w:spacing w:after="0" w:line="182"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21"/>
          <w:szCs w:val="21"/>
          <w:color w:val="auto"/>
        </w:rPr>
        <w:t>On March 16, 2020, the Company completed the Peoples Gas Acquisition. Prior to closing, in 2019 Peoples entered into agreements to build three onsite natural gas fueled energy plants on customer-owned property in the western Pennsylvania area. During 2020, construction began on the three plants and is expected to be competed in 2021. Through September 30, 2020, Peoples has invested $50,106 to construct these plants which are included in property, plant and equipment and the construction cost is estimated to approximate $71,000. Peoples has committed to design, construct, and operate each of the plants using third-party partners. For two of the projects, Peoples will receive a fixed-fee pursuant to a 20-year agreement, with both the cost of the natural gas commodity used to fuel the plants and the operating costs of the plants being passed through to the customer. For the third plant, Peoples will receive a variable fee based on the kilowatt-hours generated by the energy plant at agreed-upon prices with the customer, with any excess kilowatts of generation sold to the local regional transmission organization over the 20-year term of the agreement.</w:t>
      </w:r>
    </w:p>
    <w:p>
      <w:pPr>
        <w:spacing w:after="0" w:line="177"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21"/>
          <w:szCs w:val="21"/>
          <w:color w:val="auto"/>
        </w:rPr>
        <w:t>In August 2020, we entered into a forward equity sale agreement for 6,700,000 shares of common stock with affiliates of a certain underwriter (“forward purchaser”). In connection with the forward equity sale agreement, the forward purchaser borrowed an equal number of shares of our common stock from stock lenders and sold the borrowed shares to the public. We will not receive any proceeds from the sale of our common stock by the forward purchaser until settlement of all or a portion of the forward equity sale agreement. The actual proceeds to be received by us will vary depending upon the settlement date, the number of shares designated for settlement on that settlement date and the method of settlement. We intend to use any proceeds received by us upon settlement of the forward equity sale agreement for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jc w:val="center"/>
        <w:ind w:right="-19"/>
        <w:spacing w:after="0" w:line="235" w:lineRule="auto"/>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general corporate purposes, including for water and wastewater utility acquisitions, working capital and capital expenditures.</w:t>
      </w:r>
    </w:p>
    <w:p>
      <w:pPr>
        <w:spacing w:after="0" w:line="213"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21"/>
          <w:szCs w:val="21"/>
          <w:color w:val="auto"/>
        </w:rPr>
        <w:t xml:space="preserve">On March 16, 2020 (the “Closing Date”), the Company completed the Peoples Gas Acquisition and paid cash consideration of $3,465,344, which is subject to adjustment based upon the terms of the purchase agreement. Purchase price adjustments include the completion of a closing balance sheet, which was provided to the seller, and the finalization of an adjustment for utility capital expenditures made by the seller during the period between November 1, 2018 and the Closing Date. There is a dispute between the parties regarding this adjustment for utility capital expenditures. It is expected the matter will be resolved in accordance with the provisions of the purchase agreement or by the competent court of law with jurisdiction over the matter. Peoples is headquartered in Pittsburgh, Pennsylvania and serves approximately 747,000 natural gas utility customers in western Pennsylvania, West Virginia, and Kentucky. The estimated purchase price paid by the Company was determined based on a base price of $4,275,000, which was adjusted by $43,935 for an estimated change in working capital, certain capital expenditures of $247,500, and the assumption of $1,101,091 of indebtedness as of the Closing Date, consisting of $920,091 of senior notes and $181,000 of short-term debt. The acquisition was financed through a series of financing transactions that included the issuance of common stock from a public offering and a private placement, a tangible equity unit offering, and short and long-term debt. Refer to Note 6 – </w:t>
      </w:r>
      <w:r>
        <w:rPr>
          <w:rFonts w:ascii="Times New Roman" w:cs="Times New Roman" w:eastAsia="Times New Roman" w:hAnsi="Times New Roman"/>
          <w:sz w:val="21"/>
          <w:szCs w:val="21"/>
          <w:i w:val="1"/>
          <w:iCs w:val="1"/>
          <w:color w:val="auto"/>
        </w:rPr>
        <w:t>Capitalization</w:t>
      </w:r>
      <w:r>
        <w:rPr>
          <w:rFonts w:ascii="Times New Roman" w:cs="Times New Roman" w:eastAsia="Times New Roman" w:hAnsi="Times New Roman"/>
          <w:sz w:val="21"/>
          <w:szCs w:val="21"/>
          <w:color w:val="auto"/>
        </w:rPr>
        <w:t xml:space="preserve"> to the consolidated financial statements for further information on these financings.</w:t>
      </w:r>
    </w:p>
    <w:p>
      <w:pPr>
        <w:spacing w:after="0" w:line="188"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1"/>
          <w:szCs w:val="21"/>
          <w:color w:val="auto"/>
        </w:rPr>
        <w:t>On October 22, 2018, the Company obtained a commitment (the “Bridge Commitment”) from certain banks to provide senior unsecured bridge loans in an aggregate amount of up to $5,100,000 to, among other things, backstop the Peoples Gas Acquisition purchase price and refinancing of certain debt of the Company and Peoples. On March 16, 2020, as a result of our completion of the Peoples Gas Acquisition, the Company terminated the Bridge Commitment.</w:t>
      </w:r>
    </w:p>
    <w:p>
      <w:pPr>
        <w:spacing w:after="0" w:line="179"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1"/>
          <w:szCs w:val="21"/>
          <w:color w:val="auto"/>
        </w:rPr>
        <w:t>Associated with the approval of the Peoples Gas Acquisition from the Pennsylvania Public Utility Commission, the Company has committed to addressing the replacement of gathering pipe over a seven year timeframe for an estimated cost of $120,000, which will be recoverable through customer rates. Additionally, the Company has committed to provide $23,000 of customer rate credits before the end of 2020 to its natural gas utility customers and water and wastewater customers served by Aqua Pennsylvania. The Company granted $4,080 of customer rate credits to its water and wastewater customers during the third quarter of 2020, and natural gas utility customers will be granted credits of $18,920 in the fourth quarter of 2020.</w:t>
      </w:r>
    </w:p>
    <w:p>
      <w:pPr>
        <w:spacing w:after="0" w:line="17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1"/>
          <w:szCs w:val="21"/>
          <w:color w:val="auto"/>
        </w:rPr>
        <w:t>On May 18, 2019, the Company redeemed $313,500 of the Company’s outstanding notes that had maturities ranging from 2019-2037 and interest rates ranging from 3.57-5.83%. Additionally, the redemption of senior unsecured notes was subject to a make whole payment of $25,237, and $18,528 of this payment was expensed and was presented in the consolidated statements of operations and comprehensive income on the line item “loss on debt extinguishment.” The balance of the payment, or $6,709, was deferred, as a regulatory asset, as it represents an amount by which the Company expects to receive prospective rate recovery. Further, in the third quarter of 2020, the Company recorded a regulatory asset for $3,888, as it represents an amount on which the Company expects to receive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7" w:name="page48"/>
    <w:bookmarkEnd w:id="47"/>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jc w:val="center"/>
        <w:spacing w:after="0" w:line="235" w:lineRule="auto"/>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89" w:lineRule="exact"/>
        <w:rPr>
          <w:sz w:val="20"/>
          <w:szCs w:val="20"/>
          <w:color w:val="auto"/>
        </w:rPr>
      </w:pPr>
    </w:p>
    <w:p>
      <w:pPr>
        <w:ind w:right="1000"/>
        <w:spacing w:after="0" w:line="262" w:lineRule="auto"/>
        <w:rPr>
          <w:sz w:val="20"/>
          <w:szCs w:val="20"/>
          <w:color w:val="auto"/>
        </w:rPr>
      </w:pPr>
      <w:r>
        <w:rPr>
          <w:rFonts w:ascii="Times New Roman" w:cs="Times New Roman" w:eastAsia="Times New Roman" w:hAnsi="Times New Roman"/>
          <w:sz w:val="21"/>
          <w:szCs w:val="21"/>
          <w:color w:val="auto"/>
        </w:rPr>
        <w:t>prospective rate recovery. The recognition of this regulatory asset in the third quarter of 2020 has been presented in the consolidated statements of operations and comprehensive income within the line item “Other.”</w:t>
      </w:r>
    </w:p>
    <w:p>
      <w:pPr>
        <w:spacing w:after="0" w:line="15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1"/>
          <w:szCs w:val="21"/>
          <w:color w:val="auto"/>
        </w:rPr>
        <w:t xml:space="preserve">On October 23, 2018, the Company entered into interest rate swap agreements to mitigate interest rate risk associated with an anticipated $850,000 of future debt issuances to fund a portion of the Peoples Gas Acquisition. The interest rate swaps were settled on April 24, 2019 in conjunction with the issuance of $900,000 of long-term debt used to finance a portion of the purchase price of this acquisition and redeem $313,500 of the Company’s existing debt. Refer to Note 7 – </w:t>
      </w:r>
      <w:r>
        <w:rPr>
          <w:rFonts w:ascii="Times New Roman" w:cs="Times New Roman" w:eastAsia="Times New Roman" w:hAnsi="Times New Roman"/>
          <w:sz w:val="21"/>
          <w:szCs w:val="21"/>
          <w:i w:val="1"/>
          <w:iCs w:val="1"/>
          <w:color w:val="auto"/>
        </w:rPr>
        <w:t>Interest Rate Swap Agreements</w:t>
      </w:r>
      <w:r>
        <w:rPr>
          <w:rFonts w:ascii="Times New Roman" w:cs="Times New Roman" w:eastAsia="Times New Roman" w:hAnsi="Times New Roman"/>
          <w:sz w:val="21"/>
          <w:szCs w:val="21"/>
          <w:color w:val="auto"/>
        </w:rPr>
        <w:t xml:space="preserve"> to the consolidated financial statements in this report for further information. The interest rate swaps did not qualify for hedge accounting and any changes in the fair value of the swaps was included in our earnings.</w:t>
      </w:r>
    </w:p>
    <w:p>
      <w:pPr>
        <w:spacing w:after="0" w:line="17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1"/>
          <w:szCs w:val="21"/>
          <w:color w:val="auto"/>
        </w:rPr>
        <w:t>At September 30, 2020, we had $8,494 of cash and cash equivalents compared to $1,868,922 at December 31, 2019. The cash and cash equivalents balance at December 31, 2019 included a portion of the proceeds from the April 2019 financings that were held in an interest-bearing account prior to closing of the Peoples Gas Acquisition on March 16, 2020. During the first nine months of 2020, we used the proceeds on deposit from the April 2019 financings as well as the proceeds from the issuance of common stock, long-term debt, and internally generated funds to fund the cash requirements discussed above and to pay dividends.</w:t>
      </w:r>
    </w:p>
    <w:p>
      <w:pPr>
        <w:spacing w:after="0" w:line="177" w:lineRule="exact"/>
        <w:rPr>
          <w:sz w:val="20"/>
          <w:szCs w:val="20"/>
          <w:color w:val="auto"/>
        </w:rPr>
      </w:pPr>
    </w:p>
    <w:p>
      <w:pPr>
        <w:ind w:right="340"/>
        <w:spacing w:after="0" w:line="231" w:lineRule="auto"/>
        <w:rPr>
          <w:sz w:val="20"/>
          <w:szCs w:val="20"/>
          <w:color w:val="auto"/>
        </w:rPr>
      </w:pPr>
      <w:r>
        <w:rPr>
          <w:rFonts w:ascii="Times New Roman" w:cs="Times New Roman" w:eastAsia="Times New Roman" w:hAnsi="Times New Roman"/>
          <w:sz w:val="21"/>
          <w:szCs w:val="21"/>
          <w:color w:val="auto"/>
        </w:rPr>
        <w:t>At September 30, 2020, our $1,000,000 unsecured revolving credit facility, which expires in December 2023, had $837,599 available for borrowing. Additionally, at September 30, 2020, we had short-term lines of credit of $135,500, of which $88,315 was available for borrowing. One of our short-term lines of credit is an Aqua Pennsylvania $100,000 364-day unsecured revolving credit facility with four banks, which is used to provide working capital, and as of September 30, 2020, $52,815 was available for borrowing. Our short-term lines of credit of $135,500 are subject to renewal on an annual basis. Although we believe we will be able to renew these facilities, there is no assurance that they will be renewed, or what the terms of any such renewal will be. Additionally, on March 13, 2020, the Company entered into a 364 day $150,000 credit agreement pursuant to which the Company borrowed $150,000, which was used to fund a portion of the Peoples Gas Acquisition, in lieu of additional borrowings under our revolving credit facility, and was subsequently paid off in April 2020.</w:t>
      </w:r>
    </w:p>
    <w:p>
      <w:pPr>
        <w:spacing w:after="0" w:line="18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1"/>
          <w:szCs w:val="21"/>
          <w:color w:val="auto"/>
        </w:rPr>
        <w:t>On April 3, 2020, the Company entered into a credit agreement that provided the Company with a short-term borrowing facility of $500,000 in unsecured term loans, which was drawn and matures on April 2, 2021. The Company used the proceeds from the term loans for general corporate purposes and to strengthen its liquidity and cash position, and maximize its financial flexibility in light of the uncertainty surrounding the impact of the COVID-19 pandemic. In May and June 2020, the Company repaid $300,000 and $200,000 of the term loan, respectively, and based on the Company’s ability to access financial markets, we terminated the facility.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jc w:val="center"/>
        <w:ind w:right="-99"/>
        <w:spacing w:after="0" w:line="235" w:lineRule="auto"/>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1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1"/>
          <w:szCs w:val="21"/>
          <w:color w:val="auto"/>
        </w:rPr>
        <w:t>On April 13, 2020, the Company issued $1,100,000 of long-term debt, of which $500,000 is due in 2030, and $600,000 is due in 2050 with interest rates of 2.704% and 3.351%, respectively. The Company used the proceeds from this issuance to repay in full the borrowings of $181,000 of short-term debt assumed in the Peoples Gas Acquisition, $150,000 of short-term debt issued by the Company on March 13, 2020, and to repay a portion of the borrowings under our existing five year unsecured revolving credit agreement.</w:t>
      </w:r>
    </w:p>
    <w:p>
      <w:pPr>
        <w:spacing w:after="0" w:line="17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On May 1, 2020, Aqua Pennsylvania issued $175,000 of first mortgage bonds, of which $75,000 is due in 2051, $50,000 is due in 2055, and $50,000 is due in 2056 with interest rates of 3.49%, 3.54%, and 3.55%, respectively. The proceeds from these bonds were used to repay existing indebtedness and for general corporate purposes.</w:t>
      </w:r>
    </w:p>
    <w:p>
      <w:pPr>
        <w:spacing w:after="0" w:line="17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u w:val="single" w:color="auto"/>
          <w:color w:val="auto"/>
        </w:rPr>
        <w:t>Consolidated Results of Operations</w:t>
      </w:r>
    </w:p>
    <w:p>
      <w:pPr>
        <w:spacing w:after="0" w:line="2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u w:val="single" w:color="auto"/>
          <w:color w:val="auto"/>
        </w:rPr>
        <w:t>Analysis of Third Quarter of 2020 Compared to Third Quarter of 2019</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Revenues increased by $105,021 or 43.1%, primarily due to:</w:t>
      </w: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natural gas revenues of $92,119 associated with the Peoples Gas Acquisition;</w:t>
      </w:r>
    </w:p>
    <w:p>
      <w:pPr>
        <w:spacing w:after="0" w:line="10" w:lineRule="exact"/>
        <w:rPr>
          <w:sz w:val="20"/>
          <w:szCs w:val="20"/>
          <w:color w:val="auto"/>
        </w:rPr>
      </w:pPr>
    </w:p>
    <w:p>
      <w:pPr>
        <w:ind w:left="700" w:right="240"/>
        <w:spacing w:after="0" w:line="225" w:lineRule="auto"/>
        <w:rPr>
          <w:sz w:val="20"/>
          <w:szCs w:val="20"/>
          <w:color w:val="auto"/>
        </w:rPr>
      </w:pPr>
      <w:r>
        <w:rPr>
          <w:rFonts w:ascii="Times New Roman" w:cs="Times New Roman" w:eastAsia="Times New Roman" w:hAnsi="Times New Roman"/>
          <w:sz w:val="21"/>
          <w:szCs w:val="21"/>
          <w:color w:val="auto"/>
        </w:rPr>
        <w:t>an increase in customer water consumption associated with increased residential usage, which is offset by a decrease in customer water consumption for commercial customers;</w:t>
      </w:r>
    </w:p>
    <w:p>
      <w:pPr>
        <w:spacing w:after="0" w:line="2" w:lineRule="exact"/>
        <w:rPr>
          <w:sz w:val="20"/>
          <w:szCs w:val="20"/>
          <w:color w:val="auto"/>
        </w:rPr>
      </w:pPr>
    </w:p>
    <w:p>
      <w:pPr>
        <w:ind w:left="700" w:right="60"/>
        <w:spacing w:after="0" w:line="225" w:lineRule="auto"/>
        <w:rPr>
          <w:sz w:val="20"/>
          <w:szCs w:val="20"/>
          <w:color w:val="auto"/>
        </w:rPr>
      </w:pPr>
      <w:r>
        <w:rPr>
          <w:rFonts w:ascii="Times New Roman" w:cs="Times New Roman" w:eastAsia="Times New Roman" w:hAnsi="Times New Roman"/>
          <w:sz w:val="21"/>
          <w:szCs w:val="21"/>
          <w:color w:val="auto"/>
        </w:rPr>
        <w:t>additional water and wastewater revenues of $3,906 associated with a larger customer base due to utility acquisitions and organic growth; and</w:t>
      </w:r>
    </w:p>
    <w:p>
      <w:pPr>
        <w:ind w:left="700"/>
        <w:spacing w:after="0" w:line="227" w:lineRule="auto"/>
        <w:rPr>
          <w:sz w:val="20"/>
          <w:szCs w:val="20"/>
          <w:color w:val="auto"/>
        </w:rPr>
      </w:pPr>
      <w:r>
        <w:rPr>
          <w:rFonts w:ascii="Times New Roman" w:cs="Times New Roman" w:eastAsia="Times New Roman" w:hAnsi="Times New Roman"/>
          <w:sz w:val="21"/>
          <w:szCs w:val="21"/>
          <w:color w:val="auto"/>
        </w:rPr>
        <w:t>an increase in water and wastewater rates, net of infrastructure rehabilitation surcharges, of $2,889; offset by</w:t>
      </w:r>
    </w:p>
    <w:p>
      <w:pPr>
        <w:ind w:left="700"/>
        <w:spacing w:after="0" w:line="226" w:lineRule="auto"/>
        <w:rPr>
          <w:sz w:val="20"/>
          <w:szCs w:val="20"/>
          <w:color w:val="auto"/>
        </w:rPr>
      </w:pPr>
      <w:r>
        <w:rPr>
          <w:rFonts w:ascii="Times New Roman" w:cs="Times New Roman" w:eastAsia="Times New Roman" w:hAnsi="Times New Roman"/>
          <w:sz w:val="21"/>
          <w:szCs w:val="21"/>
          <w:color w:val="auto"/>
        </w:rPr>
        <w:t>customer rate credits of $4,080 granted to our water and wastewater customers served by Aqua Pennsylvania; and</w:t>
      </w:r>
    </w:p>
    <w:p>
      <w:pPr>
        <w:ind w:left="700"/>
        <w:spacing w:after="0" w:line="226" w:lineRule="auto"/>
        <w:rPr>
          <w:sz w:val="20"/>
          <w:szCs w:val="20"/>
          <w:color w:val="auto"/>
        </w:rPr>
      </w:pPr>
      <w:r>
        <w:rPr>
          <w:rFonts w:ascii="Times New Roman" w:cs="Times New Roman" w:eastAsia="Times New Roman" w:hAnsi="Times New Roman"/>
          <w:sz w:val="21"/>
          <w:szCs w:val="21"/>
          <w:color w:val="auto"/>
        </w:rPr>
        <w:t>a decrease in water revenues of $293 as a result of an advisory for some of our water utility customers served by our</w:t>
      </w:r>
    </w:p>
    <w:p>
      <w:pPr>
        <w:ind w:left="700"/>
        <w:spacing w:after="0" w:line="226" w:lineRule="auto"/>
        <w:rPr>
          <w:sz w:val="20"/>
          <w:szCs w:val="20"/>
          <w:color w:val="auto"/>
        </w:rPr>
      </w:pPr>
      <w:r>
        <w:rPr>
          <w:rFonts w:ascii="Times New Roman" w:cs="Times New Roman" w:eastAsia="Times New Roman" w:hAnsi="Times New Roman"/>
          <w:sz w:val="21"/>
          <w:szCs w:val="21"/>
          <w:color w:val="auto"/>
        </w:rPr>
        <w:t>Illinois subsidiary. We expect this decrease in revenues resulting from the advisory to continue into the fourth quarter of</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2020.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Operations and maintenance expenses increased by $54,152 or 66.0%, primarily due to:</w:t>
      </w:r>
    </w:p>
    <w:p>
      <w:pPr>
        <w:spacing w:after="0" w:line="213" w:lineRule="exact"/>
        <w:rPr>
          <w:sz w:val="20"/>
          <w:szCs w:val="20"/>
          <w:color w:val="auto"/>
        </w:rPr>
      </w:pPr>
    </w:p>
    <w:p>
      <w:pPr>
        <w:ind w:left="700" w:right="160"/>
        <w:spacing w:after="0" w:line="237" w:lineRule="auto"/>
        <w:rPr>
          <w:sz w:val="20"/>
          <w:szCs w:val="20"/>
          <w:color w:val="auto"/>
        </w:rPr>
      </w:pPr>
      <w:r>
        <w:rPr>
          <w:rFonts w:ascii="Times New Roman" w:cs="Times New Roman" w:eastAsia="Times New Roman" w:hAnsi="Times New Roman"/>
          <w:sz w:val="21"/>
          <w:szCs w:val="21"/>
          <w:color w:val="auto"/>
        </w:rPr>
        <w:t>operating costs of $62,156 associated with the Peoples Gas Acquisition, including expenses attributed to the COVID-19 pandemic of $6,098 primarily associated with an increase in bad debt expense of $4,423;</w:t>
      </w:r>
    </w:p>
    <w:p>
      <w:pPr>
        <w:spacing w:after="0" w:line="2" w:lineRule="exact"/>
        <w:rPr>
          <w:sz w:val="20"/>
          <w:szCs w:val="20"/>
          <w:color w:val="auto"/>
        </w:rPr>
      </w:pPr>
    </w:p>
    <w:p>
      <w:pPr>
        <w:ind w:left="700" w:right="180"/>
        <w:spacing w:after="0" w:line="235" w:lineRule="auto"/>
        <w:rPr>
          <w:sz w:val="20"/>
          <w:szCs w:val="20"/>
          <w:color w:val="auto"/>
        </w:rPr>
      </w:pPr>
      <w:r>
        <w:rPr>
          <w:rFonts w:ascii="Times New Roman" w:cs="Times New Roman" w:eastAsia="Times New Roman" w:hAnsi="Times New Roman"/>
          <w:sz w:val="21"/>
          <w:szCs w:val="21"/>
          <w:color w:val="auto"/>
        </w:rPr>
        <w:t>additional expenses of $3,856 associated with the COVID-19 pandemic for our water utility operations consisting primarily of bad debt expense of $2,358, and the purchase of personal protective equipment and disinfecting supplies of $143, which are offset by decreases in travel expenses;</w:t>
      </w:r>
    </w:p>
    <w:p>
      <w:pPr>
        <w:spacing w:after="0" w:line="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49" w:name="page50"/>
    <w:bookmarkEnd w:id="49"/>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jc w:val="center"/>
        <w:ind w:right="-59"/>
        <w:spacing w:after="0" w:line="235" w:lineRule="auto"/>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00" w:right="280"/>
        <w:spacing w:after="0" w:line="237" w:lineRule="auto"/>
        <w:rPr>
          <w:sz w:val="20"/>
          <w:szCs w:val="20"/>
          <w:color w:val="auto"/>
        </w:rPr>
      </w:pPr>
      <w:r>
        <w:rPr>
          <w:rFonts w:ascii="Times New Roman" w:cs="Times New Roman" w:eastAsia="Times New Roman" w:hAnsi="Times New Roman"/>
          <w:sz w:val="21"/>
          <w:szCs w:val="21"/>
          <w:color w:val="auto"/>
        </w:rPr>
        <w:t>additional operating costs associated with acquired and pending acquisitions of water and wastewater utility systems of $2,009; and</w:t>
      </w:r>
    </w:p>
    <w:p>
      <w:pPr>
        <w:spacing w:after="0" w:line="2" w:lineRule="exact"/>
        <w:rPr>
          <w:sz w:val="20"/>
          <w:szCs w:val="20"/>
          <w:color w:val="auto"/>
        </w:rPr>
      </w:pPr>
    </w:p>
    <w:p>
      <w:pPr>
        <w:ind w:left="700" w:right="240"/>
        <w:spacing w:after="0" w:line="225" w:lineRule="auto"/>
        <w:rPr>
          <w:sz w:val="20"/>
          <w:szCs w:val="20"/>
          <w:color w:val="auto"/>
        </w:rPr>
      </w:pPr>
      <w:r>
        <w:rPr>
          <w:rFonts w:ascii="Times New Roman" w:cs="Times New Roman" w:eastAsia="Times New Roman" w:hAnsi="Times New Roman"/>
          <w:sz w:val="21"/>
          <w:szCs w:val="21"/>
          <w:color w:val="auto"/>
        </w:rPr>
        <w:t>expenses of $729 associated with remediating an advisory for some of our water utility customers served by our Illinois subsidiary, which is offset by the prior year effect of expenses of $2,284 recognized in the third quarter of 2019. We expect that the expenses associated with remediating the advisory to continue in the fourth quarter of 2020; offset by insurance proceeds of $2,874 received to date for expenses incurred related to the advisory for some of our water utility customers served by our Illinois subsidiary;</w:t>
      </w:r>
    </w:p>
    <w:p>
      <w:pPr>
        <w:spacing w:after="0" w:line="5" w:lineRule="exact"/>
        <w:rPr>
          <w:sz w:val="20"/>
          <w:szCs w:val="20"/>
          <w:color w:val="auto"/>
        </w:rPr>
      </w:pPr>
    </w:p>
    <w:p>
      <w:pPr>
        <w:ind w:left="700"/>
        <w:spacing w:after="0" w:line="225" w:lineRule="auto"/>
        <w:rPr>
          <w:sz w:val="20"/>
          <w:szCs w:val="20"/>
          <w:color w:val="auto"/>
        </w:rPr>
      </w:pPr>
      <w:r>
        <w:rPr>
          <w:rFonts w:ascii="Times New Roman" w:cs="Times New Roman" w:eastAsia="Times New Roman" w:hAnsi="Times New Roman"/>
          <w:sz w:val="21"/>
          <w:szCs w:val="21"/>
          <w:color w:val="auto"/>
        </w:rPr>
        <w:t>the prior year effect of transaction expenses of $2,496 in the third quarter of 2019 for the Peoples Gas Acquisition, primarily representing expenses associated with obtaining regulatory approvals, investment banking fees, including bridge financing, legal expenses, and integration planning; and</w:t>
      </w:r>
    </w:p>
    <w:p>
      <w:pPr>
        <w:spacing w:after="0" w:line="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a decrease in our self-insured employee medical plan benefits of $1,331.</w:t>
      </w:r>
    </w:p>
    <w:p>
      <w:pPr>
        <w:spacing w:after="0" w:line="296"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21"/>
          <w:szCs w:val="21"/>
          <w:color w:val="auto"/>
        </w:rPr>
        <w:t>Purchased gas of $16,744 in the third quarter of 2020 represents the cost of gas sold by Peoples. There were no corresponding amounts in prior periods.</w:t>
      </w:r>
    </w:p>
    <w:p>
      <w:pPr>
        <w:spacing w:after="0" w:line="155"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21"/>
          <w:szCs w:val="21"/>
          <w:color w:val="auto"/>
        </w:rPr>
        <w:t>Depreciation expense increased by $28,686 or 72.6%, primarily due to depreciation expense of $25,525 associated with our completion of the Peoples Gas Acquisition and the utility plant placed in service since September 30, 2019.</w:t>
      </w:r>
    </w:p>
    <w:p>
      <w:pPr>
        <w:spacing w:after="0" w:line="15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1"/>
          <w:szCs w:val="21"/>
          <w:color w:val="auto"/>
        </w:rPr>
        <w:t>Amortization increased by $1,322 primarily due to amortization expense of $1,258 associated with our completion of the Peoples Gas Acquisition.</w:t>
      </w:r>
    </w:p>
    <w:p>
      <w:pPr>
        <w:spacing w:after="0" w:line="15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1"/>
          <w:szCs w:val="21"/>
          <w:color w:val="auto"/>
        </w:rPr>
        <w:t>Taxes other than income taxes increased by $5,354 or 35.2%, primarily due to increases in payroll taxes of $2,572 and property taxes of $1,417 resulting from additional expenses associated with acquired operations including the Peoples Gas Acquisition.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expense increased by $17,218 or 52.7%, primarily due to the following items:</w:t>
      </w: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an increase in average borrowings; and</w:t>
      </w:r>
    </w:p>
    <w:p>
      <w:pPr>
        <w:spacing w:after="0" w:line="10" w:lineRule="exact"/>
        <w:rPr>
          <w:sz w:val="20"/>
          <w:szCs w:val="20"/>
          <w:color w:val="auto"/>
        </w:rPr>
      </w:pPr>
    </w:p>
    <w:p>
      <w:pPr>
        <w:ind w:left="700" w:right="3940"/>
        <w:spacing w:after="0" w:line="239" w:lineRule="auto"/>
        <w:rPr>
          <w:sz w:val="20"/>
          <w:szCs w:val="20"/>
          <w:color w:val="auto"/>
        </w:rPr>
      </w:pPr>
      <w:r>
        <w:rPr>
          <w:rFonts w:ascii="Times New Roman" w:cs="Times New Roman" w:eastAsia="Times New Roman" w:hAnsi="Times New Roman"/>
          <w:sz w:val="21"/>
          <w:szCs w:val="21"/>
          <w:color w:val="auto"/>
        </w:rPr>
        <w:t>interest of $8,145 on debt assumed in the Peoples Gas Acquisition; offset by a decrease in our effective interest rate.</w:t>
      </w:r>
    </w:p>
    <w:p>
      <w:pPr>
        <w:spacing w:after="0" w:line="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50" w:name="page51"/>
    <w:bookmarkEnd w:id="50"/>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jc w:val="center"/>
        <w:ind w:right="-19"/>
        <w:spacing w:after="0" w:line="235" w:lineRule="auto"/>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1"/>
          <w:szCs w:val="21"/>
          <w:color w:val="auto"/>
        </w:rPr>
        <w:t>Interest income decreased by $9,566 or 98.8%, primarily due to the utilization of the proceeds held from our April 2019 equity and debt offerings to close the Peoples Gas Acquisition on March 16, 2020.</w:t>
      </w:r>
    </w:p>
    <w:p>
      <w:pPr>
        <w:spacing w:after="0" w:line="15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1"/>
          <w:szCs w:val="21"/>
          <w:color w:val="auto"/>
        </w:rPr>
        <w:t>Allowance for funds used during construction (“AFUDC”) decreased by $1,070 or 23.2%, due to a decrease in the average balance of utility plant construction work in progress, to which AFUDC is applied.</w:t>
      </w:r>
    </w:p>
    <w:p>
      <w:pPr>
        <w:spacing w:after="0" w:line="155"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21"/>
          <w:szCs w:val="21"/>
          <w:color w:val="auto"/>
        </w:rPr>
        <w:t>Equity loss (earnings) in joint venture decreased by $3,761 primarily due to a reserve of $3,700 recorded in the third quarter of 2020 reflecting a loss on sale of our joint venture investment realized in October 2020.</w:t>
      </w:r>
    </w:p>
    <w:p>
      <w:pPr>
        <w:spacing w:after="0" w:line="155"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1"/>
          <w:szCs w:val="21"/>
          <w:color w:val="auto"/>
        </w:rPr>
        <w:t>Other expense decreased by $5,621 primarily due to the reversal of a reserve for a regulatory asset based on the Company’s determination that prospective rate recovery is probable, and a decrease in the non-service cost components of our net benefit cost for pension benefits.</w:t>
      </w:r>
    </w:p>
    <w:p>
      <w:pPr>
        <w:spacing w:after="0" w:line="17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1"/>
          <w:szCs w:val="21"/>
          <w:color w:val="auto"/>
        </w:rPr>
        <w:t>Our effective income tax rate was 6.7% in the third quarter of 2020 and (1.8)% in the third quarter of 2019. The effective income tax rate increased due to a reduction in the income tax benefit recognized due to lower tax deductions for qualifying infrastructure investments of Aqua Pennsylvania recognized in the third quarter of 2020. The Company’s provision for income taxes represented an income tax benefit in the third quarter of 2019 due to the effects of tax deductions recognized for certain qualifying infrastructure improvements for Aqua Pennsylvania.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income decreased by $32,757 primarily as a result of the factors described above.</w:t>
      </w:r>
    </w:p>
    <w:p>
      <w:pPr>
        <w:spacing w:after="0" w:line="21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1"/>
          <w:szCs w:val="21"/>
          <w:u w:val="single" w:color="auto"/>
          <w:color w:val="auto"/>
        </w:rPr>
        <w:t>Analysis of First Nine Months of 2020 Compared to First Nine Months of 2019</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Revenues increased by $325,050 or 49.0%, primarily due to:</w:t>
      </w: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natural gas revenues of $280,300 associated with the Peoples Gas Acquisition;</w:t>
      </w:r>
    </w:p>
    <w:p>
      <w:pPr>
        <w:ind w:left="700"/>
        <w:spacing w:after="0" w:line="235" w:lineRule="auto"/>
        <w:rPr>
          <w:sz w:val="20"/>
          <w:szCs w:val="20"/>
          <w:color w:val="auto"/>
        </w:rPr>
      </w:pPr>
      <w:r>
        <w:rPr>
          <w:rFonts w:ascii="Times New Roman" w:cs="Times New Roman" w:eastAsia="Times New Roman" w:hAnsi="Times New Roman"/>
          <w:sz w:val="21"/>
          <w:szCs w:val="21"/>
          <w:color w:val="auto"/>
        </w:rPr>
        <w:t>an increase in water and wastewater rates, net of infrastructure rehabilitation surcharges, of $23,441;</w:t>
      </w:r>
    </w:p>
    <w:p>
      <w:pPr>
        <w:spacing w:after="0" w:line="1" w:lineRule="exact"/>
        <w:rPr>
          <w:sz w:val="20"/>
          <w:szCs w:val="20"/>
          <w:color w:val="auto"/>
        </w:rPr>
      </w:pPr>
    </w:p>
    <w:p>
      <w:pPr>
        <w:ind w:left="700" w:right="340"/>
        <w:spacing w:after="0" w:line="225" w:lineRule="auto"/>
        <w:rPr>
          <w:sz w:val="20"/>
          <w:szCs w:val="20"/>
          <w:color w:val="auto"/>
        </w:rPr>
      </w:pPr>
      <w:r>
        <w:rPr>
          <w:rFonts w:ascii="Times New Roman" w:cs="Times New Roman" w:eastAsia="Times New Roman" w:hAnsi="Times New Roman"/>
          <w:sz w:val="21"/>
          <w:szCs w:val="21"/>
          <w:color w:val="auto"/>
        </w:rPr>
        <w:t>an increase in customer water consumption associated with increased residential usage, which is offset by a decrease in customer water consumption for commercial and industrial customers; and</w:t>
      </w:r>
    </w:p>
    <w:p>
      <w:pPr>
        <w:spacing w:after="0" w:line="2" w:lineRule="exact"/>
        <w:rPr>
          <w:sz w:val="20"/>
          <w:szCs w:val="20"/>
          <w:color w:val="auto"/>
        </w:rPr>
      </w:pPr>
    </w:p>
    <w:p>
      <w:pPr>
        <w:ind w:left="700" w:right="60"/>
        <w:spacing w:after="0" w:line="225" w:lineRule="auto"/>
        <w:rPr>
          <w:sz w:val="20"/>
          <w:szCs w:val="20"/>
          <w:color w:val="auto"/>
        </w:rPr>
      </w:pPr>
      <w:r>
        <w:rPr>
          <w:rFonts w:ascii="Times New Roman" w:cs="Times New Roman" w:eastAsia="Times New Roman" w:hAnsi="Times New Roman"/>
          <w:sz w:val="21"/>
          <w:szCs w:val="21"/>
          <w:color w:val="auto"/>
        </w:rPr>
        <w:t>additional water and wastewater revenues of $11,349 associated with a larger customer base due to utility acquisitions and organic growth; offset by</w:t>
      </w:r>
    </w:p>
    <w:p>
      <w:pPr>
        <w:ind w:left="700"/>
        <w:spacing w:after="0" w:line="227" w:lineRule="auto"/>
        <w:rPr>
          <w:sz w:val="20"/>
          <w:szCs w:val="20"/>
          <w:color w:val="auto"/>
        </w:rPr>
      </w:pPr>
      <w:r>
        <w:rPr>
          <w:rFonts w:ascii="Times New Roman" w:cs="Times New Roman" w:eastAsia="Times New Roman" w:hAnsi="Times New Roman"/>
          <w:sz w:val="21"/>
          <w:szCs w:val="21"/>
          <w:color w:val="auto"/>
        </w:rPr>
        <w:t>customer rate credits of $4,080 granted to our water and wastewater customers served by Aqua Pennsylvania; and</w:t>
      </w:r>
    </w:p>
    <w:p>
      <w:pPr>
        <w:spacing w:after="0" w:line="1" w:lineRule="exact"/>
        <w:rPr>
          <w:sz w:val="20"/>
          <w:szCs w:val="20"/>
          <w:color w:val="auto"/>
        </w:rPr>
      </w:pPr>
    </w:p>
    <w:p>
      <w:pPr>
        <w:ind w:left="700" w:right="420"/>
        <w:spacing w:after="0" w:line="239" w:lineRule="auto"/>
        <w:rPr>
          <w:sz w:val="20"/>
          <w:szCs w:val="20"/>
          <w:color w:val="auto"/>
        </w:rPr>
      </w:pPr>
      <w:r>
        <w:rPr>
          <w:rFonts w:ascii="Times New Roman" w:cs="Times New Roman" w:eastAsia="Times New Roman" w:hAnsi="Times New Roman"/>
          <w:sz w:val="21"/>
          <w:szCs w:val="21"/>
          <w:color w:val="auto"/>
        </w:rPr>
        <w:t>a decrease in water revenues of $1,041 as a result of an advisory for some of our water utility customers served by our Illinois subsidiary. We expect this decrease in revenues to continue into the fourth quarter of 2020.</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jc w:val="center"/>
        <w:ind w:right="-119"/>
        <w:spacing w:after="0" w:line="235" w:lineRule="auto"/>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Operations and maintenance expenses increased by $123,634 or 49.9%, primarily due to:</w:t>
      </w:r>
    </w:p>
    <w:p>
      <w:pPr>
        <w:spacing w:after="0" w:line="213" w:lineRule="exact"/>
        <w:rPr>
          <w:sz w:val="20"/>
          <w:szCs w:val="20"/>
          <w:color w:val="auto"/>
        </w:rPr>
      </w:pPr>
    </w:p>
    <w:p>
      <w:pPr>
        <w:ind w:left="700" w:right="60"/>
        <w:spacing w:after="0" w:line="237" w:lineRule="auto"/>
        <w:rPr>
          <w:sz w:val="20"/>
          <w:szCs w:val="20"/>
          <w:color w:val="auto"/>
        </w:rPr>
      </w:pPr>
      <w:r>
        <w:rPr>
          <w:rFonts w:ascii="Times New Roman" w:cs="Times New Roman" w:eastAsia="Times New Roman" w:hAnsi="Times New Roman"/>
          <w:sz w:val="21"/>
          <w:szCs w:val="21"/>
          <w:color w:val="auto"/>
        </w:rPr>
        <w:t>operating costs of $123,736 associated with the Peoples Gas Acquisition, including expenses attributed to the COVID-19 pandemic of $7,208 primarily associated with an increase in bad debt expense of $5,194;</w:t>
      </w:r>
    </w:p>
    <w:p>
      <w:pPr>
        <w:spacing w:after="0" w:line="2" w:lineRule="exact"/>
        <w:rPr>
          <w:sz w:val="20"/>
          <w:szCs w:val="20"/>
          <w:color w:val="auto"/>
        </w:rPr>
      </w:pPr>
    </w:p>
    <w:p>
      <w:pPr>
        <w:ind w:left="700" w:right="180"/>
        <w:spacing w:after="0" w:line="225" w:lineRule="auto"/>
        <w:rPr>
          <w:sz w:val="20"/>
          <w:szCs w:val="20"/>
          <w:color w:val="auto"/>
        </w:rPr>
      </w:pPr>
      <w:r>
        <w:rPr>
          <w:rFonts w:ascii="Times New Roman" w:cs="Times New Roman" w:eastAsia="Times New Roman" w:hAnsi="Times New Roman"/>
          <w:sz w:val="21"/>
          <w:szCs w:val="21"/>
          <w:color w:val="auto"/>
        </w:rPr>
        <w:t>additional expenses of $5,880 associated with the COVID-19 pandemic for our water utility operations consisting primarily of bad debt expense of $4,168, and the purchase of personal protective equipment and disinfecting supplies of $784, which are offset by decreases in travel expenses, office supplies, and office utility expenses;</w:t>
      </w:r>
    </w:p>
    <w:p>
      <w:pPr>
        <w:spacing w:after="0" w:line="3" w:lineRule="exact"/>
        <w:rPr>
          <w:sz w:val="20"/>
          <w:szCs w:val="20"/>
          <w:color w:val="auto"/>
        </w:rPr>
      </w:pPr>
    </w:p>
    <w:p>
      <w:pPr>
        <w:ind w:left="700" w:right="240"/>
        <w:spacing w:after="0" w:line="225" w:lineRule="auto"/>
        <w:rPr>
          <w:sz w:val="20"/>
          <w:szCs w:val="20"/>
          <w:color w:val="auto"/>
        </w:rPr>
      </w:pPr>
      <w:r>
        <w:rPr>
          <w:rFonts w:ascii="Times New Roman" w:cs="Times New Roman" w:eastAsia="Times New Roman" w:hAnsi="Times New Roman"/>
          <w:sz w:val="21"/>
          <w:szCs w:val="21"/>
          <w:color w:val="auto"/>
        </w:rPr>
        <w:t>additional operating costs associated with acquired and pending acquisitions of water and wastewater utility systems of $4,335;</w:t>
      </w:r>
    </w:p>
    <w:p>
      <w:pPr>
        <w:spacing w:after="0" w:line="2" w:lineRule="exact"/>
        <w:rPr>
          <w:sz w:val="20"/>
          <w:szCs w:val="20"/>
          <w:color w:val="auto"/>
        </w:rPr>
      </w:pPr>
    </w:p>
    <w:p>
      <w:pPr>
        <w:ind w:left="700" w:right="40"/>
        <w:spacing w:after="0" w:line="225" w:lineRule="auto"/>
        <w:rPr>
          <w:sz w:val="20"/>
          <w:szCs w:val="20"/>
          <w:color w:val="auto"/>
        </w:rPr>
      </w:pPr>
      <w:r>
        <w:rPr>
          <w:rFonts w:ascii="Times New Roman" w:cs="Times New Roman" w:eastAsia="Times New Roman" w:hAnsi="Times New Roman"/>
          <w:sz w:val="21"/>
          <w:szCs w:val="21"/>
          <w:color w:val="auto"/>
        </w:rPr>
        <w:t>transaction expenses of $25,397 incurred in the first nine months of 2020 as compared to $21,886 in the first nine months of 2019 for the Peoples Gas Acquisition, primarily representing expenses associated with investment banking fees, including bridge financing, employee related expenses, obtaining regulatory approvals, legal expenses, and integration planning; and</w:t>
      </w:r>
    </w:p>
    <w:p>
      <w:pPr>
        <w:spacing w:after="0" w:line="4" w:lineRule="exact"/>
        <w:rPr>
          <w:sz w:val="20"/>
          <w:szCs w:val="20"/>
          <w:color w:val="auto"/>
        </w:rPr>
      </w:pPr>
    </w:p>
    <w:p>
      <w:pPr>
        <w:jc w:val="both"/>
        <w:ind w:left="700"/>
        <w:spacing w:after="0" w:line="225" w:lineRule="auto"/>
        <w:rPr>
          <w:sz w:val="20"/>
          <w:szCs w:val="20"/>
          <w:color w:val="auto"/>
        </w:rPr>
      </w:pPr>
      <w:r>
        <w:rPr>
          <w:rFonts w:ascii="Times New Roman" w:cs="Times New Roman" w:eastAsia="Times New Roman" w:hAnsi="Times New Roman"/>
          <w:sz w:val="21"/>
          <w:szCs w:val="21"/>
          <w:color w:val="auto"/>
        </w:rPr>
        <w:t>expenses of $1,786 associated with remediating an advisory for some of our water utility customers served by our Illinois subsidiary, which is offset by the prior year effect of expenses of $3,271 recognized in 2019. We expect that the expenses associated with remediating the advisory to continue in the fourth quarter of 2020; offset by</w:t>
      </w:r>
    </w:p>
    <w:p>
      <w:pPr>
        <w:spacing w:after="0" w:line="3" w:lineRule="exact"/>
        <w:rPr>
          <w:sz w:val="20"/>
          <w:szCs w:val="20"/>
          <w:color w:val="auto"/>
        </w:rPr>
      </w:pPr>
    </w:p>
    <w:p>
      <w:pPr>
        <w:ind w:left="700" w:right="200"/>
        <w:spacing w:after="0" w:line="225" w:lineRule="auto"/>
        <w:rPr>
          <w:sz w:val="20"/>
          <w:szCs w:val="20"/>
          <w:color w:val="auto"/>
        </w:rPr>
      </w:pPr>
      <w:r>
        <w:rPr>
          <w:rFonts w:ascii="Times New Roman" w:cs="Times New Roman" w:eastAsia="Times New Roman" w:hAnsi="Times New Roman"/>
          <w:sz w:val="21"/>
          <w:szCs w:val="21"/>
          <w:color w:val="auto"/>
        </w:rPr>
        <w:t>insurance proceeds of $2,874 received to date for expenses incurred related to the advisory for some of our water utility customers served by our Illinois subsidiary; and</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a decrease in our self-insured employee medical plan benefits of $2,508.</w:t>
      </w:r>
    </w:p>
    <w:p>
      <w:pPr>
        <w:spacing w:after="0" w:line="296"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21"/>
          <w:szCs w:val="21"/>
          <w:color w:val="auto"/>
        </w:rPr>
        <w:t>Purchased gas of $72,934 represents the cost of gas sold by Peoples during the period since the acquisition date of March 16, 2020. There were no corresponding amounts in prior periods.</w:t>
      </w:r>
    </w:p>
    <w:p>
      <w:pPr>
        <w:spacing w:after="0" w:line="155" w:lineRule="exact"/>
        <w:rPr>
          <w:sz w:val="20"/>
          <w:szCs w:val="20"/>
          <w:color w:val="auto"/>
        </w:rPr>
      </w:pPr>
    </w:p>
    <w:p>
      <w:pPr>
        <w:ind w:right="540"/>
        <w:spacing w:after="0" w:line="262" w:lineRule="auto"/>
        <w:rPr>
          <w:sz w:val="20"/>
          <w:szCs w:val="20"/>
          <w:color w:val="auto"/>
        </w:rPr>
      </w:pPr>
      <w:r>
        <w:rPr>
          <w:rFonts w:ascii="Times New Roman" w:cs="Times New Roman" w:eastAsia="Times New Roman" w:hAnsi="Times New Roman"/>
          <w:sz w:val="21"/>
          <w:szCs w:val="21"/>
          <w:color w:val="auto"/>
        </w:rPr>
        <w:t>Depreciation expense increased by $63,553 or 53.8%, primarily due to depreciation expense of $55,379 associated with our completion of the Peoples Gas Acquisition and the utility plant placed in service since September 30, 2019.</w:t>
      </w:r>
    </w:p>
    <w:p>
      <w:pPr>
        <w:spacing w:after="0" w:line="15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Amortization increased by $6,552 primarily due to the prior year effect of a favorable one-time adjustment recorded in the second quarter of 2019 resulting from a rate order received for our Pennsylvania water subsidiary, and amortization expense of $2,028 associated with our completion of the Peoples Gas Acquisition.</w:t>
      </w:r>
    </w:p>
    <w:p>
      <w:pPr>
        <w:spacing w:after="0" w:line="17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1"/>
          <w:szCs w:val="21"/>
          <w:color w:val="auto"/>
        </w:rPr>
        <w:t>Taxes other than income taxes increased by $11,386 or 25.3%, primarily due to increases in payroll taxes of $5,772 and property taxes of $3,331 resulting from additional expenses associated with acquired operations including the Peoples Gas Acquisition.</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52" w:name="page53"/>
    <w:bookmarkEnd w:id="52"/>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jc w:val="center"/>
        <w:ind w:right="-19"/>
        <w:spacing w:after="0" w:line="235" w:lineRule="auto"/>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expense increased by $44,411 or 48.1%, primarily due to the following items:</w:t>
      </w: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an increase in average borrowings;</w:t>
      </w:r>
    </w:p>
    <w:p>
      <w:pPr>
        <w:spacing w:after="0" w:line="10" w:lineRule="exact"/>
        <w:rPr>
          <w:sz w:val="20"/>
          <w:szCs w:val="20"/>
          <w:color w:val="auto"/>
        </w:rPr>
      </w:pPr>
    </w:p>
    <w:p>
      <w:pPr>
        <w:ind w:left="700" w:right="40"/>
        <w:spacing w:after="0" w:line="225" w:lineRule="auto"/>
        <w:rPr>
          <w:sz w:val="20"/>
          <w:szCs w:val="20"/>
          <w:color w:val="auto"/>
        </w:rPr>
      </w:pPr>
      <w:r>
        <w:rPr>
          <w:rFonts w:ascii="Times New Roman" w:cs="Times New Roman" w:eastAsia="Times New Roman" w:hAnsi="Times New Roman"/>
          <w:sz w:val="21"/>
          <w:szCs w:val="21"/>
          <w:color w:val="auto"/>
        </w:rPr>
        <w:t>interest of $19,366 on debt assumed in the Peoples Gas Acquisition; pre-acquisition interest expense of $3,959 from the issuance of $900,000 long-term debt and $119,081 of amortizing notes in April 2019 to partially fund the Peoples Gas Acquisition; and</w:t>
      </w:r>
    </w:p>
    <w:p>
      <w:pPr>
        <w:ind w:left="700"/>
        <w:spacing w:after="0" w:line="228" w:lineRule="auto"/>
        <w:rPr>
          <w:sz w:val="20"/>
          <w:szCs w:val="20"/>
          <w:color w:val="auto"/>
        </w:rPr>
      </w:pPr>
      <w:r>
        <w:rPr>
          <w:rFonts w:ascii="Times New Roman" w:cs="Times New Roman" w:eastAsia="Times New Roman" w:hAnsi="Times New Roman"/>
          <w:sz w:val="21"/>
          <w:szCs w:val="21"/>
          <w:color w:val="auto"/>
        </w:rPr>
        <w:t>interest of $1,399 on the Company’s $500,000 term loan to provide liquidity during the COVID-19 pandemic, which was</w:t>
      </w:r>
    </w:p>
    <w:p>
      <w:pPr>
        <w:ind w:left="700"/>
        <w:spacing w:after="0" w:line="226" w:lineRule="auto"/>
        <w:rPr>
          <w:sz w:val="20"/>
          <w:szCs w:val="20"/>
          <w:color w:val="auto"/>
        </w:rPr>
      </w:pPr>
      <w:r>
        <w:rPr>
          <w:rFonts w:ascii="Times New Roman" w:cs="Times New Roman" w:eastAsia="Times New Roman" w:hAnsi="Times New Roman"/>
          <w:sz w:val="21"/>
          <w:szCs w:val="21"/>
          <w:color w:val="auto"/>
        </w:rPr>
        <w:t>repaid in May and June 2020; offset by</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a decrease in our effective interest rate.</w:t>
      </w:r>
    </w:p>
    <w:p>
      <w:pPr>
        <w:spacing w:after="0" w:line="29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21"/>
          <w:szCs w:val="21"/>
          <w:color w:val="auto"/>
        </w:rPr>
        <w:t>Interest income decreased by $12,771 or 70.5%, primarily due to the utilization of the proceeds held from our April 2019 equity and debt offerings to close the Peoples Gas Acquisition on March 16, 2020.</w:t>
      </w:r>
    </w:p>
    <w:p>
      <w:pPr>
        <w:spacing w:after="0" w:line="15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1"/>
          <w:szCs w:val="21"/>
          <w:color w:val="auto"/>
        </w:rPr>
        <w:t>Allowance for funds used during construction (“AFUDC”) decreased by $3,559 due to a decrease in the average balance of utility plant construction work in progress, to which AFUDC is applied.</w:t>
      </w:r>
    </w:p>
    <w:p>
      <w:pPr>
        <w:spacing w:after="0" w:line="155" w:lineRule="exact"/>
        <w:rPr>
          <w:sz w:val="20"/>
          <w:szCs w:val="20"/>
          <w:color w:val="auto"/>
        </w:rPr>
      </w:pPr>
    </w:p>
    <w:p>
      <w:pPr>
        <w:jc w:val="both"/>
        <w:ind w:right="420"/>
        <w:spacing w:after="0" w:line="244" w:lineRule="auto"/>
        <w:rPr>
          <w:sz w:val="20"/>
          <w:szCs w:val="20"/>
          <w:color w:val="auto"/>
        </w:rPr>
      </w:pPr>
      <w:r>
        <w:rPr>
          <w:rFonts w:ascii="Times New Roman" w:cs="Times New Roman" w:eastAsia="Times New Roman" w:hAnsi="Times New Roman"/>
          <w:sz w:val="21"/>
          <w:szCs w:val="21"/>
          <w:color w:val="auto"/>
        </w:rPr>
        <w:t>The increase in the change in the fair value of interest rate swap agreements of $23,742 represents the prior year effect of the expense recognized on the mark-to-market adjustment recognized during the first six months of 2019 of our interest rate swap agreement, which was entered into on October 23, 2018 and was settled on April 24, 2019.</w:t>
      </w:r>
    </w:p>
    <w:p>
      <w:pPr>
        <w:spacing w:after="0" w:line="17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1"/>
          <w:szCs w:val="21"/>
          <w:color w:val="auto"/>
        </w:rPr>
        <w:t>The loss on debt extinguishment of $18,920 incurred in the second quarter of 2019 resulted from the extinguishment of $313,500 of existing debt that was refinanced in May 2019.</w:t>
      </w:r>
    </w:p>
    <w:p>
      <w:pPr>
        <w:spacing w:after="0" w:line="15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Equity loss (earnings) in joint venture decreased by $5,201 due to a reserve of $3,700 recorded in the third quarter of 2020 reflecting a loss on sale of our joint venture investment realized in October 2020 and a decrease in the sale of raw water to firms in the natural gas drilling industry.</w:t>
      </w:r>
    </w:p>
    <w:p>
      <w:pPr>
        <w:spacing w:after="0" w:line="17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1"/>
          <w:szCs w:val="21"/>
          <w:color w:val="auto"/>
        </w:rPr>
        <w:t>Other expense decreased by $7,463 primarily due to the reversal of a reserve for a regulatory asset based on the Company’s determination that prospective rate recovery is probable, and a decrease in the non-service cost components of our net benefit cost for pension benefits.</w:t>
      </w:r>
    </w:p>
    <w:p>
      <w:pPr>
        <w:spacing w:after="0" w:line="17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1"/>
          <w:szCs w:val="21"/>
          <w:color w:val="auto"/>
        </w:rPr>
        <w:t>Our effective income tax rate was (1.5)% in the first nine months of 2020 and (8.0)% in the first nine months of 2019. The effective income tax rate increased due to the increase in our income before income taxes of $31,089 and a reduction in the income tax benefit recognized due to lower tax deductions for qualifying infrastructure investments of Aqua Pennsylvania. The Company’s provision for income taxes represents an income tax benefit due to the effects of tax deductions recognized for certain qualifying infrastructure improvements for Aqua Pennsylvania and Peoples. On March 31, 2020, we changed the method of tax accounting for certain qualifying infrastructure investments at Peoples Natural Gas, our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3" w:name="page54"/>
    <w:bookmarkEnd w:id="53"/>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jc w:val="center"/>
        <w:spacing w:after="0" w:line="235" w:lineRule="auto"/>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89"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21"/>
          <w:szCs w:val="21"/>
          <w:color w:val="auto"/>
        </w:rPr>
        <w:t>largest natural gas subsidiary in Pennsylvania, which provided for a reduction to income tax expense of $4,710 due to the flow-through treatment of the current tax benefits.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income increased by $21,826 primarily as a result of the factors described above.</w:t>
      </w:r>
    </w:p>
    <w:p>
      <w:pPr>
        <w:spacing w:after="0" w:line="21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u w:val="single" w:color="auto"/>
          <w:color w:val="auto"/>
        </w:rPr>
        <w:t>Results of Operations – Regulated Water Segment</w:t>
      </w:r>
    </w:p>
    <w:p>
      <w:pPr>
        <w:spacing w:after="0" w:line="213"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1"/>
          <w:szCs w:val="21"/>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 and for a discussion and analysis of the segment operating results, refer to the consolidated results of operations.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Results of Operations – Regulated Natural Gas Segment</w:t>
      </w:r>
    </w:p>
    <w:p>
      <w:pPr>
        <w:spacing w:after="0" w:line="213"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1"/>
          <w:szCs w:val="21"/>
          <w:color w:val="auto"/>
        </w:rPr>
        <w:t>Upon closing on the Peoples Gas Acquisition on March 16, 2020, the operating results since the acquisition date comprises our Regulated Natural Gas segment. 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w:t>
      </w:r>
    </w:p>
    <w:p>
      <w:pPr>
        <w:spacing w:after="0" w:line="17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1"/>
          <w:szCs w:val="21"/>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Therefore, fluctuations in the cost of purchased gas impact operating revenues on dollar-for-dollar basis, but does not impact gross margin. Management uses gross margin, a non-GAAP financial measure, defined as operating revenues less purchased gas expense, to analyze the financial performance of our Regulated Natural Gas segment, as management believes gross margin provides a meaningful basis for evaluating our natural gas utility operations since purchased gas expenses are included in operating revenues and passed through to customers. The following table includes the operating results for our Regulated Natural Gas segment for the period since the acquisition date of March 16, 2020, including the reconciliation of gross margin (non-GAAP) to operating revenues (GAAP):</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474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Three Months Ended</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jc w:val="right"/>
              <w:ind w:right="493"/>
              <w:spacing w:after="0"/>
              <w:rPr>
                <w:sz w:val="20"/>
                <w:szCs w:val="20"/>
                <w:color w:val="auto"/>
              </w:rPr>
            </w:pPr>
            <w:r>
              <w:rPr>
                <w:rFonts w:ascii="Times New Roman" w:cs="Times New Roman" w:eastAsia="Times New Roman" w:hAnsi="Times New Roman"/>
                <w:sz w:val="21"/>
                <w:szCs w:val="21"/>
                <w:color w:val="auto"/>
              </w:rPr>
              <w:t>Nine Months Ended</w:t>
            </w:r>
          </w:p>
        </w:tc>
      </w:tr>
      <w:tr>
        <w:trPr>
          <w:trHeight w:val="324"/>
        </w:trPr>
        <w:tc>
          <w:tcPr>
            <w:tcW w:w="474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September 30, 2020</w:t>
            </w: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21"/>
                <w:szCs w:val="21"/>
                <w:color w:val="auto"/>
              </w:rPr>
              <w:t>September 30, 2020</w:t>
            </w:r>
          </w:p>
        </w:tc>
      </w:tr>
      <w:tr>
        <w:trPr>
          <w:trHeight w:val="221"/>
        </w:trPr>
        <w:tc>
          <w:tcPr>
            <w:tcW w:w="474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Operating revenues (GAAP)</w:t>
            </w:r>
          </w:p>
        </w:tc>
        <w:tc>
          <w:tcPr>
            <w:tcW w:w="2600" w:type="dxa"/>
            <w:vAlign w:val="bottom"/>
            <w:shd w:val="clear" w:color="auto" w:fill="CCEEFF"/>
          </w:tcPr>
          <w:p>
            <w:pPr>
              <w:jc w:val="right"/>
              <w:ind w:right="239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70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88,880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258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273,798</w:t>
            </w:r>
          </w:p>
        </w:tc>
      </w:tr>
      <w:tr>
        <w:trPr>
          <w:trHeight w:val="227"/>
        </w:trPr>
        <w:tc>
          <w:tcPr>
            <w:tcW w:w="4740" w:type="dxa"/>
            <w:vAlign w:val="bottom"/>
            <w:tcBorders>
              <w:bottom w:val="single" w:sz="8" w:color="CCEEFF"/>
            </w:tcBorders>
          </w:tcPr>
          <w:p>
            <w:pPr>
              <w:spacing w:after="0" w:line="227" w:lineRule="exact"/>
              <w:rPr>
                <w:sz w:val="20"/>
                <w:szCs w:val="20"/>
                <w:color w:val="auto"/>
              </w:rPr>
            </w:pPr>
            <w:r>
              <w:rPr>
                <w:rFonts w:ascii="Times New Roman" w:cs="Times New Roman" w:eastAsia="Times New Roman" w:hAnsi="Times New Roman"/>
                <w:sz w:val="21"/>
                <w:szCs w:val="21"/>
                <w:color w:val="auto"/>
              </w:rPr>
              <w:t>Purchased gas</w:t>
            </w:r>
          </w:p>
        </w:tc>
        <w:tc>
          <w:tcPr>
            <w:tcW w:w="2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rPr>
              <w:t>14,841</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rPr>
              <w:t>68,807</w:t>
            </w:r>
          </w:p>
        </w:tc>
      </w:tr>
      <w:tr>
        <w:trPr>
          <w:trHeight w:val="221"/>
        </w:trPr>
        <w:tc>
          <w:tcPr>
            <w:tcW w:w="4740" w:type="dxa"/>
            <w:vAlign w:val="bottom"/>
            <w:tcBorders>
              <w:bottom w:val="single" w:sz="8" w:color="CCEEFF"/>
            </w:tcBorders>
            <w:shd w:val="clear" w:color="auto" w:fill="CCEEFF"/>
          </w:tcPr>
          <w:p>
            <w:pPr>
              <w:spacing w:after="0" w:line="221" w:lineRule="exact"/>
              <w:rPr>
                <w:sz w:val="20"/>
                <w:szCs w:val="20"/>
                <w:color w:val="auto"/>
              </w:rPr>
            </w:pPr>
            <w:r>
              <w:rPr>
                <w:rFonts w:ascii="Times New Roman" w:cs="Times New Roman" w:eastAsia="Times New Roman" w:hAnsi="Times New Roman"/>
                <w:sz w:val="21"/>
                <w:szCs w:val="21"/>
                <w:color w:val="auto"/>
              </w:rPr>
              <w:t>Gross margin (non-GAAP)</w:t>
            </w:r>
          </w:p>
        </w:tc>
        <w:tc>
          <w:tcPr>
            <w:tcW w:w="2600" w:type="dxa"/>
            <w:vAlign w:val="bottom"/>
            <w:tcBorders>
              <w:bottom w:val="single" w:sz="8" w:color="auto"/>
            </w:tcBorders>
            <w:shd w:val="clear" w:color="auto" w:fill="CCEEFF"/>
          </w:tcPr>
          <w:p>
            <w:pPr>
              <w:jc w:val="right"/>
              <w:ind w:right="239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7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74,039</w:t>
            </w: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3"/>
              <w:spacing w:after="0" w:line="221" w:lineRule="exact"/>
              <w:rPr>
                <w:sz w:val="20"/>
                <w:szCs w:val="20"/>
                <w:color w:val="auto"/>
              </w:rPr>
            </w:pPr>
            <w:r>
              <w:rPr>
                <w:rFonts w:ascii="Times New Roman" w:cs="Times New Roman" w:eastAsia="Times New Roman" w:hAnsi="Times New Roman"/>
                <w:sz w:val="21"/>
                <w:szCs w:val="21"/>
                <w:color w:val="auto"/>
                <w:w w:val="75"/>
              </w:rPr>
              <w:t>$</w:t>
            </w:r>
          </w:p>
        </w:tc>
        <w:tc>
          <w:tcPr>
            <w:tcW w:w="25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1"/>
                <w:szCs w:val="21"/>
                <w:color w:val="auto"/>
              </w:rPr>
              <w:t>204,991</w:t>
            </w:r>
          </w:p>
        </w:tc>
      </w:tr>
      <w:tr>
        <w:trPr>
          <w:trHeight w:val="20"/>
        </w:trPr>
        <w:tc>
          <w:tcPr>
            <w:tcW w:w="474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r>
        <w:trPr>
          <w:trHeight w:val="459"/>
        </w:trPr>
        <w:tc>
          <w:tcPr>
            <w:tcW w:w="4740" w:type="dxa"/>
            <w:vAlign w:val="bottom"/>
          </w:tcPr>
          <w:p>
            <w:pPr>
              <w:spacing w:after="0"/>
              <w:rPr>
                <w:sz w:val="24"/>
                <w:szCs w:val="24"/>
                <w:color w:val="auto"/>
              </w:rPr>
            </w:pPr>
          </w:p>
        </w:tc>
        <w:tc>
          <w:tcPr>
            <w:tcW w:w="2600" w:type="dxa"/>
            <w:vAlign w:val="bottom"/>
          </w:tcPr>
          <w:p>
            <w:pPr>
              <w:jc w:val="right"/>
              <w:ind w:right="1493"/>
              <w:spacing w:after="0"/>
              <w:rPr>
                <w:sz w:val="20"/>
                <w:szCs w:val="20"/>
                <w:color w:val="auto"/>
              </w:rPr>
            </w:pPr>
            <w:r>
              <w:rPr>
                <w:rFonts w:ascii="Times New Roman" w:cs="Times New Roman" w:eastAsia="Times New Roman" w:hAnsi="Times New Roman"/>
                <w:sz w:val="21"/>
                <w:szCs w:val="21"/>
                <w:color w:val="auto"/>
              </w:rPr>
              <w:t>53</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04"/>
        </w:trPr>
        <w:tc>
          <w:tcPr>
            <w:tcW w:w="47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jc w:val="center"/>
        <w:ind w:right="-39"/>
        <w:spacing w:after="0" w:line="235" w:lineRule="auto"/>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1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The term gross margin is not intended to represent operating revenues, the most comparable GAAP financial measure, as an indicator of operating performance. In addition, our measurement of gross margin is not necessarily comparable to similarly titled measures reported by other companies.</w:t>
      </w:r>
    </w:p>
    <w:p>
      <w:pPr>
        <w:spacing w:after="0" w:line="17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1"/>
          <w:szCs w:val="21"/>
          <w:color w:val="auto"/>
        </w:rPr>
        <w:t>On March 31, 2020, we changed the method of tax accounting for certain qualifying infrastructure investments at Peoples Natural Gas, our largest natural gas subsidiary in Pennsylvania, which provided for a reduction to income tax expense of $4,710 due to the flow-through treatment of the current tax benefits. In addition, since the date of acquisition of March 16, 2020, operating revenues of $280,300, operations and maintenance expenses of $127,236, and earnings of $6,131 were included in our consolidated operating results reflecting our regulated and non-regulated natural gas operations.</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u w:val="single" w:color="auto"/>
          <w:color w:val="auto"/>
        </w:rPr>
        <w:t>Impact of Recent Accounting Pronouncements</w:t>
      </w:r>
    </w:p>
    <w:p>
      <w:pPr>
        <w:spacing w:after="0" w:line="20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1"/>
          <w:szCs w:val="21"/>
          <w:color w:val="auto"/>
        </w:rPr>
        <w:t xml:space="preserve">We describe the impact of recent accounting pronouncements in Note 17, </w:t>
      </w:r>
      <w:r>
        <w:rPr>
          <w:rFonts w:ascii="Times New Roman" w:cs="Times New Roman" w:eastAsia="Times New Roman" w:hAnsi="Times New Roman"/>
          <w:sz w:val="21"/>
          <w:szCs w:val="21"/>
          <w:i w:val="1"/>
          <w:iCs w:val="1"/>
          <w:color w:val="auto"/>
        </w:rPr>
        <w:t>Recent Accounting Pronouncements</w:t>
      </w:r>
      <w:r>
        <w:rPr>
          <w:rFonts w:ascii="Times New Roman" w:cs="Times New Roman" w:eastAsia="Times New Roman" w:hAnsi="Times New Roman"/>
          <w:sz w:val="21"/>
          <w:szCs w:val="21"/>
          <w:color w:val="auto"/>
        </w:rPr>
        <w:t>, to the consolidated financial statements in this report.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55" w:name="page56"/>
    <w:bookmarkEnd w:id="55"/>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 – Quantitative and Qualitative Disclosures About Market Risk</w:t>
      </w:r>
    </w:p>
    <w:p>
      <w:pPr>
        <w:spacing w:after="0" w:line="21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1"/>
          <w:szCs w:val="21"/>
          <w:color w:val="auto"/>
        </w:rPr>
        <w:t>We are subject to market risks in the normal course of business, including changes in interest rates and equity prices. Volatile equity market conditions arising from the COVID-19 pandemic may result in our pension and other post-retirement plans’ assets market values suffering a decline, which could increase our required cash contributions to the plans and expense in subsequent years. Refer to Item 7A of the Company’s Annual Report on Form 10-K for the year ended December 31, 2019, filed February 28, 2020, for additional information on market risks.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 – Controls and Procedures</w:t>
      </w:r>
    </w:p>
    <w:p>
      <w:pPr>
        <w:spacing w:after="0" w:line="213" w:lineRule="exact"/>
        <w:rPr>
          <w:sz w:val="20"/>
          <w:szCs w:val="20"/>
          <w:color w:val="auto"/>
        </w:rPr>
      </w:pPr>
    </w:p>
    <w:p>
      <w:pPr>
        <w:ind w:left="640" w:hanging="633"/>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Evaluation of Disclosure Controls and Procedures</w:t>
      </w:r>
    </w:p>
    <w:p>
      <w:pPr>
        <w:spacing w:after="0" w:line="213"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1"/>
          <w:szCs w:val="21"/>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78" w:lineRule="exact"/>
        <w:rPr>
          <w:sz w:val="20"/>
          <w:szCs w:val="20"/>
          <w:color w:val="auto"/>
        </w:rPr>
      </w:pPr>
    </w:p>
    <w:p>
      <w:pPr>
        <w:ind w:left="640" w:hanging="633"/>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Internal Control over Financial Reporting</w:t>
      </w:r>
    </w:p>
    <w:p>
      <w:pPr>
        <w:spacing w:after="0" w:line="20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1"/>
          <w:szCs w:val="21"/>
          <w:color w:val="auto"/>
        </w:rPr>
        <w:t xml:space="preserve">On March 16, 2020, we completed the Peoples Gas Acquisition. For additional information refer to Note 3 – </w:t>
      </w:r>
      <w:r>
        <w:rPr>
          <w:rFonts w:ascii="Times New Roman" w:cs="Times New Roman" w:eastAsia="Times New Roman" w:hAnsi="Times New Roman"/>
          <w:sz w:val="21"/>
          <w:szCs w:val="21"/>
          <w:i w:val="1"/>
          <w:iCs w:val="1"/>
          <w:color w:val="auto"/>
        </w:rPr>
        <w:t>Acquisitions</w:t>
      </w:r>
      <w:r>
        <w:rPr>
          <w:rFonts w:ascii="Times New Roman" w:cs="Times New Roman" w:eastAsia="Times New Roman" w:hAnsi="Times New Roman"/>
          <w:sz w:val="21"/>
          <w:szCs w:val="21"/>
          <w:color w:val="auto"/>
        </w:rPr>
        <w:t xml:space="preserve"> to the consolidated financial statements included in this report. We consider this acquisition material to our business, financial condition, and results of operations, and believe the changes in our internal controls and procedures as a result of the Peoples Gas Acquisition have a material effect on our internal control over financial reporting. We are in the process of integrating Peoples internal controls over financial reporting.</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Part II. Other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 – Legal Proceedings</w:t>
      </w:r>
    </w:p>
    <w:p>
      <w:pPr>
        <w:spacing w:after="0" w:line="213"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21"/>
          <w:szCs w:val="21"/>
          <w:color w:val="auto"/>
        </w:rPr>
        <w:t>We are party to various legal proceedings in the ordinary course of business. Although the results of these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1A – Risk Factors</w:t>
      </w:r>
    </w:p>
    <w:p>
      <w:pPr>
        <w:spacing w:after="0" w:line="21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Please review the risks disclosed in our Annual Report on Form 10-K for the year ended December 31, 2019, and in our Quarterly Report on Form 10-Q for the quarters ended March 31, 2020 and June 30, 2020 under “Part 1, Item 1A – Risk Factors.” In addition, we provide the following risk factors related to our business:</w:t>
      </w:r>
    </w:p>
    <w:p>
      <w:pPr>
        <w:spacing w:after="0" w:line="16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1"/>
          <w:szCs w:val="21"/>
          <w:b w:val="1"/>
          <w:bCs w:val="1"/>
          <w:i w:val="1"/>
          <w:iCs w:val="1"/>
          <w:color w:val="auto"/>
        </w:rPr>
        <w:t>The price of our common stock may be volatile. This volatility may affect the price at which you could sell our common stock, and the sale or resale of substantial amounts of our common stock could adversely affect the market price of our common stock.</w:t>
      </w:r>
    </w:p>
    <w:p>
      <w:pPr>
        <w:spacing w:after="0" w:line="200" w:lineRule="exact"/>
        <w:rPr>
          <w:sz w:val="20"/>
          <w:szCs w:val="20"/>
          <w:color w:val="auto"/>
        </w:rPr>
      </w:pPr>
    </w:p>
    <w:p>
      <w:pPr>
        <w:spacing w:after="0" w:line="214"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1"/>
          <w:szCs w:val="21"/>
          <w:color w:val="auto"/>
        </w:rPr>
        <w:t>The sale or issuance of substantial amounts of our common stock, or the perception that additional sales or issuances could occur, could adversely affect the market price of our common stock, even if the business is doing well. In addition, the availability for sale of substantial amounts of our common stock could adversely impact its market price. Shares of our common stock will also be issuable upon settlement or redemption of our stock purchase contracts and the number of shares may be substantial. The settlement rates for the stock purchase contracts will be subject to certain anti-dilution adjustments that could increase, potentially significantly, the number of shares of our common stock issuable upon such settlement or redemption. Further, if we elect, or are required, to settle the forward sale agreement with shares of our common stock, delivery of such shares would result in dilution to our earnings per share and return on equity. Any of the foregoing may also impair our ability to raise additional capital through the sale of our equity securities.</w:t>
      </w:r>
    </w:p>
    <w:p>
      <w:pPr>
        <w:spacing w:after="0" w:line="17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b w:val="1"/>
          <w:bCs w:val="1"/>
          <w:i w:val="1"/>
          <w:iCs w:val="1"/>
          <w:color w:val="212529"/>
        </w:rPr>
        <w:t>Our business is impacted by weather conditions and is subject to seasonal fluctuations, which could harm demand for water and natural gas services and our business, financial condition, and results of operations.</w:t>
      </w:r>
    </w:p>
    <w:p>
      <w:pPr>
        <w:spacing w:after="0" w:line="149"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1"/>
          <w:szCs w:val="21"/>
          <w:color w:val="212529"/>
        </w:rPr>
        <w:t>Peoples’ revenues are temperature sensitive and vary from year-to-year, depending on weather conditions, with a substantial portion (approximately 74% in 2019) of Peoples’ total throughput occurring in the first and fourth quarters of the year. This has the effect of reducing our quarterly revenues in the spring and summer months. In addition, warmer-than-normal-weather conditions can decrease the amount of natural gas Peoples sells in any year, which could adversely affect our business, financial condition, and results of operations.</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57" w:name="page58"/>
    <w:bookmarkEnd w:id="57"/>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 – Unregistered Sales of Equity Securities and Use of Proceeds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the Company’s purchases of its common stock for the quarter ended September 30,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16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Issuer Purchases of Equity Securities</w:t>
            </w:r>
          </w:p>
        </w:tc>
        <w:tc>
          <w:tcPr>
            <w:tcW w:w="1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1"/>
                <w:szCs w:val="21"/>
                <w:color w:val="auto"/>
              </w:rPr>
              <w:t>Total</w:t>
            </w: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Maximum</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60"/>
              <w:spacing w:after="0" w:line="227" w:lineRule="exact"/>
              <w:rPr>
                <w:sz w:val="20"/>
                <w:szCs w:val="20"/>
                <w:color w:val="auto"/>
              </w:rPr>
            </w:pPr>
            <w:r>
              <w:rPr>
                <w:rFonts w:ascii="Times New Roman" w:cs="Times New Roman" w:eastAsia="Times New Roman" w:hAnsi="Times New Roman"/>
                <w:sz w:val="21"/>
                <w:szCs w:val="21"/>
                <w:color w:val="auto"/>
              </w:rPr>
              <w:t>Number of</w:t>
            </w:r>
          </w:p>
        </w:tc>
        <w:tc>
          <w:tcPr>
            <w:tcW w:w="18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Number of</w:t>
            </w: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60"/>
              <w:spacing w:after="0" w:line="227" w:lineRule="exact"/>
              <w:rPr>
                <w:sz w:val="20"/>
                <w:szCs w:val="20"/>
                <w:color w:val="auto"/>
              </w:rPr>
            </w:pPr>
            <w:r>
              <w:rPr>
                <w:rFonts w:ascii="Times New Roman" w:cs="Times New Roman" w:eastAsia="Times New Roman" w:hAnsi="Times New Roman"/>
                <w:sz w:val="21"/>
                <w:szCs w:val="21"/>
                <w:color w:val="auto"/>
              </w:rPr>
              <w:t>Shares</w:t>
            </w:r>
          </w:p>
        </w:tc>
        <w:tc>
          <w:tcPr>
            <w:tcW w:w="18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Shares</w:t>
            </w: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60"/>
              <w:spacing w:after="0" w:line="227" w:lineRule="exact"/>
              <w:rPr>
                <w:sz w:val="20"/>
                <w:szCs w:val="20"/>
                <w:color w:val="auto"/>
              </w:rPr>
            </w:pPr>
            <w:r>
              <w:rPr>
                <w:rFonts w:ascii="Times New Roman" w:cs="Times New Roman" w:eastAsia="Times New Roman" w:hAnsi="Times New Roman"/>
                <w:sz w:val="21"/>
                <w:szCs w:val="21"/>
                <w:color w:val="auto"/>
              </w:rPr>
              <w:t>Purchased</w:t>
            </w:r>
          </w:p>
        </w:tc>
        <w:tc>
          <w:tcPr>
            <w:tcW w:w="18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that May</w:t>
            </w: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60"/>
              <w:spacing w:after="0" w:line="227" w:lineRule="exact"/>
              <w:rPr>
                <w:sz w:val="20"/>
                <w:szCs w:val="20"/>
                <w:color w:val="auto"/>
              </w:rPr>
            </w:pPr>
            <w:r>
              <w:rPr>
                <w:rFonts w:ascii="Times New Roman" w:cs="Times New Roman" w:eastAsia="Times New Roman" w:hAnsi="Times New Roman"/>
                <w:sz w:val="21"/>
                <w:szCs w:val="21"/>
                <w:color w:val="auto"/>
              </w:rPr>
              <w:t>as Part of</w:t>
            </w:r>
          </w:p>
        </w:tc>
        <w:tc>
          <w:tcPr>
            <w:tcW w:w="18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Yet be</w:t>
            </w: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60" w:type="dxa"/>
            <w:vAlign w:val="bottom"/>
            <w:gridSpan w:val="2"/>
          </w:tcPr>
          <w:p>
            <w:pPr>
              <w:jc w:val="right"/>
              <w:ind w:right="140"/>
              <w:spacing w:after="0" w:line="227" w:lineRule="exact"/>
              <w:rPr>
                <w:sz w:val="20"/>
                <w:szCs w:val="20"/>
                <w:color w:val="auto"/>
              </w:rPr>
            </w:pPr>
            <w:r>
              <w:rPr>
                <w:rFonts w:ascii="Times New Roman" w:cs="Times New Roman" w:eastAsia="Times New Roman" w:hAnsi="Times New Roman"/>
                <w:sz w:val="21"/>
                <w:szCs w:val="21"/>
                <w:color w:val="auto"/>
              </w:rPr>
              <w:t>Total</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60"/>
              <w:spacing w:after="0" w:line="227" w:lineRule="exact"/>
              <w:rPr>
                <w:sz w:val="20"/>
                <w:szCs w:val="20"/>
                <w:color w:val="auto"/>
              </w:rPr>
            </w:pPr>
            <w:r>
              <w:rPr>
                <w:rFonts w:ascii="Times New Roman" w:cs="Times New Roman" w:eastAsia="Times New Roman" w:hAnsi="Times New Roman"/>
                <w:sz w:val="21"/>
                <w:szCs w:val="21"/>
                <w:color w:val="auto"/>
              </w:rPr>
              <w:t>Publicly</w:t>
            </w:r>
          </w:p>
        </w:tc>
        <w:tc>
          <w:tcPr>
            <w:tcW w:w="18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Purchased</w:t>
            </w: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60" w:type="dxa"/>
            <w:vAlign w:val="bottom"/>
            <w:gridSpan w:val="2"/>
          </w:tcPr>
          <w:p>
            <w:pPr>
              <w:jc w:val="right"/>
              <w:ind w:right="140"/>
              <w:spacing w:after="0" w:line="227" w:lineRule="exact"/>
              <w:rPr>
                <w:sz w:val="20"/>
                <w:szCs w:val="20"/>
                <w:color w:val="auto"/>
              </w:rPr>
            </w:pPr>
            <w:r>
              <w:rPr>
                <w:rFonts w:ascii="Times New Roman" w:cs="Times New Roman" w:eastAsia="Times New Roman" w:hAnsi="Times New Roman"/>
                <w:sz w:val="21"/>
                <w:szCs w:val="21"/>
                <w:color w:val="auto"/>
              </w:rPr>
              <w:t>Number</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260"/>
              <w:spacing w:after="0" w:line="227" w:lineRule="exact"/>
              <w:rPr>
                <w:sz w:val="20"/>
                <w:szCs w:val="20"/>
                <w:color w:val="auto"/>
              </w:rPr>
            </w:pPr>
            <w:r>
              <w:rPr>
                <w:rFonts w:ascii="Times New Roman" w:cs="Times New Roman" w:eastAsia="Times New Roman" w:hAnsi="Times New Roman"/>
                <w:sz w:val="21"/>
                <w:szCs w:val="21"/>
                <w:color w:val="auto"/>
              </w:rPr>
              <w:t>Average</w:t>
            </w:r>
          </w:p>
        </w:tc>
        <w:tc>
          <w:tcPr>
            <w:tcW w:w="1860" w:type="dxa"/>
            <w:vAlign w:val="bottom"/>
            <w:gridSpan w:val="2"/>
          </w:tcPr>
          <w:p>
            <w:pPr>
              <w:jc w:val="right"/>
              <w:ind w:right="260"/>
              <w:spacing w:after="0" w:line="227" w:lineRule="exact"/>
              <w:rPr>
                <w:sz w:val="20"/>
                <w:szCs w:val="20"/>
                <w:color w:val="auto"/>
              </w:rPr>
            </w:pPr>
            <w:r>
              <w:rPr>
                <w:rFonts w:ascii="Times New Roman" w:cs="Times New Roman" w:eastAsia="Times New Roman" w:hAnsi="Times New Roman"/>
                <w:sz w:val="21"/>
                <w:szCs w:val="21"/>
                <w:color w:val="auto"/>
              </w:rPr>
              <w:t>Announced</w:t>
            </w:r>
          </w:p>
        </w:tc>
        <w:tc>
          <w:tcPr>
            <w:tcW w:w="18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Under the</w:t>
            </w: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60" w:type="dxa"/>
            <w:vAlign w:val="bottom"/>
            <w:gridSpan w:val="2"/>
          </w:tcPr>
          <w:p>
            <w:pPr>
              <w:jc w:val="right"/>
              <w:ind w:right="140"/>
              <w:spacing w:after="0" w:line="227" w:lineRule="exact"/>
              <w:rPr>
                <w:sz w:val="20"/>
                <w:szCs w:val="20"/>
                <w:color w:val="auto"/>
              </w:rPr>
            </w:pPr>
            <w:r>
              <w:rPr>
                <w:rFonts w:ascii="Times New Roman" w:cs="Times New Roman" w:eastAsia="Times New Roman" w:hAnsi="Times New Roman"/>
                <w:sz w:val="21"/>
                <w:szCs w:val="21"/>
                <w:color w:val="auto"/>
              </w:rPr>
              <w:t>of Shares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27" w:lineRule="exact"/>
              <w:rPr>
                <w:sz w:val="20"/>
                <w:szCs w:val="20"/>
                <w:color w:val="auto"/>
              </w:rPr>
            </w:pPr>
            <w:r>
              <w:rPr>
                <w:rFonts w:ascii="Times New Roman" w:cs="Times New Roman" w:eastAsia="Times New Roman" w:hAnsi="Times New Roman"/>
                <w:sz w:val="21"/>
                <w:szCs w:val="21"/>
                <w:color w:val="auto"/>
              </w:rPr>
              <w:t>Price Paid</w:t>
            </w:r>
          </w:p>
        </w:tc>
        <w:tc>
          <w:tcPr>
            <w:tcW w:w="1860" w:type="dxa"/>
            <w:vAlign w:val="bottom"/>
            <w:gridSpan w:val="2"/>
          </w:tcPr>
          <w:p>
            <w:pPr>
              <w:jc w:val="right"/>
              <w:ind w:right="260"/>
              <w:spacing w:after="0" w:line="227" w:lineRule="exact"/>
              <w:rPr>
                <w:sz w:val="20"/>
                <w:szCs w:val="20"/>
                <w:color w:val="auto"/>
              </w:rPr>
            </w:pPr>
            <w:r>
              <w:rPr>
                <w:rFonts w:ascii="Times New Roman" w:cs="Times New Roman" w:eastAsia="Times New Roman" w:hAnsi="Times New Roman"/>
                <w:sz w:val="21"/>
                <w:szCs w:val="21"/>
                <w:color w:val="auto"/>
              </w:rPr>
              <w:t>Plans or</w:t>
            </w:r>
          </w:p>
        </w:tc>
        <w:tc>
          <w:tcPr>
            <w:tcW w:w="18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Plan or</w:t>
            </w:r>
          </w:p>
        </w:tc>
        <w:tc>
          <w:tcPr>
            <w:tcW w:w="0" w:type="dxa"/>
            <w:vAlign w:val="bottom"/>
          </w:tcPr>
          <w:p>
            <w:pPr>
              <w:spacing w:after="0"/>
              <w:rPr>
                <w:sz w:val="1"/>
                <w:szCs w:val="1"/>
                <w:color w:val="auto"/>
              </w:rPr>
            </w:pPr>
          </w:p>
        </w:tc>
      </w:tr>
      <w:tr>
        <w:trPr>
          <w:trHeight w:val="228"/>
        </w:trPr>
        <w:tc>
          <w:tcPr>
            <w:tcW w:w="3400" w:type="dxa"/>
            <w:vAlign w:val="bottom"/>
            <w:gridSpan w:val="2"/>
          </w:tcPr>
          <w:p>
            <w:pPr>
              <w:spacing w:after="0" w:line="228" w:lineRule="exact"/>
              <w:rPr>
                <w:sz w:val="20"/>
                <w:szCs w:val="20"/>
                <w:color w:val="auto"/>
              </w:rPr>
            </w:pPr>
            <w:r>
              <w:rPr>
                <w:rFonts w:ascii="Times New Roman" w:cs="Times New Roman" w:eastAsia="Times New Roman" w:hAnsi="Times New Roman"/>
                <w:sz w:val="21"/>
                <w:szCs w:val="21"/>
                <w:color w:val="auto"/>
              </w:rPr>
              <w:t>Period</w:t>
            </w:r>
          </w:p>
        </w:tc>
        <w:tc>
          <w:tcPr>
            <w:tcW w:w="206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1"/>
                <w:szCs w:val="21"/>
                <w:color w:val="auto"/>
              </w:rPr>
              <w:t>Purchased (1)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28" w:lineRule="exact"/>
              <w:rPr>
                <w:sz w:val="20"/>
                <w:szCs w:val="20"/>
                <w:color w:val="auto"/>
              </w:rPr>
            </w:pPr>
            <w:r>
              <w:rPr>
                <w:rFonts w:ascii="Times New Roman" w:cs="Times New Roman" w:eastAsia="Times New Roman" w:hAnsi="Times New Roman"/>
                <w:sz w:val="21"/>
                <w:szCs w:val="21"/>
                <w:color w:val="auto"/>
              </w:rPr>
              <w:t>per Share</w:t>
            </w:r>
          </w:p>
        </w:tc>
        <w:tc>
          <w:tcPr>
            <w:tcW w:w="1860" w:type="dxa"/>
            <w:vAlign w:val="bottom"/>
            <w:gridSpan w:val="2"/>
          </w:tcPr>
          <w:p>
            <w:pPr>
              <w:jc w:val="right"/>
              <w:ind w:right="260"/>
              <w:spacing w:after="0" w:line="228" w:lineRule="exact"/>
              <w:rPr>
                <w:sz w:val="20"/>
                <w:szCs w:val="20"/>
                <w:color w:val="auto"/>
              </w:rPr>
            </w:pPr>
            <w:r>
              <w:rPr>
                <w:rFonts w:ascii="Times New Roman" w:cs="Times New Roman" w:eastAsia="Times New Roman" w:hAnsi="Times New Roman"/>
                <w:sz w:val="21"/>
                <w:szCs w:val="21"/>
                <w:color w:val="auto"/>
              </w:rPr>
              <w:t>Programs</w:t>
            </w:r>
          </w:p>
        </w:tc>
        <w:tc>
          <w:tcPr>
            <w:tcW w:w="182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Programs</w:t>
            </w: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00" w:type="dxa"/>
            <w:vAlign w:val="bottom"/>
            <w:gridSpan w:val="2"/>
            <w:shd w:val="clear" w:color="auto" w:fill="CCEEFF"/>
          </w:tcPr>
          <w:p>
            <w:pPr>
              <w:spacing w:after="0" w:line="208" w:lineRule="exact"/>
              <w:rPr>
                <w:sz w:val="20"/>
                <w:szCs w:val="20"/>
                <w:color w:val="auto"/>
              </w:rPr>
            </w:pPr>
            <w:r>
              <w:rPr>
                <w:rFonts w:ascii="Times New Roman" w:cs="Times New Roman" w:eastAsia="Times New Roman" w:hAnsi="Times New Roman"/>
                <w:sz w:val="21"/>
                <w:szCs w:val="21"/>
                <w:color w:val="auto"/>
              </w:rPr>
              <w:t>July 1-31, 2020</w:t>
            </w:r>
          </w:p>
        </w:tc>
        <w:tc>
          <w:tcPr>
            <w:tcW w:w="192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1"/>
                <w:szCs w:val="21"/>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53"/>
              <w:spacing w:after="0" w:line="208" w:lineRule="exact"/>
              <w:rPr>
                <w:sz w:val="20"/>
                <w:szCs w:val="20"/>
                <w:color w:val="auto"/>
              </w:rPr>
            </w:pPr>
            <w:r>
              <w:rPr>
                <w:rFonts w:ascii="Times New Roman" w:cs="Times New Roman" w:eastAsia="Times New Roman" w:hAnsi="Times New Roman"/>
                <w:sz w:val="21"/>
                <w:szCs w:val="21"/>
                <w:color w:val="auto"/>
                <w:w w:val="94"/>
              </w:rPr>
              <w:t>$</w:t>
            </w:r>
          </w:p>
        </w:tc>
        <w:tc>
          <w:tcPr>
            <w:tcW w:w="1240" w:type="dxa"/>
            <w:vAlign w:val="bottom"/>
            <w:gridSpan w:val="2"/>
            <w:shd w:val="clear" w:color="auto" w:fill="CCEEFF"/>
          </w:tcPr>
          <w:p>
            <w:pPr>
              <w:jc w:val="right"/>
              <w:spacing w:after="0" w:line="208" w:lineRule="exact"/>
              <w:rPr>
                <w:sz w:val="20"/>
                <w:szCs w:val="20"/>
                <w:color w:val="auto"/>
              </w:rPr>
            </w:pPr>
            <w:r>
              <w:rPr>
                <w:rFonts w:ascii="Times New Roman" w:cs="Times New Roman" w:eastAsia="Times New Roman" w:hAnsi="Times New Roman"/>
                <w:sz w:val="21"/>
                <w:szCs w:val="21"/>
                <w:color w:val="auto"/>
              </w:rPr>
              <w:t>42.86</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1"/>
                <w:szCs w:val="21"/>
                <w:color w:val="auto"/>
              </w:rPr>
              <w:t>-</w:t>
            </w: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27"/>
        </w:trPr>
        <w:tc>
          <w:tcPr>
            <w:tcW w:w="3400" w:type="dxa"/>
            <w:vAlign w:val="bottom"/>
            <w:gridSpan w:val="2"/>
          </w:tcPr>
          <w:p>
            <w:pPr>
              <w:spacing w:after="0" w:line="227" w:lineRule="exact"/>
              <w:rPr>
                <w:sz w:val="20"/>
                <w:szCs w:val="20"/>
                <w:color w:val="auto"/>
              </w:rPr>
            </w:pPr>
            <w:r>
              <w:rPr>
                <w:rFonts w:ascii="Times New Roman" w:cs="Times New Roman" w:eastAsia="Times New Roman" w:hAnsi="Times New Roman"/>
                <w:sz w:val="21"/>
                <w:szCs w:val="21"/>
                <w:color w:val="auto"/>
              </w:rPr>
              <w:t>August 1-31, 2020</w:t>
            </w:r>
          </w:p>
        </w:tc>
        <w:tc>
          <w:tcPr>
            <w:tcW w:w="19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32</w:t>
            </w:r>
          </w:p>
        </w:tc>
        <w:tc>
          <w:tcPr>
            <w:tcW w:w="140" w:type="dxa"/>
            <w:vAlign w:val="bottom"/>
          </w:tcPr>
          <w:p>
            <w:pPr>
              <w:spacing w:after="0"/>
              <w:rPr>
                <w:sz w:val="19"/>
                <w:szCs w:val="19"/>
                <w:color w:val="auto"/>
              </w:rPr>
            </w:pPr>
          </w:p>
        </w:tc>
        <w:tc>
          <w:tcPr>
            <w:tcW w:w="600" w:type="dxa"/>
            <w:vAlign w:val="bottom"/>
            <w:gridSpan w:val="2"/>
          </w:tcPr>
          <w:p>
            <w:pPr>
              <w:jc w:val="right"/>
              <w:ind w:right="253"/>
              <w:spacing w:after="0" w:line="227" w:lineRule="exact"/>
              <w:rPr>
                <w:sz w:val="20"/>
                <w:szCs w:val="20"/>
                <w:color w:val="auto"/>
              </w:rPr>
            </w:pPr>
            <w:r>
              <w:rPr>
                <w:rFonts w:ascii="Times New Roman" w:cs="Times New Roman" w:eastAsia="Times New Roman" w:hAnsi="Times New Roman"/>
                <w:sz w:val="21"/>
                <w:szCs w:val="21"/>
                <w:color w:val="auto"/>
              </w:rPr>
              <w:t>$</w:t>
            </w:r>
          </w:p>
        </w:tc>
        <w:tc>
          <w:tcPr>
            <w:tcW w:w="1500" w:type="dxa"/>
            <w:vAlign w:val="bottom"/>
            <w:gridSpan w:val="3"/>
          </w:tcPr>
          <w:p>
            <w:pPr>
              <w:jc w:val="right"/>
              <w:ind w:right="260"/>
              <w:spacing w:after="0" w:line="227" w:lineRule="exact"/>
              <w:rPr>
                <w:sz w:val="20"/>
                <w:szCs w:val="20"/>
                <w:color w:val="auto"/>
              </w:rPr>
            </w:pPr>
            <w:r>
              <w:rPr>
                <w:rFonts w:ascii="Times New Roman" w:cs="Times New Roman" w:eastAsia="Times New Roman" w:hAnsi="Times New Roman"/>
                <w:sz w:val="21"/>
                <w:szCs w:val="21"/>
                <w:color w:val="auto"/>
              </w:rPr>
              <w:t>45.31</w:t>
            </w:r>
          </w:p>
        </w:tc>
        <w:tc>
          <w:tcPr>
            <w:tcW w:w="160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260" w:type="dxa"/>
            <w:vAlign w:val="bottom"/>
          </w:tcPr>
          <w:p>
            <w:pPr>
              <w:spacing w:after="0"/>
              <w:rPr>
                <w:sz w:val="19"/>
                <w:szCs w:val="19"/>
                <w:color w:val="auto"/>
              </w:rPr>
            </w:pPr>
          </w:p>
        </w:tc>
        <w:tc>
          <w:tcPr>
            <w:tcW w:w="18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27"/>
        </w:trPr>
        <w:tc>
          <w:tcPr>
            <w:tcW w:w="340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21"/>
                <w:szCs w:val="21"/>
                <w:color w:val="auto"/>
              </w:rPr>
              <w:t>September 1-30, 2020</w:t>
            </w:r>
          </w:p>
        </w:tc>
        <w:tc>
          <w:tcPr>
            <w:tcW w:w="19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1</w:t>
            </w: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53"/>
              <w:spacing w:after="0" w:line="227" w:lineRule="exact"/>
              <w:rPr>
                <w:sz w:val="20"/>
                <w:szCs w:val="20"/>
                <w:color w:val="auto"/>
              </w:rPr>
            </w:pPr>
            <w:r>
              <w:rPr>
                <w:rFonts w:ascii="Times New Roman" w:cs="Times New Roman" w:eastAsia="Times New Roman" w:hAnsi="Times New Roman"/>
                <w:sz w:val="21"/>
                <w:szCs w:val="21"/>
                <w:color w:val="auto"/>
              </w:rPr>
              <w:t>$</w:t>
            </w:r>
          </w:p>
        </w:tc>
        <w:tc>
          <w:tcPr>
            <w:tcW w:w="1500" w:type="dxa"/>
            <w:vAlign w:val="bottom"/>
            <w:gridSpan w:val="3"/>
            <w:shd w:val="clear" w:color="auto" w:fill="CCEEFF"/>
          </w:tcPr>
          <w:p>
            <w:pPr>
              <w:jc w:val="right"/>
              <w:ind w:right="260"/>
              <w:spacing w:after="0" w:line="227" w:lineRule="exact"/>
              <w:rPr>
                <w:sz w:val="20"/>
                <w:szCs w:val="20"/>
                <w:color w:val="auto"/>
              </w:rPr>
            </w:pPr>
            <w:r>
              <w:rPr>
                <w:rFonts w:ascii="Times New Roman" w:cs="Times New Roman" w:eastAsia="Times New Roman" w:hAnsi="Times New Roman"/>
                <w:sz w:val="21"/>
                <w:szCs w:val="21"/>
                <w:color w:val="auto"/>
              </w:rPr>
              <w:t>45.31</w:t>
            </w:r>
          </w:p>
        </w:tc>
        <w:tc>
          <w:tcPr>
            <w:tcW w:w="160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21"/>
        </w:trPr>
        <w:tc>
          <w:tcPr>
            <w:tcW w:w="3400" w:type="dxa"/>
            <w:vAlign w:val="bottom"/>
            <w:gridSpan w:val="2"/>
          </w:tcPr>
          <w:p>
            <w:pPr>
              <w:spacing w:after="0" w:line="221" w:lineRule="exact"/>
              <w:rPr>
                <w:sz w:val="20"/>
                <w:szCs w:val="20"/>
                <w:color w:val="auto"/>
              </w:rPr>
            </w:pPr>
            <w:r>
              <w:rPr>
                <w:rFonts w:ascii="Times New Roman" w:cs="Times New Roman" w:eastAsia="Times New Roman" w:hAnsi="Times New Roman"/>
                <w:sz w:val="21"/>
                <w:szCs w:val="21"/>
                <w:color w:val="auto"/>
              </w:rPr>
              <w:t>Total</w:t>
            </w:r>
          </w:p>
        </w:tc>
        <w:tc>
          <w:tcPr>
            <w:tcW w:w="19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53"/>
              <w:spacing w:after="0" w:line="221" w:lineRule="exact"/>
              <w:rPr>
                <w:sz w:val="20"/>
                <w:szCs w:val="20"/>
                <w:color w:val="auto"/>
              </w:rPr>
            </w:pPr>
            <w:r>
              <w:rPr>
                <w:rFonts w:ascii="Times New Roman" w:cs="Times New Roman" w:eastAsia="Times New Roman" w:hAnsi="Times New Roman"/>
                <w:sz w:val="21"/>
                <w:szCs w:val="21"/>
                <w:color w:val="auto"/>
                <w:w w:val="94"/>
              </w:rPr>
              <w:t>$</w:t>
            </w:r>
          </w:p>
        </w:tc>
        <w:tc>
          <w:tcPr>
            <w:tcW w:w="124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1"/>
                <w:szCs w:val="21"/>
                <w:color w:val="auto"/>
              </w:rPr>
              <w:t>44.69</w:t>
            </w:r>
          </w:p>
        </w:tc>
        <w:tc>
          <w:tcPr>
            <w:tcW w:w="2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w:t>
            </w:r>
          </w:p>
        </w:tc>
        <w:tc>
          <w:tcPr>
            <w:tcW w:w="26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640" w:right="20" w:hanging="312"/>
        <w:spacing w:after="0" w:line="238" w:lineRule="auto"/>
        <w:tabs>
          <w:tab w:leader="none" w:pos="6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amounts consist of 44 shares we acquired from employees associated with the withholding of shares to pay certain withholding taxes upon the vesting of stock-based compensation. This feature of our equity compensation plan is available to all employees who receive stock-based compensation under the plan. We purchased these shares at their fair market value, as determined by reference to the closing price of our common stock on the day prior to the award vesting.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79"/>
        </w:trPr>
        <w:tc>
          <w:tcPr>
            <w:tcW w:w="2120" w:type="dxa"/>
            <w:vAlign w:val="bottom"/>
            <w:gridSpan w:val="2"/>
          </w:tcPr>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736"/>
        </w:trPr>
        <w:tc>
          <w:tcPr>
            <w:tcW w:w="21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Item 6 – Exhibits</w:t>
            </w: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78"/>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Exhibit No.</w:t>
            </w:r>
          </w:p>
        </w:tc>
        <w:tc>
          <w:tcPr>
            <w:tcW w:w="20" w:type="dxa"/>
            <w:vAlign w:val="bottom"/>
          </w:tcPr>
          <w:p>
            <w:pPr>
              <w:spacing w:after="0"/>
              <w:rPr>
                <w:sz w:val="24"/>
                <w:szCs w:val="24"/>
                <w:color w:val="auto"/>
              </w:rPr>
            </w:pPr>
          </w:p>
        </w:tc>
        <w:tc>
          <w:tcPr>
            <w:tcW w:w="9100" w:type="dxa"/>
            <w:vAlign w:val="bottom"/>
            <w:gridSpan w:val="4"/>
          </w:tcPr>
          <w:p>
            <w:pPr>
              <w:ind w:left="40"/>
              <w:spacing w:after="0"/>
              <w:rPr>
                <w:sz w:val="20"/>
                <w:szCs w:val="20"/>
                <w:color w:val="auto"/>
              </w:rPr>
            </w:pPr>
            <w:r>
              <w:rPr>
                <w:rFonts w:ascii="Times New Roman" w:cs="Times New Roman" w:eastAsia="Times New Roman" w:hAnsi="Times New Roman"/>
                <w:sz w:val="21"/>
                <w:szCs w:val="21"/>
                <w:b w:val="1"/>
                <w:bCs w:val="1"/>
                <w:color w:val="auto"/>
              </w:rPr>
              <w:t>Description</w:t>
            </w:r>
          </w:p>
        </w:tc>
      </w:tr>
      <w:tr>
        <w:trPr>
          <w:trHeight w:val="194"/>
        </w:trPr>
        <w:tc>
          <w:tcPr>
            <w:tcW w:w="1700" w:type="dxa"/>
            <w:vAlign w:val="bottom"/>
            <w:tcBorders>
              <w:top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21"/>
                <w:szCs w:val="21"/>
                <w:color w:val="auto"/>
              </w:rPr>
              <w:t>31.1*</w:t>
            </w:r>
          </w:p>
        </w:tc>
        <w:tc>
          <w:tcPr>
            <w:tcW w:w="420" w:type="dxa"/>
            <w:vAlign w:val="bottom"/>
            <w:tcBorders>
              <w:top w:val="single" w:sz="8" w:color="CCEEFF"/>
            </w:tcBorders>
            <w:shd w:val="clear" w:color="auto" w:fill="CCEEFF"/>
          </w:tcPr>
          <w:p>
            <w:pPr>
              <w:spacing w:after="0"/>
              <w:rPr>
                <w:sz w:val="16"/>
                <w:szCs w:val="16"/>
                <w:color w:val="auto"/>
              </w:rPr>
            </w:pPr>
          </w:p>
        </w:tc>
        <w:tc>
          <w:tcPr>
            <w:tcW w:w="9120" w:type="dxa"/>
            <w:vAlign w:val="bottom"/>
            <w:tcBorders>
              <w:top w:val="single" w:sz="8" w:color="auto"/>
            </w:tcBorders>
            <w:gridSpan w:val="5"/>
            <w:shd w:val="clear" w:color="auto" w:fill="CCEEFF"/>
          </w:tcPr>
          <w:p>
            <w:pPr>
              <w:ind w:left="20"/>
              <w:spacing w:after="0" w:line="194" w:lineRule="exact"/>
              <w:rPr>
                <w:rFonts w:ascii="Times New Roman" w:cs="Times New Roman" w:eastAsia="Times New Roman" w:hAnsi="Times New Roman"/>
                <w:sz w:val="21"/>
                <w:szCs w:val="21"/>
                <w:color w:val="0563C1"/>
              </w:rPr>
            </w:pPr>
            <w:hyperlink w:anchor="page61">
              <w:r>
                <w:rPr>
                  <w:rFonts w:ascii="Times New Roman" w:cs="Times New Roman" w:eastAsia="Times New Roman" w:hAnsi="Times New Roman"/>
                  <w:sz w:val="21"/>
                  <w:szCs w:val="21"/>
                  <w:color w:val="0563C1"/>
                </w:rPr>
                <w:t>Certification of Chief Executive Officer, filed pursuant to Rule 13a-14(a) under the Securities and</w:t>
              </w:r>
            </w:hyperlink>
          </w:p>
        </w:tc>
      </w:tr>
      <w:tr>
        <w:trPr>
          <w:trHeight w:val="214"/>
        </w:trPr>
        <w:tc>
          <w:tcPr>
            <w:tcW w:w="1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20" w:type="dxa"/>
            <w:vAlign w:val="bottom"/>
            <w:tcBorders>
              <w:top w:val="single" w:sz="8" w:color="0563C1"/>
            </w:tcBorders>
            <w:gridSpan w:val="3"/>
            <w:shd w:val="clear" w:color="auto" w:fill="CCEEFF"/>
          </w:tcPr>
          <w:p>
            <w:pPr>
              <w:spacing w:after="0" w:line="208" w:lineRule="exact"/>
              <w:rPr>
                <w:rFonts w:ascii="Times New Roman" w:cs="Times New Roman" w:eastAsia="Times New Roman" w:hAnsi="Times New Roman"/>
                <w:sz w:val="21"/>
                <w:szCs w:val="21"/>
                <w:color w:val="0563C1"/>
              </w:rPr>
            </w:pPr>
            <w:hyperlink w:anchor="page61">
              <w:r>
                <w:rPr>
                  <w:rFonts w:ascii="Times New Roman" w:cs="Times New Roman" w:eastAsia="Times New Roman" w:hAnsi="Times New Roman"/>
                  <w:sz w:val="21"/>
                  <w:szCs w:val="21"/>
                  <w:color w:val="0563C1"/>
                </w:rPr>
                <w:t>Exchange Act of 1934</w:t>
              </w:r>
            </w:hyperlink>
          </w:p>
        </w:tc>
        <w:tc>
          <w:tcPr>
            <w:tcW w:w="680" w:type="dxa"/>
            <w:vAlign w:val="bottom"/>
            <w:tcBorders>
              <w:top w:val="single" w:sz="8" w:color="CCEEFF"/>
            </w:tcBorders>
            <w:shd w:val="clear" w:color="auto" w:fill="CCEEFF"/>
          </w:tcPr>
          <w:p>
            <w:pPr>
              <w:spacing w:after="0"/>
              <w:rPr>
                <w:sz w:val="18"/>
                <w:szCs w:val="18"/>
                <w:color w:val="auto"/>
              </w:rPr>
            </w:pPr>
          </w:p>
        </w:tc>
      </w:tr>
      <w:tr>
        <w:trPr>
          <w:trHeight w:val="227"/>
        </w:trPr>
        <w:tc>
          <w:tcPr>
            <w:tcW w:w="17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920" w:type="dxa"/>
            <w:vAlign w:val="bottom"/>
            <w:tcBorders>
              <w:top w:val="single" w:sz="8" w:color="0563C1"/>
            </w:tcBorders>
          </w:tcPr>
          <w:p>
            <w:pPr>
              <w:spacing w:after="0"/>
              <w:rPr>
                <w:sz w:val="19"/>
                <w:szCs w:val="19"/>
                <w:color w:val="auto"/>
              </w:rPr>
            </w:pPr>
          </w:p>
        </w:tc>
        <w:tc>
          <w:tcPr>
            <w:tcW w:w="64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r>
      <w:tr>
        <w:trPr>
          <w:trHeight w:val="201"/>
        </w:trPr>
        <w:tc>
          <w:tcPr>
            <w:tcW w:w="17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21"/>
                <w:szCs w:val="21"/>
                <w:color w:val="auto"/>
              </w:rPr>
              <w:t>31.2*</w:t>
            </w:r>
          </w:p>
        </w:tc>
        <w:tc>
          <w:tcPr>
            <w:tcW w:w="420" w:type="dxa"/>
            <w:vAlign w:val="bottom"/>
            <w:shd w:val="clear" w:color="auto" w:fill="CCEEFF"/>
          </w:tcPr>
          <w:p>
            <w:pPr>
              <w:spacing w:after="0"/>
              <w:rPr>
                <w:sz w:val="17"/>
                <w:szCs w:val="17"/>
                <w:color w:val="auto"/>
              </w:rPr>
            </w:pPr>
          </w:p>
        </w:tc>
        <w:tc>
          <w:tcPr>
            <w:tcW w:w="9120" w:type="dxa"/>
            <w:vAlign w:val="bottom"/>
            <w:gridSpan w:val="5"/>
            <w:shd w:val="clear" w:color="auto" w:fill="CCEEFF"/>
          </w:tcPr>
          <w:p>
            <w:pPr>
              <w:ind w:left="20"/>
              <w:spacing w:after="0" w:line="201" w:lineRule="exact"/>
              <w:rPr>
                <w:rFonts w:ascii="Times New Roman" w:cs="Times New Roman" w:eastAsia="Times New Roman" w:hAnsi="Times New Roman"/>
                <w:sz w:val="21"/>
                <w:szCs w:val="21"/>
                <w:color w:val="0563C1"/>
              </w:rPr>
            </w:pPr>
            <w:hyperlink w:anchor="page62">
              <w:r>
                <w:rPr>
                  <w:rFonts w:ascii="Times New Roman" w:cs="Times New Roman" w:eastAsia="Times New Roman" w:hAnsi="Times New Roman"/>
                  <w:sz w:val="21"/>
                  <w:szCs w:val="21"/>
                  <w:color w:val="0563C1"/>
                </w:rPr>
                <w:t>Certification of Chief Financial Officer, filed pursuant to Rule 13a-14(a) under the Securities and</w:t>
              </w:r>
            </w:hyperlink>
          </w:p>
        </w:tc>
      </w:tr>
      <w:tr>
        <w:trPr>
          <w:trHeight w:val="214"/>
        </w:trPr>
        <w:tc>
          <w:tcPr>
            <w:tcW w:w="1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360" w:type="dxa"/>
            <w:vAlign w:val="bottom"/>
            <w:tcBorders>
              <w:top w:val="single" w:sz="8" w:color="0563C1"/>
            </w:tcBorders>
            <w:gridSpan w:val="2"/>
            <w:shd w:val="clear" w:color="auto" w:fill="CCEEFF"/>
          </w:tcPr>
          <w:p>
            <w:pPr>
              <w:spacing w:after="0" w:line="208" w:lineRule="exact"/>
              <w:rPr>
                <w:rFonts w:ascii="Times New Roman" w:cs="Times New Roman" w:eastAsia="Times New Roman" w:hAnsi="Times New Roman"/>
                <w:sz w:val="21"/>
                <w:szCs w:val="21"/>
                <w:color w:val="0563C1"/>
              </w:rPr>
            </w:pPr>
            <w:hyperlink w:anchor="page62">
              <w:r>
                <w:rPr>
                  <w:rFonts w:ascii="Times New Roman" w:cs="Times New Roman" w:eastAsia="Times New Roman" w:hAnsi="Times New Roman"/>
                  <w:sz w:val="21"/>
                  <w:szCs w:val="21"/>
                  <w:color w:val="0563C1"/>
                </w:rPr>
                <w:t>Exchange Act of 1934</w:t>
              </w:r>
            </w:hyperlink>
          </w:p>
        </w:tc>
        <w:tc>
          <w:tcPr>
            <w:tcW w:w="740" w:type="dxa"/>
            <w:vAlign w:val="bottom"/>
            <w:tcBorders>
              <w:top w:val="single" w:sz="8" w:color="CCEEFF"/>
            </w:tcBorders>
            <w:gridSpan w:val="2"/>
            <w:shd w:val="clear" w:color="auto" w:fill="CCEEFF"/>
          </w:tcPr>
          <w:p>
            <w:pPr>
              <w:spacing w:after="0"/>
              <w:rPr>
                <w:sz w:val="18"/>
                <w:szCs w:val="18"/>
                <w:color w:val="auto"/>
              </w:rPr>
            </w:pPr>
          </w:p>
        </w:tc>
      </w:tr>
      <w:tr>
        <w:trPr>
          <w:trHeight w:val="227"/>
        </w:trPr>
        <w:tc>
          <w:tcPr>
            <w:tcW w:w="17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920" w:type="dxa"/>
            <w:vAlign w:val="bottom"/>
            <w:tcBorders>
              <w:top w:val="single" w:sz="8" w:color="0563C1"/>
            </w:tcBorders>
          </w:tcPr>
          <w:p>
            <w:pPr>
              <w:spacing w:after="0"/>
              <w:rPr>
                <w:sz w:val="19"/>
                <w:szCs w:val="19"/>
                <w:color w:val="auto"/>
              </w:rPr>
            </w:pPr>
          </w:p>
        </w:tc>
        <w:tc>
          <w:tcPr>
            <w:tcW w:w="64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r>
      <w:tr>
        <w:trPr>
          <w:trHeight w:val="227"/>
        </w:trPr>
        <w:tc>
          <w:tcPr>
            <w:tcW w:w="1700" w:type="dxa"/>
            <w:vAlign w:val="bottom"/>
            <w:shd w:val="clear" w:color="auto" w:fill="CCEEFF"/>
          </w:tcPr>
          <w:p>
            <w:pPr>
              <w:ind w:left="20"/>
              <w:spacing w:after="0" w:line="227" w:lineRule="exact"/>
              <w:rPr>
                <w:sz w:val="20"/>
                <w:szCs w:val="20"/>
                <w:color w:val="auto"/>
              </w:rPr>
            </w:pPr>
            <w:r>
              <w:rPr>
                <w:rFonts w:ascii="Times New Roman" w:cs="Times New Roman" w:eastAsia="Times New Roman" w:hAnsi="Times New Roman"/>
                <w:sz w:val="21"/>
                <w:szCs w:val="21"/>
                <w:color w:val="auto"/>
              </w:rPr>
              <w:t>32.1*</w:t>
            </w:r>
          </w:p>
        </w:tc>
        <w:tc>
          <w:tcPr>
            <w:tcW w:w="420" w:type="dxa"/>
            <w:vAlign w:val="bottom"/>
            <w:shd w:val="clear" w:color="auto" w:fill="CCEEFF"/>
          </w:tcPr>
          <w:p>
            <w:pPr>
              <w:spacing w:after="0"/>
              <w:rPr>
                <w:sz w:val="19"/>
                <w:szCs w:val="19"/>
                <w:color w:val="auto"/>
              </w:rPr>
            </w:pPr>
          </w:p>
        </w:tc>
        <w:tc>
          <w:tcPr>
            <w:tcW w:w="9120" w:type="dxa"/>
            <w:vAlign w:val="bottom"/>
            <w:gridSpan w:val="5"/>
            <w:shd w:val="clear" w:color="auto" w:fill="CCEEFF"/>
          </w:tcPr>
          <w:p>
            <w:pPr>
              <w:ind w:left="20"/>
              <w:spacing w:after="0" w:line="227" w:lineRule="exact"/>
              <w:rPr>
                <w:rFonts w:ascii="Times New Roman" w:cs="Times New Roman" w:eastAsia="Times New Roman" w:hAnsi="Times New Roman"/>
                <w:sz w:val="21"/>
                <w:szCs w:val="21"/>
                <w:u w:val="single" w:color="auto"/>
                <w:color w:val="0563C1"/>
              </w:rPr>
            </w:pPr>
            <w:hyperlink w:anchor="page63">
              <w:r>
                <w:rPr>
                  <w:rFonts w:ascii="Times New Roman" w:cs="Times New Roman" w:eastAsia="Times New Roman" w:hAnsi="Times New Roman"/>
                  <w:sz w:val="21"/>
                  <w:szCs w:val="21"/>
                  <w:u w:val="single" w:color="auto"/>
                  <w:color w:val="0563C1"/>
                </w:rPr>
                <w:t>Certification of Chief Executive Officer, furnished pursuant to 18 U.S.C. Section 1350</w:t>
              </w:r>
            </w:hyperlink>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1700" w:type="dxa"/>
            <w:vAlign w:val="bottom"/>
            <w:shd w:val="clear" w:color="auto" w:fill="CCEEFF"/>
          </w:tcPr>
          <w:p>
            <w:pPr>
              <w:ind w:left="20"/>
              <w:spacing w:after="0" w:line="227" w:lineRule="exact"/>
              <w:rPr>
                <w:sz w:val="20"/>
                <w:szCs w:val="20"/>
                <w:color w:val="auto"/>
              </w:rPr>
            </w:pPr>
            <w:r>
              <w:rPr>
                <w:rFonts w:ascii="Times New Roman" w:cs="Times New Roman" w:eastAsia="Times New Roman" w:hAnsi="Times New Roman"/>
                <w:sz w:val="21"/>
                <w:szCs w:val="21"/>
                <w:color w:val="auto"/>
              </w:rPr>
              <w:t>32.2*</w:t>
            </w:r>
          </w:p>
        </w:tc>
        <w:tc>
          <w:tcPr>
            <w:tcW w:w="420" w:type="dxa"/>
            <w:vAlign w:val="bottom"/>
            <w:shd w:val="clear" w:color="auto" w:fill="CCEEFF"/>
          </w:tcPr>
          <w:p>
            <w:pPr>
              <w:spacing w:after="0"/>
              <w:rPr>
                <w:sz w:val="19"/>
                <w:szCs w:val="19"/>
                <w:color w:val="auto"/>
              </w:rPr>
            </w:pPr>
          </w:p>
        </w:tc>
        <w:tc>
          <w:tcPr>
            <w:tcW w:w="9120" w:type="dxa"/>
            <w:vAlign w:val="bottom"/>
            <w:gridSpan w:val="5"/>
            <w:shd w:val="clear" w:color="auto" w:fill="CCEEFF"/>
          </w:tcPr>
          <w:p>
            <w:pPr>
              <w:ind w:left="20"/>
              <w:spacing w:after="0" w:line="227" w:lineRule="exact"/>
              <w:rPr>
                <w:rFonts w:ascii="Times New Roman" w:cs="Times New Roman" w:eastAsia="Times New Roman" w:hAnsi="Times New Roman"/>
                <w:sz w:val="21"/>
                <w:szCs w:val="21"/>
                <w:u w:val="single" w:color="auto"/>
                <w:color w:val="0563C1"/>
              </w:rPr>
            </w:pPr>
            <w:hyperlink w:anchor="page64">
              <w:r>
                <w:rPr>
                  <w:rFonts w:ascii="Times New Roman" w:cs="Times New Roman" w:eastAsia="Times New Roman" w:hAnsi="Times New Roman"/>
                  <w:sz w:val="21"/>
                  <w:szCs w:val="21"/>
                  <w:u w:val="single" w:color="auto"/>
                  <w:color w:val="0563C1"/>
                </w:rPr>
                <w:t>Certification of Chief Financial Officer, furnished pursuant to 18 U.S.C. Section 1350</w:t>
              </w:r>
            </w:hyperlink>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0"/>
        </w:trPr>
        <w:tc>
          <w:tcPr>
            <w:tcW w:w="2120" w:type="dxa"/>
            <w:vAlign w:val="bottom"/>
            <w:gridSpan w:val="2"/>
            <w:shd w:val="clear" w:color="auto" w:fill="CCEEFF"/>
          </w:tcPr>
          <w:p>
            <w:pPr>
              <w:ind w:left="20"/>
              <w:spacing w:after="0" w:line="200" w:lineRule="exact"/>
              <w:rPr>
                <w:sz w:val="20"/>
                <w:szCs w:val="20"/>
                <w:color w:val="auto"/>
              </w:rPr>
            </w:pPr>
            <w:r>
              <w:rPr>
                <w:rFonts w:ascii="Times New Roman" w:cs="Times New Roman" w:eastAsia="Times New Roman" w:hAnsi="Times New Roman"/>
                <w:sz w:val="21"/>
                <w:szCs w:val="21"/>
                <w:color w:val="auto"/>
              </w:rPr>
              <w:t>101.INS</w:t>
            </w:r>
          </w:p>
        </w:tc>
        <w:tc>
          <w:tcPr>
            <w:tcW w:w="9120" w:type="dxa"/>
            <w:vAlign w:val="bottom"/>
            <w:gridSpan w:val="5"/>
            <w:shd w:val="clear" w:color="auto" w:fill="CCEEFF"/>
          </w:tcPr>
          <w:p>
            <w:pPr>
              <w:ind w:left="20"/>
              <w:spacing w:after="0" w:line="200" w:lineRule="exact"/>
              <w:rPr>
                <w:sz w:val="20"/>
                <w:szCs w:val="20"/>
                <w:color w:val="auto"/>
              </w:rPr>
            </w:pPr>
            <w:r>
              <w:rPr>
                <w:rFonts w:ascii="Times New Roman" w:cs="Times New Roman" w:eastAsia="Times New Roman" w:hAnsi="Times New Roman"/>
                <w:sz w:val="21"/>
                <w:szCs w:val="21"/>
                <w:color w:val="auto"/>
              </w:rPr>
              <w:t>Inline XBRL Instance Document – The instance document does not appear in the Interactive Data File</w:t>
            </w:r>
          </w:p>
        </w:tc>
      </w:tr>
      <w:tr>
        <w:trPr>
          <w:trHeight w:val="255"/>
        </w:trPr>
        <w:tc>
          <w:tcPr>
            <w:tcW w:w="17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1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because its XBRL tags are embedded within the Inline XBRL document.</w:t>
            </w:r>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2120" w:type="dxa"/>
            <w:vAlign w:val="bottom"/>
            <w:gridSpan w:val="2"/>
            <w:shd w:val="clear" w:color="auto" w:fill="CCEEFF"/>
          </w:tcPr>
          <w:p>
            <w:pPr>
              <w:ind w:left="20"/>
              <w:spacing w:after="0" w:line="227" w:lineRule="exact"/>
              <w:rPr>
                <w:sz w:val="20"/>
                <w:szCs w:val="20"/>
                <w:color w:val="auto"/>
              </w:rPr>
            </w:pPr>
            <w:r>
              <w:rPr>
                <w:rFonts w:ascii="Times New Roman" w:cs="Times New Roman" w:eastAsia="Times New Roman" w:hAnsi="Times New Roman"/>
                <w:sz w:val="21"/>
                <w:szCs w:val="21"/>
                <w:color w:val="auto"/>
              </w:rPr>
              <w:t>101.SCH</w:t>
            </w:r>
          </w:p>
        </w:tc>
        <w:tc>
          <w:tcPr>
            <w:tcW w:w="9120" w:type="dxa"/>
            <w:vAlign w:val="bottom"/>
            <w:gridSpan w:val="5"/>
            <w:shd w:val="clear" w:color="auto" w:fill="CCEEFF"/>
          </w:tcPr>
          <w:p>
            <w:pPr>
              <w:ind w:left="20"/>
              <w:spacing w:after="0" w:line="227" w:lineRule="exact"/>
              <w:rPr>
                <w:sz w:val="20"/>
                <w:szCs w:val="20"/>
                <w:color w:val="auto"/>
              </w:rPr>
            </w:pPr>
            <w:r>
              <w:rPr>
                <w:rFonts w:ascii="Times New Roman" w:cs="Times New Roman" w:eastAsia="Times New Roman" w:hAnsi="Times New Roman"/>
                <w:sz w:val="21"/>
                <w:szCs w:val="21"/>
                <w:color w:val="auto"/>
              </w:rPr>
              <w:t>Inline XBRL Taxonomy Extension Schema Document</w:t>
            </w:r>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2120" w:type="dxa"/>
            <w:vAlign w:val="bottom"/>
            <w:gridSpan w:val="2"/>
            <w:shd w:val="clear" w:color="auto" w:fill="CCEEFF"/>
          </w:tcPr>
          <w:p>
            <w:pPr>
              <w:ind w:left="20"/>
              <w:spacing w:after="0" w:line="227" w:lineRule="exact"/>
              <w:rPr>
                <w:sz w:val="20"/>
                <w:szCs w:val="20"/>
                <w:color w:val="auto"/>
              </w:rPr>
            </w:pPr>
            <w:r>
              <w:rPr>
                <w:rFonts w:ascii="Times New Roman" w:cs="Times New Roman" w:eastAsia="Times New Roman" w:hAnsi="Times New Roman"/>
                <w:sz w:val="21"/>
                <w:szCs w:val="21"/>
                <w:color w:val="auto"/>
              </w:rPr>
              <w:t>101.CAL</w:t>
            </w:r>
          </w:p>
        </w:tc>
        <w:tc>
          <w:tcPr>
            <w:tcW w:w="9120" w:type="dxa"/>
            <w:vAlign w:val="bottom"/>
            <w:gridSpan w:val="5"/>
            <w:shd w:val="clear" w:color="auto" w:fill="CCEEFF"/>
          </w:tcPr>
          <w:p>
            <w:pPr>
              <w:ind w:left="20"/>
              <w:spacing w:after="0" w:line="227" w:lineRule="exact"/>
              <w:rPr>
                <w:sz w:val="20"/>
                <w:szCs w:val="20"/>
                <w:color w:val="auto"/>
              </w:rPr>
            </w:pPr>
            <w:r>
              <w:rPr>
                <w:rFonts w:ascii="Times New Roman" w:cs="Times New Roman" w:eastAsia="Times New Roman" w:hAnsi="Times New Roman"/>
                <w:sz w:val="21"/>
                <w:szCs w:val="21"/>
                <w:color w:val="auto"/>
              </w:rPr>
              <w:t>Inline XBRL Taxonomy Extension Calculation Linkbase Document</w:t>
            </w:r>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2120" w:type="dxa"/>
            <w:vAlign w:val="bottom"/>
            <w:gridSpan w:val="2"/>
            <w:shd w:val="clear" w:color="auto" w:fill="CCEEFF"/>
          </w:tcPr>
          <w:p>
            <w:pPr>
              <w:ind w:left="20"/>
              <w:spacing w:after="0" w:line="227" w:lineRule="exact"/>
              <w:rPr>
                <w:sz w:val="20"/>
                <w:szCs w:val="20"/>
                <w:color w:val="auto"/>
              </w:rPr>
            </w:pPr>
            <w:r>
              <w:rPr>
                <w:rFonts w:ascii="Times New Roman" w:cs="Times New Roman" w:eastAsia="Times New Roman" w:hAnsi="Times New Roman"/>
                <w:sz w:val="21"/>
                <w:szCs w:val="21"/>
                <w:color w:val="auto"/>
              </w:rPr>
              <w:t>101.DEF</w:t>
            </w:r>
          </w:p>
        </w:tc>
        <w:tc>
          <w:tcPr>
            <w:tcW w:w="9120" w:type="dxa"/>
            <w:vAlign w:val="bottom"/>
            <w:gridSpan w:val="5"/>
            <w:shd w:val="clear" w:color="auto" w:fill="CCEEFF"/>
          </w:tcPr>
          <w:p>
            <w:pPr>
              <w:ind w:left="20"/>
              <w:spacing w:after="0" w:line="227" w:lineRule="exact"/>
              <w:rPr>
                <w:sz w:val="20"/>
                <w:szCs w:val="20"/>
                <w:color w:val="auto"/>
              </w:rPr>
            </w:pPr>
            <w:r>
              <w:rPr>
                <w:rFonts w:ascii="Times New Roman" w:cs="Times New Roman" w:eastAsia="Times New Roman" w:hAnsi="Times New Roman"/>
                <w:sz w:val="21"/>
                <w:szCs w:val="21"/>
                <w:color w:val="auto"/>
              </w:rPr>
              <w:t>Inline XBRL Taxonomy Extension Definition Linkbase Document</w:t>
            </w:r>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2120" w:type="dxa"/>
            <w:vAlign w:val="bottom"/>
            <w:gridSpan w:val="2"/>
            <w:shd w:val="clear" w:color="auto" w:fill="CCEEFF"/>
          </w:tcPr>
          <w:p>
            <w:pPr>
              <w:ind w:left="20"/>
              <w:spacing w:after="0" w:line="227" w:lineRule="exact"/>
              <w:rPr>
                <w:sz w:val="20"/>
                <w:szCs w:val="20"/>
                <w:color w:val="auto"/>
              </w:rPr>
            </w:pPr>
            <w:r>
              <w:rPr>
                <w:rFonts w:ascii="Times New Roman" w:cs="Times New Roman" w:eastAsia="Times New Roman" w:hAnsi="Times New Roman"/>
                <w:sz w:val="21"/>
                <w:szCs w:val="21"/>
                <w:color w:val="auto"/>
              </w:rPr>
              <w:t>101.LAB</w:t>
            </w:r>
          </w:p>
        </w:tc>
        <w:tc>
          <w:tcPr>
            <w:tcW w:w="9120" w:type="dxa"/>
            <w:vAlign w:val="bottom"/>
            <w:gridSpan w:val="5"/>
            <w:shd w:val="clear" w:color="auto" w:fill="CCEEFF"/>
          </w:tcPr>
          <w:p>
            <w:pPr>
              <w:ind w:left="20"/>
              <w:spacing w:after="0" w:line="227" w:lineRule="exact"/>
              <w:rPr>
                <w:sz w:val="20"/>
                <w:szCs w:val="20"/>
                <w:color w:val="auto"/>
              </w:rPr>
            </w:pPr>
            <w:r>
              <w:rPr>
                <w:rFonts w:ascii="Times New Roman" w:cs="Times New Roman" w:eastAsia="Times New Roman" w:hAnsi="Times New Roman"/>
                <w:sz w:val="21"/>
                <w:szCs w:val="21"/>
                <w:color w:val="auto"/>
              </w:rPr>
              <w:t>Inline XBRL Taxonomy Extension Label Linkbase Document</w:t>
            </w:r>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2120" w:type="dxa"/>
            <w:vAlign w:val="bottom"/>
            <w:gridSpan w:val="2"/>
            <w:shd w:val="clear" w:color="auto" w:fill="CCEEFF"/>
          </w:tcPr>
          <w:p>
            <w:pPr>
              <w:ind w:left="20"/>
              <w:spacing w:after="0" w:line="227" w:lineRule="exact"/>
              <w:rPr>
                <w:sz w:val="20"/>
                <w:szCs w:val="20"/>
                <w:color w:val="auto"/>
              </w:rPr>
            </w:pPr>
            <w:r>
              <w:rPr>
                <w:rFonts w:ascii="Times New Roman" w:cs="Times New Roman" w:eastAsia="Times New Roman" w:hAnsi="Times New Roman"/>
                <w:sz w:val="21"/>
                <w:szCs w:val="21"/>
                <w:color w:val="auto"/>
              </w:rPr>
              <w:t>101.PRES</w:t>
            </w:r>
          </w:p>
        </w:tc>
        <w:tc>
          <w:tcPr>
            <w:tcW w:w="9120" w:type="dxa"/>
            <w:vAlign w:val="bottom"/>
            <w:gridSpan w:val="5"/>
            <w:shd w:val="clear" w:color="auto" w:fill="CCEEFF"/>
          </w:tcPr>
          <w:p>
            <w:pPr>
              <w:ind w:left="20"/>
              <w:spacing w:after="0" w:line="227" w:lineRule="exact"/>
              <w:rPr>
                <w:sz w:val="20"/>
                <w:szCs w:val="20"/>
                <w:color w:val="auto"/>
              </w:rPr>
            </w:pPr>
            <w:r>
              <w:rPr>
                <w:rFonts w:ascii="Times New Roman" w:cs="Times New Roman" w:eastAsia="Times New Roman" w:hAnsi="Times New Roman"/>
                <w:sz w:val="21"/>
                <w:szCs w:val="21"/>
                <w:color w:val="auto"/>
              </w:rPr>
              <w:t>Inline XBRL Taxonomy Extension Presentation Linkbase Document</w:t>
            </w:r>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0"/>
        </w:trPr>
        <w:tc>
          <w:tcPr>
            <w:tcW w:w="170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21"/>
                <w:szCs w:val="21"/>
                <w:color w:val="auto"/>
              </w:rPr>
              <w:t>104</w:t>
            </w:r>
          </w:p>
        </w:tc>
        <w:tc>
          <w:tcPr>
            <w:tcW w:w="420" w:type="dxa"/>
            <w:vAlign w:val="bottom"/>
            <w:shd w:val="clear" w:color="auto" w:fill="CCEEFF"/>
          </w:tcPr>
          <w:p>
            <w:pPr>
              <w:spacing w:after="0"/>
              <w:rPr>
                <w:sz w:val="17"/>
                <w:szCs w:val="17"/>
                <w:color w:val="auto"/>
              </w:rPr>
            </w:pPr>
          </w:p>
        </w:tc>
        <w:tc>
          <w:tcPr>
            <w:tcW w:w="9120" w:type="dxa"/>
            <w:vAlign w:val="bottom"/>
            <w:gridSpan w:val="5"/>
            <w:shd w:val="clear" w:color="auto" w:fill="CCEEFF"/>
          </w:tcPr>
          <w:p>
            <w:pPr>
              <w:ind w:left="20"/>
              <w:spacing w:after="0" w:line="200" w:lineRule="exact"/>
              <w:rPr>
                <w:sz w:val="20"/>
                <w:szCs w:val="20"/>
                <w:color w:val="auto"/>
              </w:rPr>
            </w:pPr>
            <w:r>
              <w:rPr>
                <w:rFonts w:ascii="Times New Roman" w:cs="Times New Roman" w:eastAsia="Times New Roman" w:hAnsi="Times New Roman"/>
                <w:sz w:val="21"/>
                <w:szCs w:val="21"/>
                <w:color w:val="auto"/>
              </w:rPr>
              <w:t>The cover page from the Company’s Quarterly Report on Form 10-Q for the quarter ended September 30,</w:t>
            </w:r>
          </w:p>
        </w:tc>
      </w:tr>
      <w:tr>
        <w:trPr>
          <w:trHeight w:val="255"/>
        </w:trPr>
        <w:tc>
          <w:tcPr>
            <w:tcW w:w="17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1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2020, formatted in Inline XBRL (included in Exhibit 101)</w:t>
            </w:r>
          </w:p>
        </w:tc>
      </w:tr>
    </w:tbl>
    <w:p>
      <w:pPr>
        <w:spacing w:after="0" w:line="200" w:lineRule="exact"/>
        <w:rPr>
          <w:sz w:val="20"/>
          <w:szCs w:val="20"/>
          <w:color w:val="auto"/>
        </w:rPr>
      </w:pPr>
    </w:p>
    <w:p>
      <w:pPr>
        <w:ind w:left="320" w:hanging="313"/>
        <w:spacing w:after="0"/>
        <w:tabs>
          <w:tab w:leader="none" w:pos="3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spacing w:after="0"/>
        <w:rPr>
          <w:rFonts w:ascii="Times New Roman" w:cs="Times New Roman" w:eastAsia="Times New Roman" w:hAnsi="Times New Roman"/>
          <w:sz w:val="21"/>
          <w:szCs w:val="21"/>
          <w:u w:val="single" w:color="auto"/>
          <w:color w:val="0563C1"/>
        </w:rPr>
      </w:pPr>
      <w:hyperlink w:anchor="page2">
        <w:r>
          <w:rPr>
            <w:rFonts w:ascii="Times New Roman" w:cs="Times New Roman" w:eastAsia="Times New Roman" w:hAnsi="Times New Roman"/>
            <w:sz w:val="21"/>
            <w:szCs w:val="21"/>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u w:val="single" w:color="auto"/>
          <w:color w:val="auto"/>
        </w:rPr>
        <w:t>SIGNATURES</w:t>
      </w:r>
    </w:p>
    <w:p>
      <w:pPr>
        <w:spacing w:after="0" w:line="106"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executed on its behalf by the undersigned thereunto duly authorized.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November 6, 2020</w:t>
      </w:r>
    </w:p>
    <w:p>
      <w:pPr>
        <w:spacing w:after="0" w:line="160"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1"/>
          <w:szCs w:val="21"/>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8255</wp:posOffset>
            </wp:positionV>
            <wp:extent cx="25984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1"/>
          <w:szCs w:val="21"/>
          <w:color w:val="auto"/>
        </w:rPr>
        <w:t>Registrant</w:t>
      </w:r>
    </w:p>
    <w:p>
      <w:pPr>
        <w:spacing w:after="0" w:line="200" w:lineRule="exact"/>
        <w:rPr>
          <w:sz w:val="20"/>
          <w:szCs w:val="20"/>
          <w:color w:val="auto"/>
        </w:rPr>
      </w:pPr>
    </w:p>
    <w:p>
      <w:pPr>
        <w:spacing w:after="0" w:line="364"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1"/>
          <w:szCs w:val="21"/>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8255</wp:posOffset>
            </wp:positionV>
            <wp:extent cx="25984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ind w:left="7140"/>
        <w:spacing w:after="0"/>
        <w:rPr>
          <w:sz w:val="20"/>
          <w:szCs w:val="20"/>
          <w:color w:val="auto"/>
        </w:rPr>
      </w:pPr>
      <w:r>
        <w:rPr>
          <w:rFonts w:ascii="Times New Roman" w:cs="Times New Roman" w:eastAsia="Times New Roman" w:hAnsi="Times New Roman"/>
          <w:sz w:val="21"/>
          <w:szCs w:val="21"/>
          <w:color w:val="auto"/>
        </w:rPr>
        <w:t>Christopher H. Franklin</w:t>
      </w:r>
    </w:p>
    <w:p>
      <w:pPr>
        <w:ind w:left="7140"/>
        <w:spacing w:after="0" w:line="225" w:lineRule="auto"/>
        <w:rPr>
          <w:sz w:val="20"/>
          <w:szCs w:val="20"/>
          <w:color w:val="auto"/>
        </w:rPr>
      </w:pPr>
      <w:r>
        <w:rPr>
          <w:rFonts w:ascii="Times New Roman" w:cs="Times New Roman" w:eastAsia="Times New Roman" w:hAnsi="Times New Roman"/>
          <w:sz w:val="21"/>
          <w:szCs w:val="21"/>
          <w:color w:val="auto"/>
        </w:rPr>
        <w:t>Chairman, President and</w:t>
      </w:r>
    </w:p>
    <w:p>
      <w:pPr>
        <w:spacing w:after="0" w:line="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364"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1"/>
          <w:szCs w:val="21"/>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8255</wp:posOffset>
            </wp:positionV>
            <wp:extent cx="25984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ind w:left="7140"/>
        <w:spacing w:after="0"/>
        <w:rPr>
          <w:sz w:val="20"/>
          <w:szCs w:val="20"/>
          <w:color w:val="auto"/>
        </w:rPr>
      </w:pPr>
      <w:r>
        <w:rPr>
          <w:rFonts w:ascii="Times New Roman" w:cs="Times New Roman" w:eastAsia="Times New Roman" w:hAnsi="Times New Roman"/>
          <w:sz w:val="21"/>
          <w:szCs w:val="21"/>
          <w:color w:val="auto"/>
        </w:rPr>
        <w:t>Daniel J. Schuller</w:t>
      </w:r>
    </w:p>
    <w:p>
      <w:pPr>
        <w:ind w:left="7140"/>
        <w:spacing w:after="0" w:line="225" w:lineRule="auto"/>
        <w:rPr>
          <w:sz w:val="20"/>
          <w:szCs w:val="20"/>
          <w:color w:val="auto"/>
        </w:rPr>
      </w:pPr>
      <w:r>
        <w:rPr>
          <w:rFonts w:ascii="Times New Roman" w:cs="Times New Roman" w:eastAsia="Times New Roman" w:hAnsi="Times New Roman"/>
          <w:sz w:val="21"/>
          <w:szCs w:val="21"/>
          <w:color w:val="auto"/>
        </w:rPr>
        <w:t>Executive Vice President and</w:t>
      </w:r>
    </w:p>
    <w:p>
      <w:pPr>
        <w:spacing w:after="0" w:line="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1"/>
          <w:szCs w:val="21"/>
          <w:color w:val="auto"/>
        </w:rPr>
        <w:t>Chief Financial Officer</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000"/>
          </w:cols>
          <w:pgMar w:left="320" w:top="112" w:right="579" w:bottom="1440" w:gutter="0" w:footer="0" w:header="0"/>
        </w:sectPr>
      </w:pPr>
    </w:p>
    <w:bookmarkStart w:id="60" w:name="page61"/>
    <w:bookmarkEnd w:id="60"/>
    <w:p>
      <w:pPr>
        <w:ind w:left="8940"/>
        <w:spacing w:after="0"/>
        <w:rPr>
          <w:sz w:val="20"/>
          <w:szCs w:val="20"/>
          <w:color w:val="auto"/>
        </w:rPr>
      </w:pPr>
      <w:r>
        <w:rPr>
          <w:rFonts w:ascii="Times New Roman" w:cs="Times New Roman" w:eastAsia="Times New Roman" w:hAnsi="Times New Roman"/>
          <w:sz w:val="20"/>
          <w:szCs w:val="20"/>
          <w:color w:val="auto"/>
        </w:rPr>
        <w:t>Exhibit 31.1</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CERTIFICATION OF CHIEF EXECUTIVE OFFICER, PURSUANT TO RULE 13A-14(A) UNDER THE SECURITIES</w:t>
      </w:r>
    </w:p>
    <w:p>
      <w:pPr>
        <w:jc w:val="center"/>
        <w:ind w:right="40"/>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Christopher H. Franklin, certify that:</w:t>
      </w:r>
    </w:p>
    <w:p>
      <w:pPr>
        <w:spacing w:after="0" w:line="124" w:lineRule="exact"/>
        <w:rPr>
          <w:sz w:val="20"/>
          <w:szCs w:val="20"/>
          <w:color w:val="auto"/>
        </w:rPr>
      </w:pPr>
    </w:p>
    <w:p>
      <w:pPr>
        <w:ind w:left="340" w:hanging="331"/>
        <w:spacing w:after="0"/>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ind w:left="340" w:hanging="331"/>
        <w:spacing w:after="0" w:line="195" w:lineRule="auto"/>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40" w:right="20" w:hanging="331"/>
        <w:spacing w:after="0" w:line="195" w:lineRule="auto"/>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40" w:right="220" w:hanging="331"/>
        <w:spacing w:after="0" w:line="195" w:lineRule="auto"/>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60" w:right="120" w:hanging="330"/>
        <w:spacing w:after="0" w:line="195" w:lineRule="auto"/>
        <w:tabs>
          <w:tab w:leader="none" w:pos="66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660" w:right="20" w:hanging="330"/>
        <w:spacing w:after="0" w:line="205" w:lineRule="auto"/>
        <w:tabs>
          <w:tab w:leader="none" w:pos="660"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9"/>
          <w:szCs w:val="19"/>
          <w:color w:val="auto"/>
        </w:rPr>
      </w:pPr>
    </w:p>
    <w:p>
      <w:pPr>
        <w:ind w:left="660" w:right="220" w:hanging="330"/>
        <w:spacing w:after="0" w:line="195" w:lineRule="auto"/>
        <w:tabs>
          <w:tab w:leader="none" w:pos="66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60" w:hanging="330"/>
        <w:spacing w:after="0" w:line="195" w:lineRule="auto"/>
        <w:tabs>
          <w:tab w:leader="none" w:pos="66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40" w:right="160" w:hanging="331"/>
        <w:spacing w:after="0" w:line="195" w:lineRule="auto"/>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60" w:right="420" w:hanging="330"/>
        <w:spacing w:after="0" w:line="195" w:lineRule="auto"/>
        <w:tabs>
          <w:tab w:leader="none" w:pos="66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60" w:right="200" w:hanging="330"/>
        <w:spacing w:after="0" w:line="219" w:lineRule="auto"/>
        <w:tabs>
          <w:tab w:leader="none" w:pos="66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/s/ Christopher H. Franklin</w:t>
      </w:r>
    </w:p>
    <w:p>
      <w:pPr>
        <w:ind w:left="120"/>
        <w:spacing w:after="0" w:line="186" w:lineRule="auto"/>
        <w:rPr>
          <w:sz w:val="20"/>
          <w:szCs w:val="20"/>
          <w:color w:val="auto"/>
        </w:rPr>
      </w:pPr>
      <w:r>
        <w:rPr>
          <w:rFonts w:ascii="Times New Roman" w:cs="Times New Roman" w:eastAsia="Times New Roman" w:hAnsi="Times New Roman"/>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-81915</wp:posOffset>
            </wp:positionV>
            <wp:extent cx="30575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57525" cy="8255"/>
                    </a:xfrm>
                    <a:prstGeom prst="rect">
                      <a:avLst/>
                    </a:prstGeom>
                    <a:noFill/>
                  </pic:spPr>
                </pic:pic>
              </a:graphicData>
            </a:graphic>
          </wp:anchor>
        </w:drawing>
      </w:r>
    </w:p>
    <w:p>
      <w:pPr>
        <w:ind w:left="120"/>
        <w:spacing w:after="0" w:line="186"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120"/>
        <w:spacing w:after="0"/>
        <w:rPr>
          <w:sz w:val="20"/>
          <w:szCs w:val="20"/>
          <w:color w:val="auto"/>
        </w:rPr>
      </w:pPr>
      <w:r>
        <w:rPr>
          <w:rFonts w:ascii="Times New Roman" w:cs="Times New Roman" w:eastAsia="Times New Roman" w:hAnsi="Times New Roman"/>
          <w:sz w:val="21"/>
          <w:szCs w:val="21"/>
          <w:color w:val="auto"/>
        </w:rPr>
        <w:t>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33539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35395" cy="25400"/>
                    </a:xfrm>
                    <a:prstGeom prst="rect">
                      <a:avLst/>
                    </a:prstGeom>
                    <a:noFill/>
                  </pic:spPr>
                </pic:pic>
              </a:graphicData>
            </a:graphic>
          </wp:anchor>
        </w:drawing>
      </w:r>
    </w:p>
    <w:p>
      <w:pPr>
        <w:sectPr>
          <w:pgSz w:w="11900" w:h="16838" w:orient="portrait"/>
          <w:cols w:equalWidth="0" w:num="1">
            <w:col w:w="9960"/>
          </w:cols>
          <w:pgMar w:left="960" w:top="78" w:right="97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CERTIFICATION OF CHIEF FINANCIAL OFFICER, PURSUANT TO RULE 13A-14(A) UNDER THE SECURITIES</w:t>
      </w:r>
    </w:p>
    <w:p>
      <w:pPr>
        <w:jc w:val="center"/>
        <w:ind w:right="100"/>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Daniel J. Schuller, certify that:</w:t>
      </w:r>
    </w:p>
    <w:p>
      <w:pPr>
        <w:spacing w:after="0" w:line="124" w:lineRule="exact"/>
        <w:rPr>
          <w:sz w:val="20"/>
          <w:szCs w:val="20"/>
          <w:color w:val="auto"/>
        </w:rPr>
      </w:pPr>
    </w:p>
    <w:p>
      <w:pPr>
        <w:ind w:left="340" w:hanging="331"/>
        <w:spacing w:after="0"/>
        <w:tabs>
          <w:tab w:leader="none" w:pos="3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ind w:left="340" w:hanging="331"/>
        <w:spacing w:after="0" w:line="195" w:lineRule="auto"/>
        <w:tabs>
          <w:tab w:leader="none" w:pos="3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40" w:right="20" w:hanging="331"/>
        <w:spacing w:after="0" w:line="195" w:lineRule="auto"/>
        <w:tabs>
          <w:tab w:leader="none" w:pos="3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40" w:right="220" w:hanging="331"/>
        <w:spacing w:after="0" w:line="195" w:lineRule="auto"/>
        <w:tabs>
          <w:tab w:leader="none" w:pos="3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60" w:right="120" w:hanging="330"/>
        <w:spacing w:after="0" w:line="195" w:lineRule="auto"/>
        <w:tabs>
          <w:tab w:leader="none" w:pos="66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660" w:right="20" w:hanging="330"/>
        <w:spacing w:after="0" w:line="205" w:lineRule="auto"/>
        <w:tabs>
          <w:tab w:leader="none" w:pos="660"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9"/>
          <w:szCs w:val="19"/>
          <w:color w:val="auto"/>
        </w:rPr>
      </w:pPr>
    </w:p>
    <w:p>
      <w:pPr>
        <w:ind w:left="660" w:right="220" w:hanging="330"/>
        <w:spacing w:after="0" w:line="195" w:lineRule="auto"/>
        <w:tabs>
          <w:tab w:leader="none" w:pos="66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60" w:hanging="330"/>
        <w:spacing w:after="0" w:line="195" w:lineRule="auto"/>
        <w:tabs>
          <w:tab w:leader="none" w:pos="66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40" w:right="160" w:hanging="331"/>
        <w:spacing w:after="0" w:line="195" w:lineRule="auto"/>
        <w:tabs>
          <w:tab w:leader="none" w:pos="3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60" w:right="420" w:hanging="330"/>
        <w:spacing w:after="0" w:line="195" w:lineRule="auto"/>
        <w:tabs>
          <w:tab w:leader="none" w:pos="66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60" w:right="200" w:hanging="330"/>
        <w:spacing w:after="0" w:line="219" w:lineRule="auto"/>
        <w:tabs>
          <w:tab w:leader="none" w:pos="66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/s/ Daniel J. Schuller</w:t>
      </w:r>
    </w:p>
    <w:p>
      <w:pPr>
        <w:ind w:left="120"/>
        <w:spacing w:after="0" w:line="186" w:lineRule="auto"/>
        <w:rPr>
          <w:sz w:val="20"/>
          <w:szCs w:val="20"/>
          <w:color w:val="auto"/>
        </w:rPr>
      </w:pPr>
      <w:r>
        <w:rPr>
          <w:rFonts w:ascii="Times New Roman" w:cs="Times New Roman" w:eastAsia="Times New Roman" w:hAnsi="Times New Roman"/>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32778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77870" cy="8255"/>
                    </a:xfrm>
                    <a:prstGeom prst="rect">
                      <a:avLst/>
                    </a:prstGeom>
                    <a:noFill/>
                  </pic:spPr>
                </pic:pic>
              </a:graphicData>
            </a:graphic>
          </wp:anchor>
        </w:drawing>
      </w:r>
    </w:p>
    <w:p>
      <w:pPr>
        <w:ind w:left="120"/>
        <w:spacing w:after="0" w:line="212" w:lineRule="auto"/>
        <w:rPr>
          <w:sz w:val="20"/>
          <w:szCs w:val="20"/>
          <w:color w:val="auto"/>
        </w:rPr>
      </w:pPr>
      <w:r>
        <w:rPr>
          <w:rFonts w:ascii="Times New Roman" w:cs="Times New Roman" w:eastAsia="Times New Roman" w:hAnsi="Times New Roman"/>
          <w:sz w:val="21"/>
          <w:szCs w:val="21"/>
          <w:color w:val="auto"/>
        </w:rPr>
        <w:t>Executive Vice President and Chief Financial Officer</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264795</wp:posOffset>
            </wp:positionV>
            <wp:extent cx="633539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35395" cy="25400"/>
                    </a:xfrm>
                    <a:prstGeom prst="rect">
                      <a:avLst/>
                    </a:prstGeom>
                    <a:noFill/>
                  </pic:spPr>
                </pic:pic>
              </a:graphicData>
            </a:graphic>
          </wp:anchor>
        </w:drawing>
      </w:r>
    </w:p>
    <w:p>
      <w:pPr>
        <w:sectPr>
          <w:pgSz w:w="11900" w:h="16838" w:orient="portrait"/>
          <w:cols w:equalWidth="0" w:num="1">
            <w:col w:w="9960"/>
          </w:cols>
          <w:pgMar w:left="960" w:top="104" w:right="97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1"/>
          <w:szCs w:val="21"/>
          <w:color w:val="auto"/>
        </w:rPr>
        <w:t>Exhibit 32.1</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EXECUTIVE OFFICER PURSUANT TO</w:t>
      </w:r>
    </w:p>
    <w:p>
      <w:pPr>
        <w:jc w:val="center"/>
        <w:spacing w:after="0"/>
        <w:rPr>
          <w:sz w:val="20"/>
          <w:szCs w:val="20"/>
          <w:color w:val="auto"/>
        </w:rPr>
      </w:pPr>
      <w:r>
        <w:rPr>
          <w:rFonts w:ascii="Times New Roman" w:cs="Times New Roman" w:eastAsia="Times New Roman" w:hAnsi="Times New Roman"/>
          <w:sz w:val="21"/>
          <w:szCs w:val="21"/>
          <w:color w:val="auto"/>
        </w:rPr>
        <w:t>18 U.S.C. SECTION 1350</w:t>
      </w:r>
    </w:p>
    <w:p>
      <w:pPr>
        <w:spacing w:after="0" w:line="200" w:lineRule="exact"/>
        <w:rPr>
          <w:sz w:val="20"/>
          <w:szCs w:val="20"/>
          <w:color w:val="auto"/>
        </w:rPr>
      </w:pPr>
    </w:p>
    <w:p>
      <w:pPr>
        <w:spacing w:after="0" w:line="337" w:lineRule="exact"/>
        <w:rPr>
          <w:sz w:val="20"/>
          <w:szCs w:val="20"/>
          <w:color w:val="auto"/>
        </w:rPr>
      </w:pPr>
    </w:p>
    <w:p>
      <w:pPr>
        <w:ind w:right="160"/>
        <w:spacing w:after="0" w:line="182" w:lineRule="auto"/>
        <w:rPr>
          <w:sz w:val="20"/>
          <w:szCs w:val="20"/>
          <w:color w:val="auto"/>
        </w:rPr>
      </w:pPr>
      <w:r>
        <w:rPr>
          <w:rFonts w:ascii="Times New Roman" w:cs="Times New Roman" w:eastAsia="Times New Roman" w:hAnsi="Times New Roman"/>
          <w:sz w:val="21"/>
          <w:szCs w:val="21"/>
          <w:color w:val="auto"/>
        </w:rPr>
        <w:t>In connection with the Quarterly Report on Form 10-Q for the period ended September 30, 2020 of Essential Utilities,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340" w:right="320" w:hanging="331"/>
        <w:spacing w:after="0" w:line="218" w:lineRule="auto"/>
        <w:tabs>
          <w:tab w:leader="none" w:pos="3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(15 U.S.C. Section 78m or Section 78o(d)); and</w:t>
      </w:r>
    </w:p>
    <w:p>
      <w:pPr>
        <w:spacing w:after="0" w:line="42" w:lineRule="exact"/>
        <w:rPr>
          <w:rFonts w:ascii="Times New Roman" w:cs="Times New Roman" w:eastAsia="Times New Roman" w:hAnsi="Times New Roman"/>
          <w:sz w:val="21"/>
          <w:szCs w:val="21"/>
          <w:color w:val="auto"/>
        </w:rPr>
      </w:pPr>
    </w:p>
    <w:p>
      <w:pPr>
        <w:ind w:left="340" w:right="420" w:hanging="331"/>
        <w:spacing w:after="0" w:line="218" w:lineRule="auto"/>
        <w:tabs>
          <w:tab w:leader="none" w:pos="3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/s/ Christopher H. Franklin</w:t>
      </w:r>
    </w:p>
    <w:p>
      <w:pPr>
        <w:ind w:left="120"/>
        <w:spacing w:after="0" w:line="186" w:lineRule="auto"/>
        <w:rPr>
          <w:sz w:val="20"/>
          <w:szCs w:val="20"/>
          <w:color w:val="auto"/>
        </w:rPr>
      </w:pPr>
      <w:r>
        <w:rPr>
          <w:rFonts w:ascii="Times New Roman" w:cs="Times New Roman" w:eastAsia="Times New Roman" w:hAnsi="Times New Roman"/>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-81915</wp:posOffset>
            </wp:positionV>
            <wp:extent cx="2929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29890" cy="8255"/>
                    </a:xfrm>
                    <a:prstGeom prst="rect">
                      <a:avLst/>
                    </a:prstGeom>
                    <a:noFill/>
                  </pic:spPr>
                </pic:pic>
              </a:graphicData>
            </a:graphic>
          </wp:anchor>
        </w:drawing>
      </w:r>
    </w:p>
    <w:p>
      <w:pPr>
        <w:ind w:left="120"/>
        <w:spacing w:after="0" w:line="186"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120"/>
        <w:spacing w:after="0"/>
        <w:rPr>
          <w:sz w:val="20"/>
          <w:szCs w:val="20"/>
          <w:color w:val="auto"/>
        </w:rPr>
      </w:pPr>
      <w:r>
        <w:rPr>
          <w:rFonts w:ascii="Times New Roman" w:cs="Times New Roman" w:eastAsia="Times New Roman" w:hAnsi="Times New Roman"/>
          <w:sz w:val="21"/>
          <w:szCs w:val="21"/>
          <w:color w:val="auto"/>
        </w:rPr>
        <w:t>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33539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35395" cy="25400"/>
                    </a:xfrm>
                    <a:prstGeom prst="rect">
                      <a:avLst/>
                    </a:prstGeom>
                    <a:noFill/>
                  </pic:spPr>
                </pic:pic>
              </a:graphicData>
            </a:graphic>
          </wp:anchor>
        </w:drawing>
      </w:r>
    </w:p>
    <w:p>
      <w:pPr>
        <w:sectPr>
          <w:pgSz w:w="11900" w:h="16838" w:orient="portrait"/>
          <w:cols w:equalWidth="0" w:num="1">
            <w:col w:w="9900"/>
          </w:cols>
          <w:pgMar w:left="960" w:top="72" w:right="10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1"/>
          <w:szCs w:val="21"/>
          <w:color w:val="auto"/>
        </w:rPr>
        <w:t>Exhibit 32.2</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FINANCIAL OFFICER PURSUANT TO</w:t>
      </w:r>
    </w:p>
    <w:p>
      <w:pPr>
        <w:jc w:val="center"/>
        <w:spacing w:after="0"/>
        <w:rPr>
          <w:sz w:val="20"/>
          <w:szCs w:val="20"/>
          <w:color w:val="auto"/>
        </w:rPr>
      </w:pPr>
      <w:r>
        <w:rPr>
          <w:rFonts w:ascii="Times New Roman" w:cs="Times New Roman" w:eastAsia="Times New Roman" w:hAnsi="Times New Roman"/>
          <w:sz w:val="21"/>
          <w:szCs w:val="21"/>
          <w:color w:val="auto"/>
        </w:rPr>
        <w:t>18 U.S.C. SECTION 1350</w:t>
      </w:r>
    </w:p>
    <w:p>
      <w:pPr>
        <w:spacing w:after="0" w:line="200" w:lineRule="exact"/>
        <w:rPr>
          <w:sz w:val="20"/>
          <w:szCs w:val="20"/>
          <w:color w:val="auto"/>
        </w:rPr>
      </w:pPr>
    </w:p>
    <w:p>
      <w:pPr>
        <w:spacing w:after="0" w:line="337" w:lineRule="exact"/>
        <w:rPr>
          <w:sz w:val="20"/>
          <w:szCs w:val="20"/>
          <w:color w:val="auto"/>
        </w:rPr>
      </w:pPr>
    </w:p>
    <w:p>
      <w:pPr>
        <w:ind w:right="400"/>
        <w:spacing w:after="0" w:line="188" w:lineRule="auto"/>
        <w:rPr>
          <w:sz w:val="20"/>
          <w:szCs w:val="20"/>
          <w:color w:val="auto"/>
        </w:rPr>
      </w:pPr>
      <w:r>
        <w:rPr>
          <w:rFonts w:ascii="Times New Roman" w:cs="Times New Roman" w:eastAsia="Times New Roman" w:hAnsi="Times New Roman"/>
          <w:sz w:val="21"/>
          <w:szCs w:val="21"/>
          <w:color w:val="auto"/>
        </w:rPr>
        <w:t>In connection with the Quarterly Report on Form 10-Q for the period ended September 30, 2020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06" w:lineRule="exact"/>
        <w:rPr>
          <w:sz w:val="20"/>
          <w:szCs w:val="20"/>
          <w:color w:val="auto"/>
        </w:rPr>
      </w:pPr>
    </w:p>
    <w:p>
      <w:pPr>
        <w:ind w:left="340" w:right="320" w:hanging="331"/>
        <w:spacing w:after="0" w:line="218" w:lineRule="auto"/>
        <w:tabs>
          <w:tab w:leader="none" w:pos="3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(15 U.S.C. Section 78m or Section 78o(d)); and</w:t>
      </w:r>
    </w:p>
    <w:p>
      <w:pPr>
        <w:spacing w:after="0" w:line="42" w:lineRule="exact"/>
        <w:rPr>
          <w:rFonts w:ascii="Times New Roman" w:cs="Times New Roman" w:eastAsia="Times New Roman" w:hAnsi="Times New Roman"/>
          <w:sz w:val="21"/>
          <w:szCs w:val="21"/>
          <w:color w:val="auto"/>
        </w:rPr>
      </w:pPr>
    </w:p>
    <w:p>
      <w:pPr>
        <w:ind w:left="340" w:right="420" w:hanging="331"/>
        <w:spacing w:after="0" w:line="218" w:lineRule="auto"/>
        <w:tabs>
          <w:tab w:leader="none" w:pos="3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/s/ Daniel J. Schuller</w:t>
      </w:r>
    </w:p>
    <w:p>
      <w:pPr>
        <w:ind w:left="120"/>
        <w:spacing w:after="0" w:line="186" w:lineRule="auto"/>
        <w:rPr>
          <w:sz w:val="20"/>
          <w:szCs w:val="20"/>
          <w:color w:val="auto"/>
        </w:rPr>
      </w:pPr>
      <w:r>
        <w:rPr>
          <w:rFonts w:ascii="Times New Roman" w:cs="Times New Roman" w:eastAsia="Times New Roman" w:hAnsi="Times New Roman"/>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33801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80105" cy="8255"/>
                    </a:xfrm>
                    <a:prstGeom prst="rect">
                      <a:avLst/>
                    </a:prstGeom>
                    <a:noFill/>
                  </pic:spPr>
                </pic:pic>
              </a:graphicData>
            </a:graphic>
          </wp:anchor>
        </w:drawing>
      </w:r>
    </w:p>
    <w:p>
      <w:pPr>
        <w:ind w:left="120"/>
        <w:spacing w:after="0" w:line="212" w:lineRule="auto"/>
        <w:rPr>
          <w:sz w:val="20"/>
          <w:szCs w:val="20"/>
          <w:color w:val="auto"/>
        </w:rPr>
      </w:pPr>
      <w:r>
        <w:rPr>
          <w:rFonts w:ascii="Times New Roman" w:cs="Times New Roman" w:eastAsia="Times New Roman" w:hAnsi="Times New Roman"/>
          <w:sz w:val="21"/>
          <w:szCs w:val="21"/>
          <w:color w:val="auto"/>
        </w:rPr>
        <w:t>Executive Vice President and Chief Financial Officer</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264795</wp:posOffset>
            </wp:positionV>
            <wp:extent cx="633539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35395" cy="25400"/>
                    </a:xfrm>
                    <a:prstGeom prst="rect">
                      <a:avLst/>
                    </a:prstGeom>
                    <a:noFill/>
                  </pic:spPr>
                </pic:pic>
              </a:graphicData>
            </a:graphic>
          </wp:anchor>
        </w:drawing>
      </w:r>
    </w:p>
    <w:sectPr>
      <w:pgSz w:w="11900" w:h="16838" w:orient="portrait"/>
      <w:cols w:equalWidth="0" w:num="1">
        <w:col w:w="9900"/>
      </w:cols>
      <w:pgMar w:left="960" w:top="72"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2020-11-06T15:55:42Z</dcterms:created>
  <dcterms:modified xsi:type="dcterms:W3CDTF">2020-11-06T15:55:42Z</dcterms:modified>
</cp:coreProperties>
</file>