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Arial;Helvetica;Sans-Serif" w:hAnsi="Arial;Helvetica;Sans-Serif"/>
          <w:b w:val="false"/>
          <w:i w:val="false"/>
          <w:caps w:val="false"/>
          <w:smallCaps w:val="false"/>
          <w:sz w:val="20"/>
        </w:rPr>
      </w:pPr>
      <w:bookmarkStart w:id="0" w:name="e26351_wtrg-425.htm"/>
      <w:bookmarkStart w:id="1" w:name="kse26351_wtrg425"/>
      <w:bookmarkEnd w:id="0"/>
      <w:bookmarkEnd w:id="1"/>
      <w:r>
        <w:rPr>
          <w:rFonts w:ascii="Arial;Helvetica;Sans-Serif" w:hAnsi="Arial;Helvetica;Sans-Serif"/>
          <w:b w:val="false"/>
          <w:i w:val="false"/>
          <w:caps w:val="false"/>
          <w:smallCaps w:val="false"/>
          <w:sz w:val="20"/>
        </w:rPr>
        <w:t>Filed by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Rule 425 under the Securities Act of 1933</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and deemed filed pursuant to Rule 14a-6(b)</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Securities Exchange Act of 1934</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Company: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001-06659</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August 14, 2026</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All Essential Employees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Chris Franklin</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Integration Update: Progress made on future organizational structure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Colleagues,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part of our integration planning efforts with American Water, we have reached another important milestone in shaping the organizational design for the future combined company.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Following the completion of work on our Executive Leadership Team and their direct reports, we have now addressed role selections for the next level of employees and related organizational design decisions, continuing our careful and intentional approach. For certain functions, such as Legal and Communications &amp; External Affairs, role selection for the group has been completed and is being communicated. With the completion of this phase, approximately 78% percent of our workforce have identified roles in the future merged company. For all remaining functions/groups, we expect to finalize organizational design and role selections in the fall. As previously communicated, all union contracts are being honored.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Individuals whose future-state roles have been confirmed at this stage of the organizational design process are being notified directly by their managers. These conversations are taking place now, well in advance of our planned closing, to provide timely clarity and support in planning for a successful integration. However, these changes are not effective until the merger closes, which is still expected to be by the end of the first quarter of 2027.</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those who have been involved in our integration planning, thank you for your contributions to this important work alongside your day-to-day responsibilities. We have made great progress. As always, please stay safe.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Best,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Chris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Cautionary Statement Regarding Forward-Looking Statements</w:t>
      </w:r>
      <w:r>
        <w:rPr>
          <w:rFonts w:ascii="Arial;Helvetica;Sans-Serif" w:hAnsi="Arial;Helvetica;San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Proposed Merger</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 Offer or Solicitation</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1687</Words>
  <Characters>9942</Characters>
  <CharactersWithSpaces>11640</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