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line="222" w:lineRule="auto"/>
        <w:rPr>
          <w:sz w:val="20"/>
          <w:szCs w:val="20"/>
          <w:color w:val="auto"/>
        </w:rPr>
      </w:pPr>
      <w:r>
        <w:rPr>
          <w:rFonts w:ascii="Arial" w:cs="Arial" w:eastAsia="Arial" w:hAnsi="Arial"/>
          <w:sz w:val="19"/>
          <w:szCs w:val="19"/>
          <w:b w:val="1"/>
          <w:bCs w:val="1"/>
          <w:color w:val="auto"/>
        </w:rPr>
        <w:t>UNITED STATES</w:t>
      </w:r>
    </w:p>
    <w:p>
      <w:pPr>
        <w:jc w:val="center"/>
        <w:spacing w:after="0" w:line="222" w:lineRule="auto"/>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92" w:lineRule="auto"/>
        <w:rPr>
          <w:sz w:val="20"/>
          <w:szCs w:val="20"/>
          <w:color w:val="auto"/>
        </w:rPr>
      </w:pPr>
      <w:r>
        <w:rPr>
          <w:rFonts w:ascii="Arial" w:cs="Arial" w:eastAsia="Arial" w:hAnsi="Arial"/>
          <w:sz w:val="19"/>
          <w:szCs w:val="19"/>
          <w:color w:val="auto"/>
        </w:rPr>
        <w:t>(Mark One)</w:t>
      </w:r>
    </w:p>
    <w:p>
      <w:pPr>
        <w:spacing w:after="0" w:line="1" w:lineRule="exact"/>
        <w:rPr>
          <w:sz w:val="24"/>
          <w:szCs w:val="24"/>
          <w:color w:val="auto"/>
        </w:rPr>
      </w:pPr>
    </w:p>
    <w:p>
      <w:pPr>
        <w:ind w:left="3700" w:right="1980" w:hanging="3684"/>
        <w:spacing w:after="0" w:line="234" w:lineRule="auto"/>
        <w:rPr>
          <w:sz w:val="20"/>
          <w:szCs w:val="20"/>
          <w:color w:val="auto"/>
        </w:rPr>
      </w:pPr>
      <w:r>
        <w:rPr>
          <w:rFonts w:ascii="Arial" w:cs="Arial" w:eastAsia="Arial" w:hAnsi="Arial"/>
          <w:sz w:val="19"/>
          <w:szCs w:val="19"/>
          <w:b w:val="1"/>
          <w:bCs w:val="1"/>
          <w:color w:val="auto"/>
        </w:rPr>
        <w:t xml:space="preserve">S </w:t>
      </w:r>
      <w:r>
        <w:rPr>
          <w:rFonts w:ascii="Arial" w:cs="Arial" w:eastAsia="Arial" w:hAnsi="Arial"/>
          <w:sz w:val="19"/>
          <w:szCs w:val="19"/>
          <w:color w:val="auto"/>
        </w:rPr>
        <w:t>QUARTERLY REPORT PURSUANT TO SECTION 13 or 15 (d) OF THE SECURITIES EXCHANGE ACT OF 1934.</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quarterly period ended September 30, 2021</w:t>
      </w:r>
    </w:p>
    <w:p>
      <w:pPr>
        <w:spacing w:after="0" w:line="71" w:lineRule="exact"/>
        <w:rPr>
          <w:sz w:val="24"/>
          <w:szCs w:val="24"/>
          <w:color w:val="auto"/>
        </w:rPr>
      </w:pPr>
    </w:p>
    <w:p>
      <w:pPr>
        <w:ind w:left="2960" w:right="1920" w:hanging="2952"/>
        <w:spacing w:after="0" w:line="273" w:lineRule="auto"/>
        <w:tabs>
          <w:tab w:leader="none" w:pos="144"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TRANSITION REPORT PURSUANT TO SECTION 13 OR 15(d) OF THE SECURITIES EXCHANGE ACT OF 1934. For the transition period from_______________ to _______________</w:t>
      </w:r>
    </w:p>
    <w:p>
      <w:pPr>
        <w:spacing w:after="0" w:line="42" w:lineRule="exact"/>
        <w:rPr>
          <w:sz w:val="24"/>
          <w:szCs w:val="24"/>
          <w:color w:val="auto"/>
        </w:rPr>
      </w:pPr>
    </w:p>
    <w:p>
      <w:pPr>
        <w:ind w:left="4320"/>
        <w:spacing w:after="0"/>
        <w:rPr>
          <w:sz w:val="20"/>
          <w:szCs w:val="20"/>
          <w:color w:val="auto"/>
        </w:rPr>
      </w:pPr>
      <w:r>
        <w:rPr>
          <w:rFonts w:ascii="Arial" w:cs="Arial" w:eastAsia="Arial" w:hAnsi="Arial"/>
          <w:sz w:val="19"/>
          <w:szCs w:val="19"/>
          <w:color w:val="auto"/>
        </w:rPr>
        <w:t>Commission File Number 1-6659</w:t>
      </w:r>
    </w:p>
    <w:p>
      <w:pPr>
        <w:spacing w:after="0" w:line="167" w:lineRule="exact"/>
        <w:rPr>
          <w:sz w:val="24"/>
          <w:szCs w:val="24"/>
          <w:color w:val="auto"/>
        </w:rPr>
      </w:pPr>
    </w:p>
    <w:p>
      <w:pPr>
        <w:ind w:left="4320"/>
        <w:spacing w:after="0"/>
        <w:rPr>
          <w:sz w:val="20"/>
          <w:szCs w:val="20"/>
          <w:color w:val="auto"/>
        </w:rPr>
      </w:pPr>
      <w:r>
        <w:rPr>
          <w:rFonts w:ascii="Arial" w:cs="Arial" w:eastAsia="Arial" w:hAnsi="Arial"/>
          <w:sz w:val="19"/>
          <w:szCs w:val="19"/>
          <w:b w:val="1"/>
          <w:bCs w:val="1"/>
          <w:u w:val="single" w:color="auto"/>
          <w:color w:val="auto"/>
        </w:rPr>
        <w:t>ESSENTIAL UTILITIES, INC.</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(Exact name of registrant as specified in its charter)</w:t>
      </w:r>
    </w:p>
    <w:p>
      <w:pPr>
        <w:spacing w:after="0" w:line="163"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8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Arial" w:cs="Arial" w:eastAsia="Arial" w:hAnsi="Arial"/>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7"/>
        </w:trPr>
        <w:tc>
          <w:tcPr>
            <w:tcW w:w="5480" w:type="dxa"/>
            <w:vAlign w:val="bottom"/>
            <w:gridSpan w:val="4"/>
          </w:tcPr>
          <w:p>
            <w:pPr>
              <w:jc w:val="center"/>
              <w:ind w:right="1440"/>
              <w:spacing w:after="0" w:line="187" w:lineRule="exact"/>
              <w:rPr>
                <w:sz w:val="20"/>
                <w:szCs w:val="20"/>
                <w:color w:val="auto"/>
              </w:rPr>
            </w:pPr>
            <w:r>
              <w:rPr>
                <w:rFonts w:ascii="Arial" w:cs="Arial" w:eastAsia="Arial" w:hAnsi="Arial"/>
                <w:sz w:val="19"/>
                <w:szCs w:val="19"/>
                <w:color w:val="auto"/>
                <w:w w:val="92"/>
              </w:rPr>
              <w:t>(State or other jurisdiction of</w:t>
            </w:r>
          </w:p>
        </w:tc>
        <w:tc>
          <w:tcPr>
            <w:tcW w:w="2860" w:type="dxa"/>
            <w:vAlign w:val="bottom"/>
            <w:gridSpan w:val="5"/>
          </w:tcPr>
          <w:p>
            <w:pPr>
              <w:jc w:val="center"/>
              <w:ind w:left="1346"/>
              <w:spacing w:after="0" w:line="187" w:lineRule="exact"/>
              <w:rPr>
                <w:sz w:val="20"/>
                <w:szCs w:val="20"/>
                <w:color w:val="auto"/>
              </w:rPr>
            </w:pPr>
            <w:r>
              <w:rPr>
                <w:rFonts w:ascii="Arial" w:cs="Arial" w:eastAsia="Arial" w:hAnsi="Arial"/>
                <w:sz w:val="19"/>
                <w:szCs w:val="19"/>
                <w:color w:val="auto"/>
                <w:w w:val="93"/>
              </w:rPr>
              <w:t>(I.R.S. Employer</w:t>
            </w:r>
          </w:p>
        </w:tc>
      </w:tr>
      <w:tr>
        <w:trPr>
          <w:trHeight w:val="240"/>
        </w:trPr>
        <w:tc>
          <w:tcPr>
            <w:tcW w:w="5480" w:type="dxa"/>
            <w:vAlign w:val="bottom"/>
            <w:gridSpan w:val="4"/>
          </w:tcPr>
          <w:p>
            <w:pPr>
              <w:jc w:val="center"/>
              <w:ind w:right="1440"/>
              <w:spacing w:after="0"/>
              <w:rPr>
                <w:sz w:val="20"/>
                <w:szCs w:val="20"/>
                <w:color w:val="auto"/>
              </w:rPr>
            </w:pPr>
            <w:r>
              <w:rPr>
                <w:rFonts w:ascii="Arial" w:cs="Arial" w:eastAsia="Arial" w:hAnsi="Arial"/>
                <w:sz w:val="19"/>
                <w:szCs w:val="19"/>
                <w:color w:val="auto"/>
                <w:w w:val="92"/>
              </w:rPr>
              <w:t>incorporation or organization)</w:t>
            </w:r>
          </w:p>
        </w:tc>
        <w:tc>
          <w:tcPr>
            <w:tcW w:w="2860" w:type="dxa"/>
            <w:vAlign w:val="bottom"/>
            <w:gridSpan w:val="5"/>
          </w:tcPr>
          <w:p>
            <w:pPr>
              <w:jc w:val="center"/>
              <w:ind w:left="1346"/>
              <w:spacing w:after="0"/>
              <w:rPr>
                <w:sz w:val="20"/>
                <w:szCs w:val="20"/>
                <w:color w:val="auto"/>
              </w:rPr>
            </w:pPr>
            <w:r>
              <w:rPr>
                <w:rFonts w:ascii="Arial" w:cs="Arial" w:eastAsia="Arial" w:hAnsi="Arial"/>
                <w:sz w:val="19"/>
                <w:szCs w:val="19"/>
                <w:color w:val="auto"/>
                <w:w w:val="96"/>
              </w:rPr>
              <w:t>Identification No.)</w:t>
            </w:r>
          </w:p>
        </w:tc>
      </w:tr>
      <w:tr>
        <w:trPr>
          <w:trHeight w:val="383"/>
        </w:trPr>
        <w:tc>
          <w:tcPr>
            <w:tcW w:w="5480" w:type="dxa"/>
            <w:vAlign w:val="bottom"/>
            <w:gridSpan w:val="4"/>
          </w:tcPr>
          <w:p>
            <w:pPr>
              <w:jc w:val="center"/>
              <w:ind w:right="1460"/>
              <w:spacing w:after="0"/>
              <w:rPr>
                <w:sz w:val="20"/>
                <w:szCs w:val="20"/>
                <w:color w:val="auto"/>
              </w:rPr>
            </w:pPr>
            <w:r>
              <w:rPr>
                <w:rFonts w:ascii="Arial" w:cs="Arial" w:eastAsia="Arial" w:hAnsi="Arial"/>
                <w:sz w:val="19"/>
                <w:szCs w:val="19"/>
                <w:color w:val="auto"/>
                <w:w w:val="90"/>
              </w:rPr>
              <w:t>762 W. Lancaster Avenue, Bryn Mawr, Pennsylvania</w:t>
            </w:r>
          </w:p>
        </w:tc>
        <w:tc>
          <w:tcPr>
            <w:tcW w:w="2860" w:type="dxa"/>
            <w:vAlign w:val="bottom"/>
            <w:gridSpan w:val="5"/>
          </w:tcPr>
          <w:p>
            <w:pPr>
              <w:jc w:val="right"/>
              <w:ind w:right="220"/>
              <w:spacing w:after="0"/>
              <w:rPr>
                <w:sz w:val="20"/>
                <w:szCs w:val="20"/>
                <w:color w:val="auto"/>
              </w:rPr>
            </w:pPr>
            <w:r>
              <w:rPr>
                <w:rFonts w:ascii="Arial" w:cs="Arial" w:eastAsia="Arial" w:hAnsi="Arial"/>
                <w:sz w:val="19"/>
                <w:szCs w:val="19"/>
                <w:color w:val="auto"/>
              </w:rPr>
              <w:t>19010 -3489</w:t>
            </w:r>
          </w:p>
        </w:tc>
      </w:tr>
      <w:tr>
        <w:trPr>
          <w:trHeight w:val="214"/>
        </w:trPr>
        <w:tc>
          <w:tcPr>
            <w:tcW w:w="4020" w:type="dxa"/>
            <w:vAlign w:val="bottom"/>
            <w:tcBorders>
              <w:top w:val="single" w:sz="8" w:color="auto"/>
            </w:tcBorders>
            <w:gridSpan w:val="3"/>
          </w:tcPr>
          <w:p>
            <w:pPr>
              <w:jc w:val="center"/>
              <w:spacing w:after="0" w:line="214" w:lineRule="exact"/>
              <w:rPr>
                <w:sz w:val="20"/>
                <w:szCs w:val="20"/>
                <w:color w:val="auto"/>
              </w:rPr>
            </w:pPr>
            <w:r>
              <w:rPr>
                <w:rFonts w:ascii="Arial" w:cs="Arial" w:eastAsia="Arial" w:hAnsi="Arial"/>
                <w:sz w:val="19"/>
                <w:szCs w:val="19"/>
                <w:color w:val="auto"/>
                <w:w w:val="92"/>
              </w:rPr>
              <w:t>(Address of principal executive offices)</w:t>
            </w:r>
          </w:p>
        </w:tc>
        <w:tc>
          <w:tcPr>
            <w:tcW w:w="1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center"/>
              <w:ind w:right="40"/>
              <w:spacing w:after="0" w:line="214" w:lineRule="exact"/>
              <w:rPr>
                <w:sz w:val="20"/>
                <w:szCs w:val="20"/>
                <w:color w:val="auto"/>
              </w:rPr>
            </w:pPr>
            <w:r>
              <w:rPr>
                <w:rFonts w:ascii="Arial" w:cs="Arial" w:eastAsia="Arial" w:hAnsi="Arial"/>
                <w:sz w:val="19"/>
                <w:szCs w:val="19"/>
                <w:color w:val="auto"/>
                <w:w w:val="91"/>
              </w:rPr>
              <w:t>(Zip Code)</w:t>
            </w:r>
          </w:p>
        </w:tc>
        <w:tc>
          <w:tcPr>
            <w:tcW w:w="220" w:type="dxa"/>
            <w:vAlign w:val="bottom"/>
          </w:tcPr>
          <w:p>
            <w:pPr>
              <w:spacing w:after="0"/>
              <w:rPr>
                <w:sz w:val="18"/>
                <w:szCs w:val="18"/>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9"/>
          <w:szCs w:val="19"/>
          <w:u w:val="single" w:color="auto"/>
          <w:color w:val="auto"/>
        </w:rPr>
        <w:t>(610) 527-8000</w:t>
      </w:r>
    </w:p>
    <w:p>
      <w:pPr>
        <w:jc w:val="center"/>
        <w:spacing w:after="0" w:line="222" w:lineRule="auto"/>
        <w:rPr>
          <w:sz w:val="20"/>
          <w:szCs w:val="20"/>
          <w:color w:val="auto"/>
        </w:rPr>
      </w:pPr>
      <w:r>
        <w:rPr>
          <w:rFonts w:ascii="Arial" w:cs="Arial" w:eastAsia="Arial" w:hAnsi="Arial"/>
          <w:sz w:val="19"/>
          <w:szCs w:val="19"/>
          <w:color w:val="auto"/>
        </w:rPr>
        <w:t>(Registrant’s telephone number, including area code)</w:t>
      </w:r>
    </w:p>
    <w:p>
      <w:pPr>
        <w:jc w:val="center"/>
        <w:spacing w:after="0" w:line="222" w:lineRule="auto"/>
        <w:rPr>
          <w:sz w:val="20"/>
          <w:szCs w:val="20"/>
          <w:color w:val="auto"/>
        </w:rPr>
      </w:pPr>
      <w:r>
        <w:rPr>
          <w:rFonts w:ascii="Arial" w:cs="Arial" w:eastAsia="Arial" w:hAnsi="Arial"/>
          <w:sz w:val="19"/>
          <w:szCs w:val="19"/>
          <w:u w:val="single" w:color="auto"/>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(Former Name, former address and former fiscal year, if changed since last report.)</w:t>
      </w:r>
    </w:p>
    <w:p>
      <w:pPr>
        <w:spacing w:after="0" w:line="171" w:lineRule="exact"/>
        <w:rPr>
          <w:sz w:val="24"/>
          <w:szCs w:val="24"/>
          <w:color w:val="auto"/>
        </w:rPr>
      </w:pPr>
    </w:p>
    <w:p>
      <w:pPr>
        <w:ind w:right="160"/>
        <w:spacing w:after="0" w:line="236" w:lineRule="auto"/>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5" w:lineRule="exact"/>
        <w:rPr>
          <w:sz w:val="24"/>
          <w:szCs w:val="24"/>
          <w:color w:val="auto"/>
        </w:rPr>
      </w:pPr>
    </w:p>
    <w:p>
      <w:pPr>
        <w:ind w:right="20"/>
        <w:spacing w:after="0" w:line="236" w:lineRule="auto"/>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5" w:lineRule="exact"/>
        <w:rPr>
          <w:sz w:val="24"/>
          <w:szCs w:val="24"/>
          <w:color w:val="auto"/>
        </w:rPr>
      </w:pPr>
    </w:p>
    <w:p>
      <w:pPr>
        <w:jc w:val="both"/>
        <w:ind w:right="200"/>
        <w:spacing w:after="0" w:line="236"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5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Large Accelerated Filer </w:t>
      </w:r>
      <w:r>
        <w:rPr>
          <w:rFonts w:ascii="Arial" w:cs="Arial" w:eastAsia="Arial" w:hAnsi="Arial"/>
          <w:sz w:val="19"/>
          <w:szCs w:val="19"/>
          <w:b w:val="1"/>
          <w:bCs w:val="1"/>
          <w:color w:val="auto"/>
        </w:rPr>
        <w:t>S</w:t>
      </w:r>
    </w:p>
    <w:p>
      <w:pPr>
        <w:spacing w:after="0" w:line="229" w:lineRule="auto"/>
        <w:rPr>
          <w:sz w:val="20"/>
          <w:szCs w:val="20"/>
          <w:color w:val="auto"/>
        </w:rPr>
      </w:pPr>
      <w:r>
        <w:rPr>
          <w:rFonts w:ascii="Arial" w:cs="Arial" w:eastAsia="Arial" w:hAnsi="Arial"/>
          <w:sz w:val="19"/>
          <w:szCs w:val="19"/>
          <w:color w:val="auto"/>
        </w:rPr>
        <w:t xml:space="preserve">Non-Accelerated Filer </w:t>
      </w:r>
      <w:r>
        <w:rPr>
          <w:rFonts w:ascii="Arial" w:cs="Arial" w:eastAsia="Arial" w:hAnsi="Arial"/>
          <w:sz w:val="19"/>
          <w:szCs w:val="19"/>
          <w:b w:val="1"/>
          <w:bCs w:val="1"/>
          <w:color w:val="auto"/>
        </w:rPr>
        <w:t>£</w:t>
      </w:r>
    </w:p>
    <w:p>
      <w:pPr>
        <w:spacing w:after="0"/>
        <w:rPr>
          <w:sz w:val="20"/>
          <w:szCs w:val="20"/>
          <w:color w:val="auto"/>
        </w:rPr>
      </w:pPr>
      <w:r>
        <w:rPr>
          <w:rFonts w:ascii="Arial" w:cs="Arial" w:eastAsia="Arial" w:hAnsi="Arial"/>
          <w:sz w:val="17"/>
          <w:szCs w:val="17"/>
          <w:color w:val="auto"/>
        </w:rPr>
        <w:t xml:space="preserve">Emerging Growth Company </w:t>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Accelerated Filer </w:t>
      </w:r>
      <w:r>
        <w:rPr>
          <w:rFonts w:ascii="Arial" w:cs="Arial" w:eastAsia="Arial" w:hAnsi="Arial"/>
          <w:sz w:val="19"/>
          <w:szCs w:val="19"/>
          <w:b w:val="1"/>
          <w:bCs w:val="1"/>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Smaller Reporting Company </w:t>
      </w:r>
      <w:r>
        <w:rPr>
          <w:rFonts w:ascii="Arial" w:cs="Arial" w:eastAsia="Arial" w:hAnsi="Arial"/>
          <w:sz w:val="17"/>
          <w:szCs w:val="17"/>
          <w:b w:val="1"/>
          <w:bCs w:val="1"/>
          <w:color w:val="auto"/>
        </w:rPr>
        <w:t>£</w:t>
      </w:r>
    </w:p>
    <w:p>
      <w:pPr>
        <w:spacing w:after="0" w:line="396"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280"/>
        <w:spacing w:after="0" w:line="246"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b w:val="1"/>
          <w:bCs w:val="1"/>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Arial" w:cs="Arial" w:eastAsia="Arial" w:hAnsi="Arial"/>
          <w:sz w:val="19"/>
          <w:szCs w:val="19"/>
          <w:b w:val="1"/>
          <w:bCs w:val="1"/>
          <w:color w:val="auto"/>
        </w:rPr>
        <w:t>£</w:t>
      </w:r>
      <w:r>
        <w:rPr>
          <w:rFonts w:ascii="Arial" w:cs="Arial" w:eastAsia="Arial" w:hAnsi="Arial"/>
          <w:sz w:val="19"/>
          <w:szCs w:val="19"/>
          <w:color w:val="auto"/>
        </w:rPr>
        <w:t xml:space="preserve"> No </w:t>
      </w:r>
      <w:r>
        <w:rPr>
          <w:rFonts w:ascii="Arial" w:cs="Arial" w:eastAsia="Arial" w:hAnsi="Arial"/>
          <w:sz w:val="19"/>
          <w:szCs w:val="19"/>
          <w:b w:val="1"/>
          <w:bCs w:val="1"/>
          <w:color w:val="auto"/>
        </w:rPr>
        <w:t>S</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9"/>
                <w:szCs w:val="19"/>
                <w:color w:val="auto"/>
              </w:rPr>
            </w:pPr>
          </w:p>
        </w:tc>
        <w:tc>
          <w:tcPr>
            <w:tcW w:w="4540" w:type="dxa"/>
            <w:vAlign w:val="bottom"/>
            <w:gridSpan w:val="5"/>
          </w:tcPr>
          <w:p>
            <w:pPr>
              <w:ind w:left="60"/>
              <w:spacing w:after="0"/>
              <w:rPr>
                <w:sz w:val="20"/>
                <w:szCs w:val="20"/>
                <w:color w:val="auto"/>
              </w:rPr>
            </w:pPr>
            <w:r>
              <w:rPr>
                <w:rFonts w:ascii="Arial" w:cs="Arial" w:eastAsia="Arial" w:hAnsi="Arial"/>
                <w:sz w:val="19"/>
                <w:szCs w:val="19"/>
                <w:color w:val="auto"/>
                <w:w w:val="92"/>
              </w:rPr>
              <w:t>Securities registered pursuant to Section 12(b) of the Act:</w:t>
            </w:r>
          </w:p>
        </w:tc>
        <w:tc>
          <w:tcPr>
            <w:tcW w:w="3320" w:type="dxa"/>
            <w:vAlign w:val="bottom"/>
          </w:tcPr>
          <w:p>
            <w:pPr>
              <w:spacing w:after="0"/>
              <w:rPr>
                <w:sz w:val="19"/>
                <w:szCs w:val="19"/>
                <w:color w:val="auto"/>
              </w:rPr>
            </w:pPr>
          </w:p>
        </w:tc>
      </w:tr>
      <w:tr>
        <w:trPr>
          <w:trHeight w:val="225"/>
        </w:trPr>
        <w:tc>
          <w:tcPr>
            <w:tcW w:w="3380" w:type="dxa"/>
            <w:vAlign w:val="bottom"/>
          </w:tcPr>
          <w:p>
            <w:pPr>
              <w:jc w:val="center"/>
              <w:ind w:left="686"/>
              <w:spacing w:after="0"/>
              <w:rPr>
                <w:sz w:val="20"/>
                <w:szCs w:val="20"/>
                <w:color w:val="auto"/>
              </w:rPr>
            </w:pPr>
            <w:r>
              <w:rPr>
                <w:rFonts w:ascii="Arial" w:cs="Arial" w:eastAsia="Arial" w:hAnsi="Arial"/>
                <w:sz w:val="19"/>
                <w:szCs w:val="19"/>
                <w:color w:val="auto"/>
                <w:w w:val="89"/>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9"/>
                <w:szCs w:val="19"/>
                <w:color w:val="auto"/>
                <w:w w:val="92"/>
              </w:rPr>
              <w:t>Trading Symbol(s)</w:t>
            </w:r>
          </w:p>
        </w:tc>
        <w:tc>
          <w:tcPr>
            <w:tcW w:w="4520" w:type="dxa"/>
            <w:vAlign w:val="bottom"/>
            <w:gridSpan w:val="2"/>
          </w:tcPr>
          <w:p>
            <w:pPr>
              <w:jc w:val="center"/>
              <w:spacing w:after="0"/>
              <w:rPr>
                <w:sz w:val="20"/>
                <w:szCs w:val="20"/>
                <w:color w:val="auto"/>
              </w:rPr>
            </w:pPr>
            <w:r>
              <w:rPr>
                <w:rFonts w:ascii="Arial" w:cs="Arial" w:eastAsia="Arial" w:hAnsi="Arial"/>
                <w:sz w:val="19"/>
                <w:szCs w:val="19"/>
                <w:color w:val="auto"/>
                <w:w w:val="89"/>
              </w:rPr>
              <w:t>Name of each exchange on which registered</w:t>
            </w:r>
          </w:p>
        </w:tc>
      </w:tr>
      <w:tr>
        <w:trPr>
          <w:trHeight w:val="174"/>
        </w:trPr>
        <w:tc>
          <w:tcPr>
            <w:tcW w:w="3380" w:type="dxa"/>
            <w:vAlign w:val="bottom"/>
            <w:tcBorders>
              <w:top w:val="single" w:sz="8" w:color="auto"/>
            </w:tcBorders>
          </w:tcPr>
          <w:p>
            <w:pPr>
              <w:jc w:val="center"/>
              <w:ind w:left="706"/>
              <w:spacing w:after="0" w:line="173" w:lineRule="exact"/>
              <w:rPr>
                <w:sz w:val="20"/>
                <w:szCs w:val="20"/>
                <w:color w:val="auto"/>
              </w:rPr>
            </w:pPr>
            <w:r>
              <w:rPr>
                <w:rFonts w:ascii="Arial" w:cs="Arial" w:eastAsia="Arial" w:hAnsi="Arial"/>
                <w:sz w:val="19"/>
                <w:szCs w:val="19"/>
                <w:color w:val="auto"/>
                <w:w w:val="90"/>
              </w:rPr>
              <w:t>Common stock, $0.50 par value</w:t>
            </w: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9"/>
                <w:szCs w:val="19"/>
                <w:color w:val="auto"/>
                <w:w w:val="96"/>
              </w:rPr>
              <w:t>WTRG</w:t>
            </w:r>
          </w:p>
        </w:tc>
        <w:tc>
          <w:tcPr>
            <w:tcW w:w="24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tcPr>
          <w:p>
            <w:pPr>
              <w:jc w:val="center"/>
              <w:ind w:right="1106"/>
              <w:spacing w:after="0" w:line="173" w:lineRule="exact"/>
              <w:rPr>
                <w:sz w:val="20"/>
                <w:szCs w:val="20"/>
                <w:color w:val="auto"/>
              </w:rPr>
            </w:pPr>
            <w:r>
              <w:rPr>
                <w:rFonts w:ascii="Arial" w:cs="Arial" w:eastAsia="Arial" w:hAnsi="Arial"/>
                <w:sz w:val="19"/>
                <w:szCs w:val="19"/>
                <w:color w:val="auto"/>
                <w:w w:val="90"/>
              </w:rPr>
              <w:t>New York Stock Exchange</w:t>
            </w:r>
          </w:p>
        </w:tc>
      </w:tr>
      <w:tr>
        <w:trPr>
          <w:trHeight w:val="240"/>
        </w:trPr>
        <w:tc>
          <w:tcPr>
            <w:tcW w:w="3380" w:type="dxa"/>
            <w:vAlign w:val="bottom"/>
          </w:tcPr>
          <w:p>
            <w:pPr>
              <w:jc w:val="center"/>
              <w:ind w:left="686"/>
              <w:spacing w:after="0"/>
              <w:rPr>
                <w:sz w:val="20"/>
                <w:szCs w:val="20"/>
                <w:color w:val="auto"/>
              </w:rPr>
            </w:pPr>
            <w:r>
              <w:rPr>
                <w:rFonts w:ascii="Arial" w:cs="Arial" w:eastAsia="Arial" w:hAnsi="Arial"/>
                <w:sz w:val="19"/>
                <w:szCs w:val="19"/>
                <w:color w:val="auto"/>
                <w:w w:val="92"/>
              </w:rPr>
              <w:t>6.00% Tangible Equity Units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9"/>
                <w:szCs w:val="19"/>
                <w:color w:val="auto"/>
                <w:w w:val="98"/>
              </w:rPr>
              <w:t>WTRU</w:t>
            </w:r>
          </w:p>
        </w:tc>
        <w:tc>
          <w:tcPr>
            <w:tcW w:w="1200" w:type="dxa"/>
            <w:vAlign w:val="bottom"/>
          </w:tcPr>
          <w:p>
            <w:pPr>
              <w:spacing w:after="0"/>
              <w:rPr>
                <w:sz w:val="20"/>
                <w:szCs w:val="20"/>
                <w:color w:val="auto"/>
              </w:rPr>
            </w:pPr>
          </w:p>
        </w:tc>
        <w:tc>
          <w:tcPr>
            <w:tcW w:w="3320" w:type="dxa"/>
            <w:vAlign w:val="bottom"/>
          </w:tcPr>
          <w:p>
            <w:pPr>
              <w:jc w:val="center"/>
              <w:ind w:right="1106"/>
              <w:spacing w:after="0"/>
              <w:rPr>
                <w:sz w:val="20"/>
                <w:szCs w:val="20"/>
                <w:color w:val="auto"/>
              </w:rPr>
            </w:pPr>
            <w:r>
              <w:rPr>
                <w:rFonts w:ascii="Arial" w:cs="Arial" w:eastAsia="Arial" w:hAnsi="Arial"/>
                <w:sz w:val="19"/>
                <w:szCs w:val="19"/>
                <w:color w:val="auto"/>
                <w:w w:val="90"/>
              </w:rPr>
              <w:t>New York Stock Exchange</w:t>
            </w:r>
          </w:p>
        </w:tc>
      </w:tr>
      <w:tr>
        <w:trPr>
          <w:trHeight w:val="405"/>
        </w:trPr>
        <w:tc>
          <w:tcPr>
            <w:tcW w:w="7920" w:type="dxa"/>
            <w:vAlign w:val="bottom"/>
            <w:gridSpan w:val="6"/>
          </w:tcPr>
          <w:p>
            <w:pPr>
              <w:spacing w:after="0"/>
              <w:rPr>
                <w:sz w:val="20"/>
                <w:szCs w:val="20"/>
                <w:color w:val="auto"/>
              </w:rPr>
            </w:pPr>
            <w:r>
              <w:rPr>
                <w:rFonts w:ascii="Arial" w:cs="Arial" w:eastAsia="Arial" w:hAnsi="Arial"/>
                <w:sz w:val="19"/>
                <w:szCs w:val="19"/>
                <w:color w:val="auto"/>
                <w:w w:val="89"/>
              </w:rPr>
              <w:t>Indicate the number of shares outstanding of each of the issuer's classes of common stock, as of October</w:t>
            </w:r>
          </w:p>
        </w:tc>
        <w:tc>
          <w:tcPr>
            <w:tcW w:w="3320" w:type="dxa"/>
            <w:vAlign w:val="bottom"/>
          </w:tcPr>
          <w:p>
            <w:pPr>
              <w:jc w:val="right"/>
              <w:ind w:right="1386"/>
              <w:spacing w:after="0"/>
              <w:rPr>
                <w:sz w:val="20"/>
                <w:szCs w:val="20"/>
                <w:color w:val="auto"/>
              </w:rPr>
            </w:pPr>
            <w:r>
              <w:rPr>
                <w:rFonts w:ascii="Arial" w:cs="Arial" w:eastAsia="Arial" w:hAnsi="Arial"/>
                <w:sz w:val="19"/>
                <w:szCs w:val="19"/>
                <w:color w:val="auto"/>
                <w:w w:val="95"/>
              </w:rPr>
              <w:t>22, 2021</w:t>
            </w:r>
            <w:r>
              <w:rPr>
                <w:rFonts w:ascii="Arial" w:cs="Arial" w:eastAsia="Arial" w:hAnsi="Arial"/>
                <w:sz w:val="19"/>
                <w:szCs w:val="19"/>
                <w:b w:val="1"/>
                <w:bCs w:val="1"/>
                <w:color w:val="auto"/>
                <w:w w:val="95"/>
              </w:rPr>
              <w:t>:</w:t>
            </w:r>
            <w:r>
              <w:rPr>
                <w:rFonts w:ascii="Arial" w:cs="Arial" w:eastAsia="Arial" w:hAnsi="Arial"/>
                <w:sz w:val="19"/>
                <w:szCs w:val="19"/>
                <w:color w:val="auto"/>
                <w:w w:val="95"/>
              </w:rPr>
              <w:t xml:space="preserve"> 252,742,882</w:t>
            </w:r>
          </w:p>
        </w:tc>
      </w:tr>
      <w:tr>
        <w:trPr>
          <w:trHeight w:val="1004"/>
        </w:trPr>
        <w:tc>
          <w:tcPr>
            <w:tcW w:w="3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rFonts w:ascii="Arial" w:cs="Arial" w:eastAsia="Arial" w:hAnsi="Arial"/>
          <w:sz w:val="22"/>
          <w:szCs w:val="22"/>
          <w:color w:val="0563C1"/>
        </w:rPr>
      </w:pPr>
      <w:hyperlink w:anchor="page2">
        <w:r>
          <w:rPr>
            <w:rFonts w:ascii="Arial" w:cs="Arial" w:eastAsia="Arial" w:hAnsi="Arial"/>
            <w:sz w:val="22"/>
            <w:szCs w:val="22"/>
            <w:color w:val="0563C1"/>
          </w:rPr>
          <w:t>Table of Contents</w:t>
        </w:r>
      </w:hyperlink>
    </w:p>
    <w:tbl>
      <w:tblPr>
        <w:tblLayout w:type="fixed"/>
        <w:tblInd w:w="0" w:type="dxa"/>
        <w:tblCellMar>
          <w:top w:w="0" w:type="dxa"/>
          <w:left w:w="0" w:type="dxa"/>
          <w:bottom w:w="0" w:type="dxa"/>
          <w:right w:w="0" w:type="dxa"/>
        </w:tblCellMar>
      </w:tblPr>
      <w:tr>
        <w:trPr>
          <w:trHeight w:val="294"/>
        </w:trPr>
        <w:tc>
          <w:tcPr>
            <w:tcW w:w="6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00" w:type="dxa"/>
            <w:vAlign w:val="bottom"/>
            <w:gridSpan w:val="20"/>
          </w:tcPr>
          <w:p>
            <w:pPr>
              <w:jc w:val="center"/>
              <w:ind w:right="1180"/>
              <w:spacing w:after="0"/>
              <w:rPr>
                <w:sz w:val="20"/>
                <w:szCs w:val="20"/>
                <w:color w:val="auto"/>
              </w:rPr>
            </w:pPr>
            <w:r>
              <w:rPr>
                <w:rFonts w:ascii="Arial" w:cs="Arial" w:eastAsia="Arial" w:hAnsi="Arial"/>
                <w:sz w:val="22"/>
                <w:szCs w:val="22"/>
                <w:color w:val="auto"/>
                <w:w w:val="96"/>
              </w:rPr>
              <w:t>ESSENTIAL UTILITIES, INC. AND SUBSIDIARIES</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gridSpan w:val="16"/>
          </w:tcPr>
          <w:p>
            <w:pPr>
              <w:jc w:val="center"/>
              <w:ind w:right="2820"/>
              <w:spacing w:after="0"/>
              <w:rPr>
                <w:sz w:val="20"/>
                <w:szCs w:val="20"/>
                <w:color w:val="auto"/>
              </w:rPr>
            </w:pPr>
            <w:r>
              <w:rPr>
                <w:rFonts w:ascii="Arial" w:cs="Arial" w:eastAsia="Arial" w:hAnsi="Arial"/>
                <w:sz w:val="22"/>
                <w:szCs w:val="22"/>
                <w:color w:val="auto"/>
                <w:w w:val="94"/>
              </w:rPr>
              <w:t>TABLE OF CONTENTS</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gridSpan w:val="3"/>
          </w:tcPr>
          <w:p>
            <w:pPr>
              <w:ind w:left="1260"/>
              <w:spacing w:after="0"/>
              <w:rPr>
                <w:sz w:val="20"/>
                <w:szCs w:val="20"/>
                <w:color w:val="auto"/>
              </w:rPr>
            </w:pPr>
            <w:r>
              <w:rPr>
                <w:rFonts w:ascii="Arial" w:cs="Arial" w:eastAsia="Arial" w:hAnsi="Arial"/>
                <w:sz w:val="22"/>
                <w:szCs w:val="22"/>
                <w:color w:val="auto"/>
                <w:w w:val="81"/>
              </w:rPr>
              <w:t>Page</w:t>
            </w: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20" w:type="dxa"/>
            <w:vAlign w:val="bottom"/>
            <w:gridSpan w:val="18"/>
            <w:shd w:val="clear" w:color="auto" w:fill="CCEEFF"/>
          </w:tcPr>
          <w:p>
            <w:pPr>
              <w:jc w:val="center"/>
              <w:ind w:right="2640"/>
              <w:spacing w:after="0" w:line="203" w:lineRule="exact"/>
              <w:rPr>
                <w:rFonts w:ascii="Arial" w:cs="Arial" w:eastAsia="Arial" w:hAnsi="Arial"/>
                <w:sz w:val="22"/>
                <w:szCs w:val="22"/>
                <w:color w:val="0563C1"/>
                <w:w w:val="91"/>
              </w:rPr>
            </w:pPr>
            <w:hyperlink w:anchor="page3">
              <w:r>
                <w:rPr>
                  <w:rFonts w:ascii="Arial" w:cs="Arial" w:eastAsia="Arial" w:hAnsi="Arial"/>
                  <w:sz w:val="22"/>
                  <w:szCs w:val="22"/>
                  <w:color w:val="0563C1"/>
                  <w:w w:val="91"/>
                </w:rPr>
                <w:t>Part I – Financial Information</w:t>
              </w:r>
            </w:hyperlink>
          </w:p>
        </w:tc>
        <w:tc>
          <w:tcPr>
            <w:tcW w:w="1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3">
              <w:r>
                <w:rPr>
                  <w:rFonts w:ascii="Arial" w:cs="Arial" w:eastAsia="Arial" w:hAnsi="Arial"/>
                  <w:sz w:val="22"/>
                  <w:szCs w:val="22"/>
                  <w:color w:val="0563C1"/>
                  <w:w w:val="95"/>
                </w:rPr>
                <w:t>Item 1.</w:t>
              </w:r>
            </w:hyperlink>
          </w:p>
        </w:tc>
        <w:tc>
          <w:tcPr>
            <w:tcW w:w="8900" w:type="dxa"/>
            <w:vAlign w:val="bottom"/>
            <w:gridSpan w:val="29"/>
            <w:shd w:val="clear" w:color="auto" w:fill="CCEEFF"/>
          </w:tcPr>
          <w:p>
            <w:pPr>
              <w:ind w:left="60"/>
              <w:spacing w:after="0" w:line="203" w:lineRule="exact"/>
              <w:rPr>
                <w:rFonts w:ascii="Arial" w:cs="Arial" w:eastAsia="Arial" w:hAnsi="Arial"/>
                <w:sz w:val="22"/>
                <w:szCs w:val="22"/>
                <w:color w:val="0563C1"/>
              </w:rPr>
            </w:pPr>
            <w:hyperlink w:anchor="page3">
              <w:r>
                <w:rPr>
                  <w:rFonts w:ascii="Arial" w:cs="Arial" w:eastAsia="Arial" w:hAnsi="Arial"/>
                  <w:sz w:val="22"/>
                  <w:szCs w:val="22"/>
                  <w:color w:val="0563C1"/>
                </w:rPr>
                <w:t>Financial Statements:</w:t>
              </w:r>
            </w:hyperlink>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8900" w:type="dxa"/>
            <w:vAlign w:val="bottom"/>
            <w:gridSpan w:val="29"/>
            <w:shd w:val="clear" w:color="auto" w:fill="CCEEFF"/>
          </w:tcPr>
          <w:p>
            <w:pPr>
              <w:spacing w:after="0" w:line="203" w:lineRule="exact"/>
              <w:rPr>
                <w:rFonts w:ascii="Arial" w:cs="Arial" w:eastAsia="Arial" w:hAnsi="Arial"/>
                <w:sz w:val="22"/>
                <w:szCs w:val="22"/>
                <w:color w:val="0563C1"/>
              </w:rPr>
            </w:pPr>
            <w:hyperlink w:anchor="page3">
              <w:r>
                <w:rPr>
                  <w:rFonts w:ascii="Arial" w:cs="Arial" w:eastAsia="Arial" w:hAnsi="Arial"/>
                  <w:sz w:val="22"/>
                  <w:szCs w:val="22"/>
                  <w:color w:val="0563C1"/>
                </w:rPr>
                <w:t>Consolidated Balance Sheets (unaudited) – September 30, 2021 and December 31, 2020</w:t>
              </w:r>
            </w:hyperlink>
          </w:p>
        </w:tc>
        <w:tc>
          <w:tcPr>
            <w:tcW w:w="1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900" w:type="dxa"/>
            <w:vAlign w:val="bottom"/>
            <w:gridSpan w:val="29"/>
            <w:shd w:val="clear" w:color="auto" w:fill="CCEEFF"/>
          </w:tcPr>
          <w:p>
            <w:pPr>
              <w:spacing w:after="0" w:line="203" w:lineRule="exact"/>
              <w:rPr>
                <w:rFonts w:ascii="Arial" w:cs="Arial" w:eastAsia="Arial" w:hAnsi="Arial"/>
                <w:sz w:val="22"/>
                <w:szCs w:val="22"/>
                <w:color w:val="0563C1"/>
              </w:rPr>
            </w:pPr>
            <w:hyperlink w:anchor="page5">
              <w:r>
                <w:rPr>
                  <w:rFonts w:ascii="Arial" w:cs="Arial" w:eastAsia="Arial" w:hAnsi="Arial"/>
                  <w:sz w:val="22"/>
                  <w:szCs w:val="22"/>
                  <w:color w:val="0563C1"/>
                </w:rPr>
                <w:t>Consolidated Statements of Operations and Comprehensive Income (unaudited) –</w:t>
              </w:r>
            </w:hyperlink>
          </w:p>
        </w:tc>
        <w:tc>
          <w:tcPr>
            <w:tcW w:w="16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6740" w:type="dxa"/>
            <w:vAlign w:val="bottom"/>
            <w:tcBorders>
              <w:top w:val="single" w:sz="8" w:color="0563C1"/>
            </w:tcBorders>
            <w:gridSpan w:val="25"/>
            <w:shd w:val="clear" w:color="auto" w:fill="CCEEFF"/>
          </w:tcPr>
          <w:p>
            <w:pPr>
              <w:spacing w:after="0" w:line="209" w:lineRule="exact"/>
              <w:rPr>
                <w:rFonts w:ascii="Arial" w:cs="Arial" w:eastAsia="Arial" w:hAnsi="Arial"/>
                <w:sz w:val="22"/>
                <w:szCs w:val="22"/>
                <w:color w:val="0563C1"/>
              </w:rPr>
            </w:pPr>
            <w:hyperlink w:anchor="page5">
              <w:r>
                <w:rPr>
                  <w:rFonts w:ascii="Arial" w:cs="Arial" w:eastAsia="Arial" w:hAnsi="Arial"/>
                  <w:sz w:val="22"/>
                  <w:szCs w:val="22"/>
                  <w:color w:val="0563C1"/>
                </w:rPr>
                <w:t>Three Months Ended September 30, 2021 and 2020</w:t>
              </w:r>
            </w:hyperlink>
          </w:p>
        </w:tc>
        <w:tc>
          <w:tcPr>
            <w:tcW w:w="1840" w:type="dxa"/>
            <w:vAlign w:val="bottom"/>
            <w:tcBorders>
              <w:top w:val="single" w:sz="8" w:color="CCEEFF"/>
            </w:tcBorders>
            <w:gridSpan w:val="2"/>
            <w:shd w:val="clear" w:color="auto" w:fill="CCEEFF"/>
          </w:tcPr>
          <w:p>
            <w:pPr>
              <w:spacing w:after="0"/>
              <w:rPr>
                <w:sz w:val="18"/>
                <w:szCs w:val="18"/>
                <w:color w:val="auto"/>
              </w:rPr>
            </w:pPr>
          </w:p>
        </w:tc>
        <w:tc>
          <w:tcPr>
            <w:tcW w:w="168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900" w:type="dxa"/>
            <w:vAlign w:val="bottom"/>
            <w:gridSpan w:val="29"/>
            <w:shd w:val="clear" w:color="auto" w:fill="CCEEFF"/>
          </w:tcPr>
          <w:p>
            <w:pPr>
              <w:spacing w:after="0" w:line="203" w:lineRule="exact"/>
              <w:rPr>
                <w:rFonts w:ascii="Arial" w:cs="Arial" w:eastAsia="Arial" w:hAnsi="Arial"/>
                <w:sz w:val="22"/>
                <w:szCs w:val="22"/>
                <w:color w:val="0563C1"/>
              </w:rPr>
            </w:pPr>
            <w:hyperlink w:anchor="page5">
              <w:r>
                <w:rPr>
                  <w:rFonts w:ascii="Arial" w:cs="Arial" w:eastAsia="Arial" w:hAnsi="Arial"/>
                  <w:sz w:val="22"/>
                  <w:szCs w:val="22"/>
                  <w:color w:val="0563C1"/>
                </w:rPr>
                <w:t>Consolidated Statements of Operations and Comprehensive Income (unaudited) –</w:t>
              </w:r>
            </w:hyperlink>
          </w:p>
        </w:tc>
        <w:tc>
          <w:tcPr>
            <w:tcW w:w="16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6740" w:type="dxa"/>
            <w:vAlign w:val="bottom"/>
            <w:tcBorders>
              <w:top w:val="single" w:sz="8" w:color="0563C1"/>
            </w:tcBorders>
            <w:gridSpan w:val="25"/>
            <w:shd w:val="clear" w:color="auto" w:fill="CCEEFF"/>
          </w:tcPr>
          <w:p>
            <w:pPr>
              <w:spacing w:after="0" w:line="209" w:lineRule="exact"/>
              <w:rPr>
                <w:rFonts w:ascii="Arial" w:cs="Arial" w:eastAsia="Arial" w:hAnsi="Arial"/>
                <w:sz w:val="22"/>
                <w:szCs w:val="22"/>
                <w:color w:val="0563C1"/>
              </w:rPr>
            </w:pPr>
            <w:hyperlink w:anchor="page5">
              <w:r>
                <w:rPr>
                  <w:rFonts w:ascii="Arial" w:cs="Arial" w:eastAsia="Arial" w:hAnsi="Arial"/>
                  <w:sz w:val="22"/>
                  <w:szCs w:val="22"/>
                  <w:color w:val="0563C1"/>
                </w:rPr>
                <w:t>Nine Months Ended September 30, 2021 and 2020</w:t>
              </w:r>
            </w:hyperlink>
          </w:p>
        </w:tc>
        <w:tc>
          <w:tcPr>
            <w:tcW w:w="1840" w:type="dxa"/>
            <w:vAlign w:val="bottom"/>
            <w:tcBorders>
              <w:top w:val="single" w:sz="8" w:color="CCEEFF"/>
            </w:tcBorders>
            <w:gridSpan w:val="2"/>
            <w:shd w:val="clear" w:color="auto" w:fill="CCEEFF"/>
          </w:tcPr>
          <w:p>
            <w:pPr>
              <w:spacing w:after="0"/>
              <w:rPr>
                <w:sz w:val="18"/>
                <w:szCs w:val="18"/>
                <w:color w:val="auto"/>
              </w:rPr>
            </w:pPr>
          </w:p>
        </w:tc>
        <w:tc>
          <w:tcPr>
            <w:tcW w:w="168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900" w:type="dxa"/>
            <w:vAlign w:val="bottom"/>
            <w:gridSpan w:val="29"/>
            <w:shd w:val="clear" w:color="auto" w:fill="CCEEFF"/>
          </w:tcPr>
          <w:p>
            <w:pPr>
              <w:spacing w:after="0" w:line="203" w:lineRule="exact"/>
              <w:rPr>
                <w:rFonts w:ascii="Arial" w:cs="Arial" w:eastAsia="Arial" w:hAnsi="Arial"/>
                <w:sz w:val="22"/>
                <w:szCs w:val="22"/>
                <w:color w:val="0563C1"/>
              </w:rPr>
            </w:pPr>
            <w:hyperlink w:anchor="page7">
              <w:r>
                <w:rPr>
                  <w:rFonts w:ascii="Arial" w:cs="Arial" w:eastAsia="Arial" w:hAnsi="Arial"/>
                  <w:sz w:val="22"/>
                  <w:szCs w:val="22"/>
                  <w:color w:val="0563C1"/>
                </w:rPr>
                <w:t>Consolidated Statements of Capitalization (unaudited) –</w:t>
              </w:r>
            </w:hyperlink>
          </w:p>
        </w:tc>
        <w:tc>
          <w:tcPr>
            <w:tcW w:w="16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4520" w:type="dxa"/>
            <w:vAlign w:val="bottom"/>
            <w:tcBorders>
              <w:top w:val="single" w:sz="8" w:color="0563C1"/>
            </w:tcBorders>
            <w:gridSpan w:val="20"/>
            <w:shd w:val="clear" w:color="auto" w:fill="CCEEFF"/>
          </w:tcPr>
          <w:p>
            <w:pPr>
              <w:spacing w:after="0" w:line="209" w:lineRule="exact"/>
              <w:rPr>
                <w:rFonts w:ascii="Arial" w:cs="Arial" w:eastAsia="Arial" w:hAnsi="Arial"/>
                <w:sz w:val="22"/>
                <w:szCs w:val="22"/>
                <w:color w:val="0563C1"/>
              </w:rPr>
            </w:pPr>
            <w:hyperlink w:anchor="page7">
              <w:r>
                <w:rPr>
                  <w:rFonts w:ascii="Arial" w:cs="Arial" w:eastAsia="Arial" w:hAnsi="Arial"/>
                  <w:sz w:val="22"/>
                  <w:szCs w:val="22"/>
                  <w:color w:val="0563C1"/>
                </w:rPr>
                <w:t>September 30, 2021 and December 31, 2020</w:t>
              </w:r>
            </w:hyperlink>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gridSpan w:val="4"/>
            <w:shd w:val="clear" w:color="auto" w:fill="CCEEFF"/>
          </w:tcPr>
          <w:p>
            <w:pPr>
              <w:spacing w:after="0"/>
              <w:rPr>
                <w:sz w:val="18"/>
                <w:szCs w:val="18"/>
                <w:color w:val="auto"/>
              </w:rPr>
            </w:pPr>
          </w:p>
        </w:tc>
        <w:tc>
          <w:tcPr>
            <w:tcW w:w="168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900" w:type="dxa"/>
            <w:vAlign w:val="bottom"/>
            <w:gridSpan w:val="29"/>
            <w:shd w:val="clear" w:color="auto" w:fill="CCEEFF"/>
          </w:tcPr>
          <w:p>
            <w:pPr>
              <w:spacing w:after="0" w:line="203" w:lineRule="exact"/>
              <w:rPr>
                <w:rFonts w:ascii="Arial" w:cs="Arial" w:eastAsia="Arial" w:hAnsi="Arial"/>
                <w:sz w:val="22"/>
                <w:szCs w:val="22"/>
                <w:color w:val="0563C1"/>
              </w:rPr>
            </w:pPr>
            <w:hyperlink w:anchor="page8">
              <w:r>
                <w:rPr>
                  <w:rFonts w:ascii="Arial" w:cs="Arial" w:eastAsia="Arial" w:hAnsi="Arial"/>
                  <w:sz w:val="22"/>
                  <w:szCs w:val="22"/>
                  <w:color w:val="0563C1"/>
                </w:rPr>
                <w:t>Consolidated Statements of Equity (unaudited) –</w:t>
              </w:r>
            </w:hyperlink>
          </w:p>
        </w:tc>
        <w:tc>
          <w:tcPr>
            <w:tcW w:w="16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3900" w:type="dxa"/>
            <w:vAlign w:val="bottom"/>
            <w:tcBorders>
              <w:top w:val="single" w:sz="8" w:color="0563C1"/>
            </w:tcBorders>
            <w:gridSpan w:val="14"/>
            <w:shd w:val="clear" w:color="auto" w:fill="CCEEFF"/>
          </w:tcPr>
          <w:p>
            <w:pPr>
              <w:spacing w:after="0" w:line="209" w:lineRule="exact"/>
              <w:rPr>
                <w:rFonts w:ascii="Arial" w:cs="Arial" w:eastAsia="Arial" w:hAnsi="Arial"/>
                <w:sz w:val="22"/>
                <w:szCs w:val="22"/>
                <w:color w:val="0563C1"/>
                <w:w w:val="97"/>
              </w:rPr>
            </w:pPr>
            <w:hyperlink w:anchor="page8">
              <w:r>
                <w:rPr>
                  <w:rFonts w:ascii="Arial" w:cs="Arial" w:eastAsia="Arial" w:hAnsi="Arial"/>
                  <w:sz w:val="22"/>
                  <w:szCs w:val="22"/>
                  <w:color w:val="0563C1"/>
                  <w:w w:val="97"/>
                </w:rPr>
                <w:t>Nine Months Ended September 30, 2021</w:t>
              </w:r>
            </w:hyperlink>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gridSpan w:val="4"/>
            <w:shd w:val="clear" w:color="auto" w:fill="CCEEFF"/>
          </w:tcPr>
          <w:p>
            <w:pPr>
              <w:spacing w:after="0"/>
              <w:rPr>
                <w:sz w:val="18"/>
                <w:szCs w:val="18"/>
                <w:color w:val="auto"/>
              </w:rPr>
            </w:pPr>
          </w:p>
        </w:tc>
        <w:tc>
          <w:tcPr>
            <w:tcW w:w="168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900" w:type="dxa"/>
            <w:vAlign w:val="bottom"/>
            <w:gridSpan w:val="29"/>
            <w:shd w:val="clear" w:color="auto" w:fill="CCEEFF"/>
          </w:tcPr>
          <w:p>
            <w:pPr>
              <w:spacing w:after="0" w:line="203" w:lineRule="exact"/>
              <w:rPr>
                <w:rFonts w:ascii="Arial" w:cs="Arial" w:eastAsia="Arial" w:hAnsi="Arial"/>
                <w:sz w:val="22"/>
                <w:szCs w:val="22"/>
                <w:color w:val="0563C1"/>
              </w:rPr>
            </w:pPr>
            <w:hyperlink w:anchor="page8">
              <w:r>
                <w:rPr>
                  <w:rFonts w:ascii="Arial" w:cs="Arial" w:eastAsia="Arial" w:hAnsi="Arial"/>
                  <w:sz w:val="22"/>
                  <w:szCs w:val="22"/>
                  <w:color w:val="0563C1"/>
                </w:rPr>
                <w:t>Consolidated Statements of Equity (unaudited) –</w:t>
              </w:r>
            </w:hyperlink>
          </w:p>
        </w:tc>
        <w:tc>
          <w:tcPr>
            <w:tcW w:w="16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3840" w:type="dxa"/>
            <w:vAlign w:val="bottom"/>
            <w:tcBorders>
              <w:top w:val="single" w:sz="8" w:color="0563C1"/>
            </w:tcBorders>
            <w:gridSpan w:val="13"/>
            <w:shd w:val="clear" w:color="auto" w:fill="CCEEFF"/>
          </w:tcPr>
          <w:p>
            <w:pPr>
              <w:spacing w:after="0" w:line="209" w:lineRule="exact"/>
              <w:rPr>
                <w:rFonts w:ascii="Arial" w:cs="Arial" w:eastAsia="Arial" w:hAnsi="Arial"/>
                <w:sz w:val="22"/>
                <w:szCs w:val="22"/>
                <w:color w:val="0563C1"/>
                <w:w w:val="95"/>
              </w:rPr>
            </w:pPr>
            <w:hyperlink w:anchor="page8">
              <w:r>
                <w:rPr>
                  <w:rFonts w:ascii="Arial" w:cs="Arial" w:eastAsia="Arial" w:hAnsi="Arial"/>
                  <w:sz w:val="22"/>
                  <w:szCs w:val="22"/>
                  <w:color w:val="0563C1"/>
                  <w:w w:val="95"/>
                </w:rPr>
                <w:t>Nine Months Ended September 30, 2020</w:t>
              </w:r>
            </w:hyperlink>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gridSpan w:val="4"/>
            <w:shd w:val="clear" w:color="auto" w:fill="CCEEFF"/>
          </w:tcPr>
          <w:p>
            <w:pPr>
              <w:spacing w:after="0"/>
              <w:rPr>
                <w:sz w:val="18"/>
                <w:szCs w:val="18"/>
                <w:color w:val="auto"/>
              </w:rPr>
            </w:pPr>
          </w:p>
        </w:tc>
        <w:tc>
          <w:tcPr>
            <w:tcW w:w="168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900" w:type="dxa"/>
            <w:vAlign w:val="bottom"/>
            <w:gridSpan w:val="29"/>
            <w:shd w:val="clear" w:color="auto" w:fill="CCEEFF"/>
          </w:tcPr>
          <w:p>
            <w:pPr>
              <w:spacing w:after="0" w:line="203" w:lineRule="exact"/>
              <w:rPr>
                <w:rFonts w:ascii="Arial" w:cs="Arial" w:eastAsia="Arial" w:hAnsi="Arial"/>
                <w:sz w:val="22"/>
                <w:szCs w:val="22"/>
                <w:color w:val="0563C1"/>
              </w:rPr>
            </w:pPr>
            <w:hyperlink w:anchor="page10">
              <w:r>
                <w:rPr>
                  <w:rFonts w:ascii="Arial" w:cs="Arial" w:eastAsia="Arial" w:hAnsi="Arial"/>
                  <w:sz w:val="22"/>
                  <w:szCs w:val="22"/>
                  <w:color w:val="0563C1"/>
                </w:rPr>
                <w:t>Consolidated Statements of Cash Flow (unaudited) –</w:t>
              </w:r>
            </w:hyperlink>
          </w:p>
        </w:tc>
        <w:tc>
          <w:tcPr>
            <w:tcW w:w="16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640" w:type="dxa"/>
            <w:vAlign w:val="bottom"/>
            <w:gridSpan w:val="2"/>
            <w:shd w:val="clear" w:color="auto" w:fill="0563C1"/>
          </w:tcPr>
          <w:p>
            <w:pPr>
              <w:spacing w:after="0" w:line="20" w:lineRule="exact"/>
              <w:rPr>
                <w:sz w:val="1"/>
                <w:szCs w:val="1"/>
                <w:color w:val="auto"/>
              </w:rPr>
            </w:pPr>
          </w:p>
        </w:tc>
        <w:tc>
          <w:tcPr>
            <w:tcW w:w="800" w:type="dxa"/>
            <w:vAlign w:val="bottom"/>
            <w:tcBorders>
              <w:right w:val="single" w:sz="8" w:color="CCEEFF"/>
            </w:tcBorders>
            <w:gridSpan w:val="5"/>
            <w:shd w:val="clear" w:color="auto" w:fill="0563C1"/>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760" w:type="dxa"/>
            <w:vAlign w:val="bottom"/>
            <w:gridSpan w:val="4"/>
            <w:shd w:val="clear" w:color="auto" w:fill="CCEEFF"/>
          </w:tcPr>
          <w:p>
            <w:pPr>
              <w:spacing w:after="0" w:line="20" w:lineRule="exact"/>
              <w:rPr>
                <w:sz w:val="1"/>
                <w:szCs w:val="1"/>
                <w:color w:val="auto"/>
              </w:rPr>
            </w:pPr>
          </w:p>
        </w:tc>
        <w:tc>
          <w:tcPr>
            <w:tcW w:w="1680" w:type="dxa"/>
            <w:vAlign w:val="bottom"/>
            <w:gridSpan w:val="2"/>
            <w:vMerge w:val="continue"/>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580" w:type="dxa"/>
            <w:vAlign w:val="bottom"/>
            <w:gridSpan w:val="27"/>
            <w:shd w:val="clear" w:color="auto" w:fill="CCEEFF"/>
          </w:tcPr>
          <w:p>
            <w:pPr>
              <w:spacing w:after="0" w:line="209" w:lineRule="exact"/>
              <w:rPr>
                <w:rFonts w:ascii="Arial" w:cs="Arial" w:eastAsia="Arial" w:hAnsi="Arial"/>
                <w:sz w:val="22"/>
                <w:szCs w:val="22"/>
                <w:color w:val="0563C1"/>
              </w:rPr>
            </w:pPr>
            <w:hyperlink w:anchor="page10">
              <w:r>
                <w:rPr>
                  <w:rFonts w:ascii="Arial" w:cs="Arial" w:eastAsia="Arial" w:hAnsi="Arial"/>
                  <w:sz w:val="22"/>
                  <w:szCs w:val="22"/>
                  <w:color w:val="0563C1"/>
                </w:rPr>
                <w:t>Nine Months Ended September 30, 2021 and 2020,</w:t>
              </w:r>
            </w:hyperlink>
          </w:p>
        </w:tc>
        <w:tc>
          <w:tcPr>
            <w:tcW w:w="1680" w:type="dxa"/>
            <w:vAlign w:val="bottom"/>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8900" w:type="dxa"/>
            <w:vAlign w:val="bottom"/>
            <w:gridSpan w:val="29"/>
            <w:shd w:val="clear" w:color="auto" w:fill="CCEEFF"/>
          </w:tcPr>
          <w:p>
            <w:pPr>
              <w:spacing w:after="0" w:line="203" w:lineRule="exact"/>
              <w:rPr>
                <w:rFonts w:ascii="Arial" w:cs="Arial" w:eastAsia="Arial" w:hAnsi="Arial"/>
                <w:sz w:val="22"/>
                <w:szCs w:val="22"/>
                <w:color w:val="0563C1"/>
              </w:rPr>
            </w:pPr>
            <w:hyperlink w:anchor="page11">
              <w:r>
                <w:rPr>
                  <w:rFonts w:ascii="Arial" w:cs="Arial" w:eastAsia="Arial" w:hAnsi="Arial"/>
                  <w:sz w:val="22"/>
                  <w:szCs w:val="22"/>
                  <w:color w:val="0563C1"/>
                </w:rPr>
                <w:t>Notes to Consolidated Financial Statements (unaudited)</w:t>
              </w:r>
            </w:hyperlink>
          </w:p>
        </w:tc>
        <w:tc>
          <w:tcPr>
            <w:tcW w:w="1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560" w:type="dxa"/>
            <w:vAlign w:val="bottom"/>
            <w:gridSpan w:val="30"/>
            <w:shd w:val="clear" w:color="auto" w:fill="CCEEFF"/>
          </w:tcPr>
          <w:p>
            <w:pPr>
              <w:spacing w:after="0" w:line="203" w:lineRule="exact"/>
              <w:rPr>
                <w:rFonts w:ascii="Arial" w:cs="Arial" w:eastAsia="Arial" w:hAnsi="Arial"/>
                <w:sz w:val="22"/>
                <w:szCs w:val="22"/>
                <w:color w:val="0563C1"/>
              </w:rPr>
            </w:pPr>
            <w:hyperlink w:anchor="page39">
              <w:r>
                <w:rPr>
                  <w:rFonts w:ascii="Arial" w:cs="Arial" w:eastAsia="Arial" w:hAnsi="Arial"/>
                  <w:sz w:val="22"/>
                  <w:szCs w:val="22"/>
                  <w:color w:val="0563C1"/>
                </w:rPr>
                <w:t>Item 2. Management’s Discussion and Analysis of Financial</w:t>
              </w:r>
            </w:hyperlink>
          </w:p>
        </w:tc>
        <w:tc>
          <w:tcPr>
            <w:tcW w:w="16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563C1"/>
            </w:tcBorders>
            <w:shd w:val="clear" w:color="auto" w:fill="CCEEFF"/>
          </w:tcPr>
          <w:p>
            <w:pPr>
              <w:spacing w:after="0"/>
              <w:rPr>
                <w:sz w:val="18"/>
                <w:szCs w:val="18"/>
                <w:color w:val="auto"/>
              </w:rPr>
            </w:pPr>
          </w:p>
        </w:tc>
        <w:tc>
          <w:tcPr>
            <w:tcW w:w="4600" w:type="dxa"/>
            <w:vAlign w:val="bottom"/>
            <w:tcBorders>
              <w:top w:val="single" w:sz="8" w:color="0563C1"/>
              <w:right w:val="single" w:sz="8" w:color="CCEEFF"/>
            </w:tcBorders>
            <w:gridSpan w:val="17"/>
            <w:shd w:val="clear" w:color="auto" w:fill="CCEEFF"/>
          </w:tcPr>
          <w:p>
            <w:pPr>
              <w:spacing w:after="0" w:line="209" w:lineRule="exact"/>
              <w:rPr>
                <w:rFonts w:ascii="Arial" w:cs="Arial" w:eastAsia="Arial" w:hAnsi="Arial"/>
                <w:sz w:val="22"/>
                <w:szCs w:val="22"/>
                <w:color w:val="0563C1"/>
              </w:rPr>
            </w:pPr>
            <w:hyperlink w:anchor="page39">
              <w:r>
                <w:rPr>
                  <w:rFonts w:ascii="Arial" w:cs="Arial" w:eastAsia="Arial" w:hAnsi="Arial"/>
                  <w:sz w:val="22"/>
                  <w:szCs w:val="22"/>
                  <w:color w:val="0563C1"/>
                </w:rPr>
                <w:t>Condition and Results of Operations</w:t>
              </w:r>
            </w:hyperlink>
          </w:p>
        </w:tc>
        <w:tc>
          <w:tcPr>
            <w:tcW w:w="680" w:type="dxa"/>
            <w:vAlign w:val="bottom"/>
            <w:tcBorders>
              <w:top w:val="single" w:sz="8" w:color="CCEEFF"/>
            </w:tcBorders>
            <w:gridSpan w:val="6"/>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gridSpan w:val="4"/>
            <w:shd w:val="clear" w:color="auto" w:fill="CCEEFF"/>
          </w:tcPr>
          <w:p>
            <w:pPr>
              <w:spacing w:after="0"/>
              <w:rPr>
                <w:sz w:val="18"/>
                <w:szCs w:val="18"/>
                <w:color w:val="auto"/>
              </w:rPr>
            </w:pPr>
          </w:p>
        </w:tc>
        <w:tc>
          <w:tcPr>
            <w:tcW w:w="168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52">
              <w:r>
                <w:rPr>
                  <w:rFonts w:ascii="Arial" w:cs="Arial" w:eastAsia="Arial" w:hAnsi="Arial"/>
                  <w:sz w:val="22"/>
                  <w:szCs w:val="22"/>
                  <w:color w:val="0563C1"/>
                  <w:w w:val="95"/>
                </w:rPr>
                <w:t>Item 3.</w:t>
              </w:r>
            </w:hyperlink>
          </w:p>
        </w:tc>
        <w:tc>
          <w:tcPr>
            <w:tcW w:w="8900" w:type="dxa"/>
            <w:vAlign w:val="bottom"/>
            <w:gridSpan w:val="29"/>
            <w:shd w:val="clear" w:color="auto" w:fill="CCEEFF"/>
          </w:tcPr>
          <w:p>
            <w:pPr>
              <w:ind w:left="60"/>
              <w:spacing w:after="0" w:line="203" w:lineRule="exact"/>
              <w:rPr>
                <w:rFonts w:ascii="Arial" w:cs="Arial" w:eastAsia="Arial" w:hAnsi="Arial"/>
                <w:sz w:val="22"/>
                <w:szCs w:val="22"/>
                <w:color w:val="0563C1"/>
              </w:rPr>
            </w:pPr>
            <w:hyperlink w:anchor="page52">
              <w:r>
                <w:rPr>
                  <w:rFonts w:ascii="Arial" w:cs="Arial" w:eastAsia="Arial" w:hAnsi="Arial"/>
                  <w:sz w:val="22"/>
                  <w:szCs w:val="22"/>
                  <w:color w:val="0563C1"/>
                </w:rPr>
                <w:t>Quantitative and Qualitative Disclosures About Market Risk</w:t>
              </w:r>
            </w:hyperlink>
          </w:p>
        </w:tc>
        <w:tc>
          <w:tcPr>
            <w:tcW w:w="1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52">
              <w:r>
                <w:rPr>
                  <w:rFonts w:ascii="Arial" w:cs="Arial" w:eastAsia="Arial" w:hAnsi="Arial"/>
                  <w:sz w:val="22"/>
                  <w:szCs w:val="22"/>
                  <w:color w:val="0563C1"/>
                  <w:w w:val="95"/>
                </w:rPr>
                <w:t>Item 4.</w:t>
              </w:r>
            </w:hyperlink>
          </w:p>
        </w:tc>
        <w:tc>
          <w:tcPr>
            <w:tcW w:w="8900" w:type="dxa"/>
            <w:vAlign w:val="bottom"/>
            <w:gridSpan w:val="29"/>
            <w:shd w:val="clear" w:color="auto" w:fill="CCEEFF"/>
          </w:tcPr>
          <w:p>
            <w:pPr>
              <w:ind w:left="60"/>
              <w:spacing w:after="0" w:line="203" w:lineRule="exact"/>
              <w:rPr>
                <w:rFonts w:ascii="Arial" w:cs="Arial" w:eastAsia="Arial" w:hAnsi="Arial"/>
                <w:sz w:val="22"/>
                <w:szCs w:val="22"/>
                <w:color w:val="0563C1"/>
              </w:rPr>
            </w:pPr>
            <w:hyperlink w:anchor="page52">
              <w:r>
                <w:rPr>
                  <w:rFonts w:ascii="Arial" w:cs="Arial" w:eastAsia="Arial" w:hAnsi="Arial"/>
                  <w:sz w:val="22"/>
                  <w:szCs w:val="22"/>
                  <w:color w:val="0563C1"/>
                </w:rPr>
                <w:t>Controls and Procedures</w:t>
              </w:r>
            </w:hyperlink>
          </w:p>
        </w:tc>
        <w:tc>
          <w:tcPr>
            <w:tcW w:w="1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00" w:type="dxa"/>
            <w:vAlign w:val="bottom"/>
            <w:gridSpan w:val="17"/>
            <w:shd w:val="clear" w:color="auto" w:fill="CCEEFF"/>
          </w:tcPr>
          <w:p>
            <w:pPr>
              <w:jc w:val="center"/>
              <w:ind w:right="2760"/>
              <w:spacing w:after="0" w:line="203" w:lineRule="exact"/>
              <w:rPr>
                <w:rFonts w:ascii="Arial" w:cs="Arial" w:eastAsia="Arial" w:hAnsi="Arial"/>
                <w:sz w:val="22"/>
                <w:szCs w:val="22"/>
                <w:color w:val="0563C1"/>
                <w:w w:val="91"/>
              </w:rPr>
            </w:pPr>
            <w:hyperlink w:anchor="page52">
              <w:r>
                <w:rPr>
                  <w:rFonts w:ascii="Arial" w:cs="Arial" w:eastAsia="Arial" w:hAnsi="Arial"/>
                  <w:sz w:val="22"/>
                  <w:szCs w:val="22"/>
                  <w:color w:val="0563C1"/>
                  <w:w w:val="91"/>
                </w:rPr>
                <w:t>Part II – Other Information</w:t>
              </w:r>
            </w:hyperlink>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52">
              <w:r>
                <w:rPr>
                  <w:rFonts w:ascii="Arial" w:cs="Arial" w:eastAsia="Arial" w:hAnsi="Arial"/>
                  <w:sz w:val="22"/>
                  <w:szCs w:val="22"/>
                  <w:color w:val="0563C1"/>
                  <w:w w:val="95"/>
                </w:rPr>
                <w:t>Item 1.</w:t>
              </w:r>
            </w:hyperlink>
          </w:p>
        </w:tc>
        <w:tc>
          <w:tcPr>
            <w:tcW w:w="8900" w:type="dxa"/>
            <w:vAlign w:val="bottom"/>
            <w:gridSpan w:val="29"/>
            <w:shd w:val="clear" w:color="auto" w:fill="CCEEFF"/>
          </w:tcPr>
          <w:p>
            <w:pPr>
              <w:ind w:left="60"/>
              <w:spacing w:after="0" w:line="203" w:lineRule="exact"/>
              <w:rPr>
                <w:rFonts w:ascii="Arial" w:cs="Arial" w:eastAsia="Arial" w:hAnsi="Arial"/>
                <w:sz w:val="22"/>
                <w:szCs w:val="22"/>
                <w:color w:val="0563C1"/>
              </w:rPr>
            </w:pPr>
            <w:hyperlink w:anchor="page52">
              <w:r>
                <w:rPr>
                  <w:rFonts w:ascii="Arial" w:cs="Arial" w:eastAsia="Arial" w:hAnsi="Arial"/>
                  <w:sz w:val="22"/>
                  <w:szCs w:val="22"/>
                  <w:color w:val="0563C1"/>
                </w:rPr>
                <w:t>Legal Proceedings</w:t>
              </w:r>
            </w:hyperlink>
          </w:p>
        </w:tc>
        <w:tc>
          <w:tcPr>
            <w:tcW w:w="1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560" w:type="dxa"/>
            <w:vAlign w:val="bottom"/>
            <w:gridSpan w:val="30"/>
            <w:shd w:val="clear" w:color="auto" w:fill="CCEEFF"/>
          </w:tcPr>
          <w:p>
            <w:pPr>
              <w:spacing w:after="0" w:line="203" w:lineRule="exact"/>
              <w:rPr>
                <w:rFonts w:ascii="Arial" w:cs="Arial" w:eastAsia="Arial" w:hAnsi="Arial"/>
                <w:sz w:val="22"/>
                <w:szCs w:val="22"/>
                <w:color w:val="0563C1"/>
              </w:rPr>
            </w:pPr>
            <w:hyperlink w:anchor="page52">
              <w:r>
                <w:rPr>
                  <w:rFonts w:ascii="Arial" w:cs="Arial" w:eastAsia="Arial" w:hAnsi="Arial"/>
                  <w:sz w:val="22"/>
                  <w:szCs w:val="22"/>
                  <w:color w:val="0563C1"/>
                </w:rPr>
                <w:t>Item 1A. Risk Factors</w:t>
              </w:r>
            </w:hyperlink>
          </w:p>
        </w:tc>
        <w:tc>
          <w:tcPr>
            <w:tcW w:w="1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53">
              <w:r>
                <w:rPr>
                  <w:rFonts w:ascii="Arial" w:cs="Arial" w:eastAsia="Arial" w:hAnsi="Arial"/>
                  <w:sz w:val="22"/>
                  <w:szCs w:val="22"/>
                  <w:color w:val="0563C1"/>
                  <w:w w:val="95"/>
                </w:rPr>
                <w:t>Item 2.</w:t>
              </w:r>
            </w:hyperlink>
          </w:p>
        </w:tc>
        <w:tc>
          <w:tcPr>
            <w:tcW w:w="8900" w:type="dxa"/>
            <w:vAlign w:val="bottom"/>
            <w:gridSpan w:val="29"/>
            <w:shd w:val="clear" w:color="auto" w:fill="CCEEFF"/>
          </w:tcPr>
          <w:p>
            <w:pPr>
              <w:ind w:left="60"/>
              <w:spacing w:after="0" w:line="203" w:lineRule="exact"/>
              <w:rPr>
                <w:rFonts w:ascii="Arial" w:cs="Arial" w:eastAsia="Arial" w:hAnsi="Arial"/>
                <w:sz w:val="22"/>
                <w:szCs w:val="22"/>
                <w:color w:val="0563C1"/>
              </w:rPr>
            </w:pPr>
            <w:hyperlink w:anchor="page53">
              <w:r>
                <w:rPr>
                  <w:rFonts w:ascii="Arial" w:cs="Arial" w:eastAsia="Arial" w:hAnsi="Arial"/>
                  <w:sz w:val="22"/>
                  <w:szCs w:val="22"/>
                  <w:color w:val="0563C1"/>
                </w:rPr>
                <w:t>Unregistered Sales of Equity Securities and Use of Proceeds</w:t>
              </w:r>
            </w:hyperlink>
          </w:p>
        </w:tc>
        <w:tc>
          <w:tcPr>
            <w:tcW w:w="1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rFonts w:ascii="Arial" w:cs="Arial" w:eastAsia="Arial" w:hAnsi="Arial"/>
                <w:sz w:val="22"/>
                <w:szCs w:val="22"/>
                <w:color w:val="0563C1"/>
                <w:w w:val="95"/>
              </w:rPr>
            </w:pPr>
            <w:hyperlink w:anchor="page54">
              <w:r>
                <w:rPr>
                  <w:rFonts w:ascii="Arial" w:cs="Arial" w:eastAsia="Arial" w:hAnsi="Arial"/>
                  <w:sz w:val="22"/>
                  <w:szCs w:val="22"/>
                  <w:color w:val="0563C1"/>
                  <w:w w:val="95"/>
                </w:rPr>
                <w:t>Item 6.</w:t>
              </w:r>
            </w:hyperlink>
          </w:p>
        </w:tc>
        <w:tc>
          <w:tcPr>
            <w:tcW w:w="8900" w:type="dxa"/>
            <w:vAlign w:val="bottom"/>
            <w:gridSpan w:val="29"/>
            <w:shd w:val="clear" w:color="auto" w:fill="CCEEFF"/>
          </w:tcPr>
          <w:p>
            <w:pPr>
              <w:ind w:left="60"/>
              <w:spacing w:after="0" w:line="203" w:lineRule="exact"/>
              <w:rPr>
                <w:rFonts w:ascii="Arial" w:cs="Arial" w:eastAsia="Arial" w:hAnsi="Arial"/>
                <w:sz w:val="22"/>
                <w:szCs w:val="22"/>
                <w:color w:val="0563C1"/>
              </w:rPr>
            </w:pPr>
            <w:hyperlink w:anchor="page54">
              <w:r>
                <w:rPr>
                  <w:rFonts w:ascii="Arial" w:cs="Arial" w:eastAsia="Arial" w:hAnsi="Arial"/>
                  <w:sz w:val="22"/>
                  <w:szCs w:val="22"/>
                  <w:color w:val="0563C1"/>
                </w:rPr>
                <w:t>Exhibits</w:t>
              </w:r>
            </w:hyperlink>
          </w:p>
        </w:tc>
        <w:tc>
          <w:tcPr>
            <w:tcW w:w="1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563C1"/>
            </w:tcBorders>
            <w:gridSpan w:val="2"/>
            <w:shd w:val="clear" w:color="auto" w:fill="CCEEFF"/>
          </w:tcPr>
          <w:p>
            <w:pPr>
              <w:spacing w:after="0" w:line="203" w:lineRule="exact"/>
              <w:rPr>
                <w:rFonts w:ascii="Arial" w:cs="Arial" w:eastAsia="Arial" w:hAnsi="Arial"/>
                <w:sz w:val="22"/>
                <w:szCs w:val="22"/>
                <w:color w:val="0563C1"/>
                <w:w w:val="85"/>
              </w:rPr>
            </w:pPr>
            <w:hyperlink w:anchor="page55">
              <w:r>
                <w:rPr>
                  <w:rFonts w:ascii="Arial" w:cs="Arial" w:eastAsia="Arial" w:hAnsi="Arial"/>
                  <w:sz w:val="22"/>
                  <w:szCs w:val="22"/>
                  <w:color w:val="0563C1"/>
                  <w:w w:val="85"/>
                </w:rPr>
                <w:t>Signatures</w:t>
              </w:r>
            </w:hyperlink>
          </w:p>
        </w:tc>
        <w:tc>
          <w:tcPr>
            <w:tcW w:w="8640" w:type="dxa"/>
            <w:vAlign w:val="bottom"/>
            <w:tcBorders>
              <w:bottom w:val="single" w:sz="8" w:color="CCEEFF"/>
            </w:tcBorders>
            <w:gridSpan w:val="28"/>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80"/>
        </w:trPr>
        <w:tc>
          <w:tcPr>
            <w:tcW w:w="660" w:type="dxa"/>
            <w:vAlign w:val="bottom"/>
          </w:tcPr>
          <w:p>
            <w:pPr>
              <w:spacing w:after="0"/>
              <w:rPr>
                <w:sz w:val="24"/>
                <w:szCs w:val="24"/>
                <w:color w:val="auto"/>
              </w:rPr>
            </w:pPr>
          </w:p>
        </w:tc>
        <w:tc>
          <w:tcPr>
            <w:tcW w:w="5280" w:type="dxa"/>
            <w:vAlign w:val="bottom"/>
            <w:gridSpan w:val="23"/>
          </w:tcPr>
          <w:p>
            <w:pPr>
              <w:jc w:val="center"/>
              <w:ind w:left="4552"/>
              <w:spacing w:after="0"/>
              <w:rPr>
                <w:sz w:val="20"/>
                <w:szCs w:val="20"/>
                <w:color w:val="auto"/>
              </w:rPr>
            </w:pPr>
            <w:r>
              <w:rPr>
                <w:rFonts w:ascii="Arial" w:cs="Arial" w:eastAsia="Arial" w:hAnsi="Arial"/>
                <w:sz w:val="22"/>
                <w:szCs w:val="22"/>
                <w:color w:val="auto"/>
                <w:w w:val="81"/>
              </w:rPr>
              <w:t>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CONSOLIDATED BALANCE SHEETS</w:t>
      </w:r>
    </w:p>
    <w:p>
      <w:pPr>
        <w:jc w:val="center"/>
        <w:ind w:right="4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vMerge w:val="restart"/>
          </w:tcPr>
          <w:p>
            <w:pPr>
              <w:ind w:left="394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6"/>
                <w:szCs w:val="16"/>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w w:val="93"/>
              </w:rPr>
              <w:t>September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185"/>
        </w:trPr>
        <w:tc>
          <w:tcPr>
            <w:tcW w:w="84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Property, plant and equipment, at cost</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12,293,056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11,620,019</w:t>
            </w:r>
          </w:p>
        </w:tc>
        <w:tc>
          <w:tcPr>
            <w:tcW w:w="0" w:type="dxa"/>
            <w:vAlign w:val="bottom"/>
          </w:tcPr>
          <w:p>
            <w:pPr>
              <w:spacing w:after="0"/>
              <w:rPr>
                <w:sz w:val="1"/>
                <w:szCs w:val="1"/>
                <w:color w:val="auto"/>
              </w:rPr>
            </w:pPr>
          </w:p>
        </w:tc>
      </w:tr>
      <w:tr>
        <w:trPr>
          <w:trHeight w:val="162"/>
        </w:trPr>
        <w:tc>
          <w:tcPr>
            <w:tcW w:w="848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Less: accumulated depreciation</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2,336,287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2,107,142</w:t>
            </w: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property, plant and equipment</w:t>
            </w: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9,956,769</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9,512,877</w:t>
            </w:r>
          </w:p>
        </w:tc>
        <w:tc>
          <w:tcPr>
            <w:tcW w:w="0" w:type="dxa"/>
            <w:vAlign w:val="bottom"/>
          </w:tcPr>
          <w:p>
            <w:pPr>
              <w:spacing w:after="0"/>
              <w:rPr>
                <w:sz w:val="1"/>
                <w:szCs w:val="1"/>
                <w:color w:val="auto"/>
              </w:rPr>
            </w:pPr>
          </w:p>
        </w:tc>
      </w:tr>
      <w:tr>
        <w:trPr>
          <w:trHeight w:val="155"/>
        </w:trPr>
        <w:tc>
          <w:tcPr>
            <w:tcW w:w="8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Current assets: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Cash and cash equivalents</w:t>
            </w: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9,736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4,827</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108,210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154,775</w:t>
            </w: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Unbilled revenues</w:t>
            </w: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63,479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118,538</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Inventory - materials and supplies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35,023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21,669</w:t>
            </w:r>
          </w:p>
        </w:tc>
        <w:tc>
          <w:tcPr>
            <w:tcW w:w="0" w:type="dxa"/>
            <w:vAlign w:val="bottom"/>
          </w:tcPr>
          <w:p>
            <w:pPr>
              <w:spacing w:after="0"/>
              <w:rPr>
                <w:sz w:val="1"/>
                <w:szCs w:val="1"/>
                <w:color w:val="auto"/>
              </w:rPr>
            </w:pPr>
          </w:p>
        </w:tc>
      </w:tr>
      <w:tr>
        <w:trPr>
          <w:trHeight w:val="162"/>
        </w:trPr>
        <w:tc>
          <w:tcPr>
            <w:tcW w:w="8480" w:type="dxa"/>
            <w:vAlign w:val="bottom"/>
          </w:tcPr>
          <w:p>
            <w:pPr>
              <w:ind w:left="120"/>
              <w:spacing w:after="0" w:line="162" w:lineRule="exact"/>
              <w:rPr>
                <w:sz w:val="20"/>
                <w:szCs w:val="20"/>
                <w:color w:val="auto"/>
              </w:rPr>
            </w:pPr>
            <w:r>
              <w:rPr>
                <w:rFonts w:ascii="Arial" w:cs="Arial" w:eastAsia="Arial" w:hAnsi="Arial"/>
                <w:sz w:val="16"/>
                <w:szCs w:val="16"/>
                <w:color w:val="auto"/>
              </w:rPr>
              <w:t>Inventory - gas stored</w:t>
            </w: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78,787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36,732</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Prepayments and other current assets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29,871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38,594</w:t>
            </w:r>
          </w:p>
        </w:tc>
        <w:tc>
          <w:tcPr>
            <w:tcW w:w="0" w:type="dxa"/>
            <w:vAlign w:val="bottom"/>
          </w:tcPr>
          <w:p>
            <w:pPr>
              <w:spacing w:after="0"/>
              <w:rPr>
                <w:sz w:val="1"/>
                <w:szCs w:val="1"/>
                <w:color w:val="auto"/>
              </w:rPr>
            </w:pPr>
          </w:p>
        </w:tc>
      </w:tr>
      <w:tr>
        <w:trPr>
          <w:trHeight w:val="162"/>
        </w:trPr>
        <w:tc>
          <w:tcPr>
            <w:tcW w:w="848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Regulatory assets</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27,398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5,085</w:t>
            </w: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352,504</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380,220</w:t>
            </w:r>
          </w:p>
        </w:tc>
        <w:tc>
          <w:tcPr>
            <w:tcW w:w="0" w:type="dxa"/>
            <w:vAlign w:val="bottom"/>
          </w:tcPr>
          <w:p>
            <w:pPr>
              <w:spacing w:after="0"/>
              <w:rPr>
                <w:sz w:val="1"/>
                <w:szCs w:val="1"/>
                <w:color w:val="auto"/>
              </w:rPr>
            </w:pPr>
          </w:p>
        </w:tc>
      </w:tr>
      <w:tr>
        <w:trPr>
          <w:trHeight w:val="156"/>
        </w:trPr>
        <w:tc>
          <w:tcPr>
            <w:tcW w:w="8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Regulatory assets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1,404,837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1,362,788</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6"/>
                <w:szCs w:val="16"/>
                <w:color w:val="auto"/>
              </w:rPr>
              <w:t>Deferred charges and other assets, net</w:t>
            </w: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118,910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56,002</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Funds restricted for construction activity</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1,288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2,340,836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2,324,547</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Operating lease right-of-use assets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55,386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60,334</w:t>
            </w:r>
          </w:p>
        </w:tc>
        <w:tc>
          <w:tcPr>
            <w:tcW w:w="0" w:type="dxa"/>
            <w:vAlign w:val="bottom"/>
          </w:tcPr>
          <w:p>
            <w:pPr>
              <w:spacing w:after="0"/>
              <w:rPr>
                <w:sz w:val="1"/>
                <w:szCs w:val="1"/>
                <w:color w:val="auto"/>
              </w:rPr>
            </w:pPr>
          </w:p>
        </w:tc>
      </w:tr>
      <w:tr>
        <w:trPr>
          <w:trHeight w:val="162"/>
        </w:trPr>
        <w:tc>
          <w:tcPr>
            <w:tcW w:w="848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Intangible assets</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5,955</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7,241</w:t>
            </w:r>
          </w:p>
        </w:tc>
        <w:tc>
          <w:tcPr>
            <w:tcW w:w="0" w:type="dxa"/>
            <w:vAlign w:val="bottom"/>
          </w:tcPr>
          <w:p>
            <w:pPr>
              <w:spacing w:after="0"/>
              <w:rPr>
                <w:sz w:val="1"/>
                <w:szCs w:val="1"/>
                <w:color w:val="auto"/>
              </w:rPr>
            </w:pPr>
          </w:p>
        </w:tc>
      </w:tr>
      <w:tr>
        <w:trPr>
          <w:trHeight w:val="156"/>
        </w:trPr>
        <w:tc>
          <w:tcPr>
            <w:tcW w:w="84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14,236,485</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13,705,277</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 w:name="page4"/>
    <w:bookmarkEnd w:id="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CONSOLIDATED BALANCE SHEETS (continued)</w:t>
      </w:r>
    </w:p>
    <w:p>
      <w:pPr>
        <w:ind w:left="338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vMerge w:val="restart"/>
          </w:tcPr>
          <w:p>
            <w:pPr>
              <w:ind w:left="3400"/>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color w:val="auto"/>
              </w:rPr>
              <w:t>September 30,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185"/>
        </w:trPr>
        <w:tc>
          <w:tcPr>
            <w:tcW w:w="83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55"/>
        </w:trPr>
        <w:tc>
          <w:tcPr>
            <w:tcW w:w="8300" w:type="dxa"/>
            <w:vAlign w:val="bottom"/>
          </w:tcPr>
          <w:p>
            <w:pPr>
              <w:spacing w:after="0" w:line="155" w:lineRule="exact"/>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30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w w:val="91"/>
              </w:rPr>
              <w:t>Common stock at $0.50 par value, authorized 600,000,000 shares, issued 255,981,932 and 248,571,355 as of September 30,</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127,990</w:t>
            </w:r>
          </w:p>
        </w:tc>
        <w:tc>
          <w:tcPr>
            <w:tcW w:w="18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124,285</w:t>
            </w:r>
          </w:p>
        </w:tc>
        <w:tc>
          <w:tcPr>
            <w:tcW w:w="0" w:type="dxa"/>
            <w:vAlign w:val="bottom"/>
          </w:tcPr>
          <w:p>
            <w:pPr>
              <w:spacing w:after="0"/>
              <w:rPr>
                <w:sz w:val="1"/>
                <w:szCs w:val="1"/>
                <w:color w:val="auto"/>
              </w:rPr>
            </w:pPr>
          </w:p>
        </w:tc>
      </w:tr>
      <w:tr>
        <w:trPr>
          <w:trHeight w:val="185"/>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2021 and December 31, 2020</w:t>
            </w:r>
          </w:p>
        </w:tc>
        <w:tc>
          <w:tcPr>
            <w:tcW w:w="280" w:type="dxa"/>
            <w:vAlign w:val="bottom"/>
            <w:gridSpan w:val="2"/>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300" w:type="dxa"/>
            <w:vAlign w:val="bottom"/>
          </w:tcPr>
          <w:p>
            <w:pPr>
              <w:ind w:left="120"/>
              <w:spacing w:after="0" w:line="162" w:lineRule="exact"/>
              <w:rPr>
                <w:sz w:val="20"/>
                <w:szCs w:val="20"/>
                <w:color w:val="auto"/>
              </w:rPr>
            </w:pPr>
            <w:r>
              <w:rPr>
                <w:rFonts w:ascii="Arial" w:cs="Arial" w:eastAsia="Arial" w:hAnsi="Arial"/>
                <w:sz w:val="16"/>
                <w:szCs w:val="16"/>
                <w:color w:val="auto"/>
              </w:rPr>
              <w:t>Capital in excess of par 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3,698,095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3,379,057</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1,385,631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1,261,862</w:t>
            </w:r>
          </w:p>
        </w:tc>
        <w:tc>
          <w:tcPr>
            <w:tcW w:w="0" w:type="dxa"/>
            <w:vAlign w:val="bottom"/>
          </w:tcPr>
          <w:p>
            <w:pPr>
              <w:spacing w:after="0"/>
              <w:rPr>
                <w:sz w:val="1"/>
                <w:szCs w:val="1"/>
                <w:color w:val="auto"/>
              </w:rPr>
            </w:pPr>
          </w:p>
        </w:tc>
      </w:tr>
      <w:tr>
        <w:trPr>
          <w:trHeight w:val="162"/>
        </w:trPr>
        <w:tc>
          <w:tcPr>
            <w:tcW w:w="8300" w:type="dxa"/>
            <w:vAlign w:val="bottom"/>
          </w:tcPr>
          <w:p>
            <w:pPr>
              <w:ind w:left="120"/>
              <w:spacing w:after="0" w:line="162" w:lineRule="exact"/>
              <w:rPr>
                <w:sz w:val="20"/>
                <w:szCs w:val="20"/>
                <w:color w:val="auto"/>
              </w:rPr>
            </w:pPr>
            <w:r>
              <w:rPr>
                <w:rFonts w:ascii="Arial" w:cs="Arial" w:eastAsia="Arial" w:hAnsi="Arial"/>
                <w:sz w:val="16"/>
                <w:szCs w:val="16"/>
                <w:color w:val="auto"/>
              </w:rPr>
              <w:t>Treasury stock, at cost, 3,240,349 and 3,180,887 shares as of September 30, 2021 and December 31, 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(83,854)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(81,327)</w:t>
            </w:r>
          </w:p>
        </w:tc>
        <w:tc>
          <w:tcPr>
            <w:tcW w:w="0" w:type="dxa"/>
            <w:vAlign w:val="bottom"/>
          </w:tcPr>
          <w:p>
            <w:pPr>
              <w:spacing w:after="0"/>
              <w:rPr>
                <w:sz w:val="1"/>
                <w:szCs w:val="1"/>
                <w:color w:val="auto"/>
              </w:rPr>
            </w:pPr>
          </w:p>
        </w:tc>
      </w:tr>
      <w:tr>
        <w:trPr>
          <w:trHeight w:val="156"/>
        </w:trPr>
        <w:tc>
          <w:tcPr>
            <w:tcW w:w="83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5,127,862</w:t>
            </w: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4,683,877</w:t>
            </w:r>
          </w:p>
        </w:tc>
        <w:tc>
          <w:tcPr>
            <w:tcW w:w="0" w:type="dxa"/>
            <w:vAlign w:val="bottom"/>
          </w:tcPr>
          <w:p>
            <w:pPr>
              <w:spacing w:after="0"/>
              <w:rPr>
                <w:sz w:val="1"/>
                <w:szCs w:val="1"/>
                <w:color w:val="auto"/>
              </w:rPr>
            </w:pPr>
          </w:p>
        </w:tc>
      </w:tr>
      <w:tr>
        <w:trPr>
          <w:trHeight w:val="155"/>
        </w:trPr>
        <w:tc>
          <w:tcPr>
            <w:tcW w:w="8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Long-term debt, excluding current portion</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5,638,961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5,545,890</w:t>
            </w:r>
          </w:p>
        </w:tc>
        <w:tc>
          <w:tcPr>
            <w:tcW w:w="0" w:type="dxa"/>
            <w:vAlign w:val="bottom"/>
          </w:tcPr>
          <w:p>
            <w:pPr>
              <w:spacing w:after="0"/>
              <w:rPr>
                <w:sz w:val="1"/>
                <w:szCs w:val="1"/>
                <w:color w:val="auto"/>
              </w:rPr>
            </w:pPr>
          </w:p>
        </w:tc>
      </w:tr>
      <w:tr>
        <w:trPr>
          <w:trHeight w:val="162"/>
        </w:trPr>
        <w:tc>
          <w:tcPr>
            <w:tcW w:w="830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Less: debt issuance costs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40,247</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38,146</w:t>
            </w:r>
          </w:p>
        </w:tc>
        <w:tc>
          <w:tcPr>
            <w:tcW w:w="0" w:type="dxa"/>
            <w:vAlign w:val="bottom"/>
          </w:tcPr>
          <w:p>
            <w:pPr>
              <w:spacing w:after="0"/>
              <w:rPr>
                <w:sz w:val="1"/>
                <w:szCs w:val="1"/>
                <w:color w:val="auto"/>
              </w:rPr>
            </w:pPr>
          </w:p>
        </w:tc>
      </w:tr>
      <w:tr>
        <w:trPr>
          <w:trHeight w:val="156"/>
        </w:trPr>
        <w:tc>
          <w:tcPr>
            <w:tcW w:w="83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Long-term debt, excluding current portion, net of debt issuance costs</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5,598,714</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5,507,744</w:t>
            </w:r>
          </w:p>
        </w:tc>
        <w:tc>
          <w:tcPr>
            <w:tcW w:w="0" w:type="dxa"/>
            <w:vAlign w:val="bottom"/>
          </w:tcPr>
          <w:p>
            <w:pPr>
              <w:spacing w:after="0"/>
              <w:rPr>
                <w:sz w:val="1"/>
                <w:szCs w:val="1"/>
                <w:color w:val="auto"/>
              </w:rPr>
            </w:pPr>
          </w:p>
        </w:tc>
      </w:tr>
      <w:tr>
        <w:trPr>
          <w:trHeight w:val="244"/>
        </w:trPr>
        <w:tc>
          <w:tcPr>
            <w:tcW w:w="8300" w:type="dxa"/>
            <w:vAlign w:val="bottom"/>
          </w:tcPr>
          <w:p>
            <w:pPr>
              <w:spacing w:after="0"/>
              <w:rPr>
                <w:sz w:val="20"/>
                <w:szCs w:val="20"/>
                <w:color w:val="auto"/>
              </w:rPr>
            </w:pPr>
            <w:r>
              <w:rPr>
                <w:rFonts w:ascii="Arial" w:cs="Arial" w:eastAsia="Arial" w:hAnsi="Arial"/>
                <w:sz w:val="16"/>
                <w:szCs w:val="16"/>
                <w:color w:val="auto"/>
              </w:rPr>
              <w:t>Commitments and contingencies (See Note 14)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8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00" w:type="dxa"/>
            <w:vAlign w:val="bottom"/>
          </w:tcPr>
          <w:p>
            <w:pPr>
              <w:ind w:left="120"/>
              <w:spacing w:after="0" w:line="162" w:lineRule="exact"/>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63,418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84,353</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Loans payable</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46,582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78,198</w:t>
            </w:r>
          </w:p>
        </w:tc>
        <w:tc>
          <w:tcPr>
            <w:tcW w:w="0" w:type="dxa"/>
            <w:vAlign w:val="bottom"/>
          </w:tcPr>
          <w:p>
            <w:pPr>
              <w:spacing w:after="0"/>
              <w:rPr>
                <w:sz w:val="1"/>
                <w:szCs w:val="1"/>
                <w:color w:val="auto"/>
              </w:rPr>
            </w:pPr>
          </w:p>
        </w:tc>
      </w:tr>
      <w:tr>
        <w:trPr>
          <w:trHeight w:val="162"/>
        </w:trPr>
        <w:tc>
          <w:tcPr>
            <w:tcW w:w="8300" w:type="dxa"/>
            <w:vAlign w:val="bottom"/>
          </w:tcPr>
          <w:p>
            <w:pPr>
              <w:ind w:left="120"/>
              <w:spacing w:after="0" w:line="162" w:lineRule="exact"/>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163,836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177,489</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Book overdraft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20,749</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44,003</w:t>
            </w:r>
          </w:p>
        </w:tc>
        <w:tc>
          <w:tcPr>
            <w:tcW w:w="0" w:type="dxa"/>
            <w:vAlign w:val="bottom"/>
          </w:tcPr>
          <w:p>
            <w:pPr>
              <w:spacing w:after="0"/>
              <w:rPr>
                <w:sz w:val="1"/>
                <w:szCs w:val="1"/>
                <w:color w:val="auto"/>
              </w:rPr>
            </w:pPr>
          </w:p>
        </w:tc>
      </w:tr>
      <w:tr>
        <w:trPr>
          <w:trHeight w:val="162"/>
        </w:trPr>
        <w:tc>
          <w:tcPr>
            <w:tcW w:w="8300" w:type="dxa"/>
            <w:vAlign w:val="bottom"/>
          </w:tcPr>
          <w:p>
            <w:pPr>
              <w:ind w:left="120"/>
              <w:spacing w:after="0" w:line="162" w:lineRule="exact"/>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70,461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39,408</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Accrued taxes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37,502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37,172</w:t>
            </w:r>
          </w:p>
        </w:tc>
        <w:tc>
          <w:tcPr>
            <w:tcW w:w="0" w:type="dxa"/>
            <w:vAlign w:val="bottom"/>
          </w:tcPr>
          <w:p>
            <w:pPr>
              <w:spacing w:after="0"/>
              <w:rPr>
                <w:sz w:val="1"/>
                <w:szCs w:val="1"/>
                <w:color w:val="auto"/>
              </w:rPr>
            </w:pPr>
          </w:p>
        </w:tc>
      </w:tr>
      <w:tr>
        <w:trPr>
          <w:trHeight w:val="162"/>
        </w:trPr>
        <w:tc>
          <w:tcPr>
            <w:tcW w:w="8300" w:type="dxa"/>
            <w:vAlign w:val="bottom"/>
          </w:tcPr>
          <w:p>
            <w:pPr>
              <w:ind w:left="120"/>
              <w:spacing w:after="0" w:line="162" w:lineRule="exact"/>
              <w:rPr>
                <w:sz w:val="20"/>
                <w:szCs w:val="20"/>
                <w:color w:val="auto"/>
              </w:rPr>
            </w:pPr>
            <w:r>
              <w:rPr>
                <w:rFonts w:ascii="Arial" w:cs="Arial" w:eastAsia="Arial" w:hAnsi="Arial"/>
                <w:sz w:val="16"/>
                <w:szCs w:val="16"/>
                <w:color w:val="auto"/>
              </w:rPr>
              <w:t>Regulatory liabilities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171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19,866</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accrued liabilities</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113,310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123,384</w:t>
            </w:r>
          </w:p>
        </w:tc>
        <w:tc>
          <w:tcPr>
            <w:tcW w:w="0" w:type="dxa"/>
            <w:vAlign w:val="bottom"/>
          </w:tcPr>
          <w:p>
            <w:pPr>
              <w:spacing w:after="0"/>
              <w:rPr>
                <w:sz w:val="1"/>
                <w:szCs w:val="1"/>
                <w:color w:val="auto"/>
              </w:rPr>
            </w:pPr>
          </w:p>
        </w:tc>
      </w:tr>
      <w:tr>
        <w:trPr>
          <w:trHeight w:val="156"/>
        </w:trPr>
        <w:tc>
          <w:tcPr>
            <w:tcW w:w="8300" w:type="dxa"/>
            <w:vAlign w:val="bottom"/>
          </w:tcPr>
          <w:p>
            <w:pPr>
              <w:spacing w:after="0" w:line="155" w:lineRule="exact"/>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516,029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603,873</w:t>
            </w:r>
          </w:p>
        </w:tc>
        <w:tc>
          <w:tcPr>
            <w:tcW w:w="0" w:type="dxa"/>
            <w:vAlign w:val="bottom"/>
          </w:tcPr>
          <w:p>
            <w:pPr>
              <w:spacing w:after="0"/>
              <w:rPr>
                <w:sz w:val="1"/>
                <w:szCs w:val="1"/>
                <w:color w:val="auto"/>
              </w:rPr>
            </w:pPr>
          </w:p>
        </w:tc>
      </w:tr>
      <w:tr>
        <w:trPr>
          <w:trHeight w:val="155"/>
        </w:trPr>
        <w:tc>
          <w:tcPr>
            <w:tcW w:w="8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Deferred credits and other liabilities: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00" w:type="dxa"/>
            <w:vAlign w:val="bottom"/>
          </w:tcPr>
          <w:p>
            <w:pPr>
              <w:ind w:left="120"/>
              <w:spacing w:after="0" w:line="162" w:lineRule="exact"/>
              <w:rPr>
                <w:sz w:val="20"/>
                <w:szCs w:val="20"/>
                <w:color w:val="auto"/>
              </w:rPr>
            </w:pPr>
            <w:r>
              <w:rPr>
                <w:rFonts w:ascii="Arial" w:cs="Arial" w:eastAsia="Arial" w:hAnsi="Arial"/>
                <w:sz w:val="16"/>
                <w:szCs w:val="16"/>
                <w:color w:val="auto"/>
              </w:rPr>
              <w:t>Deferred income taxes and investment tax credits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1,352,425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1,258,098</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Customers' advances for construction</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110,939</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99,014</w:t>
            </w:r>
          </w:p>
        </w:tc>
        <w:tc>
          <w:tcPr>
            <w:tcW w:w="0" w:type="dxa"/>
            <w:vAlign w:val="bottom"/>
          </w:tcPr>
          <w:p>
            <w:pPr>
              <w:spacing w:after="0"/>
              <w:rPr>
                <w:sz w:val="1"/>
                <w:szCs w:val="1"/>
                <w:color w:val="auto"/>
              </w:rPr>
            </w:pPr>
          </w:p>
        </w:tc>
      </w:tr>
      <w:tr>
        <w:trPr>
          <w:trHeight w:val="162"/>
        </w:trPr>
        <w:tc>
          <w:tcPr>
            <w:tcW w:w="8300" w:type="dxa"/>
            <w:vAlign w:val="bottom"/>
          </w:tcPr>
          <w:p>
            <w:pPr>
              <w:ind w:left="120"/>
              <w:spacing w:after="0" w:line="162" w:lineRule="exact"/>
              <w:rPr>
                <w:sz w:val="20"/>
                <w:szCs w:val="20"/>
                <w:color w:val="auto"/>
              </w:rPr>
            </w:pPr>
            <w:r>
              <w:rPr>
                <w:rFonts w:ascii="Arial" w:cs="Arial" w:eastAsia="Arial" w:hAnsi="Arial"/>
                <w:sz w:val="16"/>
                <w:szCs w:val="16"/>
                <w:color w:val="auto"/>
              </w:rPr>
              <w:t>Regulatory liabilities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778,416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773,310</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Asset retirement obligations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1,363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162"/>
        </w:trPr>
        <w:tc>
          <w:tcPr>
            <w:tcW w:w="8300" w:type="dxa"/>
            <w:vAlign w:val="bottom"/>
          </w:tcPr>
          <w:p>
            <w:pPr>
              <w:ind w:left="120"/>
              <w:spacing w:after="0" w:line="162" w:lineRule="exact"/>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50,086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55,642</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Pension and other postretirement benefit liabilities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61,690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91,896</w:t>
            </w:r>
          </w:p>
        </w:tc>
        <w:tc>
          <w:tcPr>
            <w:tcW w:w="0" w:type="dxa"/>
            <w:vAlign w:val="bottom"/>
          </w:tcPr>
          <w:p>
            <w:pPr>
              <w:spacing w:after="0"/>
              <w:rPr>
                <w:sz w:val="1"/>
                <w:szCs w:val="1"/>
                <w:color w:val="auto"/>
              </w:rPr>
            </w:pPr>
          </w:p>
        </w:tc>
      </w:tr>
      <w:tr>
        <w:trPr>
          <w:trHeight w:val="162"/>
        </w:trPr>
        <w:tc>
          <w:tcPr>
            <w:tcW w:w="830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50,856</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56,713</w:t>
            </w:r>
          </w:p>
        </w:tc>
        <w:tc>
          <w:tcPr>
            <w:tcW w:w="0" w:type="dxa"/>
            <w:vAlign w:val="bottom"/>
          </w:tcPr>
          <w:p>
            <w:pPr>
              <w:spacing w:after="0"/>
              <w:rPr>
                <w:sz w:val="1"/>
                <w:szCs w:val="1"/>
                <w:color w:val="auto"/>
              </w:rPr>
            </w:pPr>
          </w:p>
        </w:tc>
      </w:tr>
      <w:tr>
        <w:trPr>
          <w:trHeight w:val="155"/>
        </w:trPr>
        <w:tc>
          <w:tcPr>
            <w:tcW w:w="83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Total deferred credits and other liabilities</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2,405,775</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2,336,009</w:t>
            </w:r>
          </w:p>
        </w:tc>
        <w:tc>
          <w:tcPr>
            <w:tcW w:w="0" w:type="dxa"/>
            <w:vAlign w:val="bottom"/>
          </w:tcPr>
          <w:p>
            <w:pPr>
              <w:spacing w:after="0"/>
              <w:rPr>
                <w:sz w:val="1"/>
                <w:szCs w:val="1"/>
                <w:color w:val="auto"/>
              </w:rPr>
            </w:pPr>
          </w:p>
        </w:tc>
      </w:tr>
      <w:tr>
        <w:trPr>
          <w:trHeight w:val="155"/>
        </w:trPr>
        <w:tc>
          <w:tcPr>
            <w:tcW w:w="8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Contributions in aid of construction</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588,105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573,774</w:t>
            </w:r>
          </w:p>
        </w:tc>
        <w:tc>
          <w:tcPr>
            <w:tcW w:w="0" w:type="dxa"/>
            <w:vAlign w:val="bottom"/>
          </w:tcPr>
          <w:p>
            <w:pPr>
              <w:spacing w:after="0"/>
              <w:rPr>
                <w:sz w:val="1"/>
                <w:szCs w:val="1"/>
                <w:color w:val="auto"/>
              </w:rPr>
            </w:pPr>
          </w:p>
        </w:tc>
      </w:tr>
      <w:tr>
        <w:trPr>
          <w:trHeight w:val="155"/>
        </w:trPr>
        <w:tc>
          <w:tcPr>
            <w:tcW w:w="8300" w:type="dxa"/>
            <w:vAlign w:val="bottom"/>
          </w:tcPr>
          <w:p>
            <w:pPr>
              <w:spacing w:after="0" w:line="155" w:lineRule="exact"/>
              <w:rPr>
                <w:sz w:val="20"/>
                <w:szCs w:val="20"/>
                <w:color w:val="auto"/>
              </w:rPr>
            </w:pPr>
            <w:r>
              <w:rPr>
                <w:rFonts w:ascii="Arial" w:cs="Arial" w:eastAsia="Arial" w:hAnsi="Arial"/>
                <w:sz w:val="16"/>
                <w:szCs w:val="16"/>
                <w:color w:val="auto"/>
              </w:rPr>
              <w:t>Total liabilities and equity</w:t>
            </w:r>
          </w:p>
        </w:tc>
        <w:tc>
          <w:tcPr>
            <w:tcW w:w="14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14,236,485</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13,705,277</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4" w:name="page5"/>
    <w:bookmarkEnd w:id="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83"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CONSOLIDATED STATEMENTS OF OPERATIONS AND COMPREHENSIVE INCOME</w:t>
      </w:r>
    </w:p>
    <w:p>
      <w:pPr>
        <w:ind w:left="3980"/>
        <w:spacing w:after="0" w:line="217" w:lineRule="auto"/>
        <w:rPr>
          <w:sz w:val="20"/>
          <w:szCs w:val="20"/>
          <w:color w:val="auto"/>
        </w:rPr>
      </w:pPr>
      <w:r>
        <w:rPr>
          <w:rFonts w:ascii="Arial" w:cs="Arial" w:eastAsia="Arial" w:hAnsi="Arial"/>
          <w:sz w:val="22"/>
          <w:szCs w:val="22"/>
          <w:color w:val="auto"/>
        </w:rPr>
        <w:t>(In thousands, except per share amounts)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20" w:type="dxa"/>
            <w:vAlign w:val="bottom"/>
            <w:gridSpan w:val="5"/>
          </w:tcPr>
          <w:p>
            <w:pPr>
              <w:jc w:val="right"/>
              <w:ind w:right="792"/>
              <w:spacing w:after="0"/>
              <w:rPr>
                <w:sz w:val="20"/>
                <w:szCs w:val="20"/>
                <w:color w:val="auto"/>
              </w:rPr>
            </w:pPr>
            <w:r>
              <w:rPr>
                <w:rFonts w:ascii="Arial" w:cs="Arial" w:eastAsia="Arial" w:hAnsi="Arial"/>
                <w:sz w:val="22"/>
                <w:szCs w:val="22"/>
                <w:color w:val="auto"/>
              </w:rPr>
              <w:t>Three Months Ended</w:t>
            </w:r>
          </w:p>
        </w:tc>
        <w:tc>
          <w:tcPr>
            <w:tcW w:w="0" w:type="dxa"/>
            <w:vAlign w:val="bottom"/>
          </w:tcPr>
          <w:p>
            <w:pPr>
              <w:spacing w:after="0"/>
              <w:rPr>
                <w:sz w:val="1"/>
                <w:szCs w:val="1"/>
                <w:color w:val="auto"/>
              </w:rPr>
            </w:pPr>
          </w:p>
        </w:tc>
      </w:tr>
      <w:tr>
        <w:trPr>
          <w:trHeight w:val="251"/>
        </w:trPr>
        <w:tc>
          <w:tcPr>
            <w:tcW w:w="5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spacing w:after="0" w:line="251" w:lineRule="exact"/>
              <w:rPr>
                <w:sz w:val="20"/>
                <w:szCs w:val="20"/>
                <w:color w:val="auto"/>
              </w:rPr>
            </w:pPr>
            <w:r>
              <w:rPr>
                <w:rFonts w:ascii="Arial" w:cs="Arial" w:eastAsia="Arial" w:hAnsi="Arial"/>
                <w:sz w:val="22"/>
                <w:szCs w:val="22"/>
                <w:color w:val="auto"/>
              </w:rPr>
              <w:t>September 30,</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2"/>
              <w:spacing w:after="0" w:line="223" w:lineRule="exact"/>
              <w:rPr>
                <w:sz w:val="20"/>
                <w:szCs w:val="20"/>
                <w:color w:val="auto"/>
              </w:rPr>
            </w:pPr>
            <w:r>
              <w:rPr>
                <w:rFonts w:ascii="Arial" w:cs="Arial" w:eastAsia="Arial" w:hAnsi="Arial"/>
                <w:sz w:val="22"/>
                <w:szCs w:val="22"/>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2"/>
              <w:spacing w:after="0" w:line="223" w:lineRule="exact"/>
              <w:rPr>
                <w:sz w:val="20"/>
                <w:szCs w:val="20"/>
                <w:color w:val="auto"/>
              </w:rPr>
            </w:pPr>
            <w:r>
              <w:rPr>
                <w:rFonts w:ascii="Arial" w:cs="Arial" w:eastAsia="Arial" w:hAnsi="Arial"/>
                <w:sz w:val="22"/>
                <w:szCs w:val="22"/>
                <w:color w:val="auto"/>
                <w:w w:val="98"/>
              </w:rPr>
              <w:t>2020</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13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361,860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348,647</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expenses: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Operations and maintenance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139,355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136,174</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Purchased gas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25,488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16,744</w:t>
            </w: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Depreciation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72,606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68,175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Amortization</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1,901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1,766</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Taxes other than income taxes</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21,058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20,555</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120"/>
              <w:spacing w:after="0" w:line="223" w:lineRule="exact"/>
              <w:rPr>
                <w:sz w:val="20"/>
                <w:szCs w:val="20"/>
                <w:color w:val="auto"/>
              </w:rPr>
            </w:pPr>
            <w:r>
              <w:rPr>
                <w:rFonts w:ascii="Arial" w:cs="Arial" w:eastAsia="Arial" w:hAnsi="Arial"/>
                <w:sz w:val="22"/>
                <w:szCs w:val="22"/>
                <w:color w:val="auto"/>
              </w:rPr>
              <w:t>Total operating expenses</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260,408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243,414</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101,452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105,233</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Other expense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Interest expense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52,132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49,861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Interest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(565)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Allowance for funds used during construction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(6,082)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(3,543)</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Gain on sale of other assets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(320)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(233)</w:t>
            </w: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Equity loss in joint venture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3,626</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Other</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4,019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(4,127)</w:t>
            </w:r>
          </w:p>
        </w:tc>
        <w:tc>
          <w:tcPr>
            <w:tcW w:w="0" w:type="dxa"/>
            <w:vAlign w:val="bottom"/>
          </w:tcPr>
          <w:p>
            <w:pPr>
              <w:spacing w:after="0"/>
              <w:rPr>
                <w:sz w:val="1"/>
                <w:szCs w:val="1"/>
                <w:color w:val="auto"/>
              </w:rPr>
            </w:pPr>
          </w:p>
        </w:tc>
      </w:tr>
      <w:tr>
        <w:trPr>
          <w:trHeight w:val="223"/>
        </w:trPr>
        <w:tc>
          <w:tcPr>
            <w:tcW w:w="5860" w:type="dxa"/>
            <w:vAlign w:val="bottom"/>
          </w:tcPr>
          <w:p>
            <w:pPr>
              <w:spacing w:after="0" w:line="223" w:lineRule="exact"/>
              <w:rPr>
                <w:sz w:val="20"/>
                <w:szCs w:val="20"/>
                <w:color w:val="auto"/>
              </w:rPr>
            </w:pPr>
            <w:r>
              <w:rPr>
                <w:rFonts w:ascii="Arial" w:cs="Arial" w:eastAsia="Arial" w:hAnsi="Arial"/>
                <w:sz w:val="22"/>
                <w:szCs w:val="22"/>
                <w:color w:val="auto"/>
              </w:rPr>
              <w:t>Income before income taxes</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3" w:lineRule="exact"/>
              <w:rPr>
                <w:sz w:val="20"/>
                <w:szCs w:val="20"/>
                <w:color w:val="auto"/>
              </w:rPr>
            </w:pPr>
            <w:r>
              <w:rPr>
                <w:rFonts w:ascii="Arial" w:cs="Arial" w:eastAsia="Arial" w:hAnsi="Arial"/>
                <w:sz w:val="22"/>
                <w:szCs w:val="22"/>
                <w:color w:val="auto"/>
              </w:rPr>
              <w:t>52,268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59,763</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Provision for income taxes</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1,765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4,031</w:t>
            </w:r>
          </w:p>
        </w:tc>
        <w:tc>
          <w:tcPr>
            <w:tcW w:w="0" w:type="dxa"/>
            <w:vAlign w:val="bottom"/>
          </w:tcPr>
          <w:p>
            <w:pPr>
              <w:spacing w:after="0"/>
              <w:rPr>
                <w:sz w:val="1"/>
                <w:szCs w:val="1"/>
                <w:color w:val="auto"/>
              </w:rPr>
            </w:pPr>
          </w:p>
        </w:tc>
      </w:tr>
      <w:tr>
        <w:trPr>
          <w:trHeight w:val="223"/>
        </w:trPr>
        <w:tc>
          <w:tcPr>
            <w:tcW w:w="5860" w:type="dxa"/>
            <w:vAlign w:val="bottom"/>
          </w:tcPr>
          <w:p>
            <w:pPr>
              <w:spacing w:after="0" w:line="223" w:lineRule="exact"/>
              <w:rPr>
                <w:sz w:val="20"/>
                <w:szCs w:val="20"/>
                <w:color w:val="auto"/>
              </w:rPr>
            </w:pPr>
            <w:r>
              <w:rPr>
                <w:rFonts w:ascii="Arial" w:cs="Arial" w:eastAsia="Arial" w:hAnsi="Arial"/>
                <w:sz w:val="22"/>
                <w:szCs w:val="22"/>
                <w:color w:val="auto"/>
              </w:rPr>
              <w:t>Net income</w:t>
            </w:r>
          </w:p>
        </w:tc>
        <w:tc>
          <w:tcPr>
            <w:tcW w:w="1780" w:type="dxa"/>
            <w:vAlign w:val="bottom"/>
          </w:tcPr>
          <w:p>
            <w:pPr>
              <w:spacing w:after="0"/>
              <w:rPr>
                <w:sz w:val="19"/>
                <w:szCs w:val="19"/>
                <w:color w:val="auto"/>
              </w:rPr>
            </w:pP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color w:val="auto"/>
                <w:w w:val="75"/>
              </w:rPr>
              <w:t>$</w:t>
            </w:r>
          </w:p>
        </w:tc>
        <w:tc>
          <w:tcPr>
            <w:tcW w:w="13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50,503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55,732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Comprehensive income</w:t>
            </w:r>
          </w:p>
        </w:tc>
        <w:tc>
          <w:tcPr>
            <w:tcW w:w="2160" w:type="dxa"/>
            <w:vAlign w:val="bottom"/>
            <w:gridSpan w:val="2"/>
            <w:shd w:val="clear" w:color="auto" w:fill="CCEEFF"/>
          </w:tcPr>
          <w:p>
            <w:pPr>
              <w:jc w:val="right"/>
              <w:ind w:right="183"/>
              <w:spacing w:after="0" w:line="229" w:lineRule="exact"/>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50,503</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64"/>
              <w:spacing w:after="0"/>
              <w:rPr>
                <w:sz w:val="20"/>
                <w:szCs w:val="20"/>
                <w:color w:val="auto"/>
              </w:rPr>
            </w:pPr>
            <w:r>
              <w:rPr>
                <w:rFonts w:ascii="Arial" w:cs="Arial" w:eastAsia="Arial" w:hAnsi="Arial"/>
                <w:sz w:val="19"/>
                <w:szCs w:val="19"/>
                <w:color w:val="auto"/>
                <w:w w:val="75"/>
              </w:rPr>
              <w:t>$</w:t>
            </w: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55,732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2"/>
                <w:szCs w:val="22"/>
                <w:color w:val="auto"/>
              </w:rPr>
              <w:t>Net income per common share:</w:t>
            </w:r>
          </w:p>
        </w:tc>
        <w:tc>
          <w:tcPr>
            <w:tcW w:w="1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2160" w:type="dxa"/>
            <w:vAlign w:val="bottom"/>
            <w:gridSpan w:val="2"/>
            <w:shd w:val="clear" w:color="auto" w:fill="CCEEFF"/>
          </w:tcPr>
          <w:p>
            <w:pPr>
              <w:jc w:val="right"/>
              <w:ind w:right="183"/>
              <w:spacing w:after="0" w:line="229" w:lineRule="exact"/>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0.20</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64"/>
              <w:spacing w:after="0"/>
              <w:rPr>
                <w:sz w:val="20"/>
                <w:szCs w:val="20"/>
                <w:color w:val="auto"/>
              </w:rPr>
            </w:pPr>
            <w:r>
              <w:rPr>
                <w:rFonts w:ascii="Arial" w:cs="Arial" w:eastAsia="Arial" w:hAnsi="Arial"/>
                <w:sz w:val="19"/>
                <w:szCs w:val="19"/>
                <w:color w:val="auto"/>
                <w:w w:val="75"/>
              </w:rPr>
              <w:t>$</w:t>
            </w: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0.22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17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83"/>
              <w:spacing w:after="0" w:line="210" w:lineRule="exact"/>
              <w:rPr>
                <w:sz w:val="20"/>
                <w:szCs w:val="20"/>
                <w:color w:val="auto"/>
              </w:rPr>
            </w:pPr>
            <w:r>
              <w:rPr>
                <w:rFonts w:ascii="Arial" w:cs="Arial" w:eastAsia="Arial" w:hAnsi="Arial"/>
                <w:sz w:val="19"/>
                <w:szCs w:val="19"/>
                <w:color w:val="auto"/>
                <w:w w:val="75"/>
              </w:rPr>
              <w:t>$</w:t>
            </w:r>
          </w:p>
        </w:tc>
        <w:tc>
          <w:tcPr>
            <w:tcW w:w="13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0.19</w:t>
            </w:r>
          </w:p>
        </w:tc>
        <w:tc>
          <w:tcPr>
            <w:tcW w:w="22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0.22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40" w:type="dxa"/>
            <w:vAlign w:val="bottom"/>
          </w:tcPr>
          <w:p>
            <w:pPr>
              <w:spacing w:after="0"/>
              <w:rPr>
                <w:sz w:val="20"/>
                <w:szCs w:val="20"/>
                <w:color w:val="auto"/>
              </w:rPr>
            </w:pPr>
            <w:r>
              <w:rPr>
                <w:rFonts w:ascii="Arial" w:cs="Arial" w:eastAsia="Arial" w:hAnsi="Arial"/>
                <w:sz w:val="22"/>
                <w:szCs w:val="22"/>
                <w:color w:val="auto"/>
              </w:rPr>
              <w:t>Average common shares outstanding during the period:</w:t>
            </w: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172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Arial" w:cs="Arial" w:eastAsia="Arial" w:hAnsi="Arial"/>
                <w:sz w:val="22"/>
                <w:szCs w:val="22"/>
                <w:color w:val="auto"/>
              </w:rPr>
              <w:t>258,773</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Arial" w:cs="Arial" w:eastAsia="Arial" w:hAnsi="Arial"/>
                <w:sz w:val="22"/>
                <w:szCs w:val="22"/>
                <w:color w:val="auto"/>
              </w:rPr>
              <w:t>254,280</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720" w:type="dxa"/>
            <w:vAlign w:val="bottom"/>
            <w:tcBorders>
              <w:bottom w:val="single" w:sz="8" w:color="auto"/>
            </w:tcBorders>
          </w:tcPr>
          <w:p>
            <w:pPr>
              <w:jc w:val="right"/>
              <w:ind w:right="12"/>
              <w:spacing w:after="0" w:line="210" w:lineRule="exact"/>
              <w:rPr>
                <w:sz w:val="20"/>
                <w:szCs w:val="20"/>
                <w:color w:val="auto"/>
              </w:rPr>
            </w:pPr>
            <w:r>
              <w:rPr>
                <w:rFonts w:ascii="Arial" w:cs="Arial" w:eastAsia="Arial" w:hAnsi="Arial"/>
                <w:sz w:val="22"/>
                <w:szCs w:val="22"/>
                <w:color w:val="auto"/>
              </w:rPr>
              <w:t>259,437</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12"/>
              <w:spacing w:after="0" w:line="210" w:lineRule="exact"/>
              <w:rPr>
                <w:sz w:val="20"/>
                <w:szCs w:val="20"/>
                <w:color w:val="auto"/>
              </w:rPr>
            </w:pPr>
            <w:r>
              <w:rPr>
                <w:rFonts w:ascii="Arial" w:cs="Arial" w:eastAsia="Arial" w:hAnsi="Arial"/>
                <w:sz w:val="22"/>
                <w:szCs w:val="22"/>
                <w:color w:val="auto"/>
              </w:rPr>
              <w:t>255,162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5" w:name="page6"/>
    <w:bookmarkEnd w:id="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83"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CONSOLIDATED STATEMENTS OF OPERATIONS AND COMPREHENSIVE INCOME</w:t>
      </w:r>
    </w:p>
    <w:p>
      <w:pPr>
        <w:ind w:left="3980"/>
        <w:spacing w:after="0" w:line="217" w:lineRule="auto"/>
        <w:rPr>
          <w:sz w:val="20"/>
          <w:szCs w:val="20"/>
          <w:color w:val="auto"/>
        </w:rPr>
      </w:pPr>
      <w:r>
        <w:rPr>
          <w:rFonts w:ascii="Arial" w:cs="Arial" w:eastAsia="Arial" w:hAnsi="Arial"/>
          <w:sz w:val="22"/>
          <w:szCs w:val="22"/>
          <w:color w:val="auto"/>
        </w:rPr>
        <w:t>(In thousands, except per share amounts)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60" w:type="dxa"/>
            <w:vAlign w:val="bottom"/>
            <w:gridSpan w:val="4"/>
          </w:tcPr>
          <w:p>
            <w:pPr>
              <w:jc w:val="right"/>
              <w:ind w:right="952"/>
              <w:spacing w:after="0"/>
              <w:rPr>
                <w:sz w:val="20"/>
                <w:szCs w:val="20"/>
                <w:color w:val="auto"/>
              </w:rPr>
            </w:pPr>
            <w:r>
              <w:rPr>
                <w:rFonts w:ascii="Arial" w:cs="Arial" w:eastAsia="Arial" w:hAnsi="Arial"/>
                <w:sz w:val="22"/>
                <w:szCs w:val="22"/>
                <w:color w:val="auto"/>
              </w:rPr>
              <w:t>Nine Months Ended</w:t>
            </w:r>
          </w:p>
        </w:tc>
        <w:tc>
          <w:tcPr>
            <w:tcW w:w="0" w:type="dxa"/>
            <w:vAlign w:val="bottom"/>
          </w:tcPr>
          <w:p>
            <w:pPr>
              <w:spacing w:after="0"/>
              <w:rPr>
                <w:sz w:val="1"/>
                <w:szCs w:val="1"/>
                <w:color w:val="auto"/>
              </w:rPr>
            </w:pPr>
          </w:p>
        </w:tc>
      </w:tr>
      <w:tr>
        <w:trPr>
          <w:trHeight w:val="251"/>
        </w:trPr>
        <w:tc>
          <w:tcPr>
            <w:tcW w:w="73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spacing w:after="0" w:line="251" w:lineRule="exact"/>
              <w:rPr>
                <w:sz w:val="20"/>
                <w:szCs w:val="20"/>
                <w:color w:val="auto"/>
              </w:rPr>
            </w:pPr>
            <w:r>
              <w:rPr>
                <w:rFonts w:ascii="Arial" w:cs="Arial" w:eastAsia="Arial" w:hAnsi="Arial"/>
                <w:sz w:val="22"/>
                <w:szCs w:val="22"/>
                <w:color w:val="auto"/>
              </w:rPr>
              <w:t>September 30,</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2"/>
              <w:spacing w:after="0" w:line="223" w:lineRule="exact"/>
              <w:rPr>
                <w:sz w:val="20"/>
                <w:szCs w:val="20"/>
                <w:color w:val="auto"/>
              </w:rPr>
            </w:pPr>
            <w:r>
              <w:rPr>
                <w:rFonts w:ascii="Arial" w:cs="Arial" w:eastAsia="Arial" w:hAnsi="Arial"/>
                <w:sz w:val="22"/>
                <w:szCs w:val="22"/>
                <w:color w:val="auto"/>
              </w:rPr>
              <w:t>2021</w:t>
            </w: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2"/>
              <w:spacing w:after="0" w:line="223" w:lineRule="exact"/>
              <w:rPr>
                <w:sz w:val="20"/>
                <w:szCs w:val="20"/>
                <w:color w:val="auto"/>
              </w:rPr>
            </w:pPr>
            <w:r>
              <w:rPr>
                <w:rFonts w:ascii="Arial" w:cs="Arial" w:eastAsia="Arial" w:hAnsi="Arial"/>
                <w:sz w:val="22"/>
                <w:szCs w:val="22"/>
                <w:color w:val="auto"/>
                <w:w w:val="98"/>
              </w:rPr>
              <w:t>2020</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9"/>
                <w:szCs w:val="19"/>
                <w:color w:val="auto"/>
                <w:w w:val="75"/>
              </w:rPr>
              <w:t>$</w:t>
            </w:r>
          </w:p>
        </w:tc>
        <w:tc>
          <w:tcPr>
            <w:tcW w:w="14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1,342,457</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43"/>
              <w:spacing w:after="0"/>
              <w:rPr>
                <w:sz w:val="20"/>
                <w:szCs w:val="20"/>
                <w:color w:val="auto"/>
              </w:rPr>
            </w:pPr>
            <w:r>
              <w:rPr>
                <w:rFonts w:ascii="Arial" w:cs="Arial" w:eastAsia="Arial" w:hAnsi="Arial"/>
                <w:sz w:val="19"/>
                <w:szCs w:val="19"/>
                <w:color w:val="auto"/>
                <w:w w:val="75"/>
              </w:rPr>
              <w:t>$</w:t>
            </w:r>
          </w:p>
        </w:tc>
        <w:tc>
          <w:tcPr>
            <w:tcW w:w="12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988,700</w:t>
            </w:r>
          </w:p>
        </w:tc>
        <w:tc>
          <w:tcPr>
            <w:tcW w:w="0" w:type="dxa"/>
            <w:vAlign w:val="bottom"/>
          </w:tcPr>
          <w:p>
            <w:pPr>
              <w:spacing w:after="0"/>
              <w:rPr>
                <w:sz w:val="1"/>
                <w:szCs w:val="1"/>
                <w:color w:val="auto"/>
              </w:rPr>
            </w:pPr>
          </w:p>
        </w:tc>
      </w:tr>
      <w:tr>
        <w:trPr>
          <w:trHeight w:val="229"/>
        </w:trPr>
        <w:tc>
          <w:tcPr>
            <w:tcW w:w="7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expenses:</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120"/>
              <w:spacing w:after="0" w:line="229" w:lineRule="exact"/>
              <w:rPr>
                <w:sz w:val="20"/>
                <w:szCs w:val="20"/>
                <w:color w:val="auto"/>
              </w:rPr>
            </w:pPr>
            <w:r>
              <w:rPr>
                <w:rFonts w:ascii="Arial" w:cs="Arial" w:eastAsia="Arial" w:hAnsi="Arial"/>
                <w:sz w:val="22"/>
                <w:szCs w:val="22"/>
                <w:color w:val="auto"/>
              </w:rPr>
              <w:t>Operations and maintenance</w:t>
            </w:r>
          </w:p>
        </w:tc>
        <w:tc>
          <w:tcPr>
            <w:tcW w:w="400" w:type="dxa"/>
            <w:vAlign w:val="bottom"/>
          </w:tcPr>
          <w:p>
            <w:pPr>
              <w:spacing w:after="0"/>
              <w:rPr>
                <w:sz w:val="19"/>
                <w:szCs w:val="19"/>
                <w:color w:val="auto"/>
              </w:rPr>
            </w:pPr>
          </w:p>
        </w:tc>
        <w:tc>
          <w:tcPr>
            <w:tcW w:w="1400" w:type="dxa"/>
            <w:vAlign w:val="bottom"/>
          </w:tcPr>
          <w:p>
            <w:pPr>
              <w:jc w:val="right"/>
              <w:spacing w:after="0" w:line="229" w:lineRule="exact"/>
              <w:rPr>
                <w:sz w:val="20"/>
                <w:szCs w:val="20"/>
                <w:color w:val="auto"/>
              </w:rPr>
            </w:pPr>
            <w:r>
              <w:rPr>
                <w:rFonts w:ascii="Arial" w:cs="Arial" w:eastAsia="Arial" w:hAnsi="Arial"/>
                <w:sz w:val="22"/>
                <w:szCs w:val="22"/>
                <w:color w:val="auto"/>
              </w:rPr>
              <w:t>391,945</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2"/>
                <w:szCs w:val="22"/>
                <w:color w:val="auto"/>
              </w:rPr>
              <w:t>371,415</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Purchased gas</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202,538</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72,934</w:t>
            </w:r>
          </w:p>
        </w:tc>
        <w:tc>
          <w:tcPr>
            <w:tcW w:w="0" w:type="dxa"/>
            <w:vAlign w:val="bottom"/>
          </w:tcPr>
          <w:p>
            <w:pPr>
              <w:spacing w:after="0"/>
              <w:rPr>
                <w:sz w:val="1"/>
                <w:szCs w:val="1"/>
                <w:color w:val="auto"/>
              </w:rPr>
            </w:pPr>
          </w:p>
        </w:tc>
      </w:tr>
      <w:tr>
        <w:trPr>
          <w:trHeight w:val="230"/>
        </w:trPr>
        <w:tc>
          <w:tcPr>
            <w:tcW w:w="7380" w:type="dxa"/>
            <w:vAlign w:val="bottom"/>
          </w:tcPr>
          <w:p>
            <w:pPr>
              <w:ind w:left="120"/>
              <w:spacing w:after="0" w:line="229" w:lineRule="exact"/>
              <w:rPr>
                <w:sz w:val="20"/>
                <w:szCs w:val="20"/>
                <w:color w:val="auto"/>
              </w:rPr>
            </w:pPr>
            <w:r>
              <w:rPr>
                <w:rFonts w:ascii="Arial" w:cs="Arial" w:eastAsia="Arial" w:hAnsi="Arial"/>
                <w:sz w:val="22"/>
                <w:szCs w:val="22"/>
                <w:color w:val="auto"/>
              </w:rPr>
              <w:t>Depreciation</w:t>
            </w:r>
          </w:p>
        </w:tc>
        <w:tc>
          <w:tcPr>
            <w:tcW w:w="400" w:type="dxa"/>
            <w:vAlign w:val="bottom"/>
          </w:tcPr>
          <w:p>
            <w:pPr>
              <w:spacing w:after="0"/>
              <w:rPr>
                <w:sz w:val="19"/>
                <w:szCs w:val="19"/>
                <w:color w:val="auto"/>
              </w:rPr>
            </w:pPr>
          </w:p>
        </w:tc>
        <w:tc>
          <w:tcPr>
            <w:tcW w:w="1400" w:type="dxa"/>
            <w:vAlign w:val="bottom"/>
          </w:tcPr>
          <w:p>
            <w:pPr>
              <w:jc w:val="right"/>
              <w:spacing w:after="0" w:line="229" w:lineRule="exact"/>
              <w:rPr>
                <w:sz w:val="20"/>
                <w:szCs w:val="20"/>
                <w:color w:val="auto"/>
              </w:rPr>
            </w:pPr>
            <w:r>
              <w:rPr>
                <w:rFonts w:ascii="Arial" w:cs="Arial" w:eastAsia="Arial" w:hAnsi="Arial"/>
                <w:sz w:val="22"/>
                <w:szCs w:val="22"/>
                <w:color w:val="auto"/>
              </w:rPr>
              <w:t>217,007</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2"/>
                <w:szCs w:val="22"/>
                <w:color w:val="auto"/>
              </w:rPr>
              <w:t>181,666</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Amortization</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4,616</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4,412</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Taxes other than income taxes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63,219</w:t>
            </w: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56,424</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Total operating expenses</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879,325</w:t>
            </w:r>
          </w:p>
        </w:tc>
        <w:tc>
          <w:tcPr>
            <w:tcW w:w="2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686,851</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income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463,132</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301,849</w:t>
            </w:r>
          </w:p>
        </w:tc>
        <w:tc>
          <w:tcPr>
            <w:tcW w:w="0" w:type="dxa"/>
            <w:vAlign w:val="bottom"/>
          </w:tcPr>
          <w:p>
            <w:pPr>
              <w:spacing w:after="0"/>
              <w:rPr>
                <w:sz w:val="1"/>
                <w:szCs w:val="1"/>
                <w:color w:val="auto"/>
              </w:rPr>
            </w:pPr>
          </w:p>
        </w:tc>
      </w:tr>
      <w:tr>
        <w:trPr>
          <w:trHeight w:val="229"/>
        </w:trPr>
        <w:tc>
          <w:tcPr>
            <w:tcW w:w="7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Other expense (income):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120"/>
              <w:spacing w:after="0" w:line="229" w:lineRule="exact"/>
              <w:rPr>
                <w:sz w:val="20"/>
                <w:szCs w:val="20"/>
                <w:color w:val="auto"/>
              </w:rPr>
            </w:pPr>
            <w:r>
              <w:rPr>
                <w:rFonts w:ascii="Arial" w:cs="Arial" w:eastAsia="Arial" w:hAnsi="Arial"/>
                <w:sz w:val="22"/>
                <w:szCs w:val="22"/>
                <w:color w:val="auto"/>
              </w:rPr>
              <w:t>Interest expense</w:t>
            </w:r>
          </w:p>
        </w:tc>
        <w:tc>
          <w:tcPr>
            <w:tcW w:w="400" w:type="dxa"/>
            <w:vAlign w:val="bottom"/>
          </w:tcPr>
          <w:p>
            <w:pPr>
              <w:spacing w:after="0"/>
              <w:rPr>
                <w:sz w:val="19"/>
                <w:szCs w:val="19"/>
                <w:color w:val="auto"/>
              </w:rPr>
            </w:pPr>
          </w:p>
        </w:tc>
        <w:tc>
          <w:tcPr>
            <w:tcW w:w="1400" w:type="dxa"/>
            <w:vAlign w:val="bottom"/>
          </w:tcPr>
          <w:p>
            <w:pPr>
              <w:jc w:val="right"/>
              <w:spacing w:after="0" w:line="229" w:lineRule="exact"/>
              <w:rPr>
                <w:sz w:val="20"/>
                <w:szCs w:val="20"/>
                <w:color w:val="auto"/>
              </w:rPr>
            </w:pPr>
            <w:r>
              <w:rPr>
                <w:rFonts w:ascii="Arial" w:cs="Arial" w:eastAsia="Arial" w:hAnsi="Arial"/>
                <w:sz w:val="22"/>
                <w:szCs w:val="22"/>
                <w:color w:val="auto"/>
              </w:rPr>
              <w:t>154,937</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2"/>
                <w:szCs w:val="22"/>
                <w:color w:val="auto"/>
              </w:rPr>
              <w:t>136,650</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Interest income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(1,290)</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(5,346)</w:t>
            </w:r>
          </w:p>
        </w:tc>
        <w:tc>
          <w:tcPr>
            <w:tcW w:w="0" w:type="dxa"/>
            <w:vAlign w:val="bottom"/>
          </w:tcPr>
          <w:p>
            <w:pPr>
              <w:spacing w:after="0"/>
              <w:rPr>
                <w:sz w:val="1"/>
                <w:szCs w:val="1"/>
                <w:color w:val="auto"/>
              </w:rPr>
            </w:pPr>
          </w:p>
        </w:tc>
      </w:tr>
      <w:tr>
        <w:trPr>
          <w:trHeight w:val="230"/>
        </w:trPr>
        <w:tc>
          <w:tcPr>
            <w:tcW w:w="7380" w:type="dxa"/>
            <w:vAlign w:val="bottom"/>
          </w:tcPr>
          <w:p>
            <w:pPr>
              <w:ind w:left="120"/>
              <w:spacing w:after="0" w:line="229" w:lineRule="exact"/>
              <w:rPr>
                <w:sz w:val="20"/>
                <w:szCs w:val="20"/>
                <w:color w:val="auto"/>
              </w:rPr>
            </w:pPr>
            <w:r>
              <w:rPr>
                <w:rFonts w:ascii="Arial" w:cs="Arial" w:eastAsia="Arial" w:hAnsi="Arial"/>
                <w:sz w:val="22"/>
                <w:szCs w:val="22"/>
                <w:color w:val="auto"/>
              </w:rPr>
              <w:t>Allowance for funds used during construction</w:t>
            </w:r>
          </w:p>
        </w:tc>
        <w:tc>
          <w:tcPr>
            <w:tcW w:w="400" w:type="dxa"/>
            <w:vAlign w:val="bottom"/>
          </w:tcPr>
          <w:p>
            <w:pPr>
              <w:spacing w:after="0"/>
              <w:rPr>
                <w:sz w:val="19"/>
                <w:szCs w:val="19"/>
                <w:color w:val="auto"/>
              </w:rPr>
            </w:pPr>
          </w:p>
        </w:tc>
        <w:tc>
          <w:tcPr>
            <w:tcW w:w="1400" w:type="dxa"/>
            <w:vAlign w:val="bottom"/>
          </w:tcPr>
          <w:p>
            <w:pPr>
              <w:jc w:val="right"/>
              <w:spacing w:after="0" w:line="229" w:lineRule="exact"/>
              <w:rPr>
                <w:sz w:val="20"/>
                <w:szCs w:val="20"/>
                <w:color w:val="auto"/>
              </w:rPr>
            </w:pPr>
            <w:r>
              <w:rPr>
                <w:rFonts w:ascii="Arial" w:cs="Arial" w:eastAsia="Arial" w:hAnsi="Arial"/>
                <w:sz w:val="22"/>
                <w:szCs w:val="22"/>
                <w:color w:val="auto"/>
              </w:rPr>
              <w:t>(13,922)</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2"/>
                <w:szCs w:val="22"/>
                <w:color w:val="auto"/>
              </w:rPr>
              <w:t>(8,721)</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Gain on sale of other assets</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(623)</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(358)</w:t>
            </w:r>
          </w:p>
        </w:tc>
        <w:tc>
          <w:tcPr>
            <w:tcW w:w="0" w:type="dxa"/>
            <w:vAlign w:val="bottom"/>
          </w:tcPr>
          <w:p>
            <w:pPr>
              <w:spacing w:after="0"/>
              <w:rPr>
                <w:sz w:val="1"/>
                <w:szCs w:val="1"/>
                <w:color w:val="auto"/>
              </w:rPr>
            </w:pPr>
          </w:p>
        </w:tc>
      </w:tr>
      <w:tr>
        <w:trPr>
          <w:trHeight w:val="230"/>
        </w:trPr>
        <w:tc>
          <w:tcPr>
            <w:tcW w:w="7380" w:type="dxa"/>
            <w:vAlign w:val="bottom"/>
          </w:tcPr>
          <w:p>
            <w:pPr>
              <w:ind w:left="120"/>
              <w:spacing w:after="0" w:line="229" w:lineRule="exact"/>
              <w:rPr>
                <w:sz w:val="20"/>
                <w:szCs w:val="20"/>
                <w:color w:val="auto"/>
              </w:rPr>
            </w:pPr>
            <w:r>
              <w:rPr>
                <w:rFonts w:ascii="Arial" w:cs="Arial" w:eastAsia="Arial" w:hAnsi="Arial"/>
                <w:sz w:val="22"/>
                <w:szCs w:val="22"/>
                <w:color w:val="auto"/>
              </w:rPr>
              <w:t>Equity loss in joint venture</w:t>
            </w:r>
          </w:p>
        </w:tc>
        <w:tc>
          <w:tcPr>
            <w:tcW w:w="400" w:type="dxa"/>
            <w:vAlign w:val="bottom"/>
          </w:tcPr>
          <w:p>
            <w:pPr>
              <w:spacing w:after="0"/>
              <w:rPr>
                <w:sz w:val="19"/>
                <w:szCs w:val="19"/>
                <w:color w:val="auto"/>
              </w:rPr>
            </w:pPr>
          </w:p>
        </w:tc>
        <w:tc>
          <w:tcPr>
            <w:tcW w:w="14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2"/>
                <w:szCs w:val="22"/>
                <w:color w:val="auto"/>
              </w:rPr>
              <w:t>3,283</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(1,393)</w:t>
            </w:r>
          </w:p>
        </w:tc>
        <w:tc>
          <w:tcPr>
            <w:tcW w:w="2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(3,170)</w:t>
            </w:r>
          </w:p>
        </w:tc>
        <w:tc>
          <w:tcPr>
            <w:tcW w:w="0" w:type="dxa"/>
            <w:vAlign w:val="bottom"/>
          </w:tcPr>
          <w:p>
            <w:pPr>
              <w:spacing w:after="0"/>
              <w:rPr>
                <w:sz w:val="1"/>
                <w:szCs w:val="1"/>
                <w:color w:val="auto"/>
              </w:rPr>
            </w:pPr>
          </w:p>
        </w:tc>
      </w:tr>
      <w:tr>
        <w:trPr>
          <w:trHeight w:val="223"/>
        </w:trPr>
        <w:tc>
          <w:tcPr>
            <w:tcW w:w="7380" w:type="dxa"/>
            <w:vAlign w:val="bottom"/>
          </w:tcPr>
          <w:p>
            <w:pPr>
              <w:spacing w:after="0" w:line="223" w:lineRule="exact"/>
              <w:rPr>
                <w:sz w:val="20"/>
                <w:szCs w:val="20"/>
                <w:color w:val="auto"/>
              </w:rPr>
            </w:pPr>
            <w:r>
              <w:rPr>
                <w:rFonts w:ascii="Arial" w:cs="Arial" w:eastAsia="Arial" w:hAnsi="Arial"/>
                <w:sz w:val="22"/>
                <w:szCs w:val="22"/>
                <w:color w:val="auto"/>
              </w:rPr>
              <w:t>Income before income taxes</w:t>
            </w:r>
          </w:p>
        </w:tc>
        <w:tc>
          <w:tcPr>
            <w:tcW w:w="400" w:type="dxa"/>
            <w:vAlign w:val="bottom"/>
          </w:tcPr>
          <w:p>
            <w:pPr>
              <w:spacing w:after="0"/>
              <w:rPr>
                <w:sz w:val="19"/>
                <w:szCs w:val="19"/>
                <w:color w:val="auto"/>
              </w:rPr>
            </w:pPr>
          </w:p>
        </w:tc>
        <w:tc>
          <w:tcPr>
            <w:tcW w:w="1400" w:type="dxa"/>
            <w:vAlign w:val="bottom"/>
          </w:tcPr>
          <w:p>
            <w:pPr>
              <w:jc w:val="right"/>
              <w:spacing w:after="0" w:line="223" w:lineRule="exact"/>
              <w:rPr>
                <w:sz w:val="20"/>
                <w:szCs w:val="20"/>
                <w:color w:val="auto"/>
              </w:rPr>
            </w:pPr>
            <w:r>
              <w:rPr>
                <w:rFonts w:ascii="Arial" w:cs="Arial" w:eastAsia="Arial" w:hAnsi="Arial"/>
                <w:sz w:val="22"/>
                <w:szCs w:val="22"/>
                <w:color w:val="auto"/>
              </w:rPr>
              <w:t>325,423</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2"/>
                <w:szCs w:val="22"/>
                <w:color w:val="auto"/>
              </w:rPr>
              <w:t>179,511</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Provision for income taxes (benefit)</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10,317</w:t>
            </w:r>
          </w:p>
        </w:tc>
        <w:tc>
          <w:tcPr>
            <w:tcW w:w="2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(2,631)</w:t>
            </w:r>
          </w:p>
        </w:tc>
        <w:tc>
          <w:tcPr>
            <w:tcW w:w="0" w:type="dxa"/>
            <w:vAlign w:val="bottom"/>
          </w:tcPr>
          <w:p>
            <w:pPr>
              <w:spacing w:after="0"/>
              <w:rPr>
                <w:sz w:val="1"/>
                <w:szCs w:val="1"/>
                <w:color w:val="auto"/>
              </w:rPr>
            </w:pPr>
          </w:p>
        </w:tc>
      </w:tr>
      <w:tr>
        <w:trPr>
          <w:trHeight w:val="263"/>
        </w:trPr>
        <w:tc>
          <w:tcPr>
            <w:tcW w:w="7380" w:type="dxa"/>
            <w:vAlign w:val="bottom"/>
            <w:tcBorders>
              <w:bottom w:val="single" w:sz="8" w:color="CCEEFF"/>
            </w:tcBorders>
          </w:tcPr>
          <w:p>
            <w:pPr>
              <w:spacing w:after="0" w:line="223" w:lineRule="exact"/>
              <w:rPr>
                <w:sz w:val="20"/>
                <w:szCs w:val="20"/>
                <w:color w:val="auto"/>
              </w:rPr>
            </w:pPr>
            <w:r>
              <w:rPr>
                <w:rFonts w:ascii="Arial" w:cs="Arial" w:eastAsia="Arial" w:hAnsi="Arial"/>
                <w:sz w:val="22"/>
                <w:szCs w:val="22"/>
                <w:color w:val="auto"/>
              </w:rPr>
              <w:t>Net income</w:t>
            </w:r>
          </w:p>
        </w:tc>
        <w:tc>
          <w:tcPr>
            <w:tcW w:w="40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color w:val="auto"/>
                <w:w w:val="75"/>
              </w:rPr>
              <w:t>$</w:t>
            </w:r>
          </w:p>
        </w:tc>
        <w:tc>
          <w:tcPr>
            <w:tcW w:w="14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315,106</w:t>
            </w:r>
          </w:p>
        </w:tc>
        <w:tc>
          <w:tcPr>
            <w:tcW w:w="2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443"/>
              <w:spacing w:after="0"/>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182,142</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38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Comprehensive income</w:t>
            </w:r>
          </w:p>
        </w:tc>
        <w:tc>
          <w:tcPr>
            <w:tcW w:w="40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color w:val="auto"/>
                <w:w w:val="75"/>
              </w:rPr>
              <w:t>$</w:t>
            </w:r>
          </w:p>
        </w:tc>
        <w:tc>
          <w:tcPr>
            <w:tcW w:w="14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315,106</w:t>
            </w:r>
          </w:p>
        </w:tc>
        <w:tc>
          <w:tcPr>
            <w:tcW w:w="20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jc w:val="right"/>
              <w:ind w:right="443"/>
              <w:spacing w:after="0"/>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182,142</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line="229" w:lineRule="exact"/>
              <w:rPr>
                <w:sz w:val="20"/>
                <w:szCs w:val="20"/>
                <w:color w:val="auto"/>
              </w:rPr>
            </w:pPr>
            <w:r>
              <w:rPr>
                <w:rFonts w:ascii="Arial" w:cs="Arial" w:eastAsia="Arial" w:hAnsi="Arial"/>
                <w:sz w:val="22"/>
                <w:szCs w:val="22"/>
                <w:color w:val="auto"/>
              </w:rPr>
              <w:t>Net income per common share:</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4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9"/>
                <w:szCs w:val="19"/>
                <w:color w:val="auto"/>
                <w:w w:val="75"/>
              </w:rPr>
              <w:t>$</w:t>
            </w:r>
          </w:p>
        </w:tc>
        <w:tc>
          <w:tcPr>
            <w:tcW w:w="14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1.23</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0.73</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vMerge w:val="continue"/>
          </w:tcPr>
          <w:p>
            <w:pPr>
              <w:spacing w:after="0"/>
              <w:rPr>
                <w:sz w:val="21"/>
                <w:szCs w:val="21"/>
                <w:color w:val="auto"/>
              </w:rPr>
            </w:pPr>
          </w:p>
        </w:tc>
        <w:tc>
          <w:tcPr>
            <w:tcW w:w="400" w:type="dxa"/>
            <w:vAlign w:val="bottom"/>
            <w:tcBorders>
              <w:bottom w:val="single" w:sz="8" w:color="auto"/>
            </w:tcBorders>
          </w:tcPr>
          <w:p>
            <w:pPr>
              <w:jc w:val="right"/>
              <w:ind w:right="203"/>
              <w:spacing w:after="0" w:line="210" w:lineRule="exact"/>
              <w:rPr>
                <w:sz w:val="20"/>
                <w:szCs w:val="20"/>
                <w:color w:val="auto"/>
              </w:rPr>
            </w:pPr>
            <w:r>
              <w:rPr>
                <w:rFonts w:ascii="Arial" w:cs="Arial" w:eastAsia="Arial" w:hAnsi="Arial"/>
                <w:sz w:val="19"/>
                <w:szCs w:val="19"/>
                <w:color w:val="auto"/>
                <w:w w:val="75"/>
              </w:rPr>
              <w:t>$</w:t>
            </w:r>
          </w:p>
        </w:tc>
        <w:tc>
          <w:tcPr>
            <w:tcW w:w="14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1.23</w:t>
            </w:r>
          </w:p>
        </w:tc>
        <w:tc>
          <w:tcPr>
            <w:tcW w:w="2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ind w:right="443"/>
              <w:spacing w:after="0" w:line="210" w:lineRule="exact"/>
              <w:rPr>
                <w:sz w:val="20"/>
                <w:szCs w:val="20"/>
                <w:color w:val="auto"/>
              </w:rPr>
            </w:pPr>
            <w:r>
              <w:rPr>
                <w:rFonts w:ascii="Arial" w:cs="Arial" w:eastAsia="Arial" w:hAnsi="Arial"/>
                <w:sz w:val="19"/>
                <w:szCs w:val="19"/>
                <w:color w:val="auto"/>
                <w:w w:val="75"/>
              </w:rPr>
              <w:t>$</w:t>
            </w:r>
          </w:p>
        </w:tc>
        <w:tc>
          <w:tcPr>
            <w:tcW w:w="1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0.71</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line="229" w:lineRule="exact"/>
              <w:rPr>
                <w:sz w:val="20"/>
                <w:szCs w:val="20"/>
                <w:color w:val="auto"/>
              </w:rPr>
            </w:pPr>
            <w:r>
              <w:rPr>
                <w:rFonts w:ascii="Arial" w:cs="Arial" w:eastAsia="Arial" w:hAnsi="Arial"/>
                <w:sz w:val="22"/>
                <w:szCs w:val="22"/>
                <w:color w:val="auto"/>
              </w:rPr>
              <w:t>Average common shares outstanding during the period:</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256,051</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248,212</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256,763</w:t>
            </w: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255,139</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6" w:name="page7"/>
    <w:bookmarkEnd w:id="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CONSOLIDATED STATEMENTS OF CAPITALIZATION</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gridSpan w:val="2"/>
          </w:tcPr>
          <w:p>
            <w:pPr>
              <w:ind w:left="20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371"/>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6"/>
        </w:trPr>
        <w:tc>
          <w:tcPr>
            <w:tcW w:w="708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70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Common stock, $0.50 par value</w:t>
            </w: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127,990</w:t>
            </w:r>
          </w:p>
        </w:tc>
        <w:tc>
          <w:tcPr>
            <w:tcW w:w="1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124,285</w:t>
            </w:r>
          </w:p>
        </w:tc>
        <w:tc>
          <w:tcPr>
            <w:tcW w:w="0" w:type="dxa"/>
            <w:vAlign w:val="bottom"/>
          </w:tcPr>
          <w:p>
            <w:pPr>
              <w:spacing w:after="0"/>
              <w:rPr>
                <w:sz w:val="1"/>
                <w:szCs w:val="1"/>
                <w:color w:val="auto"/>
              </w:rPr>
            </w:pPr>
          </w:p>
        </w:tc>
      </w:tr>
      <w:tr>
        <w:trPr>
          <w:trHeight w:val="189"/>
        </w:trPr>
        <w:tc>
          <w:tcPr>
            <w:tcW w:w="7080" w:type="dxa"/>
            <w:vAlign w:val="bottom"/>
          </w:tcPr>
          <w:p>
            <w:pPr>
              <w:ind w:left="240"/>
              <w:spacing w:after="0" w:line="189" w:lineRule="exact"/>
              <w:rPr>
                <w:sz w:val="20"/>
                <w:szCs w:val="20"/>
                <w:color w:val="auto"/>
              </w:rPr>
            </w:pPr>
            <w:r>
              <w:rPr>
                <w:rFonts w:ascii="Arial" w:cs="Arial" w:eastAsia="Arial" w:hAnsi="Arial"/>
                <w:sz w:val="18"/>
                <w:szCs w:val="18"/>
                <w:color w:val="auto"/>
              </w:rPr>
              <w:t>Capital in excess of par value</w:t>
            </w:r>
          </w:p>
        </w:tc>
        <w:tc>
          <w:tcPr>
            <w:tcW w:w="320" w:type="dxa"/>
            <w:vAlign w:val="bottom"/>
          </w:tcPr>
          <w:p>
            <w:pPr>
              <w:spacing w:after="0"/>
              <w:rPr>
                <w:sz w:val="16"/>
                <w:szCs w:val="16"/>
                <w:color w:val="auto"/>
              </w:rPr>
            </w:pP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3,698,095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3,379,057</w:t>
            </w:r>
          </w:p>
        </w:tc>
        <w:tc>
          <w:tcPr>
            <w:tcW w:w="0" w:type="dxa"/>
            <w:vAlign w:val="bottom"/>
          </w:tcPr>
          <w:p>
            <w:pPr>
              <w:spacing w:after="0"/>
              <w:rPr>
                <w:sz w:val="1"/>
                <w:szCs w:val="1"/>
                <w:color w:val="auto"/>
              </w:rPr>
            </w:pPr>
          </w:p>
        </w:tc>
      </w:tr>
      <w:tr>
        <w:trPr>
          <w:trHeight w:val="189"/>
        </w:trPr>
        <w:tc>
          <w:tcPr>
            <w:tcW w:w="70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1,385,631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1,261,862</w:t>
            </w:r>
          </w:p>
        </w:tc>
        <w:tc>
          <w:tcPr>
            <w:tcW w:w="0" w:type="dxa"/>
            <w:vAlign w:val="bottom"/>
          </w:tcPr>
          <w:p>
            <w:pPr>
              <w:spacing w:after="0"/>
              <w:rPr>
                <w:sz w:val="1"/>
                <w:szCs w:val="1"/>
                <w:color w:val="auto"/>
              </w:rPr>
            </w:pPr>
          </w:p>
        </w:tc>
      </w:tr>
      <w:tr>
        <w:trPr>
          <w:trHeight w:val="189"/>
        </w:trPr>
        <w:tc>
          <w:tcPr>
            <w:tcW w:w="7080" w:type="dxa"/>
            <w:vAlign w:val="bottom"/>
          </w:tcPr>
          <w:p>
            <w:pPr>
              <w:ind w:left="240"/>
              <w:spacing w:after="0" w:line="189" w:lineRule="exact"/>
              <w:rPr>
                <w:sz w:val="20"/>
                <w:szCs w:val="20"/>
                <w:color w:val="auto"/>
              </w:rPr>
            </w:pPr>
            <w:r>
              <w:rPr>
                <w:rFonts w:ascii="Arial" w:cs="Arial" w:eastAsia="Arial" w:hAnsi="Arial"/>
                <w:sz w:val="18"/>
                <w:szCs w:val="18"/>
                <w:color w:val="auto"/>
              </w:rPr>
              <w:t>Treasury stock, at cost</w:t>
            </w:r>
          </w:p>
        </w:tc>
        <w:tc>
          <w:tcPr>
            <w:tcW w:w="320" w:type="dxa"/>
            <w:vAlign w:val="bottom"/>
          </w:tcPr>
          <w:p>
            <w:pPr>
              <w:spacing w:after="0"/>
              <w:rPr>
                <w:sz w:val="16"/>
                <w:szCs w:val="16"/>
                <w:color w:val="auto"/>
              </w:rPr>
            </w:pPr>
          </w:p>
        </w:tc>
        <w:tc>
          <w:tcPr>
            <w:tcW w:w="19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(83,854)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(81,327)</w:t>
            </w:r>
          </w:p>
        </w:tc>
        <w:tc>
          <w:tcPr>
            <w:tcW w:w="0" w:type="dxa"/>
            <w:vAlign w:val="bottom"/>
          </w:tcPr>
          <w:p>
            <w:pPr>
              <w:spacing w:after="0"/>
              <w:rPr>
                <w:sz w:val="1"/>
                <w:szCs w:val="1"/>
                <w:color w:val="auto"/>
              </w:rPr>
            </w:pPr>
          </w:p>
        </w:tc>
      </w:tr>
      <w:tr>
        <w:trPr>
          <w:trHeight w:val="183"/>
        </w:trPr>
        <w:tc>
          <w:tcPr>
            <w:tcW w:w="7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5,127,862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4,683,877</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3300" w:type="dxa"/>
            <w:vAlign w:val="bottom"/>
            <w:gridSpan w:val="2"/>
          </w:tcPr>
          <w:p>
            <w:pPr>
              <w:jc w:val="center"/>
              <w:ind w:right="1880"/>
              <w:spacing w:after="0" w:line="185" w:lineRule="exact"/>
              <w:rPr>
                <w:sz w:val="20"/>
                <w:szCs w:val="20"/>
                <w:color w:val="auto"/>
              </w:rPr>
            </w:pPr>
            <w:r>
              <w:rPr>
                <w:rFonts w:ascii="Arial" w:cs="Arial" w:eastAsia="Arial" w:hAnsi="Arial"/>
                <w:sz w:val="18"/>
                <w:szCs w:val="18"/>
                <w:color w:val="auto"/>
                <w:w w:val="88"/>
              </w:rPr>
              <w:t>Interest Rate Range</w:t>
            </w:r>
          </w:p>
        </w:tc>
        <w:tc>
          <w:tcPr>
            <w:tcW w:w="2540" w:type="dxa"/>
            <w:vAlign w:val="bottom"/>
            <w:gridSpan w:val="3"/>
          </w:tcPr>
          <w:p>
            <w:pPr>
              <w:jc w:val="center"/>
              <w:ind w:right="900"/>
              <w:spacing w:after="0" w:line="185" w:lineRule="exact"/>
              <w:rPr>
                <w:sz w:val="20"/>
                <w:szCs w:val="20"/>
                <w:color w:val="auto"/>
              </w:rPr>
            </w:pPr>
            <w:r>
              <w:rPr>
                <w:rFonts w:ascii="Arial" w:cs="Arial" w:eastAsia="Arial" w:hAnsi="Arial"/>
                <w:sz w:val="18"/>
                <w:szCs w:val="18"/>
                <w:color w:val="auto"/>
                <w:w w:val="92"/>
              </w:rPr>
              <w:t>Maturity Date Range</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0.00% to 0.99%</w:t>
            </w:r>
          </w:p>
        </w:tc>
        <w:tc>
          <w:tcPr>
            <w:tcW w:w="1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2023 to 2033</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2,341</w:t>
            </w: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3300" w:type="dxa"/>
            <w:vAlign w:val="bottom"/>
            <w:gridSpan w:val="2"/>
          </w:tcPr>
          <w:p>
            <w:pPr>
              <w:jc w:val="center"/>
              <w:ind w:right="1860"/>
              <w:spacing w:after="0" w:line="189" w:lineRule="exact"/>
              <w:rPr>
                <w:sz w:val="20"/>
                <w:szCs w:val="20"/>
                <w:color w:val="auto"/>
              </w:rPr>
            </w:pPr>
            <w:r>
              <w:rPr>
                <w:rFonts w:ascii="Arial" w:cs="Arial" w:eastAsia="Arial" w:hAnsi="Arial"/>
                <w:sz w:val="18"/>
                <w:szCs w:val="18"/>
                <w:color w:val="auto"/>
                <w:w w:val="91"/>
              </w:rPr>
              <w:t>1.00% to 1.99%</w:t>
            </w:r>
          </w:p>
        </w:tc>
        <w:tc>
          <w:tcPr>
            <w:tcW w:w="60" w:type="dxa"/>
            <w:vAlign w:val="bottom"/>
          </w:tcPr>
          <w:p>
            <w:pPr>
              <w:spacing w:after="0"/>
              <w:rPr>
                <w:sz w:val="16"/>
                <w:szCs w:val="16"/>
                <w:color w:val="auto"/>
              </w:rPr>
            </w:pPr>
          </w:p>
        </w:tc>
        <w:tc>
          <w:tcPr>
            <w:tcW w:w="2480" w:type="dxa"/>
            <w:vAlign w:val="bottom"/>
            <w:gridSpan w:val="2"/>
          </w:tcPr>
          <w:p>
            <w:pPr>
              <w:jc w:val="center"/>
              <w:ind w:right="980"/>
              <w:spacing w:after="0" w:line="189" w:lineRule="exact"/>
              <w:rPr>
                <w:sz w:val="20"/>
                <w:szCs w:val="20"/>
                <w:color w:val="auto"/>
              </w:rPr>
            </w:pPr>
            <w:r>
              <w:rPr>
                <w:rFonts w:ascii="Arial" w:cs="Arial" w:eastAsia="Arial" w:hAnsi="Arial"/>
                <w:sz w:val="18"/>
                <w:szCs w:val="18"/>
                <w:color w:val="auto"/>
                <w:w w:val="89"/>
              </w:rPr>
              <w:t>2021 to 2039</w:t>
            </w:r>
          </w:p>
        </w:tc>
        <w:tc>
          <w:tcPr>
            <w:tcW w:w="6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9,578</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860"/>
              <w:spacing w:after="0" w:line="189" w:lineRule="exact"/>
              <w:rPr>
                <w:sz w:val="20"/>
                <w:szCs w:val="20"/>
                <w:color w:val="auto"/>
              </w:rPr>
            </w:pPr>
            <w:r>
              <w:rPr>
                <w:rFonts w:ascii="Arial" w:cs="Arial" w:eastAsia="Arial" w:hAnsi="Arial"/>
                <w:sz w:val="18"/>
                <w:szCs w:val="18"/>
                <w:color w:val="auto"/>
                <w:w w:val="91"/>
              </w:rPr>
              <w:t>2.00% to 2.99%</w:t>
            </w:r>
          </w:p>
        </w:tc>
        <w:tc>
          <w:tcPr>
            <w:tcW w:w="6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jc w:val="center"/>
              <w:ind w:right="980"/>
              <w:spacing w:after="0" w:line="189" w:lineRule="exact"/>
              <w:rPr>
                <w:sz w:val="20"/>
                <w:szCs w:val="20"/>
                <w:color w:val="auto"/>
              </w:rPr>
            </w:pPr>
            <w:r>
              <w:rPr>
                <w:rFonts w:ascii="Arial" w:cs="Arial" w:eastAsia="Arial" w:hAnsi="Arial"/>
                <w:sz w:val="18"/>
                <w:szCs w:val="18"/>
                <w:color w:val="auto"/>
                <w:w w:val="89"/>
              </w:rPr>
              <w:t>2022 to 2033</w:t>
            </w:r>
          </w:p>
        </w:tc>
        <w:tc>
          <w:tcPr>
            <w:tcW w:w="6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313,458</w:t>
            </w: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265,557</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3300" w:type="dxa"/>
            <w:vAlign w:val="bottom"/>
            <w:gridSpan w:val="2"/>
          </w:tcPr>
          <w:p>
            <w:pPr>
              <w:jc w:val="center"/>
              <w:ind w:right="1860"/>
              <w:spacing w:after="0" w:line="189" w:lineRule="exact"/>
              <w:rPr>
                <w:sz w:val="20"/>
                <w:szCs w:val="20"/>
                <w:color w:val="auto"/>
              </w:rPr>
            </w:pPr>
            <w:r>
              <w:rPr>
                <w:rFonts w:ascii="Arial" w:cs="Arial" w:eastAsia="Arial" w:hAnsi="Arial"/>
                <w:sz w:val="18"/>
                <w:szCs w:val="18"/>
                <w:color w:val="auto"/>
                <w:w w:val="91"/>
              </w:rPr>
              <w:t>3.00% to 3.99%</w:t>
            </w:r>
          </w:p>
        </w:tc>
        <w:tc>
          <w:tcPr>
            <w:tcW w:w="60" w:type="dxa"/>
            <w:vAlign w:val="bottom"/>
          </w:tcPr>
          <w:p>
            <w:pPr>
              <w:spacing w:after="0"/>
              <w:rPr>
                <w:sz w:val="16"/>
                <w:szCs w:val="16"/>
                <w:color w:val="auto"/>
              </w:rPr>
            </w:pPr>
          </w:p>
        </w:tc>
        <w:tc>
          <w:tcPr>
            <w:tcW w:w="2480" w:type="dxa"/>
            <w:vAlign w:val="bottom"/>
            <w:gridSpan w:val="2"/>
          </w:tcPr>
          <w:p>
            <w:pPr>
              <w:jc w:val="center"/>
              <w:ind w:right="980"/>
              <w:spacing w:after="0" w:line="189" w:lineRule="exact"/>
              <w:rPr>
                <w:sz w:val="20"/>
                <w:szCs w:val="20"/>
                <w:color w:val="auto"/>
              </w:rPr>
            </w:pPr>
            <w:r>
              <w:rPr>
                <w:rFonts w:ascii="Arial" w:cs="Arial" w:eastAsia="Arial" w:hAnsi="Arial"/>
                <w:sz w:val="18"/>
                <w:szCs w:val="18"/>
                <w:color w:val="auto"/>
                <w:w w:val="89"/>
              </w:rPr>
              <w:t>2021 to 2056</w:t>
            </w:r>
          </w:p>
        </w:tc>
        <w:tc>
          <w:tcPr>
            <w:tcW w:w="6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1,361,263</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1,316,872</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860"/>
              <w:spacing w:after="0" w:line="189" w:lineRule="exact"/>
              <w:rPr>
                <w:sz w:val="20"/>
                <w:szCs w:val="20"/>
                <w:color w:val="auto"/>
              </w:rPr>
            </w:pPr>
            <w:r>
              <w:rPr>
                <w:rFonts w:ascii="Arial" w:cs="Arial" w:eastAsia="Arial" w:hAnsi="Arial"/>
                <w:sz w:val="18"/>
                <w:szCs w:val="18"/>
                <w:color w:val="auto"/>
                <w:w w:val="91"/>
              </w:rPr>
              <w:t>4.00% to 4.99%</w:t>
            </w:r>
          </w:p>
        </w:tc>
        <w:tc>
          <w:tcPr>
            <w:tcW w:w="6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jc w:val="center"/>
              <w:ind w:right="980"/>
              <w:spacing w:after="0" w:line="189" w:lineRule="exact"/>
              <w:rPr>
                <w:sz w:val="20"/>
                <w:szCs w:val="20"/>
                <w:color w:val="auto"/>
              </w:rPr>
            </w:pPr>
            <w:r>
              <w:rPr>
                <w:rFonts w:ascii="Arial" w:cs="Arial" w:eastAsia="Arial" w:hAnsi="Arial"/>
                <w:sz w:val="18"/>
                <w:szCs w:val="18"/>
                <w:color w:val="auto"/>
                <w:w w:val="89"/>
              </w:rPr>
              <w:t>2021 to 2059</w:t>
            </w:r>
          </w:p>
        </w:tc>
        <w:tc>
          <w:tcPr>
            <w:tcW w:w="6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1,310,107</w:t>
            </w: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1,315,812</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3300" w:type="dxa"/>
            <w:vAlign w:val="bottom"/>
            <w:gridSpan w:val="2"/>
          </w:tcPr>
          <w:p>
            <w:pPr>
              <w:jc w:val="center"/>
              <w:ind w:right="1860"/>
              <w:spacing w:after="0" w:line="189" w:lineRule="exact"/>
              <w:rPr>
                <w:sz w:val="20"/>
                <w:szCs w:val="20"/>
                <w:color w:val="auto"/>
              </w:rPr>
            </w:pPr>
            <w:r>
              <w:rPr>
                <w:rFonts w:ascii="Arial" w:cs="Arial" w:eastAsia="Arial" w:hAnsi="Arial"/>
                <w:sz w:val="18"/>
                <w:szCs w:val="18"/>
                <w:color w:val="auto"/>
                <w:w w:val="91"/>
              </w:rPr>
              <w:t>5.00% to 5.99%</w:t>
            </w:r>
          </w:p>
        </w:tc>
        <w:tc>
          <w:tcPr>
            <w:tcW w:w="60" w:type="dxa"/>
            <w:vAlign w:val="bottom"/>
          </w:tcPr>
          <w:p>
            <w:pPr>
              <w:spacing w:after="0"/>
              <w:rPr>
                <w:sz w:val="16"/>
                <w:szCs w:val="16"/>
                <w:color w:val="auto"/>
              </w:rPr>
            </w:pPr>
          </w:p>
        </w:tc>
        <w:tc>
          <w:tcPr>
            <w:tcW w:w="2480" w:type="dxa"/>
            <w:vAlign w:val="bottom"/>
            <w:gridSpan w:val="2"/>
          </w:tcPr>
          <w:p>
            <w:pPr>
              <w:jc w:val="center"/>
              <w:ind w:right="980"/>
              <w:spacing w:after="0" w:line="189" w:lineRule="exact"/>
              <w:rPr>
                <w:sz w:val="20"/>
                <w:szCs w:val="20"/>
                <w:color w:val="auto"/>
              </w:rPr>
            </w:pPr>
            <w:r>
              <w:rPr>
                <w:rFonts w:ascii="Arial" w:cs="Arial" w:eastAsia="Arial" w:hAnsi="Arial"/>
                <w:sz w:val="18"/>
                <w:szCs w:val="18"/>
                <w:color w:val="auto"/>
                <w:w w:val="89"/>
              </w:rPr>
              <w:t>2021 to 2043</w:t>
            </w:r>
          </w:p>
        </w:tc>
        <w:tc>
          <w:tcPr>
            <w:tcW w:w="6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17,222</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17,804</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860"/>
              <w:spacing w:after="0" w:line="189" w:lineRule="exact"/>
              <w:rPr>
                <w:sz w:val="20"/>
                <w:szCs w:val="20"/>
                <w:color w:val="auto"/>
              </w:rPr>
            </w:pPr>
            <w:r>
              <w:rPr>
                <w:rFonts w:ascii="Arial" w:cs="Arial" w:eastAsia="Arial" w:hAnsi="Arial"/>
                <w:sz w:val="18"/>
                <w:szCs w:val="18"/>
                <w:color w:val="auto"/>
                <w:w w:val="91"/>
              </w:rPr>
              <w:t>6.00% to 6.99%</w:t>
            </w:r>
          </w:p>
        </w:tc>
        <w:tc>
          <w:tcPr>
            <w:tcW w:w="6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jc w:val="center"/>
              <w:ind w:right="980"/>
              <w:spacing w:after="0" w:line="189" w:lineRule="exact"/>
              <w:rPr>
                <w:sz w:val="20"/>
                <w:szCs w:val="20"/>
                <w:color w:val="auto"/>
              </w:rPr>
            </w:pPr>
            <w:r>
              <w:rPr>
                <w:rFonts w:ascii="Arial" w:cs="Arial" w:eastAsia="Arial" w:hAnsi="Arial"/>
                <w:sz w:val="18"/>
                <w:szCs w:val="18"/>
                <w:color w:val="auto"/>
                <w:w w:val="89"/>
              </w:rPr>
              <w:t>2022 to 2036</w:t>
            </w:r>
          </w:p>
        </w:tc>
        <w:tc>
          <w:tcPr>
            <w:tcW w:w="6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33,868</w:t>
            </w: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33,955</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3300" w:type="dxa"/>
            <w:vAlign w:val="bottom"/>
            <w:gridSpan w:val="2"/>
          </w:tcPr>
          <w:p>
            <w:pPr>
              <w:jc w:val="center"/>
              <w:ind w:right="1860"/>
              <w:spacing w:after="0" w:line="189" w:lineRule="exact"/>
              <w:rPr>
                <w:sz w:val="20"/>
                <w:szCs w:val="20"/>
                <w:color w:val="auto"/>
              </w:rPr>
            </w:pPr>
            <w:r>
              <w:rPr>
                <w:rFonts w:ascii="Arial" w:cs="Arial" w:eastAsia="Arial" w:hAnsi="Arial"/>
                <w:sz w:val="18"/>
                <w:szCs w:val="18"/>
                <w:color w:val="auto"/>
                <w:w w:val="91"/>
              </w:rPr>
              <w:t>7.00% to 7.99%</w:t>
            </w:r>
          </w:p>
        </w:tc>
        <w:tc>
          <w:tcPr>
            <w:tcW w:w="60" w:type="dxa"/>
            <w:vAlign w:val="bottom"/>
          </w:tcPr>
          <w:p>
            <w:pPr>
              <w:spacing w:after="0"/>
              <w:rPr>
                <w:sz w:val="16"/>
                <w:szCs w:val="16"/>
                <w:color w:val="auto"/>
              </w:rPr>
            </w:pPr>
          </w:p>
        </w:tc>
        <w:tc>
          <w:tcPr>
            <w:tcW w:w="2480" w:type="dxa"/>
            <w:vAlign w:val="bottom"/>
            <w:gridSpan w:val="2"/>
          </w:tcPr>
          <w:p>
            <w:pPr>
              <w:jc w:val="center"/>
              <w:ind w:right="980"/>
              <w:spacing w:after="0" w:line="189" w:lineRule="exact"/>
              <w:rPr>
                <w:sz w:val="20"/>
                <w:szCs w:val="20"/>
                <w:color w:val="auto"/>
              </w:rPr>
            </w:pPr>
            <w:r>
              <w:rPr>
                <w:rFonts w:ascii="Arial" w:cs="Arial" w:eastAsia="Arial" w:hAnsi="Arial"/>
                <w:sz w:val="18"/>
                <w:szCs w:val="18"/>
                <w:color w:val="auto"/>
                <w:w w:val="89"/>
              </w:rPr>
              <w:t>2022 to 2027</w:t>
            </w:r>
          </w:p>
        </w:tc>
        <w:tc>
          <w:tcPr>
            <w:tcW w:w="6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29,212</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29,890</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860"/>
              <w:spacing w:after="0" w:line="189" w:lineRule="exact"/>
              <w:rPr>
                <w:sz w:val="20"/>
                <w:szCs w:val="20"/>
                <w:color w:val="auto"/>
              </w:rPr>
            </w:pPr>
            <w:r>
              <w:rPr>
                <w:rFonts w:ascii="Arial" w:cs="Arial" w:eastAsia="Arial" w:hAnsi="Arial"/>
                <w:sz w:val="18"/>
                <w:szCs w:val="18"/>
                <w:color w:val="auto"/>
                <w:w w:val="91"/>
              </w:rPr>
              <w:t>8.00% to 8.99%</w:t>
            </w:r>
          </w:p>
        </w:tc>
        <w:tc>
          <w:tcPr>
            <w:tcW w:w="6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jc w:val="center"/>
              <w:ind w:right="980"/>
              <w:spacing w:after="0" w:line="189" w:lineRule="exact"/>
              <w:rPr>
                <w:sz w:val="20"/>
                <w:szCs w:val="20"/>
                <w:color w:val="auto"/>
              </w:rPr>
            </w:pPr>
            <w:r>
              <w:rPr>
                <w:rFonts w:ascii="Arial" w:cs="Arial" w:eastAsia="Arial" w:hAnsi="Arial"/>
                <w:sz w:val="18"/>
                <w:szCs w:val="18"/>
                <w:color w:val="auto"/>
                <w:w w:val="89"/>
              </w:rPr>
              <w:t>2021 to 2025</w:t>
            </w:r>
          </w:p>
        </w:tc>
        <w:tc>
          <w:tcPr>
            <w:tcW w:w="6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2,940</w:t>
            </w: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189"/>
        </w:trPr>
        <w:tc>
          <w:tcPr>
            <w:tcW w:w="124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gridSpan w:val="2"/>
          </w:tcPr>
          <w:p>
            <w:pPr>
              <w:jc w:val="center"/>
              <w:ind w:right="1860"/>
              <w:spacing w:after="0" w:line="189" w:lineRule="exact"/>
              <w:rPr>
                <w:sz w:val="20"/>
                <w:szCs w:val="20"/>
                <w:color w:val="auto"/>
              </w:rPr>
            </w:pPr>
            <w:r>
              <w:rPr>
                <w:rFonts w:ascii="Arial" w:cs="Arial" w:eastAsia="Arial" w:hAnsi="Arial"/>
                <w:sz w:val="18"/>
                <w:szCs w:val="18"/>
                <w:color w:val="auto"/>
                <w:w w:val="91"/>
              </w:rPr>
              <w:t>9.00% to 9.99%</w:t>
            </w:r>
          </w:p>
        </w:tc>
        <w:tc>
          <w:tcPr>
            <w:tcW w:w="6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gridSpan w:val="2"/>
          </w:tcPr>
          <w:p>
            <w:pPr>
              <w:jc w:val="center"/>
              <w:ind w:right="980"/>
              <w:spacing w:after="0" w:line="189" w:lineRule="exact"/>
              <w:rPr>
                <w:sz w:val="20"/>
                <w:szCs w:val="20"/>
                <w:color w:val="auto"/>
              </w:rPr>
            </w:pPr>
            <w:r>
              <w:rPr>
                <w:rFonts w:ascii="Arial" w:cs="Arial" w:eastAsia="Arial" w:hAnsi="Arial"/>
                <w:sz w:val="18"/>
                <w:szCs w:val="18"/>
                <w:color w:val="auto"/>
                <w:w w:val="89"/>
              </w:rPr>
              <w:t>2021 to 2026</w:t>
            </w:r>
          </w:p>
        </w:tc>
        <w:tc>
          <w:tcPr>
            <w:tcW w:w="6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11,800</w:t>
            </w:r>
          </w:p>
        </w:tc>
        <w:tc>
          <w:tcPr>
            <w:tcW w:w="2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16,900</w:t>
            </w: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3,091,789</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3,014,280</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40" w:type="dxa"/>
            <w:vAlign w:val="bottom"/>
            <w:gridSpan w:val="2"/>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8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auto"/>
              </w:rPr>
              <w:t>Notes payable to bank under revolving credit agreement, variable rate, due 2023</w:t>
            </w:r>
          </w:p>
        </w:tc>
        <w:tc>
          <w:tcPr>
            <w:tcW w:w="6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15,000</w:t>
            </w: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line="189" w:lineRule="exact"/>
              <w:rPr>
                <w:sz w:val="20"/>
                <w:szCs w:val="20"/>
                <w:color w:val="auto"/>
              </w:rPr>
            </w:pPr>
            <w:r>
              <w:rPr>
                <w:rFonts w:ascii="Arial" w:cs="Arial" w:eastAsia="Arial" w:hAnsi="Arial"/>
                <w:sz w:val="18"/>
                <w:szCs w:val="18"/>
                <w:color w:val="auto"/>
              </w:rPr>
              <w:t>Unsecured notes payable:</w:t>
            </w: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Amortizing notes at 3.00% due 2022</w:t>
            </w:r>
          </w:p>
        </w:tc>
        <w:tc>
          <w:tcPr>
            <w:tcW w:w="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30,590</w:t>
            </w: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60,502</w:t>
            </w:r>
          </w:p>
        </w:tc>
        <w:tc>
          <w:tcPr>
            <w:tcW w:w="0" w:type="dxa"/>
            <w:vAlign w:val="bottom"/>
          </w:tcPr>
          <w:p>
            <w:pPr>
              <w:spacing w:after="0"/>
              <w:rPr>
                <w:sz w:val="1"/>
                <w:szCs w:val="1"/>
                <w:color w:val="auto"/>
              </w:rPr>
            </w:pPr>
          </w:p>
        </w:tc>
      </w:tr>
      <w:tr>
        <w:trPr>
          <w:trHeight w:val="189"/>
        </w:trPr>
        <w:tc>
          <w:tcPr>
            <w:tcW w:w="454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Notes at 2.40% due 2031</w:t>
            </w: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Notes at 2.704% due 2030</w:t>
            </w:r>
          </w:p>
        </w:tc>
        <w:tc>
          <w:tcPr>
            <w:tcW w:w="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189"/>
        </w:trPr>
        <w:tc>
          <w:tcPr>
            <w:tcW w:w="4540" w:type="dxa"/>
            <w:vAlign w:val="bottom"/>
            <w:gridSpan w:val="3"/>
          </w:tcPr>
          <w:p>
            <w:pPr>
              <w:ind w:left="120"/>
              <w:spacing w:after="0" w:line="189" w:lineRule="exact"/>
              <w:rPr>
                <w:sz w:val="20"/>
                <w:szCs w:val="20"/>
                <w:color w:val="auto"/>
              </w:rPr>
            </w:pPr>
            <w:r>
              <w:rPr>
                <w:rFonts w:ascii="Arial" w:cs="Arial" w:eastAsia="Arial" w:hAnsi="Arial"/>
                <w:sz w:val="18"/>
                <w:szCs w:val="18"/>
                <w:color w:val="auto"/>
                <w:w w:val="92"/>
              </w:rPr>
              <w:t>Notes ranging from 3.01% to 3.59% due 2029 through 2050</w:t>
            </w: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1,125,000</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1,125,000</w:t>
            </w:r>
          </w:p>
        </w:tc>
        <w:tc>
          <w:tcPr>
            <w:tcW w:w="0" w:type="dxa"/>
            <w:vAlign w:val="bottom"/>
          </w:tcPr>
          <w:p>
            <w:pPr>
              <w:spacing w:after="0"/>
              <w:rPr>
                <w:sz w:val="1"/>
                <w:szCs w:val="1"/>
                <w:color w:val="auto"/>
              </w:rPr>
            </w:pPr>
          </w:p>
        </w:tc>
      </w:tr>
      <w:tr>
        <w:trPr>
          <w:trHeight w:val="189"/>
        </w:trPr>
        <w:tc>
          <w:tcPr>
            <w:tcW w:w="454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Notes at 4.28%, due 2049</w:t>
            </w:r>
          </w:p>
        </w:tc>
        <w:tc>
          <w:tcPr>
            <w:tcW w:w="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gridSpan w:val="3"/>
          </w:tcPr>
          <w:p>
            <w:pPr>
              <w:ind w:left="120"/>
              <w:spacing w:after="0" w:line="189" w:lineRule="exact"/>
              <w:rPr>
                <w:sz w:val="20"/>
                <w:szCs w:val="20"/>
                <w:color w:val="auto"/>
              </w:rPr>
            </w:pPr>
            <w:r>
              <w:rPr>
                <w:rFonts w:ascii="Arial" w:cs="Arial" w:eastAsia="Arial" w:hAnsi="Arial"/>
                <w:sz w:val="18"/>
                <w:szCs w:val="18"/>
                <w:color w:val="auto"/>
                <w:w w:val="91"/>
              </w:rPr>
              <w:t>Notes ranging from 5.64% to 5.95%, due 2021 through 2034</w:t>
            </w:r>
          </w:p>
        </w:tc>
        <w:tc>
          <w:tcPr>
            <w:tcW w:w="6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40,000</w:t>
            </w:r>
          </w:p>
        </w:tc>
        <w:tc>
          <w:tcPr>
            <w:tcW w:w="2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45,461</w:t>
            </w: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5,702,379</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5,630,243</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Current portion of long-term debt</w:t>
            </w:r>
          </w:p>
        </w:tc>
        <w:tc>
          <w:tcPr>
            <w:tcW w:w="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63,418</w:t>
            </w:r>
          </w:p>
        </w:tc>
        <w:tc>
          <w:tcPr>
            <w:tcW w:w="2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84,353</w:t>
            </w:r>
          </w:p>
        </w:tc>
        <w:tc>
          <w:tcPr>
            <w:tcW w:w="0" w:type="dxa"/>
            <w:vAlign w:val="bottom"/>
          </w:tcPr>
          <w:p>
            <w:pPr>
              <w:spacing w:after="0"/>
              <w:rPr>
                <w:sz w:val="1"/>
                <w:szCs w:val="1"/>
                <w:color w:val="auto"/>
              </w:rPr>
            </w:pPr>
          </w:p>
        </w:tc>
      </w:tr>
      <w:tr>
        <w:trPr>
          <w:trHeight w:val="183"/>
        </w:trPr>
        <w:tc>
          <w:tcPr>
            <w:tcW w:w="4540" w:type="dxa"/>
            <w:vAlign w:val="bottom"/>
            <w:gridSpan w:val="3"/>
          </w:tcPr>
          <w:p>
            <w:pPr>
              <w:spacing w:after="0" w:line="182" w:lineRule="exact"/>
              <w:rPr>
                <w:sz w:val="20"/>
                <w:szCs w:val="20"/>
                <w:color w:val="auto"/>
              </w:rPr>
            </w:pPr>
            <w:r>
              <w:rPr>
                <w:rFonts w:ascii="Arial" w:cs="Arial" w:eastAsia="Arial" w:hAnsi="Arial"/>
                <w:sz w:val="18"/>
                <w:szCs w:val="18"/>
                <w:color w:val="auto"/>
              </w:rPr>
              <w:t>Long-term debt, excluding current portion</w:t>
            </w: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jc w:val="right"/>
              <w:spacing w:after="0" w:line="182" w:lineRule="exact"/>
              <w:rPr>
                <w:sz w:val="20"/>
                <w:szCs w:val="20"/>
                <w:color w:val="auto"/>
              </w:rPr>
            </w:pPr>
            <w:r>
              <w:rPr>
                <w:rFonts w:ascii="Arial" w:cs="Arial" w:eastAsia="Arial" w:hAnsi="Arial"/>
                <w:sz w:val="18"/>
                <w:szCs w:val="18"/>
                <w:color w:val="auto"/>
              </w:rPr>
              <w:t>5,638,961</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5,545,890</w:t>
            </w:r>
          </w:p>
        </w:tc>
        <w:tc>
          <w:tcPr>
            <w:tcW w:w="0" w:type="dxa"/>
            <w:vAlign w:val="bottom"/>
          </w:tcPr>
          <w:p>
            <w:pPr>
              <w:spacing w:after="0"/>
              <w:rPr>
                <w:sz w:val="1"/>
                <w:szCs w:val="1"/>
                <w:color w:val="auto"/>
              </w:rPr>
            </w:pPr>
          </w:p>
        </w:tc>
      </w:tr>
      <w:tr>
        <w:trPr>
          <w:trHeight w:val="189"/>
        </w:trPr>
        <w:tc>
          <w:tcPr>
            <w:tcW w:w="45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Less: debt issuance costs</w:t>
            </w:r>
          </w:p>
        </w:tc>
        <w:tc>
          <w:tcPr>
            <w:tcW w:w="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40,247</w:t>
            </w:r>
          </w:p>
        </w:tc>
        <w:tc>
          <w:tcPr>
            <w:tcW w:w="2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38,146</w:t>
            </w:r>
          </w:p>
        </w:tc>
        <w:tc>
          <w:tcPr>
            <w:tcW w:w="0" w:type="dxa"/>
            <w:vAlign w:val="bottom"/>
          </w:tcPr>
          <w:p>
            <w:pPr>
              <w:spacing w:after="0"/>
              <w:rPr>
                <w:sz w:val="1"/>
                <w:szCs w:val="1"/>
                <w:color w:val="auto"/>
              </w:rPr>
            </w:pPr>
          </w:p>
        </w:tc>
      </w:tr>
      <w:tr>
        <w:trPr>
          <w:trHeight w:val="183"/>
        </w:trPr>
        <w:tc>
          <w:tcPr>
            <w:tcW w:w="7080" w:type="dxa"/>
            <w:vAlign w:val="bottom"/>
            <w:tcBorders>
              <w:bottom w:val="single" w:sz="8" w:color="CCEEFF"/>
            </w:tcBorders>
            <w:gridSpan w:val="6"/>
          </w:tcPr>
          <w:p>
            <w:pPr>
              <w:spacing w:after="0" w:line="182" w:lineRule="exact"/>
              <w:rPr>
                <w:sz w:val="20"/>
                <w:szCs w:val="20"/>
                <w:color w:val="auto"/>
              </w:rPr>
            </w:pPr>
            <w:r>
              <w:rPr>
                <w:rFonts w:ascii="Arial" w:cs="Arial" w:eastAsia="Arial" w:hAnsi="Arial"/>
                <w:sz w:val="18"/>
                <w:szCs w:val="18"/>
                <w:color w:val="auto"/>
              </w:rPr>
              <w:t>Long-term debt, excluding current portion, net of debt issuance costs</w:t>
            </w:r>
          </w:p>
        </w:tc>
        <w:tc>
          <w:tcPr>
            <w:tcW w:w="6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5,598,714</w:t>
            </w: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5,507,744</w:t>
            </w: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40" w:type="dxa"/>
            <w:vAlign w:val="bottom"/>
            <w:gridSpan w:val="3"/>
          </w:tcPr>
          <w:p>
            <w:pPr>
              <w:spacing w:after="0" w:line="182" w:lineRule="exact"/>
              <w:rPr>
                <w:sz w:val="20"/>
                <w:szCs w:val="20"/>
                <w:color w:val="auto"/>
              </w:rPr>
            </w:pPr>
            <w:r>
              <w:rPr>
                <w:rFonts w:ascii="Arial" w:cs="Arial" w:eastAsia="Arial" w:hAnsi="Arial"/>
                <w:sz w:val="18"/>
                <w:szCs w:val="18"/>
                <w:color w:val="auto"/>
              </w:rPr>
              <w:t>Total capitalization</w:t>
            </w: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Borders>
              <w:bottom w:val="single" w:sz="8" w:color="auto"/>
            </w:tcBorders>
          </w:tcPr>
          <w:p>
            <w:pPr>
              <w:jc w:val="right"/>
              <w:ind w:right="47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10,726,576</w:t>
            </w:r>
          </w:p>
        </w:tc>
        <w:tc>
          <w:tcPr>
            <w:tcW w:w="240" w:type="dxa"/>
            <w:vAlign w:val="bottom"/>
          </w:tcPr>
          <w:p>
            <w:pPr>
              <w:spacing w:after="0"/>
              <w:rPr>
                <w:sz w:val="15"/>
                <w:szCs w:val="15"/>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10,191,621</w:t>
            </w:r>
          </w:p>
        </w:tc>
        <w:tc>
          <w:tcPr>
            <w:tcW w:w="0" w:type="dxa"/>
            <w:vAlign w:val="bottom"/>
          </w:tcPr>
          <w:p>
            <w:pPr>
              <w:spacing w:after="0"/>
              <w:rPr>
                <w:sz w:val="1"/>
                <w:szCs w:val="1"/>
                <w:color w:val="auto"/>
              </w:rPr>
            </w:pPr>
          </w:p>
        </w:tc>
      </w:tr>
      <w:tr>
        <w:trPr>
          <w:trHeight w:val="20"/>
        </w:trPr>
        <w:tc>
          <w:tcPr>
            <w:tcW w:w="7080" w:type="dxa"/>
            <w:vAlign w:val="bottom"/>
            <w:gridSpan w:val="6"/>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80" w:type="dxa"/>
            <w:vAlign w:val="bottom"/>
            <w:gridSpan w:val="6"/>
            <w:vMerge w:val="continue"/>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7" w:name="page8"/>
    <w:bookmarkEnd w:id="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jc w:val="center"/>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2"/>
              </w:rPr>
              <w:t>Common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3"/>
              </w:rPr>
              <w:t>Retained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88"/>
              </w:rPr>
              <w:t>Treasury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5"/>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Par Value</w:t>
            </w:r>
          </w:p>
        </w:tc>
        <w:tc>
          <w:tcPr>
            <w:tcW w:w="1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Earnings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Stock</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4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2020</w:t>
            </w: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124,285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3,379,057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1,261,862</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(81,327)</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4,683,877</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183,689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183,689</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Dividends declared ($0.2507 per share)</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(61,520)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(61,520)</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(98,904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49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4,112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4,161</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Repurchase of stock (76,105 shares)</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(3,262)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(3,262)</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Equity compensation plan (192,407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97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(97)</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Exercise of stock options (20,201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2,631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(174)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2,457</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55"/>
        </w:trPr>
        <w:tc>
          <w:tcPr>
            <w:tcW w:w="6420" w:type="dxa"/>
            <w:vAlign w:val="bottom"/>
          </w:tcPr>
          <w:p>
            <w:pPr>
              <w:spacing w:after="0" w:line="155" w:lineRule="exact"/>
              <w:rPr>
                <w:sz w:val="20"/>
                <w:szCs w:val="20"/>
                <w:color w:val="auto"/>
              </w:rPr>
            </w:pPr>
            <w:r>
              <w:rPr>
                <w:rFonts w:ascii="Arial" w:cs="Arial" w:eastAsia="Arial" w:hAnsi="Arial"/>
                <w:sz w:val="16"/>
                <w:szCs w:val="16"/>
                <w:color w:val="auto"/>
              </w:rPr>
              <w:t>Balance at March 31, 2021</w:t>
            </w:r>
          </w:p>
        </w:tc>
        <w:tc>
          <w:tcPr>
            <w:tcW w:w="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124,441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3,386,376</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1,383,857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(84,333)</w:t>
            </w:r>
          </w:p>
        </w:tc>
        <w:tc>
          <w:tcPr>
            <w:tcW w:w="60" w:type="dxa"/>
            <w:vAlign w:val="bottom"/>
          </w:tcPr>
          <w:p>
            <w:pPr>
              <w:spacing w:after="0"/>
              <w:rPr>
                <w:sz w:val="13"/>
                <w:szCs w:val="13"/>
                <w:color w:val="auto"/>
              </w:rPr>
            </w:pPr>
          </w:p>
        </w:tc>
        <w:tc>
          <w:tcPr>
            <w:tcW w:w="200" w:type="dxa"/>
            <w:vAlign w:val="bottom"/>
            <w:tcBorders>
              <w:top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4,810,341</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80,914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80,914</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Dividends declared ($0.2507 per share)</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(61,584)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(61,584)</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(90,654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4,049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4,095</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Repurchase of stock (364 shares)</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(17)</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Equity compensation plan (4,874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Exercise of stock options (22,786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11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781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(146)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(148)</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252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56"/>
        </w:trPr>
        <w:tc>
          <w:tcPr>
            <w:tcW w:w="64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June 30, 2021</w:t>
            </w: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124,500</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3,393,372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1,403,041</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(84,098)</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4,836,815</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50,503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50,503</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Dividends declared ($0.2682 per share)</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(67,758)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(67,758)</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Issuance of common stock from stock purchase contracts (127,749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64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(64)</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(92,993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4,295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4,341</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Issuance of common stock from forward equity sale agreement (6,700,000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3,350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296,389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299,739</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Repurchase of stock (176 shares)</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Equity compensation plan (5,337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(2)</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Exercise of stock options (54,672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1,759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2,328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(155)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252</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155"/>
        </w:trPr>
        <w:tc>
          <w:tcPr>
            <w:tcW w:w="6420" w:type="dxa"/>
            <w:vAlign w:val="bottom"/>
          </w:tcPr>
          <w:p>
            <w:pPr>
              <w:spacing w:after="0" w:line="155" w:lineRule="exact"/>
              <w:rPr>
                <w:sz w:val="20"/>
                <w:szCs w:val="20"/>
                <w:color w:val="auto"/>
              </w:rPr>
            </w:pPr>
            <w:r>
              <w:rPr>
                <w:rFonts w:ascii="Arial" w:cs="Arial" w:eastAsia="Arial" w:hAnsi="Arial"/>
                <w:sz w:val="16"/>
                <w:szCs w:val="16"/>
                <w:color w:val="auto"/>
              </w:rPr>
              <w:t>Balance at September 30, 2021</w:t>
            </w: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127,990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3,698,095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1,385,631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(83,854)</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5,127,862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8" w:name="page9"/>
    <w:bookmarkEnd w:id="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jc w:val="center"/>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2"/>
              </w:rPr>
              <w:t>Common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3"/>
              </w:rPr>
              <w:t>Retained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88"/>
              </w:rPr>
              <w:t>Treasury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1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5"/>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Par Value</w:t>
            </w:r>
          </w:p>
        </w:tc>
        <w:tc>
          <w:tcPr>
            <w:tcW w:w="14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Earnings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Stock</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4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2019</w:t>
            </w: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111,935</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2,636,555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1,210,072</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(77,702)</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3,880,860</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51,781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51,781</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Dividends declared ($0.2343 per share)</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(52,205)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(52,205)</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Issuance of common stock from private placement (21,661,095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10,831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719,304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730,135</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common stock from stock purchase contracts (2,335,654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1,168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(1,168)</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(86,969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43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4,019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Repurchase of stock (81,722 shares)</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(4,339)</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(4,339)</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Equity compensation plan (223,495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112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(112)</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Exercise of stock options (56,106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2,072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(147)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1,925</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56"/>
        </w:trPr>
        <w:tc>
          <w:tcPr>
            <w:tcW w:w="6420" w:type="dxa"/>
            <w:vAlign w:val="bottom"/>
          </w:tcPr>
          <w:p>
            <w:pPr>
              <w:spacing w:after="0" w:line="155" w:lineRule="exact"/>
              <w:rPr>
                <w:sz w:val="20"/>
                <w:szCs w:val="20"/>
                <w:color w:val="auto"/>
              </w:rPr>
            </w:pPr>
            <w:r>
              <w:rPr>
                <w:rFonts w:ascii="Arial" w:cs="Arial" w:eastAsia="Arial" w:hAnsi="Arial"/>
                <w:sz w:val="16"/>
                <w:szCs w:val="16"/>
                <w:color w:val="auto"/>
              </w:rPr>
              <w:t>Balance at March 31, 2020</w:t>
            </w:r>
          </w:p>
        </w:tc>
        <w:tc>
          <w:tcPr>
            <w:tcW w:w="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124,117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3,361,586</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1,209,501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(82,041)</w:t>
            </w:r>
          </w:p>
        </w:tc>
        <w:tc>
          <w:tcPr>
            <w:tcW w:w="60" w:type="dxa"/>
            <w:vAlign w:val="bottom"/>
          </w:tcPr>
          <w:p>
            <w:pPr>
              <w:spacing w:after="0"/>
              <w:rPr>
                <w:sz w:val="13"/>
                <w:szCs w:val="13"/>
                <w:color w:val="auto"/>
              </w:rPr>
            </w:pPr>
          </w:p>
        </w:tc>
        <w:tc>
          <w:tcPr>
            <w:tcW w:w="200" w:type="dxa"/>
            <w:vAlign w:val="bottom"/>
            <w:tcBorders>
              <w:top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4,613,163</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74,629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74,629</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Dividends declared ($0.2343 per share)</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(57,414)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(57,414)</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Expenses incurred for private placement issuance of common stock</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(834)</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(100,148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50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3,949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3,999</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Repurchase of stock (100 shares)</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Equity compensation plan (4,594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(2)</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Exercise of stock options (3,411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1,918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(94)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91</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56"/>
        </w:trPr>
        <w:tc>
          <w:tcPr>
            <w:tcW w:w="6420" w:type="dxa"/>
            <w:vAlign w:val="bottom"/>
          </w:tcPr>
          <w:p>
            <w:pPr>
              <w:spacing w:after="0" w:line="155" w:lineRule="exact"/>
              <w:rPr>
                <w:sz w:val="20"/>
                <w:szCs w:val="20"/>
                <w:color w:val="auto"/>
              </w:rPr>
            </w:pPr>
            <w:r>
              <w:rPr>
                <w:rFonts w:ascii="Arial" w:cs="Arial" w:eastAsia="Arial" w:hAnsi="Arial"/>
                <w:sz w:val="16"/>
                <w:szCs w:val="16"/>
                <w:color w:val="auto"/>
              </w:rPr>
              <w:t>Balance at June 30, 2020</w:t>
            </w:r>
          </w:p>
        </w:tc>
        <w:tc>
          <w:tcPr>
            <w:tcW w:w="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124,171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3,366,695</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1,226,622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(81,954)</w:t>
            </w:r>
          </w:p>
        </w:tc>
        <w:tc>
          <w:tcPr>
            <w:tcW w:w="60" w:type="dxa"/>
            <w:vAlign w:val="bottom"/>
          </w:tcPr>
          <w:p>
            <w:pPr>
              <w:spacing w:after="0"/>
              <w:rPr>
                <w:sz w:val="13"/>
                <w:szCs w:val="13"/>
                <w:color w:val="auto"/>
              </w:rPr>
            </w:pPr>
          </w:p>
        </w:tc>
        <w:tc>
          <w:tcPr>
            <w:tcW w:w="200" w:type="dxa"/>
            <w:vAlign w:val="bottom"/>
            <w:tcBorders>
              <w:top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4,635,534</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55,732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55,732</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Dividends declared ($0.2507 per share)</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(61,460)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(61,460)</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common stock under dividend reinvestment plan (104,637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4,261</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Repurchase of stock (44 shares)</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(2)</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Equity compensation plan (6,088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Exercise of stock options (4,270 shares)</w:t>
            </w:r>
          </w:p>
        </w:tc>
        <w:tc>
          <w:tcPr>
            <w:tcW w:w="1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146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62"/>
        </w:trPr>
        <w:tc>
          <w:tcPr>
            <w:tcW w:w="64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(104)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1,978</w:t>
            </w:r>
          </w:p>
        </w:tc>
        <w:tc>
          <w:tcPr>
            <w:tcW w:w="0" w:type="dxa"/>
            <w:vAlign w:val="bottom"/>
          </w:tcPr>
          <w:p>
            <w:pPr>
              <w:spacing w:after="0"/>
              <w:rPr>
                <w:sz w:val="1"/>
                <w:szCs w:val="1"/>
                <w:color w:val="auto"/>
              </w:rPr>
            </w:pPr>
          </w:p>
        </w:tc>
      </w:tr>
      <w:tr>
        <w:trPr>
          <w:trHeight w:val="162"/>
        </w:trPr>
        <w:tc>
          <w:tcPr>
            <w:tcW w:w="6420" w:type="dxa"/>
            <w:vAlign w:val="bottom"/>
          </w:tcPr>
          <w:p>
            <w:pPr>
              <w:spacing w:after="0" w:line="162" w:lineRule="exact"/>
              <w:rPr>
                <w:sz w:val="20"/>
                <w:szCs w:val="20"/>
                <w:color w:val="auto"/>
              </w:rPr>
            </w:pPr>
            <w:r>
              <w:rPr>
                <w:rFonts w:ascii="Arial" w:cs="Arial" w:eastAsia="Arial" w:hAnsi="Arial"/>
                <w:sz w:val="16"/>
                <w:szCs w:val="16"/>
                <w:color w:val="auto"/>
              </w:rPr>
              <w:t>Other</w:t>
            </w:r>
          </w:p>
        </w:tc>
        <w:tc>
          <w:tcPr>
            <w:tcW w:w="100" w:type="dxa"/>
            <w:vAlign w:val="bottom"/>
          </w:tcPr>
          <w:p>
            <w:pPr>
              <w:spacing w:after="0"/>
              <w:rPr>
                <w:sz w:val="14"/>
                <w:szCs w:val="14"/>
                <w:color w:val="auto"/>
              </w:rPr>
            </w:pPr>
          </w:p>
        </w:tc>
        <w:tc>
          <w:tcPr>
            <w:tcW w:w="7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(753)</w:t>
            </w:r>
          </w:p>
        </w:tc>
        <w:tc>
          <w:tcPr>
            <w:tcW w:w="14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315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156"/>
        </w:trPr>
        <w:tc>
          <w:tcPr>
            <w:tcW w:w="64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September 30, 2020</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124,228</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3,372,376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1,220,790</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(81,641)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4,635,753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9" w:name="page10"/>
    <w:bookmarkEnd w:id="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75"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CONSOLIDATED STATEMENTS OF CASH FLOW</w:t>
      </w:r>
    </w:p>
    <w:p>
      <w:pPr>
        <w:ind w:left="4540"/>
        <w:spacing w:after="0" w:line="187" w:lineRule="auto"/>
        <w:rPr>
          <w:sz w:val="20"/>
          <w:szCs w:val="20"/>
          <w:color w:val="auto"/>
        </w:rPr>
      </w:pPr>
      <w:r>
        <w:rPr>
          <w:rFonts w:ascii="Arial" w:cs="Arial" w:eastAsia="Arial" w:hAnsi="Arial"/>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(UNAUDITED)</w:t>
      </w:r>
    </w:p>
    <w:p>
      <w:pPr>
        <w:spacing w:after="0" w:line="219" w:lineRule="exact"/>
        <w:rPr>
          <w:sz w:val="20"/>
          <w:szCs w:val="20"/>
          <w:color w:val="auto"/>
        </w:rPr>
      </w:pPr>
    </w:p>
    <w:p>
      <w:pPr>
        <w:jc w:val="center"/>
        <w:ind w:left="8500"/>
        <w:spacing w:after="0"/>
        <w:rPr>
          <w:sz w:val="20"/>
          <w:szCs w:val="20"/>
          <w:color w:val="auto"/>
        </w:rPr>
      </w:pPr>
      <w:r>
        <w:rPr>
          <w:rFonts w:ascii="Arial" w:cs="Arial" w:eastAsia="Arial" w:hAnsi="Arial"/>
          <w:sz w:val="16"/>
          <w:szCs w:val="16"/>
          <w:color w:val="auto"/>
        </w:rPr>
        <w:t>Nine Months Ended</w:t>
      </w:r>
    </w:p>
    <w:p>
      <w:pPr>
        <w:jc w:val="center"/>
        <w:ind w:left="8500"/>
        <w:spacing w:after="0" w:line="223" w:lineRule="auto"/>
        <w:rPr>
          <w:sz w:val="20"/>
          <w:szCs w:val="20"/>
          <w:color w:val="auto"/>
        </w:rPr>
      </w:pPr>
      <w:r>
        <w:rPr>
          <w:rFonts w:ascii="Arial" w:cs="Arial" w:eastAsia="Arial" w:hAnsi="Arial"/>
          <w:sz w:val="16"/>
          <w:szCs w:val="16"/>
          <w:color w:val="auto"/>
        </w:rPr>
        <w:t>September 30,</w:t>
      </w:r>
    </w:p>
    <w:tbl>
      <w:tblPr>
        <w:tblLayout w:type="fixed"/>
        <w:tblInd w:w="0" w:type="dxa"/>
        <w:tblCellMar>
          <w:top w:w="0" w:type="dxa"/>
          <w:left w:w="0" w:type="dxa"/>
          <w:bottom w:w="0" w:type="dxa"/>
          <w:right w:w="0" w:type="dxa"/>
        </w:tblCellMar>
      </w:tblPr>
      <w:tr>
        <w:trPr>
          <w:trHeight w:val="156"/>
        </w:trPr>
        <w:tc>
          <w:tcPr>
            <w:tcW w:w="828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6"/>
                <w:szCs w:val="16"/>
                <w:color w:val="auto"/>
              </w:rPr>
              <w:t>2021</w:t>
            </w: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55"/>
        </w:trPr>
        <w:tc>
          <w:tcPr>
            <w:tcW w:w="8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income</w:t>
            </w:r>
          </w:p>
        </w:tc>
        <w:tc>
          <w:tcPr>
            <w:tcW w:w="520" w:type="dxa"/>
            <w:vAlign w:val="bottom"/>
            <w:gridSpan w:val="2"/>
            <w:shd w:val="clear" w:color="auto" w:fill="CCEEFF"/>
          </w:tcPr>
          <w:p>
            <w:pPr>
              <w:jc w:val="right"/>
              <w:ind w:right="124"/>
              <w:spacing w:after="0" w:line="162"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315,106</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182,142</w:t>
            </w:r>
          </w:p>
        </w:tc>
        <w:tc>
          <w:tcPr>
            <w:tcW w:w="0" w:type="dxa"/>
            <w:vAlign w:val="bottom"/>
          </w:tcPr>
          <w:p>
            <w:pPr>
              <w:spacing w:after="0"/>
              <w:rPr>
                <w:sz w:val="1"/>
                <w:szCs w:val="1"/>
                <w:color w:val="auto"/>
              </w:rPr>
            </w:pPr>
          </w:p>
        </w:tc>
      </w:tr>
      <w:tr>
        <w:trPr>
          <w:trHeight w:val="162"/>
        </w:trPr>
        <w:tc>
          <w:tcPr>
            <w:tcW w:w="8280" w:type="dxa"/>
            <w:vAlign w:val="bottom"/>
          </w:tcPr>
          <w:p>
            <w:pPr>
              <w:spacing w:after="0" w:line="162" w:lineRule="exact"/>
              <w:rPr>
                <w:sz w:val="20"/>
                <w:szCs w:val="20"/>
                <w:color w:val="auto"/>
              </w:rPr>
            </w:pPr>
            <w:r>
              <w:rPr>
                <w:rFonts w:ascii="Arial" w:cs="Arial" w:eastAsia="Arial" w:hAnsi="Arial"/>
                <w:sz w:val="16"/>
                <w:szCs w:val="16"/>
                <w:color w:val="auto"/>
              </w:rPr>
              <w:t>Adjustments to reconcile net income to net cash flows from operating activities: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221,623</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186,078</w:t>
            </w:r>
          </w:p>
        </w:tc>
        <w:tc>
          <w:tcPr>
            <w:tcW w:w="0" w:type="dxa"/>
            <w:vAlign w:val="bottom"/>
          </w:tcPr>
          <w:p>
            <w:pPr>
              <w:spacing w:after="0"/>
              <w:rPr>
                <w:sz w:val="1"/>
                <w:szCs w:val="1"/>
                <w:color w:val="auto"/>
              </w:rPr>
            </w:pPr>
          </w:p>
        </w:tc>
      </w:tr>
      <w:tr>
        <w:trPr>
          <w:trHeight w:val="162"/>
        </w:trPr>
        <w:tc>
          <w:tcPr>
            <w:tcW w:w="8280" w:type="dxa"/>
            <w:vAlign w:val="bottom"/>
          </w:tcPr>
          <w:p>
            <w:pPr>
              <w:ind w:left="220"/>
              <w:spacing w:after="0" w:line="162" w:lineRule="exact"/>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12,645</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21,220</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23,598</w:t>
            </w:r>
          </w:p>
        </w:tc>
        <w:tc>
          <w:tcPr>
            <w:tcW w:w="0" w:type="dxa"/>
            <w:vAlign w:val="bottom"/>
          </w:tcPr>
          <w:p>
            <w:pPr>
              <w:spacing w:after="0"/>
              <w:rPr>
                <w:sz w:val="1"/>
                <w:szCs w:val="1"/>
                <w:color w:val="auto"/>
              </w:rPr>
            </w:pPr>
          </w:p>
        </w:tc>
      </w:tr>
      <w:tr>
        <w:trPr>
          <w:trHeight w:val="162"/>
        </w:trPr>
        <w:tc>
          <w:tcPr>
            <w:tcW w:w="8280" w:type="dxa"/>
            <w:vAlign w:val="bottom"/>
          </w:tcPr>
          <w:p>
            <w:pPr>
              <w:ind w:left="220"/>
              <w:spacing w:after="0" w:line="162" w:lineRule="exact"/>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7,343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5,842</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Gain on sale of utility systems and other assets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(1,208)</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162"/>
        </w:trPr>
        <w:tc>
          <w:tcPr>
            <w:tcW w:w="8280" w:type="dxa"/>
            <w:vAlign w:val="bottom"/>
          </w:tcPr>
          <w:p>
            <w:pPr>
              <w:ind w:left="220"/>
              <w:spacing w:after="0" w:line="162" w:lineRule="exact"/>
              <w:rPr>
                <w:sz w:val="20"/>
                <w:szCs w:val="20"/>
                <w:color w:val="auto"/>
              </w:rPr>
            </w:pPr>
            <w:r>
              <w:rPr>
                <w:rFonts w:ascii="Arial" w:cs="Arial" w:eastAsia="Arial" w:hAnsi="Arial"/>
                <w:sz w:val="16"/>
                <w:szCs w:val="16"/>
                <w:color w:val="auto"/>
              </w:rPr>
              <w:t>Net change in receivables, inventory and prepayments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(20,488)</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24,886</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16,181</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12,431</w:t>
            </w:r>
          </w:p>
        </w:tc>
        <w:tc>
          <w:tcPr>
            <w:tcW w:w="0" w:type="dxa"/>
            <w:vAlign w:val="bottom"/>
          </w:tcPr>
          <w:p>
            <w:pPr>
              <w:spacing w:after="0"/>
              <w:rPr>
                <w:sz w:val="1"/>
                <w:szCs w:val="1"/>
                <w:color w:val="auto"/>
              </w:rPr>
            </w:pPr>
          </w:p>
        </w:tc>
      </w:tr>
      <w:tr>
        <w:trPr>
          <w:trHeight w:val="162"/>
        </w:trPr>
        <w:tc>
          <w:tcPr>
            <w:tcW w:w="8280" w:type="dxa"/>
            <w:vAlign w:val="bottom"/>
          </w:tcPr>
          <w:p>
            <w:pPr>
              <w:ind w:left="220"/>
              <w:spacing w:after="0" w:line="162" w:lineRule="exact"/>
              <w:rPr>
                <w:sz w:val="20"/>
                <w:szCs w:val="20"/>
                <w:color w:val="auto"/>
              </w:rPr>
            </w:pPr>
            <w:r>
              <w:rPr>
                <w:rFonts w:ascii="Arial" w:cs="Arial" w:eastAsia="Arial" w:hAnsi="Arial"/>
                <w:sz w:val="16"/>
                <w:szCs w:val="16"/>
                <w:color w:val="auto"/>
              </w:rPr>
              <w:t>Pension and other postretirement benefits contributions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(15,109)</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(16,100)</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4,539</w:t>
            </w:r>
          </w:p>
        </w:tc>
        <w:tc>
          <w:tcPr>
            <w:tcW w:w="1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156"/>
        </w:trPr>
        <w:tc>
          <w:tcPr>
            <w:tcW w:w="82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flows from operating activities</w:t>
            </w:r>
          </w:p>
        </w:tc>
        <w:tc>
          <w:tcPr>
            <w:tcW w:w="2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561,852</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420,655</w:t>
            </w:r>
          </w:p>
        </w:tc>
        <w:tc>
          <w:tcPr>
            <w:tcW w:w="0" w:type="dxa"/>
            <w:vAlign w:val="bottom"/>
          </w:tcPr>
          <w:p>
            <w:pPr>
              <w:spacing w:after="0"/>
              <w:rPr>
                <w:sz w:val="1"/>
                <w:szCs w:val="1"/>
                <w:color w:val="auto"/>
              </w:rPr>
            </w:pPr>
          </w:p>
        </w:tc>
      </w:tr>
      <w:tr>
        <w:trPr>
          <w:trHeight w:val="156"/>
        </w:trPr>
        <w:tc>
          <w:tcPr>
            <w:tcW w:w="82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280" w:type="dxa"/>
            <w:vAlign w:val="bottom"/>
          </w:tcPr>
          <w:p>
            <w:pPr>
              <w:ind w:left="120"/>
              <w:spacing w:after="0" w:line="138" w:lineRule="exact"/>
              <w:rPr>
                <w:sz w:val="20"/>
                <w:szCs w:val="20"/>
                <w:color w:val="auto"/>
              </w:rPr>
            </w:pPr>
            <w:r>
              <w:rPr>
                <w:rFonts w:ascii="Arial" w:cs="Arial" w:eastAsia="Arial" w:hAnsi="Arial"/>
                <w:sz w:val="16"/>
                <w:szCs w:val="16"/>
                <w:color w:val="auto"/>
                <w:w w:val="94"/>
              </w:rPr>
              <w:t>Property, plant and equipment additions, including the debt component of allowance for funds used during construction of</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(675,845)</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(554,141)</w:t>
            </w:r>
          </w:p>
        </w:tc>
        <w:tc>
          <w:tcPr>
            <w:tcW w:w="0" w:type="dxa"/>
            <w:vAlign w:val="bottom"/>
          </w:tcPr>
          <w:p>
            <w:pPr>
              <w:spacing w:after="0"/>
              <w:rPr>
                <w:sz w:val="1"/>
                <w:szCs w:val="1"/>
                <w:color w:val="auto"/>
              </w:rPr>
            </w:pPr>
          </w:p>
        </w:tc>
      </w:tr>
      <w:tr>
        <w:trPr>
          <w:trHeight w:val="185"/>
        </w:trPr>
        <w:tc>
          <w:tcPr>
            <w:tcW w:w="8280" w:type="dxa"/>
            <w:vAlign w:val="bottom"/>
          </w:tcPr>
          <w:p>
            <w:pPr>
              <w:ind w:left="120"/>
              <w:spacing w:after="0"/>
              <w:rPr>
                <w:sz w:val="20"/>
                <w:szCs w:val="20"/>
                <w:color w:val="auto"/>
              </w:rPr>
            </w:pPr>
            <w:r>
              <w:rPr>
                <w:rFonts w:ascii="Arial" w:cs="Arial" w:eastAsia="Arial" w:hAnsi="Arial"/>
                <w:sz w:val="16"/>
                <w:szCs w:val="16"/>
                <w:color w:val="auto"/>
              </w:rPr>
              <w:t>$2,885 and $2,957</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Acquisitions of utility systems, net</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(36,325)</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(3,467,032)</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Net proceeds from the sale of other assets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1,420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(120)</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155"/>
        </w:trPr>
        <w:tc>
          <w:tcPr>
            <w:tcW w:w="82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flows used in investing activities</w:t>
            </w:r>
          </w:p>
        </w:tc>
        <w:tc>
          <w:tcPr>
            <w:tcW w:w="2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(710,870)</w:t>
            </w:r>
          </w:p>
        </w:tc>
        <w:tc>
          <w:tcPr>
            <w:tcW w:w="1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(4,019,645)</w:t>
            </w:r>
          </w:p>
        </w:tc>
        <w:tc>
          <w:tcPr>
            <w:tcW w:w="0" w:type="dxa"/>
            <w:vAlign w:val="bottom"/>
          </w:tcPr>
          <w:p>
            <w:pPr>
              <w:spacing w:after="0"/>
              <w:rPr>
                <w:sz w:val="1"/>
                <w:szCs w:val="1"/>
                <w:color w:val="auto"/>
              </w:rPr>
            </w:pPr>
          </w:p>
        </w:tc>
      </w:tr>
      <w:tr>
        <w:trPr>
          <w:trHeight w:val="156"/>
        </w:trPr>
        <w:tc>
          <w:tcPr>
            <w:tcW w:w="82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Customers' advances and contributions in aid of construction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12,473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7,475</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Repayments of customers' advances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(3,091)</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Net repayments of short-term debt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(31,616)</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(160,420)</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long-term debt</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795,153</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2,957,663</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Repayments of long-term debt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(717,816)</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(1,647,354)</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Change in cash overdraft position</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(23,255)</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18,166</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Proceeds from issuance of common stock under dividend reinvestment plan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12,597</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12,322</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issuance of common stock from private placement</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729,301</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Proceeds from issuance of common stock from forward equity sale agreement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299,739</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exercised stock options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3,293</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162"/>
        </w:trPr>
        <w:tc>
          <w:tcPr>
            <w:tcW w:w="8280" w:type="dxa"/>
            <w:vAlign w:val="bottom"/>
          </w:tcPr>
          <w:p>
            <w:pPr>
              <w:ind w:left="120"/>
              <w:spacing w:after="0" w:line="162" w:lineRule="exact"/>
              <w:rPr>
                <w:sz w:val="20"/>
                <w:szCs w:val="20"/>
                <w:color w:val="auto"/>
              </w:rPr>
            </w:pPr>
            <w:r>
              <w:rPr>
                <w:rFonts w:ascii="Arial" w:cs="Arial" w:eastAsia="Arial" w:hAnsi="Arial"/>
                <w:sz w:val="16"/>
                <w:szCs w:val="16"/>
                <w:color w:val="auto"/>
              </w:rPr>
              <w:t>Repurchase of common stock</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(3,287)</w:t>
            </w:r>
          </w:p>
        </w:tc>
        <w:tc>
          <w:tcPr>
            <w:tcW w:w="26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(4,345)</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Dividends paid on common stock</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(190,862)</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(171,079)</w:t>
            </w:r>
          </w:p>
        </w:tc>
        <w:tc>
          <w:tcPr>
            <w:tcW w:w="0" w:type="dxa"/>
            <w:vAlign w:val="bottom"/>
          </w:tcPr>
          <w:p>
            <w:pPr>
              <w:spacing w:after="0"/>
              <w:rPr>
                <w:sz w:val="1"/>
                <w:szCs w:val="1"/>
                <w:color w:val="auto"/>
              </w:rPr>
            </w:pPr>
          </w:p>
        </w:tc>
      </w:tr>
      <w:tr>
        <w:trPr>
          <w:trHeight w:val="162"/>
        </w:trPr>
        <w:tc>
          <w:tcPr>
            <w:tcW w:w="828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599</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156"/>
        </w:trPr>
        <w:tc>
          <w:tcPr>
            <w:tcW w:w="82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flows from financing activities</w:t>
            </w:r>
          </w:p>
        </w:tc>
        <w:tc>
          <w:tcPr>
            <w:tcW w:w="2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153,927</w:t>
            </w:r>
          </w:p>
        </w:tc>
        <w:tc>
          <w:tcPr>
            <w:tcW w:w="1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1,738,562</w:t>
            </w:r>
          </w:p>
        </w:tc>
        <w:tc>
          <w:tcPr>
            <w:tcW w:w="0" w:type="dxa"/>
            <w:vAlign w:val="bottom"/>
          </w:tcPr>
          <w:p>
            <w:pPr>
              <w:spacing w:after="0"/>
              <w:rPr>
                <w:sz w:val="1"/>
                <w:szCs w:val="1"/>
                <w:color w:val="auto"/>
              </w:rPr>
            </w:pPr>
          </w:p>
        </w:tc>
      </w:tr>
      <w:tr>
        <w:trPr>
          <w:trHeight w:val="155"/>
        </w:trPr>
        <w:tc>
          <w:tcPr>
            <w:tcW w:w="8280" w:type="dxa"/>
            <w:vAlign w:val="bottom"/>
          </w:tcPr>
          <w:p>
            <w:pPr>
              <w:spacing w:after="0" w:line="155" w:lineRule="exact"/>
              <w:rPr>
                <w:sz w:val="20"/>
                <w:szCs w:val="20"/>
                <w:color w:val="auto"/>
              </w:rPr>
            </w:pPr>
            <w:r>
              <w:rPr>
                <w:rFonts w:ascii="Arial" w:cs="Arial" w:eastAsia="Arial" w:hAnsi="Arial"/>
                <w:sz w:val="16"/>
                <w:szCs w:val="16"/>
                <w:color w:val="auto"/>
              </w:rPr>
              <w:t>Net change in cash and cash equivalents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6"/>
                <w:szCs w:val="16"/>
                <w:color w:val="auto"/>
              </w:rPr>
              <w:t>4,909</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6"/>
                <w:szCs w:val="16"/>
                <w:color w:val="auto"/>
              </w:rPr>
              <w:t>(1,860,428)</w:t>
            </w: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and cash equivalents at beginning of period</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4,827</w:t>
            </w:r>
          </w:p>
        </w:tc>
        <w:tc>
          <w:tcPr>
            <w:tcW w:w="1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1,868,922</w:t>
            </w:r>
          </w:p>
        </w:tc>
        <w:tc>
          <w:tcPr>
            <w:tcW w:w="0" w:type="dxa"/>
            <w:vAlign w:val="bottom"/>
          </w:tcPr>
          <w:p>
            <w:pPr>
              <w:spacing w:after="0"/>
              <w:rPr>
                <w:sz w:val="1"/>
                <w:szCs w:val="1"/>
                <w:color w:val="auto"/>
              </w:rPr>
            </w:pPr>
          </w:p>
        </w:tc>
      </w:tr>
      <w:tr>
        <w:trPr>
          <w:trHeight w:val="156"/>
        </w:trPr>
        <w:tc>
          <w:tcPr>
            <w:tcW w:w="8280" w:type="dxa"/>
            <w:vAlign w:val="bottom"/>
          </w:tcPr>
          <w:p>
            <w:pPr>
              <w:spacing w:after="0" w:line="155" w:lineRule="exact"/>
              <w:rPr>
                <w:sz w:val="20"/>
                <w:szCs w:val="20"/>
                <w:color w:val="auto"/>
              </w:rPr>
            </w:pPr>
            <w:r>
              <w:rPr>
                <w:rFonts w:ascii="Arial" w:cs="Arial" w:eastAsia="Arial" w:hAnsi="Arial"/>
                <w:sz w:val="16"/>
                <w:szCs w:val="16"/>
                <w:color w:val="auto"/>
              </w:rPr>
              <w:t>Cash and cash equivalents at end of period</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9,736</w:t>
            </w:r>
          </w:p>
        </w:tc>
        <w:tc>
          <w:tcPr>
            <w:tcW w:w="180" w:type="dxa"/>
            <w:vAlign w:val="bottom"/>
          </w:tcPr>
          <w:p>
            <w:pPr>
              <w:spacing w:after="0"/>
              <w:rPr>
                <w:sz w:val="13"/>
                <w:szCs w:val="13"/>
                <w:color w:val="auto"/>
              </w:rPr>
            </w:pPr>
          </w:p>
        </w:tc>
        <w:tc>
          <w:tcPr>
            <w:tcW w:w="26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8,494</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6"/>
                <w:szCs w:val="16"/>
                <w:color w:val="auto"/>
              </w:rPr>
              <w:t>Non-cash investing activities:</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520" w:type="dxa"/>
            <w:vAlign w:val="bottom"/>
            <w:gridSpan w:val="2"/>
            <w:shd w:val="clear" w:color="auto" w:fill="CCEEFF"/>
          </w:tcPr>
          <w:p>
            <w:pPr>
              <w:jc w:val="right"/>
              <w:ind w:right="124"/>
              <w:spacing w:after="0" w:line="162"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78,727</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96,982</w:t>
            </w:r>
          </w:p>
        </w:tc>
        <w:tc>
          <w:tcPr>
            <w:tcW w:w="0" w:type="dxa"/>
            <w:vAlign w:val="bottom"/>
          </w:tcPr>
          <w:p>
            <w:pPr>
              <w:spacing w:after="0"/>
              <w:rPr>
                <w:sz w:val="1"/>
                <w:szCs w:val="1"/>
                <w:color w:val="auto"/>
              </w:rPr>
            </w:pPr>
          </w:p>
        </w:tc>
      </w:tr>
      <w:tr>
        <w:trPr>
          <w:trHeight w:val="206"/>
        </w:trPr>
        <w:tc>
          <w:tcPr>
            <w:tcW w:w="8280" w:type="dxa"/>
            <w:vAlign w:val="bottom"/>
          </w:tcPr>
          <w:p>
            <w:pPr>
              <w:ind w:left="120"/>
              <w:spacing w:after="0"/>
              <w:rPr>
                <w:sz w:val="20"/>
                <w:szCs w:val="20"/>
                <w:color w:val="auto"/>
              </w:rPr>
            </w:pPr>
            <w:r>
              <w:rPr>
                <w:rFonts w:ascii="Arial" w:cs="Arial" w:eastAsia="Arial" w:hAnsi="Arial"/>
                <w:sz w:val="16"/>
                <w:szCs w:val="16"/>
                <w:color w:val="auto"/>
              </w:rPr>
              <w:t>Non-cash customer advances and contributions in aid of construction</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30,075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28,321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0" w:name="page11"/>
    <w:bookmarkEnd w:id="1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60"/>
        <w:spacing w:after="0" w:line="217" w:lineRule="auto"/>
        <w:rPr>
          <w:sz w:val="20"/>
          <w:szCs w:val="20"/>
          <w:color w:val="auto"/>
        </w:rPr>
      </w:pPr>
      <w:r>
        <w:rPr>
          <w:rFonts w:ascii="Arial" w:cs="Arial" w:eastAsia="Arial" w:hAnsi="Arial"/>
          <w:sz w:val="22"/>
          <w:szCs w:val="22"/>
          <w:color w:val="auto"/>
        </w:rPr>
        <w:t>ESSENTIAL UTILITIES, INC. AND SUBSIDIARIES</w:t>
      </w:r>
    </w:p>
    <w:p>
      <w:pPr>
        <w:jc w:val="center"/>
        <w:ind w:right="-19"/>
        <w:spacing w:after="0" w:line="218" w:lineRule="auto"/>
        <w:rPr>
          <w:sz w:val="20"/>
          <w:szCs w:val="20"/>
          <w:color w:val="auto"/>
        </w:rPr>
      </w:pPr>
      <w:r>
        <w:rPr>
          <w:rFonts w:ascii="Arial" w:cs="Arial" w:eastAsia="Arial" w:hAnsi="Arial"/>
          <w:sz w:val="22"/>
          <w:szCs w:val="22"/>
          <w:color w:val="auto"/>
        </w:rPr>
        <w:t>NOTES TO CONSOLIDATED FINANCIAL STATEMENTS</w:t>
      </w:r>
    </w:p>
    <w:p>
      <w:pPr>
        <w:jc w:val="center"/>
        <w:ind w:right="-1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w:t>
      </w:r>
      <w:r>
        <w:rPr>
          <w:rFonts w:ascii="Arial" w:cs="Arial" w:eastAsia="Arial" w:hAnsi="Arial"/>
          <w:sz w:val="22"/>
          <w:szCs w:val="22"/>
          <w:b w:val="1"/>
          <w:bCs w:val="1"/>
          <w:i w:val="1"/>
          <w:iCs w:val="1"/>
          <w:color w:val="auto"/>
        </w:rPr>
        <w:t>Basis of Presentation</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The accompanying unaudited consolidated balance sheets and statements of capitalization of Essential Utilities, Inc. and subsidiaries (collectively, the “Company”, “we”, “us” or “our”) at September 30, 2021, the unaudited consolidated statements of operations and comprehensive income for the three and nine months ended September 30, 2021 and 2020, and the unaudited consolidated statements of cash flows and consolidated statements of equity for the nine months ended September 30, 2021 and 2020,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2020. Interim results are not necessarily indicative of results for a full year. In the opinion of management, all adjustments, consisting of only recurring accruals, which are necessary to present a fair statement of its consolidated financial position, consolidated changes in equity, consolidated results of operations, and consolidated cash flow for the periods presented, have been made.</w:t>
      </w:r>
    </w:p>
    <w:p>
      <w:pPr>
        <w:spacing w:after="0" w:line="200" w:lineRule="exact"/>
        <w:rPr>
          <w:sz w:val="20"/>
          <w:szCs w:val="20"/>
          <w:color w:val="auto"/>
        </w:rPr>
      </w:pPr>
    </w:p>
    <w:p>
      <w:pPr>
        <w:spacing w:after="0" w:line="210"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operations and comprehensive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72" w:lineRule="exact"/>
        <w:rPr>
          <w:sz w:val="20"/>
          <w:szCs w:val="20"/>
          <w:color w:val="auto"/>
        </w:rPr>
      </w:pPr>
    </w:p>
    <w:p>
      <w:pPr>
        <w:ind w:right="200"/>
        <w:spacing w:after="0" w:line="264" w:lineRule="auto"/>
        <w:rPr>
          <w:sz w:val="20"/>
          <w:szCs w:val="20"/>
          <w:color w:val="auto"/>
        </w:rPr>
      </w:pPr>
      <w:r>
        <w:rPr>
          <w:rFonts w:ascii="Arial" w:cs="Arial" w:eastAsia="Arial" w:hAnsi="Arial"/>
          <w:sz w:val="19"/>
          <w:szCs w:val="19"/>
          <w:color w:val="auto"/>
        </w:rPr>
        <w:t>In the preparation of these financial statements and related disclosures, we have assessed the impact that the COVID-19 pandemic has had on our estimates, assumptions, forecasts, and accounting policies. Because of the essential nature of our business, we do not believe the COVID-19 pandemic had a material impact on our estimates, assumptions and forecasts used in the preparation of our financial statements, although we continue to monitor this closely. As the COVID-19 pandemic is continuing to evolve, future events and effects related to the COVID-19 pandemic cannot be determined with precision, and actual results could significantly differ from our estimates or forecasts.</w:t>
      </w:r>
    </w:p>
    <w:p>
      <w:pPr>
        <w:spacing w:after="0" w:line="164" w:lineRule="exact"/>
        <w:rPr>
          <w:sz w:val="20"/>
          <w:szCs w:val="20"/>
          <w:color w:val="auto"/>
        </w:rPr>
      </w:pPr>
    </w:p>
    <w:p>
      <w:pPr>
        <w:ind w:right="340"/>
        <w:spacing w:after="0" w:line="239" w:lineRule="auto"/>
        <w:rPr>
          <w:sz w:val="20"/>
          <w:szCs w:val="20"/>
          <w:color w:val="auto"/>
        </w:rPr>
      </w:pPr>
      <w:r>
        <w:rPr>
          <w:rFonts w:ascii="Arial" w:cs="Arial" w:eastAsia="Arial" w:hAnsi="Arial"/>
          <w:sz w:val="22"/>
          <w:szCs w:val="22"/>
          <w:color w:val="auto"/>
        </w:rPr>
        <w:t>There have been no changes to the summary of significant accounting policies previously identified in the Company’s Annual Report on Form 10-K for the year ended December 31, 2020.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1" w:name="page12"/>
    <w:bookmarkEnd w:id="1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w:t>
      </w:r>
      <w:r>
        <w:rPr>
          <w:rFonts w:ascii="Arial" w:cs="Arial" w:eastAsia="Arial" w:hAnsi="Arial"/>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our revenues disaggregated by major source and customer class: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460"/>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center"/>
              <w:ind w:right="160"/>
              <w:spacing w:after="0"/>
              <w:rPr>
                <w:sz w:val="20"/>
                <w:szCs w:val="20"/>
                <w:color w:val="auto"/>
              </w:rPr>
            </w:pPr>
            <w:r>
              <w:rPr>
                <w:rFonts w:ascii="Arial" w:cs="Arial" w:eastAsia="Arial" w:hAnsi="Arial"/>
                <w:sz w:val="14"/>
                <w:szCs w:val="14"/>
                <w:color w:val="auto"/>
                <w:w w:val="93"/>
              </w:rPr>
              <w:t>Three Months Ended</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color w:val="auto"/>
              </w:rPr>
              <w:t>September 30, 2021</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color w:val="auto"/>
                <w:w w:val="89"/>
              </w:rPr>
              <w:t>September 30, 2020</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89"/>
              </w:rPr>
              <w:t>Wastewater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w w:val="90"/>
              </w:rPr>
              <w:t>Natural Gas</w:t>
            </w: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w w:val="86"/>
              </w:rPr>
              <w:t>Wastewater</w:t>
            </w:r>
          </w:p>
        </w:tc>
        <w:tc>
          <w:tcPr>
            <w:tcW w:w="100" w:type="dxa"/>
            <w:vAlign w:val="bottom"/>
          </w:tcPr>
          <w:p>
            <w:pPr>
              <w:spacing w:after="0"/>
              <w:rPr>
                <w:sz w:val="10"/>
                <w:szCs w:val="10"/>
                <w:color w:val="auto"/>
              </w:rPr>
            </w:pPr>
          </w:p>
        </w:tc>
        <w:tc>
          <w:tcPr>
            <w:tcW w:w="102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Natural Gas</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00" w:type="dxa"/>
            <w:vAlign w:val="bottom"/>
            <w:vMerge w:val="restart"/>
          </w:tcPr>
          <w:p>
            <w:pPr>
              <w:spacing w:after="0"/>
              <w:rPr>
                <w:sz w:val="20"/>
                <w:szCs w:val="20"/>
                <w:color w:val="auto"/>
              </w:rPr>
            </w:pPr>
            <w:r>
              <w:rPr>
                <w:rFonts w:ascii="Arial" w:cs="Arial" w:eastAsia="Arial" w:hAnsi="Arial"/>
                <w:sz w:val="14"/>
                <w:szCs w:val="14"/>
                <w:color w:val="auto"/>
              </w:rPr>
              <w:t>Revenues from contracts with customers: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Revenues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Revenues</w:t>
            </w:r>
          </w:p>
        </w:tc>
        <w:tc>
          <w:tcPr>
            <w:tcW w:w="1120" w:type="dxa"/>
            <w:vAlign w:val="bottom"/>
            <w:gridSpan w:val="3"/>
          </w:tcPr>
          <w:p>
            <w:pPr>
              <w:ind w:left="40"/>
              <w:spacing w:after="0"/>
              <w:rPr>
                <w:sz w:val="20"/>
                <w:szCs w:val="20"/>
                <w:color w:val="auto"/>
              </w:rPr>
            </w:pPr>
            <w:r>
              <w:rPr>
                <w:rFonts w:ascii="Arial" w:cs="Arial" w:eastAsia="Arial" w:hAnsi="Arial"/>
                <w:sz w:val="14"/>
                <w:szCs w:val="14"/>
                <w:color w:val="auto"/>
              </w:rPr>
              <w:t>Other Revenues</w:t>
            </w:r>
          </w:p>
        </w:tc>
        <w:tc>
          <w:tcPr>
            <w:tcW w:w="1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Revenues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98"/>
              </w:rPr>
              <w:t>Revenues</w:t>
            </w:r>
          </w:p>
        </w:tc>
        <w:tc>
          <w:tcPr>
            <w:tcW w:w="1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Revenues</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w w:val="92"/>
              </w:rPr>
              <w:t>Other Revenues</w:t>
            </w:r>
          </w:p>
        </w:tc>
        <w:tc>
          <w:tcPr>
            <w:tcW w:w="0" w:type="dxa"/>
            <w:vAlign w:val="bottom"/>
          </w:tcPr>
          <w:p>
            <w:pPr>
              <w:spacing w:after="0"/>
              <w:rPr>
                <w:sz w:val="1"/>
                <w:szCs w:val="1"/>
                <w:color w:val="auto"/>
              </w:rPr>
            </w:pPr>
          </w:p>
        </w:tc>
      </w:tr>
      <w:tr>
        <w:trPr>
          <w:trHeight w:val="142"/>
        </w:trPr>
        <w:tc>
          <w:tcPr>
            <w:tcW w:w="2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Residential</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148,247</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25,147</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49,838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157,387</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24,175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46,913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tcPr>
          <w:p>
            <w:pPr>
              <w:ind w:left="120"/>
              <w:spacing w:after="0" w:line="149" w:lineRule="exact"/>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42,318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5,839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9,534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41,693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4,794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7,993</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Fire protection</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ind w:left="120"/>
              <w:spacing w:after="0" w:line="149" w:lineRule="exact"/>
              <w:rPr>
                <w:sz w:val="20"/>
                <w:szCs w:val="20"/>
                <w:color w:val="auto"/>
              </w:rPr>
            </w:pPr>
            <w:r>
              <w:rPr>
                <w:rFonts w:ascii="Arial" w:cs="Arial" w:eastAsia="Arial" w:hAnsi="Arial"/>
                <w:sz w:val="14"/>
                <w:szCs w:val="14"/>
                <w:color w:val="auto"/>
              </w:rPr>
              <w:t>Industrial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8,217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9,022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Gas transportation &amp; storage</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27,794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26,248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tcPr>
          <w:p>
            <w:pPr>
              <w:ind w:left="120"/>
              <w:spacing w:after="0" w:line="149" w:lineRule="exact"/>
              <w:rPr>
                <w:sz w:val="20"/>
                <w:szCs w:val="20"/>
                <w:color w:val="auto"/>
              </w:rPr>
            </w:pPr>
            <w:r>
              <w:rPr>
                <w:rFonts w:ascii="Arial" w:cs="Arial" w:eastAsia="Arial" w:hAnsi="Arial"/>
                <w:sz w:val="14"/>
                <w:szCs w:val="14"/>
                <w:color w:val="auto"/>
              </w:rPr>
              <w:t>Other water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14,539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9,524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wastewater</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tcPr>
          <w:p>
            <w:pPr>
              <w:ind w:left="120"/>
              <w:spacing w:after="0" w:line="149" w:lineRule="exact"/>
              <w:rPr>
                <w:sz w:val="20"/>
                <w:szCs w:val="20"/>
                <w:color w:val="auto"/>
              </w:rPr>
            </w:pPr>
            <w:r>
              <w:rPr>
                <w:rFonts w:ascii="Arial" w:cs="Arial" w:eastAsia="Arial" w:hAnsi="Arial"/>
                <w:sz w:val="14"/>
                <w:szCs w:val="14"/>
                <w:color w:val="auto"/>
              </w:rPr>
              <w:t>Customer rate credits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(323)</w:t>
            </w:r>
          </w:p>
        </w:tc>
        <w:tc>
          <w:tcPr>
            <w:tcW w:w="10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utility</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6,548</w:t>
            </w:r>
          </w:p>
        </w:tc>
        <w:tc>
          <w:tcPr>
            <w:tcW w:w="0" w:type="dxa"/>
            <w:vAlign w:val="bottom"/>
          </w:tcPr>
          <w:p>
            <w:pPr>
              <w:spacing w:after="0"/>
              <w:rPr>
                <w:sz w:val="1"/>
                <w:szCs w:val="1"/>
                <w:color w:val="auto"/>
              </w:rPr>
            </w:pPr>
          </w:p>
        </w:tc>
      </w:tr>
      <w:tr>
        <w:trPr>
          <w:trHeight w:val="142"/>
        </w:trPr>
        <w:tc>
          <w:tcPr>
            <w:tcW w:w="2600" w:type="dxa"/>
            <w:vAlign w:val="bottom"/>
          </w:tcPr>
          <w:p>
            <w:pPr>
              <w:spacing w:after="0" w:line="142" w:lineRule="exact"/>
              <w:rPr>
                <w:sz w:val="20"/>
                <w:szCs w:val="20"/>
                <w:color w:val="auto"/>
              </w:rPr>
            </w:pPr>
            <w:r>
              <w:rPr>
                <w:rFonts w:ascii="Arial" w:cs="Arial" w:eastAsia="Arial" w:hAnsi="Arial"/>
                <w:sz w:val="14"/>
                <w:szCs w:val="14"/>
                <w:color w:val="auto"/>
              </w:rPr>
              <w:t>Revenues from contracts with customers</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222,187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33,882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95,069</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3,241</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222,404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30,496</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88,324</w:t>
            </w: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6,548</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Alternative revenue program</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Arial" w:cs="Arial" w:eastAsia="Arial" w:hAnsi="Arial"/>
                <w:sz w:val="14"/>
                <w:szCs w:val="14"/>
                <w:color w:val="auto"/>
              </w:rPr>
              <w:t>Other and eliminations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556</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Consolidated</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222,714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33,904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95,069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10,173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222,063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30,353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88,880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7,351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gridSpan w:val="6"/>
          </w:tcPr>
          <w:p>
            <w:pPr>
              <w:jc w:val="right"/>
              <w:ind w:right="480"/>
              <w:spacing w:after="0"/>
              <w:rPr>
                <w:sz w:val="20"/>
                <w:szCs w:val="20"/>
                <w:color w:val="auto"/>
              </w:rPr>
            </w:pPr>
            <w:r>
              <w:rPr>
                <w:rFonts w:ascii="Arial" w:cs="Arial" w:eastAsia="Arial" w:hAnsi="Arial"/>
                <w:sz w:val="14"/>
                <w:szCs w:val="14"/>
                <w:color w:val="auto"/>
              </w:rPr>
              <w:t>Nine Months Ended</w:t>
            </w: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60" w:type="dxa"/>
            <w:vAlign w:val="bottom"/>
            <w:gridSpan w:val="5"/>
          </w:tcPr>
          <w:p>
            <w:pPr>
              <w:jc w:val="center"/>
              <w:ind w:right="180"/>
              <w:spacing w:after="0"/>
              <w:rPr>
                <w:sz w:val="20"/>
                <w:szCs w:val="20"/>
                <w:color w:val="auto"/>
              </w:rPr>
            </w:pPr>
            <w:r>
              <w:rPr>
                <w:rFonts w:ascii="Arial" w:cs="Arial" w:eastAsia="Arial" w:hAnsi="Arial"/>
                <w:sz w:val="14"/>
                <w:szCs w:val="14"/>
                <w:color w:val="auto"/>
                <w:w w:val="94"/>
              </w:rPr>
              <w:t>Nine Months Ended</w:t>
            </w: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color w:val="auto"/>
              </w:rPr>
              <w:t>September 30, 2021</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color w:val="auto"/>
                <w:w w:val="89"/>
              </w:rPr>
              <w:t>September 30, 2020</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89"/>
              </w:rPr>
              <w:t>Wastewater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120"/>
              <w:spacing w:after="0" w:line="123" w:lineRule="exact"/>
              <w:rPr>
                <w:sz w:val="20"/>
                <w:szCs w:val="20"/>
                <w:color w:val="auto"/>
              </w:rPr>
            </w:pPr>
            <w:r>
              <w:rPr>
                <w:rFonts w:ascii="Arial" w:cs="Arial" w:eastAsia="Arial" w:hAnsi="Arial"/>
                <w:sz w:val="14"/>
                <w:szCs w:val="14"/>
                <w:color w:val="auto"/>
              </w:rPr>
              <w:t>Natural Gas</w:t>
            </w: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w w:val="86"/>
              </w:rPr>
              <w:t>Wastewater</w:t>
            </w:r>
          </w:p>
        </w:tc>
        <w:tc>
          <w:tcPr>
            <w:tcW w:w="100" w:type="dxa"/>
            <w:vAlign w:val="bottom"/>
          </w:tcPr>
          <w:p>
            <w:pPr>
              <w:spacing w:after="0"/>
              <w:rPr>
                <w:sz w:val="10"/>
                <w:szCs w:val="10"/>
                <w:color w:val="auto"/>
              </w:rPr>
            </w:pPr>
          </w:p>
        </w:tc>
        <w:tc>
          <w:tcPr>
            <w:tcW w:w="102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Natural Gas</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00" w:type="dxa"/>
            <w:vAlign w:val="bottom"/>
            <w:vMerge w:val="restart"/>
          </w:tcPr>
          <w:p>
            <w:pPr>
              <w:spacing w:after="0"/>
              <w:rPr>
                <w:sz w:val="20"/>
                <w:szCs w:val="20"/>
                <w:color w:val="auto"/>
              </w:rPr>
            </w:pPr>
            <w:r>
              <w:rPr>
                <w:rFonts w:ascii="Arial" w:cs="Arial" w:eastAsia="Arial" w:hAnsi="Arial"/>
                <w:sz w:val="14"/>
                <w:szCs w:val="14"/>
                <w:color w:val="auto"/>
              </w:rPr>
              <w:t>Revenues from contracts with customers: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Revenues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Revenues</w:t>
            </w:r>
          </w:p>
        </w:tc>
        <w:tc>
          <w:tcPr>
            <w:tcW w:w="1120" w:type="dxa"/>
            <w:vAlign w:val="bottom"/>
            <w:gridSpan w:val="3"/>
          </w:tcPr>
          <w:p>
            <w:pPr>
              <w:ind w:left="40"/>
              <w:spacing w:after="0"/>
              <w:rPr>
                <w:sz w:val="20"/>
                <w:szCs w:val="20"/>
                <w:color w:val="auto"/>
              </w:rPr>
            </w:pPr>
            <w:r>
              <w:rPr>
                <w:rFonts w:ascii="Arial" w:cs="Arial" w:eastAsia="Arial" w:hAnsi="Arial"/>
                <w:sz w:val="14"/>
                <w:szCs w:val="14"/>
                <w:color w:val="auto"/>
              </w:rPr>
              <w:t>Other Revenues</w:t>
            </w:r>
          </w:p>
        </w:tc>
        <w:tc>
          <w:tcPr>
            <w:tcW w:w="1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Revenues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98"/>
              </w:rPr>
              <w:t>Revenues</w:t>
            </w:r>
          </w:p>
        </w:tc>
        <w:tc>
          <w:tcPr>
            <w:tcW w:w="1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Revenues</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w w:val="92"/>
              </w:rPr>
              <w:t>Other Revenues</w:t>
            </w:r>
          </w:p>
        </w:tc>
        <w:tc>
          <w:tcPr>
            <w:tcW w:w="0" w:type="dxa"/>
            <w:vAlign w:val="bottom"/>
          </w:tcPr>
          <w:p>
            <w:pPr>
              <w:spacing w:after="0"/>
              <w:rPr>
                <w:sz w:val="1"/>
                <w:szCs w:val="1"/>
                <w:color w:val="auto"/>
              </w:rPr>
            </w:pPr>
          </w:p>
        </w:tc>
      </w:tr>
      <w:tr>
        <w:trPr>
          <w:trHeight w:val="142"/>
        </w:trPr>
        <w:tc>
          <w:tcPr>
            <w:tcW w:w="2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Residential</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425,519</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73,820</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347,790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431,022</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156,004</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tcPr>
          <w:p>
            <w:pPr>
              <w:ind w:left="120"/>
              <w:spacing w:after="0" w:line="149" w:lineRule="exact"/>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113,473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16,102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65,404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108,311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14,186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23,887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Fire protection</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ind w:left="120"/>
              <w:spacing w:after="0" w:line="149" w:lineRule="exact"/>
              <w:rPr>
                <w:sz w:val="20"/>
                <w:szCs w:val="20"/>
                <w:color w:val="auto"/>
              </w:rPr>
            </w:pPr>
            <w:r>
              <w:rPr>
                <w:rFonts w:ascii="Arial" w:cs="Arial" w:eastAsia="Arial" w:hAnsi="Arial"/>
                <w:sz w:val="14"/>
                <w:szCs w:val="14"/>
                <w:color w:val="auto"/>
              </w:rPr>
              <w:t>Industrial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22,954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1,894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22,597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3,721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Gas transportation &amp; storage</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143,387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75,951</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tcPr>
          <w:p>
            <w:pPr>
              <w:ind w:left="120"/>
              <w:spacing w:after="0" w:line="149" w:lineRule="exact"/>
              <w:rPr>
                <w:sz w:val="20"/>
                <w:szCs w:val="20"/>
                <w:color w:val="auto"/>
              </w:rPr>
            </w:pPr>
            <w:r>
              <w:rPr>
                <w:rFonts w:ascii="Arial" w:cs="Arial" w:eastAsia="Arial" w:hAnsi="Arial"/>
                <w:sz w:val="14"/>
                <w:szCs w:val="14"/>
                <w:color w:val="auto"/>
              </w:rPr>
              <w:t>Other water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37,696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23,378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wastewater</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ind w:left="120"/>
              <w:spacing w:after="0" w:line="149" w:lineRule="exact"/>
              <w:rPr>
                <w:sz w:val="20"/>
                <w:szCs w:val="20"/>
                <w:color w:val="auto"/>
              </w:rPr>
            </w:pPr>
            <w:r>
              <w:rPr>
                <w:rFonts w:ascii="Arial" w:cs="Arial" w:eastAsia="Arial" w:hAnsi="Arial"/>
                <w:sz w:val="14"/>
                <w:szCs w:val="14"/>
                <w:color w:val="auto"/>
              </w:rPr>
              <w:t>Customer rate credits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(323)</w:t>
            </w:r>
          </w:p>
        </w:tc>
        <w:tc>
          <w:tcPr>
            <w:tcW w:w="10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utility</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22,639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12,672</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16,088</w:t>
            </w:r>
          </w:p>
        </w:tc>
        <w:tc>
          <w:tcPr>
            <w:tcW w:w="0" w:type="dxa"/>
            <w:vAlign w:val="bottom"/>
          </w:tcPr>
          <w:p>
            <w:pPr>
              <w:spacing w:after="0"/>
              <w:rPr>
                <w:sz w:val="1"/>
                <w:szCs w:val="1"/>
                <w:color w:val="auto"/>
              </w:rPr>
            </w:pPr>
          </w:p>
        </w:tc>
      </w:tr>
      <w:tr>
        <w:trPr>
          <w:trHeight w:val="142"/>
        </w:trPr>
        <w:tc>
          <w:tcPr>
            <w:tcW w:w="2600" w:type="dxa"/>
            <w:vAlign w:val="bottom"/>
          </w:tcPr>
          <w:p>
            <w:pPr>
              <w:spacing w:after="0" w:line="142" w:lineRule="exact"/>
              <w:rPr>
                <w:sz w:val="20"/>
                <w:szCs w:val="20"/>
                <w:color w:val="auto"/>
              </w:rPr>
            </w:pPr>
            <w:r>
              <w:rPr>
                <w:rFonts w:ascii="Arial" w:cs="Arial" w:eastAsia="Arial" w:hAnsi="Arial"/>
                <w:sz w:val="14"/>
                <w:szCs w:val="14"/>
                <w:color w:val="auto"/>
              </w:rPr>
              <w:t>Revenues from contracts with customers</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626,472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97,986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581,114</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10,556</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607,988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88,963</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272,235</w:t>
            </w: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16,088</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Alternative revenue program</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4"/>
                <w:szCs w:val="14"/>
                <w:color w:val="auto"/>
              </w:rPr>
              <w:t>Other and eliminations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24,748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1,409</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2,392</w:t>
            </w: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Consolidated</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627,829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98,004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581,320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35,304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607,707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88,715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273,798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18,480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ind w:right="140"/>
        <w:spacing w:after="0" w:line="231" w:lineRule="auto"/>
        <w:rPr>
          <w:sz w:val="20"/>
          <w:szCs w:val="20"/>
          <w:color w:val="auto"/>
        </w:rPr>
      </w:pPr>
      <w:r>
        <w:rPr>
          <w:rFonts w:ascii="Arial" w:cs="Arial" w:eastAsia="Arial" w:hAnsi="Arial"/>
          <w:sz w:val="22"/>
          <w:szCs w:val="22"/>
          <w:color w:val="auto"/>
        </w:rPr>
        <w:t>On March 16, 2020, the Company completed the Peoples Gas Acquisition, which expanded the Company’s regulated utility business, to include natural gas distribution. The natural gas revenues of Peoples are included for the period since the date of the acquisition.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 w:name="page13"/>
    <w:bookmarkEnd w:id="1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400" w:right="234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b w:val="1"/>
          <w:bCs w:val="1"/>
          <w:i w:val="1"/>
          <w:iCs w:val="1"/>
          <w:color w:val="auto"/>
        </w:rPr>
        <w:t xml:space="preserve">Revenues from Contracts with Customers – </w:t>
      </w:r>
      <w:r>
        <w:rPr>
          <w:rFonts w:ascii="Arial" w:cs="Arial" w:eastAsia="Arial" w:hAnsi="Arial"/>
          <w:sz w:val="19"/>
          <w:szCs w:val="19"/>
          <w:color w:val="auto"/>
        </w:rPr>
        <w:t>These revenues are composed of four main categories: water, wastewater, natural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gas, and other. Water revenues represent revenues earned for supplying customers with water service. Wastewater revenues represent revenues earned for treating wastewater and releasing it into the environment. Natural gas revenues represent revenues earned for the gas commodity and delivery of natural gas to customers. Other revenues are associated fees that relate to our utility businesses but are not water, wastewater, or natural gas revenues. Refer to the description below for a discussion of the performance obligation for each of these revenue streams.</w:t>
      </w:r>
    </w:p>
    <w:p>
      <w:pPr>
        <w:spacing w:after="0" w:line="164"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b w:val="1"/>
          <w:bCs w:val="1"/>
          <w:i w:val="1"/>
          <w:iCs w:val="1"/>
          <w:color w:val="auto"/>
        </w:rPr>
        <w:t xml:space="preserve">Tariff Revenues – </w:t>
      </w:r>
      <w:r>
        <w:rPr>
          <w:rFonts w:ascii="Arial" w:cs="Arial" w:eastAsia="Arial" w:hAnsi="Arial"/>
          <w:sz w:val="19"/>
          <w:szCs w:val="19"/>
          <w:color w:val="auto"/>
        </w:rPr>
        <w:t>These revenues are categorized by customer class: residential, commercial, fire protection, industrial, gas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transportation, other water and other wastewater. The rates that generate these revenues are approved by the respective state utility commission, and revenues are billed cyclically and accrued for when unbilled. The regulated natural gas rates are set and adjusted for increases or decreases in our purchased gas costs through purchased gas adjustment mechanisms. Purchased gas adjustment mechanisms provide us with a means to recover purchased gas costs on an ongoing basis without filing a rate case. Other water and other wastewater revenues consist primarily of fines, penalties, surcharges, and availability lot fees. Our performance obligation for tariff revenues is to provide potable water, wastewater treatment service, or delivery and sale of natural gas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176"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b w:val="1"/>
          <w:bCs w:val="1"/>
          <w:i w:val="1"/>
          <w:iCs w:val="1"/>
          <w:color w:val="auto"/>
        </w:rPr>
        <w:t xml:space="preserve">Other Utility Revenues – </w:t>
      </w:r>
      <w:r>
        <w:rPr>
          <w:rFonts w:ascii="Arial" w:cs="Arial" w:eastAsia="Arial" w:hAnsi="Arial"/>
          <w:sz w:val="19"/>
          <w:szCs w:val="19"/>
          <w:color w:val="auto"/>
        </w:rPr>
        <w:t>Other utility revenues represent revenues earned primarily from: antenna revenues, which represent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fees earned from developers for accessing our water mains; miscellaneous service revenue from gas distribution operations; gas processing and handling revenue; sales of natural gas at market-based rates and contracted fixed prices; sales of gas purchased from third parties; and other gas marketing activities. The performance obligations vary for these revenues, but all are primarily recognized over time as the service is delivered.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Alternative Revenue Program:</w:t>
      </w:r>
    </w:p>
    <w:p>
      <w:pPr>
        <w:spacing w:after="0" w:line="206" w:lineRule="exact"/>
        <w:rPr>
          <w:sz w:val="20"/>
          <w:szCs w:val="20"/>
          <w:color w:val="auto"/>
        </w:rPr>
      </w:pPr>
    </w:p>
    <w:p>
      <w:pPr>
        <w:ind w:left="660" w:right="60"/>
        <w:spacing w:after="0" w:line="255" w:lineRule="auto"/>
        <w:rPr>
          <w:sz w:val="20"/>
          <w:szCs w:val="20"/>
          <w:color w:val="auto"/>
        </w:rPr>
      </w:pPr>
      <w:r>
        <w:rPr>
          <w:rFonts w:ascii="Arial" w:cs="Arial" w:eastAsia="Arial" w:hAnsi="Arial"/>
          <w:sz w:val="19"/>
          <w:szCs w:val="19"/>
          <w:color w:val="auto"/>
        </w:rPr>
        <w:t>Water / Wastewater Revenues: These revenues represent the difference between the actual billed utility volumetric water and wastewater revenues for Aqua Illinois and the revenues set in the last Aqua Illinois rate case. In accordance with the Illinois Commerce Commission, we recognize revenues based on the target amount established in the last rate case, and then record either a regulatory asset or liability based on the cumulative annual difference between the target and actual amounts billed, which results in either a payment from customers or a refund due to customers. The cumulative annual difference is either refunded to customers or collected from customers over a nine-month period.</w:t>
      </w:r>
    </w:p>
    <w:p>
      <w:pPr>
        <w:spacing w:after="0" w:line="2" w:lineRule="exact"/>
        <w:rPr>
          <w:sz w:val="20"/>
          <w:szCs w:val="20"/>
          <w:color w:val="auto"/>
        </w:rPr>
      </w:pPr>
    </w:p>
    <w:p>
      <w:pPr>
        <w:ind w:left="660"/>
        <w:spacing w:after="0" w:line="252" w:lineRule="auto"/>
        <w:rPr>
          <w:sz w:val="20"/>
          <w:szCs w:val="20"/>
          <w:color w:val="auto"/>
        </w:rPr>
      </w:pPr>
      <w:r>
        <w:rPr>
          <w:rFonts w:ascii="Arial" w:cs="Arial" w:eastAsia="Arial" w:hAnsi="Arial"/>
          <w:sz w:val="19"/>
          <w:szCs w:val="19"/>
          <w:color w:val="auto"/>
        </w:rPr>
        <w:t>Natural Gas Revenues: These revenues represent the weather-normalization adjustment (“WNA”) mechanism in place for our natural gas customers served in Kentucky.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w:t>
      </w: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13" w:name="page14"/>
    <w:bookmarkEnd w:id="1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jc w:val="both"/>
        <w:ind w:left="660" w:right="420"/>
        <w:spacing w:after="0" w:line="231" w:lineRule="auto"/>
        <w:rPr>
          <w:sz w:val="20"/>
          <w:szCs w:val="20"/>
          <w:color w:val="auto"/>
        </w:rPr>
      </w:pPr>
      <w:r>
        <w:rPr>
          <w:rFonts w:ascii="Arial" w:cs="Arial" w:eastAsia="Arial" w:hAnsi="Arial"/>
          <w:sz w:val="22"/>
          <w:szCs w:val="22"/>
          <w:color w:val="auto"/>
        </w:rPr>
        <w:t>negative (colder than normal) effects on revenues. Customer bills are adjusted in the December through April billing months, with rates adjusted for the difference between actual revenues and revenues calculated under this mechanism billed to the customers.</w:t>
      </w:r>
    </w:p>
    <w:p>
      <w:pPr>
        <w:spacing w:after="0" w:line="188"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These revenue programs represent a contract between the utility and its regulators, not customers, and therefore are not within the scope of the Financial Accounting Standards Board’s (“FASB”) accounting guidance for recognizing revenue from contracts with customers.</w:t>
      </w:r>
    </w:p>
    <w:p>
      <w:pPr>
        <w:spacing w:after="0" w:line="188" w:lineRule="exact"/>
        <w:rPr>
          <w:sz w:val="20"/>
          <w:szCs w:val="20"/>
          <w:color w:val="auto"/>
        </w:rPr>
      </w:pPr>
    </w:p>
    <w:p>
      <w:pPr>
        <w:ind w:right="200"/>
        <w:spacing w:after="0" w:line="237" w:lineRule="auto"/>
        <w:rPr>
          <w:sz w:val="20"/>
          <w:szCs w:val="20"/>
          <w:color w:val="auto"/>
        </w:rPr>
      </w:pPr>
      <w:r>
        <w:rPr>
          <w:rFonts w:ascii="Arial" w:cs="Arial" w:eastAsia="Arial" w:hAnsi="Arial"/>
          <w:sz w:val="21"/>
          <w:szCs w:val="21"/>
          <w:b w:val="1"/>
          <w:bCs w:val="1"/>
          <w:i w:val="1"/>
          <w:iCs w:val="1"/>
          <w:color w:val="auto"/>
        </w:rPr>
        <w:t xml:space="preserve">Other and Eliminations – </w:t>
      </w:r>
      <w:r>
        <w:rPr>
          <w:rFonts w:ascii="Arial" w:cs="Arial" w:eastAsia="Arial" w:hAnsi="Arial"/>
          <w:sz w:val="21"/>
          <w:szCs w:val="21"/>
          <w:color w:val="auto"/>
        </w:rPr>
        <w:t>Other and eliminations consist of our market-based revenues, which comprises: our non-regulated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natural gas operations, Aqua Infrastructure and Aqua Resources (described below) and intercompany eliminations for revenue billed between our subsidiaries. Our non-regulated natural gas operations consist of utility service line protection solutions and repair services to households and the operations of gas marketing and production entities. Revenue is recognized and the performance obligation is satisfied over time as the service is delivered.</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Aqua Infrastructure is the holding company for our former 49% investment in a joint venture that operated a private pipeline system to supply raw water to natural gas well drilling operations in the Marcellus Shale of north central Pennsylvania. Prior to our October 30, 2020 sale of our investment in the joint venture, the joint venture earned revenues through providing non-utility raw water supply services to natural gas drilling companies which enter into water supply contracts. The performance obligation was to deliver non-potable water to the joint venture’s customers. Aqua Infrastructure’s share of the revenues recognized by the joint venture was reflected, net, in equity earnings in joint venture on our consolidated statements of operations and comprehensive income. Aqua Resources earned revenues by providing non-regulated water and wastewater services through an operating and maintenance contract which concluded in 2020, and continues to earn revenue through third party water and sewer service line protection and repair services. For the contract operations and maintenance business, the performance obligations were performing agreed upon contract services to operate the water and wastewater system. For the line protection business, the performance obligations are allowing the use of our logo to a third-party water and sewer service line repair provider. Revenues are primarily recognized over time as service is delivered.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14" w:name="page15"/>
    <w:bookmarkEnd w:id="1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 </w:t>
      </w:r>
      <w:r>
        <w:rPr>
          <w:rFonts w:ascii="Arial" w:cs="Arial" w:eastAsia="Arial" w:hAnsi="Arial"/>
          <w:sz w:val="22"/>
          <w:szCs w:val="22"/>
          <w:b w:val="1"/>
          <w:bCs w:val="1"/>
          <w:i w:val="1"/>
          <w:iCs w:val="1"/>
          <w:color w:val="auto"/>
        </w:rPr>
        <w:t>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Peoples Gas Acquisition</w:t>
      </w:r>
    </w:p>
    <w:p>
      <w:pPr>
        <w:spacing w:after="0" w:line="206"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On March 16, 2020 (the “Closing Date”), the Company completed the acquisition of Peoples Natural Gas (the “Peoples Gas Acquisition”), which expanded the Company’s regulated utility business to include natural gas distribution, serving approximately 750,000 natural gas utility customers in western Pennsylvania, West Virginia and Kentucky. The Company paid cash consideration of $3,465,344, which was subject to adjustment based upon the terms of the purchase agreement. Purchase price adjustments included the completion of a closing balance sheet, which was provided to the seller, and an adjustment for utility capital expenditures made by the seller during the period between November 1, 2018 and the Closing Date. In November 2021, the dispute between the parties regarding the adjustment for utility capital expenditures was resolved in accordance with the provisions of the purchase agreement and an inconsequential payment will be made between the parties. The purchase price paid by the Company was determined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20"/>
                <w:szCs w:val="20"/>
                <w:color w:val="auto"/>
              </w:rPr>
              <w:t>Base purchase price</w:t>
            </w:r>
          </w:p>
        </w:tc>
        <w:tc>
          <w:tcPr>
            <w:tcW w:w="3620" w:type="dxa"/>
            <w:vAlign w:val="bottom"/>
            <w:gridSpan w:val="2"/>
            <w:shd w:val="clear" w:color="auto" w:fill="CCEEFF"/>
          </w:tcPr>
          <w:p>
            <w:pPr>
              <w:jc w:val="right"/>
              <w:ind w:right="941"/>
              <w:spacing w:after="0"/>
              <w:rPr>
                <w:sz w:val="20"/>
                <w:szCs w:val="20"/>
                <w:color w:val="auto"/>
              </w:rPr>
            </w:pPr>
            <w:r>
              <w:rPr>
                <w:rFonts w:ascii="Arial" w:cs="Arial" w:eastAsia="Arial" w:hAnsi="Arial"/>
                <w:sz w:val="20"/>
                <w:szCs w:val="20"/>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4,275,000</w:t>
            </w:r>
          </w:p>
        </w:tc>
      </w:tr>
      <w:tr>
        <w:trPr>
          <w:trHeight w:val="203"/>
        </w:trPr>
        <w:tc>
          <w:tcPr>
            <w:tcW w:w="5640" w:type="dxa"/>
            <w:vAlign w:val="bottom"/>
          </w:tcPr>
          <w:p>
            <w:pPr>
              <w:spacing w:after="0" w:line="203" w:lineRule="exact"/>
              <w:rPr>
                <w:sz w:val="20"/>
                <w:szCs w:val="20"/>
                <w:color w:val="auto"/>
              </w:rPr>
            </w:pPr>
            <w:r>
              <w:rPr>
                <w:rFonts w:ascii="Arial" w:cs="Arial" w:eastAsia="Arial" w:hAnsi="Arial"/>
                <w:sz w:val="20"/>
                <w:szCs w:val="20"/>
                <w:color w:val="auto"/>
              </w:rPr>
              <w:t>Adjustments:</w:t>
            </w:r>
          </w:p>
        </w:tc>
        <w:tc>
          <w:tcPr>
            <w:tcW w:w="2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3"/>
        </w:trPr>
        <w:tc>
          <w:tcPr>
            <w:tcW w:w="56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Estimated change in working capital</w:t>
            </w:r>
          </w:p>
        </w:tc>
        <w:tc>
          <w:tcPr>
            <w:tcW w:w="2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43,935</w:t>
            </w:r>
          </w:p>
        </w:tc>
      </w:tr>
      <w:tr>
        <w:trPr>
          <w:trHeight w:val="203"/>
        </w:trPr>
        <w:tc>
          <w:tcPr>
            <w:tcW w:w="5640" w:type="dxa"/>
            <w:vAlign w:val="bottom"/>
          </w:tcPr>
          <w:p>
            <w:pPr>
              <w:ind w:left="120"/>
              <w:spacing w:after="0" w:line="203" w:lineRule="exact"/>
              <w:rPr>
                <w:sz w:val="20"/>
                <w:szCs w:val="20"/>
                <w:color w:val="auto"/>
              </w:rPr>
            </w:pPr>
            <w:r>
              <w:rPr>
                <w:rFonts w:ascii="Arial" w:cs="Arial" w:eastAsia="Arial" w:hAnsi="Arial"/>
                <w:sz w:val="20"/>
                <w:szCs w:val="20"/>
                <w:color w:val="auto"/>
              </w:rPr>
              <w:t>Certain estimated capital expenditures</w:t>
            </w:r>
          </w:p>
        </w:tc>
        <w:tc>
          <w:tcPr>
            <w:tcW w:w="2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jc w:val="right"/>
              <w:spacing w:after="0" w:line="203" w:lineRule="exact"/>
              <w:rPr>
                <w:sz w:val="20"/>
                <w:szCs w:val="20"/>
                <w:color w:val="auto"/>
              </w:rPr>
            </w:pPr>
            <w:r>
              <w:rPr>
                <w:rFonts w:ascii="Arial" w:cs="Arial" w:eastAsia="Arial" w:hAnsi="Arial"/>
                <w:sz w:val="20"/>
                <w:szCs w:val="20"/>
                <w:color w:val="auto"/>
              </w:rPr>
              <w:t>247,500</w:t>
            </w:r>
          </w:p>
        </w:tc>
      </w:tr>
      <w:tr>
        <w:trPr>
          <w:trHeight w:val="203"/>
        </w:trPr>
        <w:tc>
          <w:tcPr>
            <w:tcW w:w="5640" w:type="dxa"/>
            <w:vAlign w:val="bottom"/>
            <w:shd w:val="clear" w:color="auto" w:fill="CCEEFF"/>
          </w:tcPr>
          <w:p>
            <w:pPr>
              <w:ind w:left="120"/>
              <w:spacing w:after="0" w:line="203" w:lineRule="exact"/>
              <w:rPr>
                <w:sz w:val="20"/>
                <w:szCs w:val="20"/>
                <w:color w:val="auto"/>
              </w:rPr>
            </w:pPr>
            <w:r>
              <w:rPr>
                <w:rFonts w:ascii="Arial" w:cs="Arial" w:eastAsia="Arial" w:hAnsi="Arial"/>
                <w:sz w:val="20"/>
                <w:szCs w:val="20"/>
                <w:color w:val="auto"/>
              </w:rPr>
              <w:t>Assumption of indebtedness</w:t>
            </w:r>
          </w:p>
        </w:tc>
        <w:tc>
          <w:tcPr>
            <w:tcW w:w="24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(1,101,091)</w:t>
            </w:r>
          </w:p>
        </w:tc>
      </w:tr>
      <w:tr>
        <w:trPr>
          <w:trHeight w:val="196"/>
        </w:trPr>
        <w:tc>
          <w:tcPr>
            <w:tcW w:w="5640" w:type="dxa"/>
            <w:vAlign w:val="bottom"/>
          </w:tcPr>
          <w:p>
            <w:pPr>
              <w:spacing w:after="0" w:line="196" w:lineRule="exact"/>
              <w:rPr>
                <w:sz w:val="20"/>
                <w:szCs w:val="20"/>
                <w:color w:val="auto"/>
              </w:rPr>
            </w:pPr>
            <w:r>
              <w:rPr>
                <w:rFonts w:ascii="Arial" w:cs="Arial" w:eastAsia="Arial" w:hAnsi="Arial"/>
                <w:sz w:val="20"/>
                <w:szCs w:val="20"/>
                <w:color w:val="auto"/>
              </w:rPr>
              <w:t>Cash consideration</w:t>
            </w:r>
          </w:p>
        </w:tc>
        <w:tc>
          <w:tcPr>
            <w:tcW w:w="2480" w:type="dxa"/>
            <w:vAlign w:val="bottom"/>
          </w:tcPr>
          <w:p>
            <w:pPr>
              <w:spacing w:after="0"/>
              <w:rPr>
                <w:sz w:val="17"/>
                <w:szCs w:val="17"/>
                <w:color w:val="auto"/>
              </w:rPr>
            </w:pPr>
          </w:p>
        </w:tc>
        <w:tc>
          <w:tcPr>
            <w:tcW w:w="1140" w:type="dxa"/>
            <w:vAlign w:val="bottom"/>
            <w:tcBorders>
              <w:bottom w:val="single" w:sz="8" w:color="auto"/>
            </w:tcBorders>
          </w:tcPr>
          <w:p>
            <w:pPr>
              <w:jc w:val="right"/>
              <w:ind w:right="921"/>
              <w:spacing w:after="0" w:line="196" w:lineRule="exact"/>
              <w:rPr>
                <w:sz w:val="20"/>
                <w:szCs w:val="20"/>
                <w:color w:val="auto"/>
              </w:rPr>
            </w:pPr>
            <w:r>
              <w:rPr>
                <w:rFonts w:ascii="Arial" w:cs="Arial" w:eastAsia="Arial" w:hAnsi="Arial"/>
                <w:sz w:val="20"/>
                <w:szCs w:val="20"/>
                <w:color w:val="auto"/>
                <w:w w:val="89"/>
              </w:rPr>
              <w:t>$</w:t>
            </w: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3,465,344</w:t>
            </w:r>
          </w:p>
        </w:tc>
      </w:tr>
      <w:tr>
        <w:trPr>
          <w:trHeight w:val="20"/>
        </w:trPr>
        <w:tc>
          <w:tcPr>
            <w:tcW w:w="5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The assumption of $1,101,091 of indebtedness as of the Closing Date, consisted of $920,091 of senior notes and $181,000 of short-term debt. The acquisition was financed through a series of financing transactions which included the issuance of common stock from a public offering and a private placement, a tangible equity unit offering, and short and long-term debt.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5" w:name="page16"/>
    <w:bookmarkEnd w:id="1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color w:val="auto"/>
        </w:rPr>
        <w:t>The Company accounted for the Peoples Gas Acquisition as a business combination using the acquisition method of accounting.</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The purchase price was allocated to the net tangible and intangible assets based upon their estimated fair values at the date of the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acquisition. The purchase price allocation was preliminary and was subject to revision through the end of the measurement</w:t>
      </w:r>
    </w:p>
    <w:p>
      <w:pPr>
        <w:spacing w:after="0"/>
        <w:rPr>
          <w:sz w:val="20"/>
          <w:szCs w:val="20"/>
          <w:color w:val="auto"/>
        </w:rPr>
      </w:pPr>
      <w:r>
        <w:rPr>
          <w:rFonts w:ascii="Arial" w:cs="Arial" w:eastAsia="Arial" w:hAnsi="Arial"/>
          <w:sz w:val="21"/>
          <w:szCs w:val="21"/>
          <w:color w:val="auto"/>
        </w:rPr>
        <w:t>period on March 15, 2021. During the first quarter of 2021, the Company recorded an adjustment to increase goodwill by</w:t>
      </w:r>
    </w:p>
    <w:p>
      <w:pPr>
        <w:spacing w:after="0"/>
        <w:rPr>
          <w:sz w:val="20"/>
          <w:szCs w:val="20"/>
          <w:color w:val="auto"/>
        </w:rPr>
      </w:pPr>
      <w:r>
        <w:rPr>
          <w:rFonts w:ascii="Arial" w:cs="Arial" w:eastAsia="Arial" w:hAnsi="Arial"/>
          <w:sz w:val="19"/>
          <w:szCs w:val="19"/>
          <w:color w:val="auto"/>
        </w:rPr>
        <w:t>$16,400 primarily reflecting an adjustment to deferred income taxes and the valuation of accounts receivable. Goodwill recorded</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for the Peoples Gas Acquisition is not expected to be deductible for tax purposes. The following table summarizes the purchase</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price allocation as of the acquisition date and measurement period adjustments as of March 15,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center"/>
              <w:ind w:right="101"/>
              <w:spacing w:after="0"/>
              <w:rPr>
                <w:sz w:val="20"/>
                <w:szCs w:val="20"/>
                <w:color w:val="auto"/>
              </w:rPr>
            </w:pPr>
            <w:r>
              <w:rPr>
                <w:rFonts w:ascii="Arial" w:cs="Arial" w:eastAsia="Arial" w:hAnsi="Arial"/>
                <w:sz w:val="20"/>
                <w:szCs w:val="20"/>
                <w:color w:val="auto"/>
                <w:w w:val="91"/>
              </w:rPr>
              <w:t>Amounts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center"/>
              <w:ind w:right="141"/>
              <w:spacing w:after="0"/>
              <w:rPr>
                <w:sz w:val="20"/>
                <w:szCs w:val="20"/>
                <w:color w:val="auto"/>
              </w:rPr>
            </w:pPr>
            <w:r>
              <w:rPr>
                <w:rFonts w:ascii="Arial" w:cs="Arial" w:eastAsia="Arial" w:hAnsi="Arial"/>
                <w:sz w:val="20"/>
                <w:szCs w:val="20"/>
                <w:color w:val="auto"/>
                <w:w w:val="91"/>
              </w:rPr>
              <w:t>Amounts</w:t>
            </w: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ind w:right="101"/>
              <w:spacing w:after="0" w:line="203" w:lineRule="exact"/>
              <w:rPr>
                <w:sz w:val="20"/>
                <w:szCs w:val="20"/>
                <w:color w:val="auto"/>
              </w:rPr>
            </w:pPr>
            <w:r>
              <w:rPr>
                <w:rFonts w:ascii="Arial" w:cs="Arial" w:eastAsia="Arial" w:hAnsi="Arial"/>
                <w:sz w:val="20"/>
                <w:szCs w:val="20"/>
                <w:color w:val="auto"/>
                <w:w w:val="91"/>
              </w:rPr>
              <w:t>Previously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280"/>
              <w:spacing w:after="0" w:line="203" w:lineRule="exact"/>
              <w:rPr>
                <w:sz w:val="20"/>
                <w:szCs w:val="20"/>
                <w:color w:val="auto"/>
              </w:rPr>
            </w:pPr>
            <w:r>
              <w:rPr>
                <w:rFonts w:ascii="Arial" w:cs="Arial" w:eastAsia="Arial" w:hAnsi="Arial"/>
                <w:sz w:val="20"/>
                <w:szCs w:val="20"/>
                <w:color w:val="auto"/>
                <w:w w:val="88"/>
              </w:rPr>
              <w:t>Measurement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center"/>
              <w:ind w:right="141"/>
              <w:spacing w:after="0" w:line="203" w:lineRule="exact"/>
              <w:rPr>
                <w:sz w:val="20"/>
                <w:szCs w:val="20"/>
                <w:color w:val="auto"/>
              </w:rPr>
            </w:pPr>
            <w:r>
              <w:rPr>
                <w:rFonts w:ascii="Arial" w:cs="Arial" w:eastAsia="Arial" w:hAnsi="Arial"/>
                <w:sz w:val="20"/>
                <w:szCs w:val="20"/>
                <w:color w:val="auto"/>
                <w:w w:val="87"/>
              </w:rPr>
              <w:t>Recognized as of</w:t>
            </w: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ind w:right="101"/>
              <w:spacing w:after="0" w:line="203" w:lineRule="exact"/>
              <w:rPr>
                <w:sz w:val="20"/>
                <w:szCs w:val="20"/>
                <w:color w:val="auto"/>
              </w:rPr>
            </w:pPr>
            <w:r>
              <w:rPr>
                <w:rFonts w:ascii="Arial" w:cs="Arial" w:eastAsia="Arial" w:hAnsi="Arial"/>
                <w:sz w:val="20"/>
                <w:szCs w:val="20"/>
                <w:color w:val="auto"/>
                <w:w w:val="87"/>
              </w:rPr>
              <w:t>Recognized as of</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280"/>
              <w:spacing w:after="0" w:line="203" w:lineRule="exact"/>
              <w:rPr>
                <w:sz w:val="20"/>
                <w:szCs w:val="20"/>
                <w:color w:val="auto"/>
              </w:rPr>
            </w:pPr>
            <w:r>
              <w:rPr>
                <w:rFonts w:ascii="Arial" w:cs="Arial" w:eastAsia="Arial" w:hAnsi="Arial"/>
                <w:sz w:val="20"/>
                <w:szCs w:val="20"/>
                <w:color w:val="auto"/>
                <w:w w:val="89"/>
              </w:rPr>
              <w:t>Period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center"/>
              <w:ind w:right="141"/>
              <w:spacing w:after="0" w:line="203" w:lineRule="exact"/>
              <w:rPr>
                <w:sz w:val="20"/>
                <w:szCs w:val="20"/>
                <w:color w:val="auto"/>
              </w:rPr>
            </w:pPr>
            <w:r>
              <w:rPr>
                <w:rFonts w:ascii="Arial" w:cs="Arial" w:eastAsia="Arial" w:hAnsi="Arial"/>
                <w:sz w:val="20"/>
                <w:szCs w:val="20"/>
                <w:color w:val="auto"/>
                <w:w w:val="94"/>
              </w:rPr>
              <w:t>Acquisition Date</w:t>
            </w:r>
          </w:p>
        </w:tc>
      </w:tr>
      <w:tr>
        <w:trPr>
          <w:trHeight w:val="233"/>
        </w:trPr>
        <w:tc>
          <w:tcPr>
            <w:tcW w:w="4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center"/>
              <w:ind w:right="121"/>
              <w:spacing w:after="0"/>
              <w:rPr>
                <w:sz w:val="20"/>
                <w:szCs w:val="20"/>
                <w:color w:val="auto"/>
              </w:rPr>
            </w:pPr>
            <w:r>
              <w:rPr>
                <w:rFonts w:ascii="Arial" w:cs="Arial" w:eastAsia="Arial" w:hAnsi="Arial"/>
                <w:sz w:val="20"/>
                <w:szCs w:val="20"/>
                <w:color w:val="auto"/>
                <w:w w:val="92"/>
              </w:rPr>
              <w:t>Acquisition Date (a)</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Adjustments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center"/>
              <w:ind w:right="121"/>
              <w:spacing w:after="0"/>
              <w:rPr>
                <w:sz w:val="20"/>
                <w:szCs w:val="20"/>
                <w:color w:val="auto"/>
              </w:rPr>
            </w:pPr>
            <w:r>
              <w:rPr>
                <w:rFonts w:ascii="Arial" w:cs="Arial" w:eastAsia="Arial" w:hAnsi="Arial"/>
                <w:sz w:val="20"/>
                <w:szCs w:val="20"/>
                <w:color w:val="auto"/>
                <w:w w:val="89"/>
              </w:rPr>
              <w:t>(as Adjusted)</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Property, plant and equipment, net</w:t>
            </w:r>
          </w:p>
        </w:tc>
        <w:tc>
          <w:tcPr>
            <w:tcW w:w="200" w:type="dxa"/>
            <w:vAlign w:val="bottom"/>
            <w:tcBorders>
              <w:top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w w:val="71"/>
              </w:rPr>
              <w:t>$</w:t>
            </w:r>
          </w:p>
        </w:tc>
        <w:tc>
          <w:tcPr>
            <w:tcW w:w="2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2,476,551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20"/>
                <w:szCs w:val="20"/>
                <w:color w:val="auto"/>
                <w:w w:val="71"/>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20"/>
                <w:szCs w:val="20"/>
                <w:color w:val="auto"/>
                <w:w w:val="71"/>
              </w:rPr>
              <w:t>$</w:t>
            </w:r>
          </w:p>
        </w:tc>
        <w:tc>
          <w:tcPr>
            <w:tcW w:w="1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2,476,551</w:t>
            </w:r>
          </w:p>
        </w:tc>
      </w:tr>
      <w:tr>
        <w:trPr>
          <w:trHeight w:val="203"/>
        </w:trPr>
        <w:tc>
          <w:tcPr>
            <w:tcW w:w="4980" w:type="dxa"/>
            <w:vAlign w:val="bottom"/>
          </w:tcPr>
          <w:p>
            <w:pPr>
              <w:spacing w:after="0" w:line="203" w:lineRule="exact"/>
              <w:rPr>
                <w:sz w:val="20"/>
                <w:szCs w:val="20"/>
                <w:color w:val="auto"/>
              </w:rPr>
            </w:pPr>
            <w:r>
              <w:rPr>
                <w:rFonts w:ascii="Arial" w:cs="Arial" w:eastAsia="Arial" w:hAnsi="Arial"/>
                <w:sz w:val="20"/>
                <w:szCs w:val="20"/>
                <w:color w:val="auto"/>
              </w:rPr>
              <w:t>Current assets</w:t>
            </w:r>
          </w:p>
        </w:tc>
        <w:tc>
          <w:tcPr>
            <w:tcW w:w="2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Arial" w:cs="Arial" w:eastAsia="Arial" w:hAnsi="Arial"/>
                <w:sz w:val="20"/>
                <w:szCs w:val="20"/>
                <w:color w:val="auto"/>
              </w:rPr>
              <w:t>242,531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80"/>
              <w:spacing w:after="0" w:line="203" w:lineRule="exact"/>
              <w:rPr>
                <w:sz w:val="20"/>
                <w:szCs w:val="20"/>
                <w:color w:val="auto"/>
              </w:rPr>
            </w:pPr>
            <w:r>
              <w:rPr>
                <w:rFonts w:ascii="Arial" w:cs="Arial" w:eastAsia="Arial" w:hAnsi="Arial"/>
                <w:sz w:val="20"/>
                <w:szCs w:val="20"/>
                <w:color w:val="auto"/>
              </w:rPr>
              <w:t>(9,197)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20"/>
                <w:szCs w:val="20"/>
                <w:color w:val="auto"/>
              </w:rPr>
              <w:t>233,334</w:t>
            </w:r>
          </w:p>
        </w:tc>
      </w:tr>
      <w:tr>
        <w:trPr>
          <w:trHeight w:val="203"/>
        </w:trPr>
        <w:tc>
          <w:tcPr>
            <w:tcW w:w="49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Regulatory assets</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286,751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20"/>
                <w:szCs w:val="20"/>
                <w:color w:val="auto"/>
              </w:rPr>
              <w:t>(22,293)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264,458</w:t>
            </w:r>
          </w:p>
        </w:tc>
      </w:tr>
      <w:tr>
        <w:trPr>
          <w:trHeight w:val="203"/>
        </w:trPr>
        <w:tc>
          <w:tcPr>
            <w:tcW w:w="4980" w:type="dxa"/>
            <w:vAlign w:val="bottom"/>
          </w:tcPr>
          <w:p>
            <w:pPr>
              <w:spacing w:after="0" w:line="203" w:lineRule="exact"/>
              <w:rPr>
                <w:sz w:val="20"/>
                <w:szCs w:val="20"/>
                <w:color w:val="auto"/>
              </w:rPr>
            </w:pPr>
            <w:r>
              <w:rPr>
                <w:rFonts w:ascii="Arial" w:cs="Arial" w:eastAsia="Arial" w:hAnsi="Arial"/>
                <w:sz w:val="20"/>
                <w:szCs w:val="20"/>
                <w:color w:val="auto"/>
              </w:rPr>
              <w:t>Goodwill</w:t>
            </w:r>
          </w:p>
        </w:tc>
        <w:tc>
          <w:tcPr>
            <w:tcW w:w="2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Arial" w:cs="Arial" w:eastAsia="Arial" w:hAnsi="Arial"/>
                <w:sz w:val="20"/>
                <w:szCs w:val="20"/>
                <w:color w:val="auto"/>
              </w:rPr>
              <w:t>2,261,047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20"/>
                <w:szCs w:val="20"/>
                <w:color w:val="auto"/>
              </w:rPr>
              <w:t>16,400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20"/>
                <w:szCs w:val="20"/>
                <w:color w:val="auto"/>
              </w:rPr>
              <w:t>2,277,447</w:t>
            </w:r>
          </w:p>
        </w:tc>
      </w:tr>
      <w:tr>
        <w:trPr>
          <w:trHeight w:val="203"/>
        </w:trPr>
        <w:tc>
          <w:tcPr>
            <w:tcW w:w="49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Other long-term assets</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75,071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75,071</w:t>
            </w:r>
          </w:p>
        </w:tc>
      </w:tr>
      <w:tr>
        <w:trPr>
          <w:trHeight w:val="196"/>
        </w:trPr>
        <w:tc>
          <w:tcPr>
            <w:tcW w:w="4980" w:type="dxa"/>
            <w:vAlign w:val="bottom"/>
            <w:tcBorders>
              <w:bottom w:val="single" w:sz="8" w:color="CCEEFF"/>
            </w:tcBorders>
          </w:tcPr>
          <w:p>
            <w:pPr>
              <w:spacing w:after="0" w:line="196" w:lineRule="exact"/>
              <w:rPr>
                <w:sz w:val="20"/>
                <w:szCs w:val="20"/>
                <w:color w:val="auto"/>
              </w:rPr>
            </w:pPr>
            <w:r>
              <w:rPr>
                <w:rFonts w:ascii="Arial" w:cs="Arial" w:eastAsia="Arial" w:hAnsi="Arial"/>
                <w:sz w:val="20"/>
                <w:szCs w:val="20"/>
                <w:color w:val="auto"/>
              </w:rPr>
              <w:t>Total assets acquired</w:t>
            </w:r>
          </w:p>
        </w:tc>
        <w:tc>
          <w:tcPr>
            <w:tcW w:w="200" w:type="dxa"/>
            <w:vAlign w:val="bottom"/>
            <w:tcBorders>
              <w:top w:val="single" w:sz="8" w:color="auto"/>
              <w:bottom w:val="single" w:sz="8" w:color="auto"/>
            </w:tcBorders>
          </w:tcPr>
          <w:p>
            <w:pPr>
              <w:spacing w:after="0"/>
              <w:rPr>
                <w:sz w:val="17"/>
                <w:szCs w:val="17"/>
                <w:color w:val="auto"/>
              </w:rPr>
            </w:pPr>
          </w:p>
        </w:tc>
        <w:tc>
          <w:tcPr>
            <w:tcW w:w="2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5,341,951</w:t>
            </w:r>
          </w:p>
        </w:tc>
        <w:tc>
          <w:tcPr>
            <w:tcW w:w="1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(15,090)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5,326,861</w:t>
            </w:r>
          </w:p>
        </w:tc>
      </w:tr>
      <w:tr>
        <w:trPr>
          <w:trHeight w:val="196"/>
        </w:trPr>
        <w:tc>
          <w:tcPr>
            <w:tcW w:w="4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03"/>
        </w:trPr>
        <w:tc>
          <w:tcPr>
            <w:tcW w:w="4980" w:type="dxa"/>
            <w:vAlign w:val="bottom"/>
          </w:tcPr>
          <w:p>
            <w:pPr>
              <w:spacing w:after="0" w:line="203" w:lineRule="exact"/>
              <w:rPr>
                <w:sz w:val="20"/>
                <w:szCs w:val="20"/>
                <w:color w:val="auto"/>
              </w:rPr>
            </w:pPr>
            <w:r>
              <w:rPr>
                <w:rFonts w:ascii="Arial" w:cs="Arial" w:eastAsia="Arial" w:hAnsi="Arial"/>
                <w:sz w:val="20"/>
                <w:szCs w:val="20"/>
                <w:color w:val="auto"/>
              </w:rPr>
              <w:t>Current portion of long-term debt</w:t>
            </w:r>
          </w:p>
        </w:tc>
        <w:tc>
          <w:tcPr>
            <w:tcW w:w="2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Arial" w:cs="Arial" w:eastAsia="Arial" w:hAnsi="Arial"/>
                <w:sz w:val="20"/>
                <w:szCs w:val="20"/>
                <w:color w:val="auto"/>
              </w:rPr>
              <w:t>5,136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80"/>
              <w:spacing w:after="0" w:line="203" w:lineRule="exact"/>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20"/>
                <w:szCs w:val="20"/>
                <w:color w:val="auto"/>
              </w:rPr>
              <w:t>5,136</w:t>
            </w:r>
          </w:p>
        </w:tc>
      </w:tr>
      <w:tr>
        <w:trPr>
          <w:trHeight w:val="203"/>
        </w:trPr>
        <w:tc>
          <w:tcPr>
            <w:tcW w:w="49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Loans payable</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181,000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181,000</w:t>
            </w:r>
          </w:p>
        </w:tc>
      </w:tr>
      <w:tr>
        <w:trPr>
          <w:trHeight w:val="203"/>
        </w:trPr>
        <w:tc>
          <w:tcPr>
            <w:tcW w:w="4980" w:type="dxa"/>
            <w:vAlign w:val="bottom"/>
          </w:tcPr>
          <w:p>
            <w:pPr>
              <w:spacing w:after="0" w:line="203" w:lineRule="exact"/>
              <w:rPr>
                <w:sz w:val="20"/>
                <w:szCs w:val="20"/>
                <w:color w:val="auto"/>
              </w:rPr>
            </w:pPr>
            <w:r>
              <w:rPr>
                <w:rFonts w:ascii="Arial" w:cs="Arial" w:eastAsia="Arial" w:hAnsi="Arial"/>
                <w:sz w:val="20"/>
                <w:szCs w:val="20"/>
                <w:color w:val="auto"/>
              </w:rPr>
              <w:t>Other current liabilities</w:t>
            </w:r>
          </w:p>
        </w:tc>
        <w:tc>
          <w:tcPr>
            <w:tcW w:w="2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Arial" w:cs="Arial" w:eastAsia="Arial" w:hAnsi="Arial"/>
                <w:sz w:val="20"/>
                <w:szCs w:val="20"/>
                <w:color w:val="auto"/>
              </w:rPr>
              <w:t>186,120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80"/>
              <w:spacing w:after="0" w:line="203" w:lineRule="exact"/>
              <w:rPr>
                <w:sz w:val="20"/>
                <w:szCs w:val="20"/>
                <w:color w:val="auto"/>
              </w:rPr>
            </w:pPr>
            <w:r>
              <w:rPr>
                <w:rFonts w:ascii="Arial" w:cs="Arial" w:eastAsia="Arial" w:hAnsi="Arial"/>
                <w:sz w:val="20"/>
                <w:szCs w:val="20"/>
                <w:color w:val="auto"/>
              </w:rPr>
              <w:t>(200)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20"/>
                <w:szCs w:val="20"/>
                <w:color w:val="auto"/>
              </w:rPr>
              <w:t>185,920</w:t>
            </w:r>
          </w:p>
        </w:tc>
      </w:tr>
      <w:tr>
        <w:trPr>
          <w:trHeight w:val="203"/>
        </w:trPr>
        <w:tc>
          <w:tcPr>
            <w:tcW w:w="49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Long-term debt</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999,460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999,460</w:t>
            </w:r>
          </w:p>
        </w:tc>
      </w:tr>
      <w:tr>
        <w:trPr>
          <w:trHeight w:val="203"/>
        </w:trPr>
        <w:tc>
          <w:tcPr>
            <w:tcW w:w="4980" w:type="dxa"/>
            <w:vAlign w:val="bottom"/>
          </w:tcPr>
          <w:p>
            <w:pPr>
              <w:spacing w:after="0" w:line="203" w:lineRule="exact"/>
              <w:rPr>
                <w:sz w:val="20"/>
                <w:szCs w:val="20"/>
                <w:color w:val="auto"/>
              </w:rPr>
            </w:pPr>
            <w:r>
              <w:rPr>
                <w:rFonts w:ascii="Arial" w:cs="Arial" w:eastAsia="Arial" w:hAnsi="Arial"/>
                <w:sz w:val="20"/>
                <w:szCs w:val="20"/>
                <w:color w:val="auto"/>
              </w:rPr>
              <w:t>Deferred income taxes</w:t>
            </w:r>
          </w:p>
        </w:tc>
        <w:tc>
          <w:tcPr>
            <w:tcW w:w="2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Arial" w:cs="Arial" w:eastAsia="Arial" w:hAnsi="Arial"/>
                <w:sz w:val="20"/>
                <w:szCs w:val="20"/>
                <w:color w:val="auto"/>
              </w:rPr>
              <w:t>213,647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80"/>
              <w:spacing w:after="0" w:line="203" w:lineRule="exact"/>
              <w:rPr>
                <w:sz w:val="20"/>
                <w:szCs w:val="20"/>
                <w:color w:val="auto"/>
              </w:rPr>
            </w:pPr>
            <w:r>
              <w:rPr>
                <w:rFonts w:ascii="Arial" w:cs="Arial" w:eastAsia="Arial" w:hAnsi="Arial"/>
                <w:sz w:val="20"/>
                <w:szCs w:val="20"/>
                <w:color w:val="auto"/>
              </w:rPr>
              <w:t>(20,522)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20"/>
                <w:szCs w:val="20"/>
                <w:color w:val="auto"/>
              </w:rPr>
              <w:t>193,125</w:t>
            </w:r>
          </w:p>
        </w:tc>
      </w:tr>
      <w:tr>
        <w:trPr>
          <w:trHeight w:val="203"/>
        </w:trPr>
        <w:tc>
          <w:tcPr>
            <w:tcW w:w="4980" w:type="dxa"/>
            <w:vAlign w:val="bottom"/>
            <w:shd w:val="clear" w:color="auto" w:fill="CCEEFF"/>
          </w:tcPr>
          <w:p>
            <w:pPr>
              <w:spacing w:after="0" w:line="203" w:lineRule="exact"/>
              <w:rPr>
                <w:sz w:val="20"/>
                <w:szCs w:val="20"/>
                <w:color w:val="auto"/>
              </w:rPr>
            </w:pPr>
            <w:r>
              <w:rPr>
                <w:rFonts w:ascii="Arial" w:cs="Arial" w:eastAsia="Arial" w:hAnsi="Arial"/>
                <w:sz w:val="20"/>
                <w:szCs w:val="20"/>
                <w:color w:val="auto"/>
              </w:rPr>
              <w:t>Regulatory liabilities</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123,029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6,389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203" w:lineRule="exact"/>
              <w:rPr>
                <w:sz w:val="20"/>
                <w:szCs w:val="20"/>
                <w:color w:val="auto"/>
              </w:rPr>
            </w:pPr>
            <w:r>
              <w:rPr>
                <w:rFonts w:ascii="Arial" w:cs="Arial" w:eastAsia="Arial" w:hAnsi="Arial"/>
                <w:sz w:val="20"/>
                <w:szCs w:val="20"/>
                <w:color w:val="auto"/>
              </w:rPr>
              <w:t>129,418</w:t>
            </w:r>
          </w:p>
        </w:tc>
      </w:tr>
      <w:tr>
        <w:trPr>
          <w:trHeight w:val="203"/>
        </w:trPr>
        <w:tc>
          <w:tcPr>
            <w:tcW w:w="4980" w:type="dxa"/>
            <w:vAlign w:val="bottom"/>
          </w:tcPr>
          <w:p>
            <w:pPr>
              <w:spacing w:after="0" w:line="203" w:lineRule="exact"/>
              <w:rPr>
                <w:sz w:val="20"/>
                <w:szCs w:val="20"/>
                <w:color w:val="auto"/>
              </w:rPr>
            </w:pPr>
            <w:r>
              <w:rPr>
                <w:rFonts w:ascii="Arial" w:cs="Arial" w:eastAsia="Arial" w:hAnsi="Arial"/>
                <w:sz w:val="20"/>
                <w:szCs w:val="20"/>
                <w:color w:val="auto"/>
              </w:rPr>
              <w:t>Other long-term liabilities</w:t>
            </w:r>
          </w:p>
        </w:tc>
        <w:tc>
          <w:tcPr>
            <w:tcW w:w="20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Arial" w:cs="Arial" w:eastAsia="Arial" w:hAnsi="Arial"/>
                <w:sz w:val="20"/>
                <w:szCs w:val="20"/>
                <w:color w:val="auto"/>
              </w:rPr>
              <w:t>168,215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80"/>
              <w:spacing w:after="0" w:line="203" w:lineRule="exact"/>
              <w:rPr>
                <w:sz w:val="20"/>
                <w:szCs w:val="20"/>
                <w:color w:val="auto"/>
              </w:rPr>
            </w:pPr>
            <w:r>
              <w:rPr>
                <w:rFonts w:ascii="Arial" w:cs="Arial" w:eastAsia="Arial" w:hAnsi="Arial"/>
                <w:sz w:val="20"/>
                <w:szCs w:val="20"/>
                <w:color w:val="auto"/>
              </w:rPr>
              <w:t>(757)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20"/>
                <w:szCs w:val="20"/>
                <w:color w:val="auto"/>
              </w:rPr>
              <w:t>167,458</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20"/>
                <w:szCs w:val="20"/>
                <w:color w:val="auto"/>
              </w:rPr>
              <w:t>Total liabilities assumed</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2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1,876,607</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(15,090)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20"/>
                <w:szCs w:val="20"/>
                <w:color w:val="auto"/>
              </w:rPr>
              <w:t>1,861,517</w:t>
            </w:r>
          </w:p>
        </w:tc>
      </w:tr>
      <w:tr>
        <w:trPr>
          <w:trHeight w:val="236"/>
        </w:trPr>
        <w:tc>
          <w:tcPr>
            <w:tcW w:w="4980" w:type="dxa"/>
            <w:vAlign w:val="bottom"/>
            <w:tcBorders>
              <w:bottom w:val="single" w:sz="8" w:color="CCEEFF"/>
            </w:tcBorders>
          </w:tcPr>
          <w:p>
            <w:pPr>
              <w:spacing w:after="0" w:line="196" w:lineRule="exact"/>
              <w:rPr>
                <w:sz w:val="20"/>
                <w:szCs w:val="20"/>
                <w:color w:val="auto"/>
              </w:rPr>
            </w:pPr>
            <w:r>
              <w:rPr>
                <w:rFonts w:ascii="Arial" w:cs="Arial" w:eastAsia="Arial" w:hAnsi="Arial"/>
                <w:sz w:val="20"/>
                <w:szCs w:val="20"/>
                <w:color w:val="auto"/>
              </w:rPr>
              <w:t>Net assets acquired</w:t>
            </w:r>
          </w:p>
        </w:tc>
        <w:tc>
          <w:tcPr>
            <w:tcW w:w="200" w:type="dxa"/>
            <w:vAlign w:val="bottom"/>
            <w:tcBorders>
              <w:bottom w:val="single" w:sz="8" w:color="auto"/>
            </w:tcBorders>
          </w:tcPr>
          <w:p>
            <w:pPr>
              <w:jc w:val="right"/>
              <w:ind w:right="1"/>
              <w:spacing w:after="0" w:line="196" w:lineRule="exact"/>
              <w:rPr>
                <w:sz w:val="20"/>
                <w:szCs w:val="20"/>
                <w:color w:val="auto"/>
              </w:rPr>
            </w:pPr>
            <w:r>
              <w:rPr>
                <w:rFonts w:ascii="Arial" w:cs="Arial" w:eastAsia="Arial" w:hAnsi="Arial"/>
                <w:sz w:val="20"/>
                <w:szCs w:val="20"/>
                <w:color w:val="auto"/>
                <w:w w:val="71"/>
              </w:rPr>
              <w:t>$</w:t>
            </w:r>
          </w:p>
        </w:tc>
        <w:tc>
          <w:tcPr>
            <w:tcW w:w="2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3,465,344</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
              <w:spacing w:after="0" w:line="196" w:lineRule="exact"/>
              <w:rPr>
                <w:sz w:val="20"/>
                <w:szCs w:val="20"/>
                <w:color w:val="auto"/>
              </w:rPr>
            </w:pPr>
            <w:r>
              <w:rPr>
                <w:rFonts w:ascii="Arial" w:cs="Arial" w:eastAsia="Arial" w:hAnsi="Arial"/>
                <w:sz w:val="20"/>
                <w:szCs w:val="20"/>
                <w:color w:val="auto"/>
                <w:w w:val="71"/>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1"/>
              <w:spacing w:after="0" w:line="196" w:lineRule="exact"/>
              <w:rPr>
                <w:sz w:val="20"/>
                <w:szCs w:val="20"/>
                <w:color w:val="auto"/>
              </w:rPr>
            </w:pPr>
            <w:r>
              <w:rPr>
                <w:rFonts w:ascii="Arial" w:cs="Arial" w:eastAsia="Arial" w:hAnsi="Arial"/>
                <w:sz w:val="20"/>
                <w:szCs w:val="20"/>
                <w:color w:val="auto"/>
              </w:rPr>
              <w:t>$</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3,465,344</w:t>
            </w:r>
          </w:p>
        </w:tc>
      </w:tr>
      <w:tr>
        <w:trPr>
          <w:trHeight w:val="183"/>
        </w:trPr>
        <w:tc>
          <w:tcPr>
            <w:tcW w:w="4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bl>
    <w:p>
      <w:pPr>
        <w:spacing w:after="0" w:line="20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As reported, the Essential Utilities, Inc. Form 10-K for the period ended December 31, 2020.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6" w:name="page17"/>
    <w:bookmarkEnd w:id="1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60"/>
        <w:spacing w:after="0" w:line="221" w:lineRule="auto"/>
        <w:rPr>
          <w:sz w:val="20"/>
          <w:szCs w:val="20"/>
          <w:color w:val="auto"/>
        </w:rPr>
      </w:pPr>
      <w:r>
        <w:rPr>
          <w:rFonts w:ascii="Arial" w:cs="Arial" w:eastAsia="Arial" w:hAnsi="Arial"/>
          <w:sz w:val="22"/>
          <w:szCs w:val="22"/>
          <w:color w:val="auto"/>
        </w:rPr>
        <w:t>The Company incurred transaction-related expenses for the Peoples Gas Acquisition, which consisted of costs recorded as operations and maintenance expenses in the first quarter of 2020 of $25,397 primarily representing expenses associated with investment banking fees, including bridge financing, employee related costs, obtaining regulatory approvals, legal expenses, and integration planning. There were no further transaction-related expenses for the Peoples Gas Acquisition after the first quarter of 2020.</w:t>
      </w:r>
    </w:p>
    <w:p>
      <w:pPr>
        <w:spacing w:after="0" w:line="1"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The results of Peoples have been included in our consolidated financial statements as of the Closing Date. Peoples contributed revenues of $280,300 and earnings of $6,131 for the period from the Closing Date to September 30, 2020. The following pro forma summary presents consolidated unaudited information as if the Peoples Gas Acquisition had occurred on January 1, 2019: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60" w:type="dxa"/>
            <w:vAlign w:val="bottom"/>
          </w:tcPr>
          <w:p>
            <w:pPr>
              <w:jc w:val="center"/>
              <w:ind w:right="952"/>
              <w:spacing w:after="0"/>
              <w:rPr>
                <w:sz w:val="20"/>
                <w:szCs w:val="20"/>
                <w:color w:val="auto"/>
              </w:rPr>
            </w:pPr>
            <w:r>
              <w:rPr>
                <w:rFonts w:ascii="Arial" w:cs="Arial" w:eastAsia="Arial" w:hAnsi="Arial"/>
                <w:sz w:val="22"/>
                <w:szCs w:val="22"/>
                <w:color w:val="auto"/>
                <w:w w:val="88"/>
              </w:rPr>
              <w:t>Three Months Ended</w:t>
            </w:r>
          </w:p>
        </w:tc>
        <w:tc>
          <w:tcPr>
            <w:tcW w:w="2900" w:type="dxa"/>
            <w:vAlign w:val="bottom"/>
            <w:gridSpan w:val="2"/>
          </w:tcPr>
          <w:p>
            <w:pPr>
              <w:ind w:left="540"/>
              <w:spacing w:after="0"/>
              <w:rPr>
                <w:sz w:val="20"/>
                <w:szCs w:val="20"/>
                <w:color w:val="auto"/>
              </w:rPr>
            </w:pPr>
            <w:r>
              <w:rPr>
                <w:rFonts w:ascii="Arial" w:cs="Arial" w:eastAsia="Arial" w:hAnsi="Arial"/>
                <w:sz w:val="22"/>
                <w:szCs w:val="22"/>
                <w:color w:val="auto"/>
              </w:rPr>
              <w:t>Nine Months Ended</w:t>
            </w:r>
          </w:p>
        </w:tc>
      </w:tr>
      <w:tr>
        <w:trPr>
          <w:trHeight w:val="251"/>
        </w:trPr>
        <w:tc>
          <w:tcPr>
            <w:tcW w:w="46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jc w:val="center"/>
              <w:ind w:right="972"/>
              <w:spacing w:after="0" w:line="251" w:lineRule="exact"/>
              <w:rPr>
                <w:sz w:val="20"/>
                <w:szCs w:val="20"/>
                <w:color w:val="auto"/>
              </w:rPr>
            </w:pPr>
            <w:r>
              <w:rPr>
                <w:rFonts w:ascii="Arial" w:cs="Arial" w:eastAsia="Arial" w:hAnsi="Arial"/>
                <w:sz w:val="22"/>
                <w:szCs w:val="22"/>
                <w:color w:val="auto"/>
                <w:w w:val="86"/>
              </w:rPr>
              <w:t>September 30, 2020</w:t>
            </w:r>
          </w:p>
        </w:tc>
        <w:tc>
          <w:tcPr>
            <w:tcW w:w="2900" w:type="dxa"/>
            <w:vAlign w:val="bottom"/>
            <w:tcBorders>
              <w:bottom w:val="single" w:sz="8" w:color="auto"/>
            </w:tcBorders>
            <w:gridSpan w:val="2"/>
          </w:tcPr>
          <w:p>
            <w:pPr>
              <w:ind w:left="560"/>
              <w:spacing w:after="0" w:line="251" w:lineRule="exact"/>
              <w:rPr>
                <w:sz w:val="20"/>
                <w:szCs w:val="20"/>
                <w:color w:val="auto"/>
              </w:rPr>
            </w:pPr>
            <w:r>
              <w:rPr>
                <w:rFonts w:ascii="Arial" w:cs="Arial" w:eastAsia="Arial" w:hAnsi="Arial"/>
                <w:sz w:val="22"/>
                <w:szCs w:val="22"/>
                <w:color w:val="auto"/>
              </w:rPr>
              <w:t>September 30,2020</w:t>
            </w:r>
          </w:p>
        </w:tc>
      </w:tr>
      <w:tr>
        <w:trPr>
          <w:trHeight w:val="223"/>
        </w:trPr>
        <w:tc>
          <w:tcPr>
            <w:tcW w:w="4640" w:type="dxa"/>
            <w:vAlign w:val="bottom"/>
            <w:shd w:val="clear" w:color="auto" w:fill="CCEEFF"/>
          </w:tcPr>
          <w:p>
            <w:pPr>
              <w:ind w:left="340"/>
              <w:spacing w:after="0" w:line="223" w:lineRule="exact"/>
              <w:rPr>
                <w:sz w:val="20"/>
                <w:szCs w:val="20"/>
                <w:color w:val="auto"/>
              </w:rPr>
            </w:pPr>
            <w:r>
              <w:rPr>
                <w:rFonts w:ascii="Arial" w:cs="Arial" w:eastAsia="Arial" w:hAnsi="Arial"/>
                <w:sz w:val="22"/>
                <w:szCs w:val="22"/>
                <w:color w:val="auto"/>
              </w:rPr>
              <w:t>Operating revenues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3360" w:type="dxa"/>
            <w:vAlign w:val="bottom"/>
            <w:shd w:val="clear" w:color="auto" w:fill="CCEEFF"/>
          </w:tcPr>
          <w:p>
            <w:pPr>
              <w:jc w:val="right"/>
              <w:ind w:right="512"/>
              <w:spacing w:after="0" w:line="223" w:lineRule="exact"/>
              <w:rPr>
                <w:sz w:val="20"/>
                <w:szCs w:val="20"/>
                <w:color w:val="auto"/>
              </w:rPr>
            </w:pPr>
            <w:r>
              <w:rPr>
                <w:rFonts w:ascii="Arial" w:cs="Arial" w:eastAsia="Arial" w:hAnsi="Arial"/>
                <w:sz w:val="22"/>
                <w:szCs w:val="22"/>
                <w:color w:val="auto"/>
              </w:rPr>
              <w:t>348,647</w:t>
            </w:r>
          </w:p>
        </w:tc>
        <w:tc>
          <w:tcPr>
            <w:tcW w:w="1240" w:type="dxa"/>
            <w:vAlign w:val="bottom"/>
            <w:shd w:val="clear" w:color="auto" w:fill="CCEEFF"/>
          </w:tcPr>
          <w:p>
            <w:pPr>
              <w:ind w:left="560"/>
              <w:spacing w:after="0" w:line="223" w:lineRule="exact"/>
              <w:rPr>
                <w:sz w:val="20"/>
                <w:szCs w:val="20"/>
                <w:color w:val="auto"/>
              </w:rPr>
            </w:pPr>
            <w:r>
              <w:rPr>
                <w:rFonts w:ascii="Arial" w:cs="Arial" w:eastAsia="Arial" w:hAnsi="Arial"/>
                <w:sz w:val="22"/>
                <w:szCs w:val="22"/>
                <w:color w:val="auto"/>
              </w:rPr>
              <w:t>$</w:t>
            </w:r>
          </w:p>
        </w:tc>
        <w:tc>
          <w:tcPr>
            <w:tcW w:w="1660" w:type="dxa"/>
            <w:vAlign w:val="bottom"/>
            <w:shd w:val="clear" w:color="auto" w:fill="CCEEFF"/>
          </w:tcPr>
          <w:p>
            <w:pPr>
              <w:jc w:val="right"/>
              <w:ind w:right="132"/>
              <w:spacing w:after="0" w:line="223" w:lineRule="exact"/>
              <w:rPr>
                <w:sz w:val="20"/>
                <w:szCs w:val="20"/>
                <w:color w:val="auto"/>
              </w:rPr>
            </w:pPr>
            <w:r>
              <w:rPr>
                <w:rFonts w:ascii="Arial" w:cs="Arial" w:eastAsia="Arial" w:hAnsi="Arial"/>
                <w:sz w:val="22"/>
                <w:szCs w:val="22"/>
                <w:color w:val="auto"/>
              </w:rPr>
              <w:t>1,269,768</w:t>
            </w:r>
          </w:p>
        </w:tc>
      </w:tr>
      <w:tr>
        <w:trPr>
          <w:trHeight w:val="274"/>
        </w:trPr>
        <w:tc>
          <w:tcPr>
            <w:tcW w:w="4640" w:type="dxa"/>
            <w:vAlign w:val="bottom"/>
          </w:tcPr>
          <w:p>
            <w:pPr>
              <w:ind w:left="340"/>
              <w:spacing w:after="0"/>
              <w:rPr>
                <w:sz w:val="20"/>
                <w:szCs w:val="20"/>
                <w:color w:val="auto"/>
              </w:rPr>
            </w:pPr>
            <w:r>
              <w:rPr>
                <w:rFonts w:ascii="Arial" w:cs="Arial" w:eastAsia="Arial" w:hAnsi="Arial"/>
                <w:sz w:val="22"/>
                <w:szCs w:val="22"/>
                <w:color w:val="auto"/>
              </w:rPr>
              <w:t>Net income</w:t>
            </w:r>
          </w:p>
        </w:tc>
        <w:tc>
          <w:tcPr>
            <w:tcW w:w="340" w:type="dxa"/>
            <w:vAlign w:val="bottom"/>
          </w:tcPr>
          <w:p>
            <w:pPr>
              <w:spacing w:after="0"/>
              <w:rPr>
                <w:sz w:val="23"/>
                <w:szCs w:val="23"/>
                <w:color w:val="auto"/>
              </w:rPr>
            </w:pPr>
          </w:p>
        </w:tc>
        <w:tc>
          <w:tcPr>
            <w:tcW w:w="3360" w:type="dxa"/>
            <w:vAlign w:val="bottom"/>
          </w:tcPr>
          <w:p>
            <w:pPr>
              <w:jc w:val="right"/>
              <w:ind w:right="432"/>
              <w:spacing w:after="0"/>
              <w:rPr>
                <w:sz w:val="20"/>
                <w:szCs w:val="20"/>
                <w:color w:val="auto"/>
              </w:rPr>
            </w:pPr>
            <w:r>
              <w:rPr>
                <w:rFonts w:ascii="Arial" w:cs="Arial" w:eastAsia="Arial" w:hAnsi="Arial"/>
                <w:sz w:val="22"/>
                <w:szCs w:val="22"/>
                <w:color w:val="auto"/>
              </w:rPr>
              <w:t>55,732</w:t>
            </w:r>
          </w:p>
        </w:tc>
        <w:tc>
          <w:tcPr>
            <w:tcW w:w="1240" w:type="dxa"/>
            <w:vAlign w:val="bottom"/>
          </w:tcPr>
          <w:p>
            <w:pPr>
              <w:spacing w:after="0"/>
              <w:rPr>
                <w:sz w:val="23"/>
                <w:szCs w:val="23"/>
                <w:color w:val="auto"/>
              </w:rPr>
            </w:pPr>
          </w:p>
        </w:tc>
        <w:tc>
          <w:tcPr>
            <w:tcW w:w="1660" w:type="dxa"/>
            <w:vAlign w:val="bottom"/>
          </w:tcPr>
          <w:p>
            <w:pPr>
              <w:jc w:val="right"/>
              <w:ind w:right="112"/>
              <w:spacing w:after="0"/>
              <w:rPr>
                <w:sz w:val="20"/>
                <w:szCs w:val="20"/>
                <w:color w:val="auto"/>
              </w:rPr>
            </w:pPr>
            <w:r>
              <w:rPr>
                <w:rFonts w:ascii="Arial" w:cs="Arial" w:eastAsia="Arial" w:hAnsi="Arial"/>
                <w:sz w:val="22"/>
                <w:szCs w:val="22"/>
                <w:color w:val="auto"/>
              </w:rPr>
              <w:t>264,785</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The supplemental pro forma information is not necessarily representative of the actual results that may have occurred for the</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period or of the results that may occur in the future. This supplemental pro forma information is based upon the historical</w:t>
      </w:r>
    </w:p>
    <w:p>
      <w:pPr>
        <w:spacing w:after="0" w:line="228" w:lineRule="auto"/>
        <w:rPr>
          <w:sz w:val="20"/>
          <w:szCs w:val="20"/>
          <w:color w:val="auto"/>
        </w:rPr>
      </w:pPr>
      <w:r>
        <w:rPr>
          <w:rFonts w:ascii="Arial" w:cs="Arial" w:eastAsia="Arial" w:hAnsi="Arial"/>
          <w:sz w:val="21"/>
          <w:szCs w:val="21"/>
          <w:color w:val="auto"/>
        </w:rPr>
        <w:t>operating results of Peoples for the period prior to the Closing Date and is adjusted to reflect the effect of non-recurring</w:t>
      </w:r>
    </w:p>
    <w:p>
      <w:pPr>
        <w:spacing w:after="0"/>
        <w:rPr>
          <w:sz w:val="20"/>
          <w:szCs w:val="20"/>
          <w:color w:val="auto"/>
        </w:rPr>
      </w:pPr>
      <w:r>
        <w:rPr>
          <w:rFonts w:ascii="Arial" w:cs="Arial" w:eastAsia="Arial" w:hAnsi="Arial"/>
          <w:sz w:val="19"/>
          <w:szCs w:val="19"/>
          <w:color w:val="auto"/>
        </w:rPr>
        <w:t>acquisition-related costs, incurred in 2020 as if they occurred on January 1, 2019. The adjustments include $20,628 ($25,197</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pre-tax) of expenses incurred in 2020, primarily associated with investment banking fees, obtaining regulatory approvals, legal</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expenses and other direct costs of the Peoples Gas Acquisition, adjustments to reflect net acquisition financing as of January 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2019 of $10,700 ($14,342 pre-tax), the elimination of interest on debt that was not assumed in the acquisition of $2,448 ($3,442</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pre-tax), and the elimination of a management fee charged quarterly to Peoples by its former parent company of $885 ($1,245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pre-tax).  Associated with the approval of the Peoples Gas Acquisition from the Pennsylvania Public Utility Commission, the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Company committed to addressing the replacement of gathering pipe over a seven year timeframe for an estimated cost of</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$120,000, which will be recoverable through customer rates. Additionally, the Company committed to provide $23,004 of one-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time customer rate credits to its Pennsylvania natural gas utility customers and water and wastewater customers served by Aqua</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Pennsylvania, Inc. (“Aqua Pennsylvania”). The Company granted $4,080 of customer rate credits to its water and wastewater</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customers during the third quarter of 2020, and $18,924 to its natural gas utility customers in the fourth quarter of 2020 to satisfy</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the $23,004 commitment.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 - Completed</w:t>
      </w:r>
    </w:p>
    <w:p>
      <w:pPr>
        <w:spacing w:after="0" w:line="206" w:lineRule="exact"/>
        <w:rPr>
          <w:sz w:val="20"/>
          <w:szCs w:val="20"/>
          <w:color w:val="auto"/>
        </w:rPr>
      </w:pPr>
    </w:p>
    <w:p>
      <w:pPr>
        <w:ind w:right="40"/>
        <w:spacing w:after="0" w:line="228" w:lineRule="auto"/>
        <w:rPr>
          <w:sz w:val="20"/>
          <w:szCs w:val="20"/>
          <w:color w:val="auto"/>
        </w:rPr>
      </w:pPr>
      <w:r>
        <w:rPr>
          <w:rFonts w:ascii="Arial" w:cs="Arial" w:eastAsia="Arial" w:hAnsi="Arial"/>
          <w:sz w:val="22"/>
          <w:szCs w:val="22"/>
          <w:color w:val="auto"/>
        </w:rPr>
        <w:t>In August 2021, the Company acquired the water utility system assets of The Commons Water Supply, Inc., which serves 992 customers in Harris County, Texas, and the wastewater utility system assets of the Village of Bourbonnais, which serves approximately 6,500 customers in Kankakee County, Illinois. The total cash purchase prices for these utility systems were $4,000 and $32,100, respectively.</w:t>
      </w:r>
    </w:p>
    <w:p>
      <w:pPr>
        <w:spacing w:after="0" w:line="186"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In December 2020, the Company acquired the wastewater utility system assets of New Garden Township, Pennsylvania, which serves 1,965 customers. The total cash purchase price for the utility system was $29,944.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7" w:name="page18"/>
    <w:bookmarkEnd w:id="1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80" w:right="236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200"/>
        <w:spacing w:after="0" w:line="313" w:lineRule="auto"/>
        <w:rPr>
          <w:sz w:val="20"/>
          <w:szCs w:val="20"/>
          <w:color w:val="auto"/>
        </w:rPr>
      </w:pPr>
      <w:r>
        <w:rPr>
          <w:rFonts w:ascii="Arial" w:cs="Arial" w:eastAsia="Arial" w:hAnsi="Arial"/>
          <w:sz w:val="19"/>
          <w:szCs w:val="19"/>
          <w:color w:val="auto"/>
        </w:rPr>
        <w:t>In October 2020, the Company acquired the water and wastewater utility system of Rockwell Utilities, which serves 514 customers in the Village of Lakemoor in Lake County, Illinois. The total cash purchase price for the utility system was $4,859.</w:t>
      </w:r>
    </w:p>
    <w:p>
      <w:pPr>
        <w:spacing w:after="0" w:line="119"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color w:val="auto"/>
        </w:rPr>
        <w:t>In June 2020, the Company acquired the wastewater utility system assets of East Norriton Township, Pennsylvania, which serves 4,947 customers. The total cash purchase price for the utility system was $21,000.</w:t>
      </w:r>
    </w:p>
    <w:p>
      <w:pPr>
        <w:spacing w:after="0" w:line="185" w:lineRule="exact"/>
        <w:rPr>
          <w:sz w:val="20"/>
          <w:szCs w:val="20"/>
          <w:color w:val="auto"/>
        </w:rPr>
      </w:pPr>
    </w:p>
    <w:p>
      <w:pPr>
        <w:ind w:right="680"/>
        <w:spacing w:after="0" w:line="239" w:lineRule="auto"/>
        <w:rPr>
          <w:sz w:val="20"/>
          <w:szCs w:val="20"/>
          <w:color w:val="auto"/>
        </w:rPr>
      </w:pPr>
      <w:r>
        <w:rPr>
          <w:rFonts w:ascii="Arial" w:cs="Arial" w:eastAsia="Arial" w:hAnsi="Arial"/>
          <w:sz w:val="22"/>
          <w:szCs w:val="22"/>
          <w:color w:val="auto"/>
        </w:rPr>
        <w:t>In January 2020, the Company acquired the water utility system assets of the City of Campbell, Ohio, which serves 3,126 customers. The total cash purchase price for the utility system was $7,472.</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purchase price allocation for these acquisitions consisted primarily of acquired property, plant and equipment.</w:t>
      </w:r>
    </w:p>
    <w:p>
      <w:pPr>
        <w:spacing w:after="0" w:line="206"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color w:val="auto"/>
        </w:rPr>
        <w:t>The pro forma effect of the utility systems acquired is not material either individually or collectively to the Company’s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 – Pending Completion</w:t>
      </w:r>
    </w:p>
    <w:p>
      <w:pPr>
        <w:spacing w:after="0" w:line="206" w:lineRule="exact"/>
        <w:rPr>
          <w:sz w:val="20"/>
          <w:szCs w:val="20"/>
          <w:color w:val="auto"/>
        </w:rPr>
      </w:pPr>
    </w:p>
    <w:p>
      <w:pPr>
        <w:ind w:right="240"/>
        <w:spacing w:after="0" w:line="226" w:lineRule="auto"/>
        <w:rPr>
          <w:sz w:val="20"/>
          <w:szCs w:val="20"/>
          <w:color w:val="auto"/>
        </w:rPr>
      </w:pPr>
      <w:r>
        <w:rPr>
          <w:rFonts w:ascii="Arial" w:cs="Arial" w:eastAsia="Arial" w:hAnsi="Arial"/>
          <w:sz w:val="22"/>
          <w:szCs w:val="22"/>
          <w:color w:val="auto"/>
        </w:rPr>
        <w:t>In October 2021, the Company entered into a purchase agreement to acquire the wastewater utility assets of the City of Beaver Falls, Pennsylvania which consists of approximately 7,600 customers for $41,250.</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21"/>
          <w:szCs w:val="21"/>
          <w:color w:val="auto"/>
        </w:rPr>
        <w:t>In July 2021, the Company entered into a purchase agreement to acquire the water utility assets of Shenandoah Borough, Pennsylvania which consists of approximately 2,930 customers for $12,000. In April 2021, the Company entered into a purchase agreement to acquire certain water or wastewater utility assets of Oak Brook, Illinois which consists of approximately 2,121 customers for $12,500. In January 2021, the Company entered into purchase agreements to acquire, in separate transactions, the wastewater utility system assets of East Whiteland Township, Pennsylvania and Willistown Township, Pennsylvania which consist of approximately 10,500 customers for $72,400. In September 2020, the Company entered into a purchase agreement to acquire the wastewater utility system assets of Lower Makefield Township, Pennsylvania, which consists of approximately 11,000 customers for $53,000.</w:t>
      </w:r>
    </w:p>
    <w:p>
      <w:pPr>
        <w:spacing w:after="0" w:line="188" w:lineRule="exact"/>
        <w:rPr>
          <w:sz w:val="20"/>
          <w:szCs w:val="20"/>
          <w:color w:val="auto"/>
        </w:rPr>
      </w:pPr>
    </w:p>
    <w:p>
      <w:pPr>
        <w:ind w:right="60"/>
        <w:spacing w:after="0" w:line="233" w:lineRule="auto"/>
        <w:rPr>
          <w:sz w:val="20"/>
          <w:szCs w:val="20"/>
          <w:color w:val="auto"/>
        </w:rPr>
      </w:pPr>
      <w:r>
        <w:rPr>
          <w:rFonts w:ascii="Arial" w:cs="Arial" w:eastAsia="Arial" w:hAnsi="Arial"/>
          <w:sz w:val="21"/>
          <w:szCs w:val="21"/>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revolving credit facility until permanent debt and common equity are secured. The closing for the wastewater assets of Lower Makefield Township is expected to occur in the first quarter of 2022, and the closings of our acquisitions of East Whiteland Township and Willistown Township are expected to occur in the second quarter of 2022. The closings of our Shenandoah and Beaver Falls acquisitions are expected to occur in the second half of 2022. The closing of our Oak Brook acquisition is expected to occur in the fourth quarter of 2022. Closing for our utility acquisitions are subject to the timing of the respective regulatory approval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18" w:name="page19"/>
    <w:bookmarkEnd w:id="1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In September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In May 2020, Delaware County, Pennsylvania filed a lawsuit alleging that DELCORA does not have the legal authority to establish and fund a customer trust with the net proceeds of the transaction. In December 2020, the judge in the Delaware County Court lawsuit issued an order that (1) the County cannot interfere with the purchase agreement between DELCORA and the Company; (2) the County cannot terminate DELCORA prior to the closing of the transaction; and (3) that the establishment of the customer trust was valid. Delaware County appealed this decision to Commonwealth Court of Pennsylvania, where this case is continuing. A three-judge panel heard oral arguments on October 18, 2021; a decision is expected in the next several months. The administrative law judges in the regulatory approval process recommended that the Company’s application be denied, and subsequently, the Company provided exceptions to the recommended decision. On March 25, 2021, the Pennsylvania Public Utility Commission ruled that the case be remanded back to the Office of Administrative Law Judge and vacated the original administrative law judges’ decision. On April 16, 2021, the administrative law judge issued an order staying the proceeding until the Delaware County Court lawsuit is final and unappealable. The purchase price for this pending acquisition is subject to certain adjustments at closing, and is subject to regulatory approval, including the final determination of the fair value of the rate base acquired. We plan to finance the purchase price of this acquisition by the issuance of common stock and by utilizing our revolving credit facility until permanent debt is secured. Closing of our acquisition of DELCORA is expected to occur in 2022, subject to the timing of the regulatory approval process and DELCORA’s above-referenced litigation with Delaware County.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w:t>
      </w:r>
      <w:r>
        <w:rPr>
          <w:rFonts w:ascii="Arial" w:cs="Arial" w:eastAsia="Arial" w:hAnsi="Arial"/>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changes in the Company’s goodwill, by business segment: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Regulated</w:t>
            </w:r>
          </w:p>
        </w:tc>
        <w:tc>
          <w:tcPr>
            <w:tcW w:w="1620" w:type="dxa"/>
            <w:vAlign w:val="bottom"/>
            <w:gridSpan w:val="3"/>
          </w:tcPr>
          <w:p>
            <w:pPr>
              <w:ind w:left="40"/>
              <w:spacing w:after="0"/>
              <w:rPr>
                <w:sz w:val="20"/>
                <w:szCs w:val="20"/>
                <w:color w:val="auto"/>
              </w:rPr>
            </w:pPr>
            <w:r>
              <w:rPr>
                <w:rFonts w:ascii="Arial" w:cs="Arial" w:eastAsia="Arial" w:hAnsi="Arial"/>
                <w:sz w:val="18"/>
                <w:szCs w:val="18"/>
                <w:color w:val="auto"/>
              </w:rPr>
              <w:t>Regulated Natural</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Water</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Gas</w:t>
            </w:r>
          </w:p>
        </w:tc>
        <w:tc>
          <w:tcPr>
            <w:tcW w:w="22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5"/>
              </w:rPr>
              <w:t>Consolidated</w:t>
            </w:r>
          </w:p>
        </w:tc>
      </w:tr>
      <w:tr>
        <w:trPr>
          <w:trHeight w:val="183"/>
        </w:trPr>
        <w:tc>
          <w:tcPr>
            <w:tcW w:w="5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 2020</w:t>
            </w: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58,659</w:t>
            </w: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2,261,047</w:t>
            </w: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4,841</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2,324,547</w:t>
            </w:r>
          </w:p>
        </w:tc>
      </w:tr>
      <w:tr>
        <w:trPr>
          <w:trHeight w:val="189"/>
        </w:trPr>
        <w:tc>
          <w:tcPr>
            <w:tcW w:w="5620" w:type="dxa"/>
            <w:vAlign w:val="bottom"/>
          </w:tcPr>
          <w:p>
            <w:pPr>
              <w:ind w:left="120"/>
              <w:spacing w:after="0" w:line="189" w:lineRule="exact"/>
              <w:rPr>
                <w:sz w:val="20"/>
                <w:szCs w:val="20"/>
                <w:color w:val="auto"/>
              </w:rPr>
            </w:pPr>
            <w:r>
              <w:rPr>
                <w:rFonts w:ascii="Arial" w:cs="Arial" w:eastAsia="Arial" w:hAnsi="Arial"/>
                <w:sz w:val="18"/>
                <w:szCs w:val="18"/>
                <w:color w:val="auto"/>
              </w:rPr>
              <w:t>Goodwill acquired</w:t>
            </w:r>
          </w:p>
        </w:tc>
        <w:tc>
          <w:tcPr>
            <w:tcW w:w="1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5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Measurement period purchase price allocation adjustments</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16,400</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16,400</w:t>
            </w:r>
          </w:p>
        </w:tc>
      </w:tr>
      <w:tr>
        <w:trPr>
          <w:trHeight w:val="189"/>
        </w:trPr>
        <w:tc>
          <w:tcPr>
            <w:tcW w:w="5620" w:type="dxa"/>
            <w:vAlign w:val="bottom"/>
          </w:tcPr>
          <w:p>
            <w:pPr>
              <w:ind w:left="120"/>
              <w:spacing w:after="0" w:line="189" w:lineRule="exact"/>
              <w:rPr>
                <w:sz w:val="20"/>
                <w:szCs w:val="20"/>
                <w:color w:val="auto"/>
              </w:rPr>
            </w:pPr>
            <w:r>
              <w:rPr>
                <w:rFonts w:ascii="Arial" w:cs="Arial" w:eastAsia="Arial" w:hAnsi="Arial"/>
                <w:sz w:val="18"/>
                <w:szCs w:val="18"/>
                <w:color w:val="auto"/>
              </w:rPr>
              <w:t>Reclassification to utility plant acquisition adjustment</w:t>
            </w:r>
          </w:p>
        </w:tc>
        <w:tc>
          <w:tcPr>
            <w:tcW w:w="140" w:type="dxa"/>
            <w:vAlign w:val="bottom"/>
          </w:tcPr>
          <w:p>
            <w:pPr>
              <w:spacing w:after="0"/>
              <w:rPr>
                <w:sz w:val="16"/>
                <w:szCs w:val="16"/>
                <w:color w:val="auto"/>
              </w:rPr>
            </w:pPr>
          </w:p>
        </w:tc>
        <w:tc>
          <w:tcPr>
            <w:tcW w:w="11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(111)</w:t>
            </w:r>
          </w:p>
        </w:tc>
        <w:tc>
          <w:tcPr>
            <w:tcW w:w="3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(111)</w:t>
            </w:r>
          </w:p>
        </w:tc>
      </w:tr>
      <w:tr>
        <w:trPr>
          <w:trHeight w:val="183"/>
        </w:trPr>
        <w:tc>
          <w:tcPr>
            <w:tcW w:w="56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September 30, 2021</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58,548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2,277,447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4,841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2,340,836</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20"/>
        <w:spacing w:after="0" w:line="228" w:lineRule="auto"/>
        <w:rPr>
          <w:sz w:val="20"/>
          <w:szCs w:val="20"/>
          <w:color w:val="auto"/>
        </w:rPr>
      </w:pPr>
      <w:r>
        <w:rPr>
          <w:rFonts w:ascii="Arial" w:cs="Arial" w:eastAsia="Arial" w:hAnsi="Arial"/>
          <w:sz w:val="22"/>
          <w:szCs w:val="22"/>
          <w:color w:val="auto"/>
        </w:rPr>
        <w:t xml:space="preserve">The measurement period purchase price allocation adjustments resulted from the completion of the Peoples Gas Acquisition on March 16, 2020, which resulted in goodwill of $2,277,447 which was subject to adjustment over the one year measurement period that ended on March 15, 2021. Refer to Note 3 – </w:t>
      </w:r>
      <w:r>
        <w:rPr>
          <w:rFonts w:ascii="Arial" w:cs="Arial" w:eastAsia="Arial" w:hAnsi="Arial"/>
          <w:sz w:val="22"/>
          <w:szCs w:val="22"/>
          <w:i w:val="1"/>
          <w:iCs w:val="1"/>
          <w:color w:val="auto"/>
        </w:rPr>
        <w:t>Acquisitions</w:t>
      </w:r>
      <w:r>
        <w:rPr>
          <w:rFonts w:ascii="Arial" w:cs="Arial" w:eastAsia="Arial" w:hAnsi="Arial"/>
          <w:sz w:val="22"/>
          <w:szCs w:val="22"/>
          <w:color w:val="auto"/>
        </w:rPr>
        <w:t xml:space="preserve"> for information about the goodwill attributed to our Regulated Natural Gas segment.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9" w:name="page20"/>
    <w:bookmarkEnd w:id="1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80" w:right="236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340"/>
        <w:spacing w:after="0" w:line="231" w:lineRule="auto"/>
        <w:rPr>
          <w:sz w:val="20"/>
          <w:szCs w:val="20"/>
          <w:color w:val="auto"/>
        </w:rPr>
      </w:pPr>
      <w:r>
        <w:rPr>
          <w:rFonts w:ascii="Arial" w:cs="Arial" w:eastAsia="Arial" w:hAnsi="Arial"/>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Goodwill is not amortized but is tested for impairment annually, or more often, if circumstances indicate it is more likely than not that the fair value of a reporting unit is less than its carrying amount. When testing goodwill for impairment, the Company may assess qualitative factors, including 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we may perform a quantitative goodwill impairment test by determining the fair value of a reporting unit.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w:t>
      </w:r>
    </w:p>
    <w:p>
      <w:pPr>
        <w:spacing w:after="0" w:line="185" w:lineRule="exact"/>
        <w:rPr>
          <w:sz w:val="20"/>
          <w:szCs w:val="20"/>
          <w:color w:val="auto"/>
        </w:rPr>
      </w:pPr>
    </w:p>
    <w:p>
      <w:pPr>
        <w:ind w:right="60"/>
        <w:spacing w:after="0" w:line="224" w:lineRule="auto"/>
        <w:rPr>
          <w:sz w:val="20"/>
          <w:szCs w:val="20"/>
          <w:color w:val="auto"/>
        </w:rPr>
      </w:pPr>
      <w:r>
        <w:rPr>
          <w:rFonts w:ascii="Arial" w:cs="Arial" w:eastAsia="Arial" w:hAnsi="Arial"/>
          <w:sz w:val="22"/>
          <w:szCs w:val="22"/>
          <w:color w:val="auto"/>
        </w:rPr>
        <w:t>The Company performed a quantitative assessment for its annual test of the goodwill attributable to its Regulated Natural Gas reporting unit as of July 31, 2021. We estimated the fair value of the reporting unit by weighting results from the market approach and the income approach. Key assumptions in the valuation methodologies for goodwill included growth rates, terminal value, discount rates, and comparable multiples from publicly traded companies in our industry. Based on our analysis, we determined that the fair values of our Regulated Natural Gas reporting unit exceeded their carrying values, indicating none of its goodwill was impaired.</w:t>
      </w:r>
    </w:p>
    <w:p>
      <w:pPr>
        <w:spacing w:after="0" w:line="190" w:lineRule="exact"/>
        <w:rPr>
          <w:sz w:val="20"/>
          <w:szCs w:val="20"/>
          <w:color w:val="auto"/>
        </w:rPr>
      </w:pPr>
    </w:p>
    <w:p>
      <w:pPr>
        <w:ind w:right="460"/>
        <w:spacing w:after="0" w:line="244" w:lineRule="auto"/>
        <w:rPr>
          <w:sz w:val="20"/>
          <w:szCs w:val="20"/>
          <w:color w:val="auto"/>
        </w:rPr>
      </w:pPr>
      <w:r>
        <w:rPr>
          <w:rFonts w:ascii="Arial" w:cs="Arial" w:eastAsia="Arial" w:hAnsi="Arial"/>
          <w:sz w:val="21"/>
          <w:szCs w:val="21"/>
          <w:color w:val="auto"/>
        </w:rPr>
        <w:t>The Company performed a qualitative assessment for its Regulated Water and Aqua Resources reporting units as of July 31, 2021, and concluded that it is more likely than not that the fair value of each reporting unit, which has goodwill recorded, exceeded its carrying amount, indicating that none of their goodwill was impaired.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w:t>
      </w:r>
      <w:r>
        <w:rPr>
          <w:rFonts w:ascii="Arial" w:cs="Arial" w:eastAsia="Arial" w:hAnsi="Arial"/>
          <w:sz w:val="22"/>
          <w:szCs w:val="22"/>
          <w:b w:val="1"/>
          <w:bCs w:val="1"/>
          <w:i w:val="1"/>
          <w:iCs w:val="1"/>
          <w:color w:val="auto"/>
        </w:rPr>
        <w:t>Disposition</w:t>
      </w:r>
    </w:p>
    <w:p>
      <w:pPr>
        <w:spacing w:after="0" w:line="212"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In October 2020, the Company sold its investment in a joint venture. Its investment represented its 49% investment in a joint venture that operates a private pipeline system to supply raw water to natural gas well drilling operations in the Marcellus Shale of north central Pennsylvania. This investment was an unconsolidated affiliate and was accounted for under the equity method of accounting within our Aqua Infrastructure subsidiary. In the third quarter of 2020, we recorded a charge of $3,700 for the write-down of the Company’s investment associated with the sale, which was reported in equity loss in joint venture.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20" w:name="page21"/>
    <w:bookmarkEnd w:id="2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w:t>
      </w:r>
      <w:r>
        <w:rPr>
          <w:rFonts w:ascii="Arial" w:cs="Arial" w:eastAsia="Arial" w:hAnsi="Arial"/>
          <w:sz w:val="22"/>
          <w:szCs w:val="22"/>
          <w:b w:val="1"/>
          <w:bCs w:val="1"/>
          <w:i w:val="1"/>
          <w:iCs w:val="1"/>
          <w:color w:val="auto"/>
        </w:rPr>
        <w:t>Capitalization</w:t>
      </w:r>
    </w:p>
    <w:p>
      <w:pPr>
        <w:spacing w:after="0" w:line="212"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In April 2021, the Company filed a universal shelf registration through a filing with the Securities and Exchange Commission (“SEC”) to allow for the potential future offer and sale by the Company, from time to time, in one or more public offerings, of an indeterminate amount of our common stock, preferred stock, debt securities and other securities specified therein at indeterminate prices.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Stockholders’ Equity</w:t>
      </w: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In August 2020, the Company entered into a forward equity sale agreement for 6,700,000 shares of common stock with a third party (the “forward purchaser”). In connection with the forward equity sale agreement, the forward purchaser borrowed an equal number of shares of the Company’s common stock from stock lenders and sold the borrowed shares to the public. The Company did not receive any proceeds from the sale of its common stock by the forward purchaser until settlement of the shares underlying the forward equity sale agreement. The actual proceeds to be received by the Company would have varied depending upon the settlement date, the number of shares designated for settlement on that settlement date and the method of settlement. The forward equity sale agreement was accounted for as an equity instrument and was recorded at a fair value of $0 at inception. The fair value was not adjusted as the Company continued to meet the accounting requirements for equity instruments.</w:t>
      </w:r>
    </w:p>
    <w:p>
      <w:pPr>
        <w:spacing w:after="0" w:line="172"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On August 9, 2021, the Company settled the forward equity sale agreement in full by physical share settlement. The Company issued 6,700,000 shares and received cash proceeds of $299,739 at a forward price of $44.74 per share. Pursuant to the agreement, the forward price was computed based upon the initial forward price of $46.00 per share, adjusted for a floating interest rate factor equal to a specified daily rate less a spread and scheduled dividends during the term of the agreement. The Company used the proceeds received upon settlement of the forward equity sale agreement to fund general corporate purposes, including for water and wastewater acquisitions, working capital and capital expenditures. The forward equity sale agreement has now been completely settled, and there are no additional shares subject to the forward equity sale agreement.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Private Placement</w:t>
      </w:r>
    </w:p>
    <w:p>
      <w:pPr>
        <w:spacing w:after="0" w:line="206" w:lineRule="exact"/>
        <w:rPr>
          <w:sz w:val="20"/>
          <w:szCs w:val="20"/>
          <w:color w:val="auto"/>
        </w:rPr>
      </w:pPr>
    </w:p>
    <w:p>
      <w:pPr>
        <w:ind w:right="160"/>
        <w:spacing w:after="0" w:line="264" w:lineRule="auto"/>
        <w:rPr>
          <w:sz w:val="20"/>
          <w:szCs w:val="20"/>
          <w:color w:val="auto"/>
        </w:rPr>
      </w:pPr>
      <w:r>
        <w:rPr>
          <w:rFonts w:ascii="Arial" w:cs="Arial" w:eastAsia="Arial" w:hAnsi="Arial"/>
          <w:sz w:val="19"/>
          <w:szCs w:val="19"/>
          <w:color w:val="auto"/>
        </w:rPr>
        <w:t>On March 29, 2019, the Company entered into a Stock Purchase Agreement (the “Stock Purchase Agreement”) with Canada Pension Plan Investment Board (the “Investor”), pursuant to which the Company agreed to issue and sell to the Investor in a private placement (the “Private Placement”) 21,661,095 newly issued shares of common stock, par value $0.50 per share (the “Common Stock”). On March 16, 2020, in connection with the closing of the Peoples Gas Acquisition, the Company closed on the Private Placement and received gross proceeds of $749,907, less expenses of $20,606. In June 2021, the Company filed a registration statement on Form S-3 ASR registering the Private Placement shares for resale.</w:t>
      </w:r>
    </w:p>
    <w:p>
      <w:pPr>
        <w:spacing w:after="0" w:line="164" w:lineRule="exact"/>
        <w:rPr>
          <w:sz w:val="20"/>
          <w:szCs w:val="20"/>
          <w:color w:val="auto"/>
        </w:rPr>
      </w:pPr>
    </w:p>
    <w:p>
      <w:pPr>
        <w:ind w:right="200"/>
        <w:spacing w:after="0" w:line="232" w:lineRule="auto"/>
        <w:rPr>
          <w:sz w:val="20"/>
          <w:szCs w:val="20"/>
          <w:color w:val="auto"/>
        </w:rPr>
      </w:pPr>
      <w:r>
        <w:rPr>
          <w:rFonts w:ascii="Arial" w:cs="Arial" w:eastAsia="Arial" w:hAnsi="Arial"/>
          <w:sz w:val="21"/>
          <w:szCs w:val="21"/>
          <w:color w:val="auto"/>
        </w:rPr>
        <w:t>The shares issued and sold to the Investor pursuant to the Private Placement were to be priced at the lower of (1) $34.62, which represents a 4.5% discount to the trailing 20 consecutive trading day volume weighted average price of the Common Stock ending on, and including, March 28, 2019, and (2) the volume weighted average price per share in the Company’s subsequent public offering of Common Stock to fund a portion of the Peoples Gas Acquisition.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21" w:name="page22"/>
    <w:bookmarkEnd w:id="2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28" w:lineRule="auto"/>
        <w:rPr>
          <w:sz w:val="20"/>
          <w:szCs w:val="20"/>
          <w:color w:val="auto"/>
        </w:rPr>
      </w:pPr>
      <w:r>
        <w:rPr>
          <w:rFonts w:ascii="Arial" w:cs="Arial" w:eastAsia="Arial" w:hAnsi="Arial"/>
          <w:sz w:val="22"/>
          <w:szCs w:val="22"/>
          <w:color w:val="auto"/>
        </w:rPr>
        <w:t>The Stock Purchase Agreement contains customary representations, warranties and covenants of the Company and the Investor, and the parties have agreed to indemnify each other for losses related to breaches of their respective representations and warranties. At the closing of the Private Placement, the Company reimbursed the Investor for reasonable out-of-pocket diligence expenses of $4,000.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Tangible Equity Unit Issuances</w:t>
      </w:r>
    </w:p>
    <w:p>
      <w:pPr>
        <w:spacing w:after="0" w:line="206" w:lineRule="exact"/>
        <w:rPr>
          <w:sz w:val="20"/>
          <w:szCs w:val="20"/>
          <w:color w:val="auto"/>
        </w:rPr>
      </w:pPr>
    </w:p>
    <w:p>
      <w:pPr>
        <w:ind w:right="480"/>
        <w:spacing w:after="0" w:line="313" w:lineRule="auto"/>
        <w:rPr>
          <w:sz w:val="20"/>
          <w:szCs w:val="20"/>
          <w:color w:val="auto"/>
        </w:rPr>
      </w:pPr>
      <w:r>
        <w:rPr>
          <w:rFonts w:ascii="Arial" w:cs="Arial" w:eastAsia="Arial" w:hAnsi="Arial"/>
          <w:sz w:val="19"/>
          <w:szCs w:val="19"/>
          <w:color w:val="auto"/>
        </w:rPr>
        <w:t>On April 23, 2019, the Company issued $690,000, less expenses of $16,358, of its tangible equity units (the “Units”), with a stated amount of $50 per unit. This issuance was part of the permanent financing to close the Peoples Gas Acquisition.</w:t>
      </w:r>
    </w:p>
    <w:p>
      <w:pPr>
        <w:spacing w:after="0" w:line="119" w:lineRule="exact"/>
        <w:rPr>
          <w:sz w:val="20"/>
          <w:szCs w:val="20"/>
          <w:color w:val="auto"/>
        </w:rPr>
      </w:pPr>
    </w:p>
    <w:p>
      <w:pPr>
        <w:ind w:right="60"/>
        <w:spacing w:after="0" w:line="231" w:lineRule="auto"/>
        <w:rPr>
          <w:sz w:val="20"/>
          <w:szCs w:val="20"/>
          <w:color w:val="auto"/>
        </w:rPr>
      </w:pPr>
      <w:r>
        <w:rPr>
          <w:rFonts w:ascii="Arial" w:cs="Arial" w:eastAsia="Arial" w:hAnsi="Arial"/>
          <w:sz w:val="21"/>
          <w:szCs w:val="21"/>
          <w:color w:val="auto"/>
        </w:rPr>
        <w:t>Each Unit consists of a prepaid stock purchase contract and an amortizing note due April 30, 2022, each issued by the Company. Unless earlier settled or redeemed, each stock purchase contract will automatically settle on April 30, 2022 (subject to postponement in limited circumstances) for between 1.1790 and 1.4442 shares of the Company’s common stock, subject to adjustment, based upon the applicable market value of the common stock, as described in the final prospectus supplement relating to the Units. During the nine months ended September 30, 2021, 107,904 stock purchase contracts were early settled by the holders of the contracts, resulting in the issuance of 127,749 shares of the Company’s common stock. As of September 30, 2021, the balance of stock purchase contracts is 7,603,234. The amortizing notes have an initial principal amount of $8.62909, or $119,081 in aggregate, and bear interest at a rate of 3.00% per year, and pay equal quarterly cash installments of $0.75000 per amortizing note (except for the July 30, 2019 installment payment, which was $0.80833 per amortizing note), that will constitute a payment of interest and a partial repayment of principal, and which cash payment in the aggregate will be equivalent to 6.00% per year with respect to each $50 stated amount of the Units. The amortizing notes represent unsecured senior obligations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Long-term Debt and Loans Payable</w:t>
      </w:r>
    </w:p>
    <w:p>
      <w:pPr>
        <w:spacing w:after="0" w:line="206" w:lineRule="exact"/>
        <w:rPr>
          <w:sz w:val="20"/>
          <w:szCs w:val="20"/>
          <w:color w:val="auto"/>
        </w:rPr>
      </w:pPr>
    </w:p>
    <w:p>
      <w:pPr>
        <w:ind w:right="200"/>
        <w:spacing w:after="0" w:line="223" w:lineRule="auto"/>
        <w:rPr>
          <w:sz w:val="20"/>
          <w:szCs w:val="20"/>
          <w:color w:val="auto"/>
        </w:rPr>
      </w:pPr>
      <w:r>
        <w:rPr>
          <w:rFonts w:ascii="Arial" w:cs="Arial" w:eastAsia="Arial" w:hAnsi="Arial"/>
          <w:sz w:val="22"/>
          <w:szCs w:val="22"/>
          <w:color w:val="auto"/>
        </w:rPr>
        <w:t>On April 15, 2021, the Company’s operating subsidiary, Aqua Ohio, Inc., issued $100,000 of first mortgage bonds, of which $50,000 is due in 2031 and $50,000 is due in 2051, with interest rates of 2.37% and 3.35%, respectively. The proceeds from these bonds were used for general corporate purposes and to repay existing indebtedness. Further, on April 19, 2021, the Company issued $400,000 of long-term debt, less expenses of $4,010, which is due in 2031 with an interest rate of 2.40%. The Company used the proceeds from this issuance to repay $50,000 of borrowings under the Aqua Pennsylvania revolving credit facility, and the balance was used to repay in full the borrowings under its existing five year unsecured revolving credit agreement.</w:t>
      </w:r>
    </w:p>
    <w:p>
      <w:pPr>
        <w:spacing w:after="0" w:line="191"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The Company completed the Peoples Gas Acquisition on March 16, 2020, which resulted in the assumption of $1,101,091 of indebtedness, which includes $920,091 of senior notes and $181,000 of short-term debt. The senior notes have maturities ranging from 2020 to 2032 and interest rates that range from 2.90% to 6.42%. The short-term debt assumed at closing was repaid with the proceeds from the Company’s subsequent April 2020 long-term debt issuance.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2" w:name="page23"/>
    <w:bookmarkEnd w:id="2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 </w:t>
      </w:r>
      <w:r>
        <w:rPr>
          <w:rFonts w:ascii="Arial" w:cs="Arial" w:eastAsia="Arial" w:hAnsi="Arial"/>
          <w:sz w:val="22"/>
          <w:szCs w:val="22"/>
          <w:b w:val="1"/>
          <w:bCs w:val="1"/>
          <w:i w:val="1"/>
          <w:iCs w:val="1"/>
          <w:color w:val="auto"/>
        </w:rPr>
        <w:t>Financial Instruments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ectPr>
          <w:pgSz w:w="11900" w:h="16838" w:orient="portrait"/>
          <w:cols w:equalWidth="0" w:num="1">
            <w:col w:w="11220"/>
          </w:cols>
          <w:pgMar w:left="320" w:top="113" w:right="35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l</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l</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500"/>
        <w:spacing w:after="0" w:line="239" w:lineRule="auto"/>
        <w:rPr>
          <w:sz w:val="20"/>
          <w:szCs w:val="20"/>
          <w:color w:val="auto"/>
        </w:rPr>
      </w:pPr>
      <w:r>
        <w:rPr>
          <w:rFonts w:ascii="Arial" w:cs="Arial" w:eastAsia="Arial" w:hAnsi="Arial"/>
          <w:sz w:val="22"/>
          <w:szCs w:val="22"/>
          <w:color w:val="auto"/>
        </w:rPr>
        <w:t>Level 1: unadjusted quoted prices in active markets for identical assets or liabilities that the Company has the ability to access;</w:t>
      </w:r>
    </w:p>
    <w:p>
      <w:pPr>
        <w:spacing w:after="0" w:line="185" w:lineRule="exact"/>
        <w:rPr>
          <w:sz w:val="20"/>
          <w:szCs w:val="20"/>
          <w:color w:val="auto"/>
        </w:rPr>
      </w:pPr>
    </w:p>
    <w:p>
      <w:pPr>
        <w:ind w:right="100"/>
        <w:spacing w:after="0" w:line="228" w:lineRule="auto"/>
        <w:rPr>
          <w:sz w:val="20"/>
          <w:szCs w:val="20"/>
          <w:color w:val="auto"/>
        </w:rPr>
      </w:pPr>
      <w:r>
        <w:rPr>
          <w:rFonts w:ascii="Arial" w:cs="Arial" w:eastAsia="Arial" w:hAnsi="Arial"/>
          <w:sz w:val="22"/>
          <w:szCs w:val="22"/>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Level 3: inputs that are unobservable and significant to the fair value measurement.</w:t>
      </w:r>
    </w:p>
    <w:p>
      <w:pPr>
        <w:spacing w:after="0" w:line="200" w:lineRule="exact"/>
        <w:rPr>
          <w:sz w:val="20"/>
          <w:szCs w:val="20"/>
          <w:color w:val="auto"/>
        </w:rPr>
      </w:pPr>
    </w:p>
    <w:p>
      <w:pPr>
        <w:sectPr>
          <w:pgSz w:w="11900" w:h="16838" w:orient="portrait"/>
          <w:cols w:equalWidth="0" w:num="2">
            <w:col w:w="40" w:space="340"/>
            <w:col w:w="10840"/>
          </w:cols>
          <w:pgMar w:left="320" w:top="113" w:right="359" w:bottom="1440" w:gutter="0" w:footer="0" w:header="0"/>
          <w:type w:val="continuous"/>
        </w:sectPr>
      </w:pPr>
    </w:p>
    <w:p>
      <w:pPr>
        <w:spacing w:after="0" w:line="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 been no changes in the valuation techniques used to measure fair value, or asset or liability transfers between the levels of the fair value hierarchy for the quarter ended September 30, 2021.</w:t>
      </w:r>
    </w:p>
    <w:p>
      <w:pPr>
        <w:spacing w:after="0" w:line="157" w:lineRule="exact"/>
        <w:rPr>
          <w:sz w:val="20"/>
          <w:szCs w:val="20"/>
          <w:color w:val="auto"/>
        </w:rPr>
      </w:pPr>
    </w:p>
    <w:p>
      <w:pPr>
        <w:ind w:right="540"/>
        <w:spacing w:after="0" w:line="231" w:lineRule="auto"/>
        <w:rPr>
          <w:sz w:val="20"/>
          <w:szCs w:val="20"/>
          <w:color w:val="auto"/>
        </w:rPr>
      </w:pPr>
      <w:r>
        <w:rPr>
          <w:rFonts w:ascii="Arial" w:cs="Arial" w:eastAsia="Arial" w:hAnsi="Arial"/>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fair value of loans payable is determined based on its carrying amount and utilizing Level 1 methods and assumptions. As of September 30, 2021 and December 31, 2020, the carrying amount of the Company’s loans payable was $46,582 and $78,198, respectively, which equates to their estimated fair value. The fair value of cash and cash equivalents, is determined based on Level 1 methods and assumptions. As of September 30, 2021 and December 31, 2020, the carrying amounts of the Company's cash and cash equivalents was $9,736 and $4,827,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September 30, 2021 and December 31, 2020, the carrying amount of these securities was $28,895 and $25,780, respectively, which equates to their fair value, and is reported in the consolidated balance sheet in deferred charges and other assets.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type w:val="continuous"/>
        </w:sectPr>
      </w:pPr>
    </w:p>
    <w:bookmarkStart w:id="23" w:name="page24"/>
    <w:bookmarkEnd w:id="2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Unrealized gain and losses on equity securities held in conjunction with our non-qualified pension plan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5"/>
          </w:tcPr>
          <w:p>
            <w:pPr>
              <w:jc w:val="right"/>
              <w:ind w:right="23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4"/>
          </w:tcPr>
          <w:p>
            <w:pPr>
              <w:jc w:val="right"/>
              <w:ind w:right="150"/>
              <w:spacing w:after="0"/>
              <w:rPr>
                <w:sz w:val="20"/>
                <w:szCs w:val="20"/>
                <w:color w:val="auto"/>
              </w:rPr>
            </w:pPr>
            <w:r>
              <w:rPr>
                <w:rFonts w:ascii="Arial" w:cs="Arial" w:eastAsia="Arial" w:hAnsi="Arial"/>
                <w:sz w:val="18"/>
                <w:szCs w:val="18"/>
                <w:color w:val="auto"/>
                <w:w w:val="94"/>
              </w:rPr>
              <w:t>Nine Months Ended</w:t>
            </w:r>
          </w:p>
        </w:tc>
        <w:tc>
          <w:tcPr>
            <w:tcW w:w="0" w:type="dxa"/>
            <w:vAlign w:val="bottom"/>
          </w:tcPr>
          <w:p>
            <w:pPr>
              <w:spacing w:after="0"/>
              <w:rPr>
                <w:sz w:val="1"/>
                <w:szCs w:val="1"/>
                <w:color w:val="auto"/>
              </w:rPr>
            </w:pPr>
          </w:p>
        </w:tc>
      </w:tr>
      <w:tr>
        <w:trPr>
          <w:trHeight w:val="217"/>
        </w:trPr>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183"/>
        </w:trPr>
        <w:tc>
          <w:tcPr>
            <w:tcW w:w="68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183"/>
        </w:trPr>
        <w:tc>
          <w:tcPr>
            <w:tcW w:w="6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gain recognized during the period on equity securities</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4"/>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86"/>
              </w:rPr>
              <w:t>196</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189"/>
        </w:trPr>
        <w:tc>
          <w:tcPr>
            <w:tcW w:w="68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w w:val="92"/>
              </w:rPr>
              <w:t>Less: net gain / loss recognized during the period on equity securities sold during the period</w:t>
            </w:r>
          </w:p>
        </w:tc>
        <w:tc>
          <w:tcPr>
            <w:tcW w:w="1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1"/>
        </w:trPr>
        <w:tc>
          <w:tcPr>
            <w:tcW w:w="680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Unrealized gain recognized during the reporting period on equity securities still held at the</w:t>
            </w:r>
          </w:p>
        </w:tc>
        <w:tc>
          <w:tcPr>
            <w:tcW w:w="860" w:type="dxa"/>
            <w:vAlign w:val="bottom"/>
            <w:gridSpan w:val="2"/>
            <w:vMerge w:val="restart"/>
            <w:shd w:val="clear" w:color="auto" w:fill="CCEEFF"/>
          </w:tcPr>
          <w:p>
            <w:pPr>
              <w:jc w:val="right"/>
              <w:ind w:right="554"/>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196</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8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reporting date</w:t>
            </w:r>
          </w:p>
        </w:tc>
        <w:tc>
          <w:tcPr>
            <w:tcW w:w="860" w:type="dxa"/>
            <w:vAlign w:val="bottom"/>
            <w:gridSpan w:val="2"/>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color w:val="auto"/>
        </w:rPr>
        <w:t>The net gain (loss) recognized on equity securities is presented on the consolidated statements of operations and comprehensive income on the line item “Other.”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and estimated fair values of the Company’s long-term debt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40" w:type="dxa"/>
            <w:vAlign w:val="bottom"/>
          </w:tcPr>
          <w:p>
            <w:pPr>
              <w:jc w:val="right"/>
              <w:ind w:right="792"/>
              <w:spacing w:after="0"/>
              <w:rPr>
                <w:sz w:val="20"/>
                <w:szCs w:val="20"/>
                <w:color w:val="auto"/>
              </w:rPr>
            </w:pPr>
            <w:r>
              <w:rPr>
                <w:rFonts w:ascii="Arial" w:cs="Arial" w:eastAsia="Arial" w:hAnsi="Arial"/>
                <w:sz w:val="22"/>
                <w:szCs w:val="22"/>
                <w:color w:val="auto"/>
              </w:rPr>
              <w:t>September 30,</w:t>
            </w: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jc w:val="right"/>
              <w:ind w:right="792"/>
              <w:spacing w:after="0"/>
              <w:rPr>
                <w:sz w:val="20"/>
                <w:szCs w:val="20"/>
                <w:color w:val="auto"/>
              </w:rPr>
            </w:pPr>
            <w:r>
              <w:rPr>
                <w:rFonts w:ascii="Arial" w:cs="Arial" w:eastAsia="Arial" w:hAnsi="Arial"/>
                <w:sz w:val="22"/>
                <w:szCs w:val="22"/>
                <w:color w:val="auto"/>
              </w:rPr>
              <w:t>December 31,</w:t>
            </w:r>
          </w:p>
        </w:tc>
      </w:tr>
      <w:tr>
        <w:trPr>
          <w:trHeight w:val="251"/>
        </w:trPr>
        <w:tc>
          <w:tcPr>
            <w:tcW w:w="47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jc w:val="right"/>
              <w:ind w:right="1212"/>
              <w:spacing w:after="0" w:line="251" w:lineRule="exact"/>
              <w:rPr>
                <w:sz w:val="20"/>
                <w:szCs w:val="20"/>
                <w:color w:val="auto"/>
              </w:rPr>
            </w:pPr>
            <w:r>
              <w:rPr>
                <w:rFonts w:ascii="Arial" w:cs="Arial" w:eastAsia="Arial" w:hAnsi="Arial"/>
                <w:sz w:val="22"/>
                <w:szCs w:val="22"/>
                <w:color w:val="auto"/>
              </w:rPr>
              <w:t>2021</w:t>
            </w:r>
          </w:p>
        </w:tc>
        <w:tc>
          <w:tcPr>
            <w:tcW w:w="3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jc w:val="right"/>
              <w:ind w:right="1172"/>
              <w:spacing w:after="0" w:line="251" w:lineRule="exact"/>
              <w:rPr>
                <w:sz w:val="20"/>
                <w:szCs w:val="20"/>
                <w:color w:val="auto"/>
              </w:rPr>
            </w:pPr>
            <w:r>
              <w:rPr>
                <w:rFonts w:ascii="Arial" w:cs="Arial" w:eastAsia="Arial" w:hAnsi="Arial"/>
                <w:sz w:val="22"/>
                <w:szCs w:val="22"/>
                <w:color w:val="auto"/>
              </w:rPr>
              <w:t>2020</w:t>
            </w:r>
          </w:p>
        </w:tc>
      </w:tr>
      <w:tr>
        <w:trPr>
          <w:trHeight w:val="223"/>
        </w:trPr>
        <w:tc>
          <w:tcPr>
            <w:tcW w:w="47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Carrying amount</w:t>
            </w:r>
          </w:p>
        </w:tc>
        <w:tc>
          <w:tcPr>
            <w:tcW w:w="520" w:type="dxa"/>
            <w:vAlign w:val="bottom"/>
            <w:shd w:val="clear" w:color="auto" w:fill="CCEEFF"/>
          </w:tcPr>
          <w:p>
            <w:pPr>
              <w:jc w:val="right"/>
              <w:ind w:right="292"/>
              <w:spacing w:after="0" w:line="223" w:lineRule="exact"/>
              <w:rPr>
                <w:sz w:val="20"/>
                <w:szCs w:val="20"/>
                <w:color w:val="auto"/>
              </w:rPr>
            </w:pPr>
            <w:r>
              <w:rPr>
                <w:rFonts w:ascii="Arial" w:cs="Arial" w:eastAsia="Arial" w:hAnsi="Arial"/>
                <w:sz w:val="22"/>
                <w:szCs w:val="22"/>
                <w:color w:val="auto"/>
                <w:w w:val="81"/>
              </w:rPr>
              <w:t>$</w:t>
            </w:r>
          </w:p>
        </w:tc>
        <w:tc>
          <w:tcPr>
            <w:tcW w:w="25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5,702,379</w:t>
            </w: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3" w:lineRule="exact"/>
              <w:rPr>
                <w:sz w:val="20"/>
                <w:szCs w:val="20"/>
                <w:color w:val="auto"/>
              </w:rPr>
            </w:pPr>
            <w:r>
              <w:rPr>
                <w:rFonts w:ascii="Arial" w:cs="Arial" w:eastAsia="Arial" w:hAnsi="Arial"/>
                <w:sz w:val="22"/>
                <w:szCs w:val="22"/>
                <w:color w:val="auto"/>
                <w:w w:val="81"/>
              </w:rPr>
              <w:t>$</w:t>
            </w:r>
          </w:p>
        </w:tc>
        <w:tc>
          <w:tcPr>
            <w:tcW w:w="25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5,630,243</w:t>
            </w:r>
          </w:p>
        </w:tc>
      </w:tr>
      <w:tr>
        <w:trPr>
          <w:trHeight w:val="274"/>
        </w:trPr>
        <w:tc>
          <w:tcPr>
            <w:tcW w:w="4780" w:type="dxa"/>
            <w:vAlign w:val="bottom"/>
          </w:tcPr>
          <w:p>
            <w:pPr>
              <w:spacing w:after="0"/>
              <w:rPr>
                <w:sz w:val="20"/>
                <w:szCs w:val="20"/>
                <w:color w:val="auto"/>
              </w:rPr>
            </w:pPr>
            <w:r>
              <w:rPr>
                <w:rFonts w:ascii="Arial" w:cs="Arial" w:eastAsia="Arial" w:hAnsi="Arial"/>
                <w:sz w:val="22"/>
                <w:szCs w:val="22"/>
                <w:color w:val="auto"/>
              </w:rPr>
              <w:t>Estimated fair value</w:t>
            </w:r>
          </w:p>
        </w:tc>
        <w:tc>
          <w:tcPr>
            <w:tcW w:w="52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22"/>
                <w:szCs w:val="22"/>
                <w:color w:val="auto"/>
              </w:rPr>
              <w:t>6,299,160</w:t>
            </w: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6,366,030</w:t>
            </w:r>
          </w:p>
        </w:tc>
      </w:tr>
    </w:tbl>
    <w:p>
      <w:pPr>
        <w:spacing w:after="0" w:line="177"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85" w:lineRule="exact"/>
        <w:rPr>
          <w:sz w:val="20"/>
          <w:szCs w:val="20"/>
          <w:color w:val="auto"/>
        </w:rPr>
      </w:pPr>
    </w:p>
    <w:p>
      <w:pPr>
        <w:ind w:right="100"/>
        <w:spacing w:after="0" w:line="224" w:lineRule="auto"/>
        <w:rPr>
          <w:sz w:val="20"/>
          <w:szCs w:val="20"/>
          <w:color w:val="auto"/>
        </w:rPr>
      </w:pPr>
      <w:r>
        <w:rPr>
          <w:rFonts w:ascii="Arial" w:cs="Arial" w:eastAsia="Arial" w:hAnsi="Arial"/>
          <w:sz w:val="22"/>
          <w:szCs w:val="22"/>
          <w:color w:val="auto"/>
        </w:rPr>
        <w:t>The Company’s customers’ advances for construction have a carrying value of $110,939 as of September 30, 2021, and $99,014 as of December 31, 2020. Their relative fair values cannot be accurately estimated because future refund payments depend on several variables, including new customer connections, customer consumption levels, and future rates. Portions of these non-interest-bearing instruments are payable annually through 2031, and amounts not paid by the respective contract expiration dates become non-refundable. The fair value of these amounts would, however, be less than their carrying value due to the non-interest-bearing feature.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4" w:name="page25"/>
    <w:bookmarkEnd w:id="2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w:t>
      </w:r>
      <w:r>
        <w:rPr>
          <w:rFonts w:ascii="Arial" w:cs="Arial" w:eastAsia="Arial" w:hAnsi="Arial"/>
          <w:sz w:val="22"/>
          <w:szCs w:val="22"/>
          <w:b w:val="1"/>
          <w:bCs w:val="1"/>
          <w:i w:val="1"/>
          <w:iCs w:val="1"/>
          <w:color w:val="auto"/>
        </w:rPr>
        <w:t>Net Income per Common Share</w:t>
      </w:r>
    </w:p>
    <w:p>
      <w:pPr>
        <w:spacing w:after="0" w:line="212"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Basic net income per common share is based on the weighted average number of common shares outstanding and the minimum number of shares to be issued upon settlement of the stock purchase contracts issued under the tangible equity units. Diluted net income per common share is based on the weighted average number of common shares outstanding, potentially dilutive shares, and the expected number of shares to be issued upon settlement of the stock purchase contracts issued under the tangible equity units, based on the applicable market value of our common stock. The dilutive effect of employee stock-based compensation and shares issuable under the forward equity sale agreement (from the date the Company entered into the forward equity sale agreement to the settlement date) are included in the computation of diluted net income per common share. The dilutive effect of stock-based compensation and shares issuable under the forward equity sale agreement are calculated using the treasury stock method and expected proceeds upon exercise or issuance of the stock-based compensation and settlement of the forward equity sale agreement. The treasury stock method assumes that the proceeds from stock-based compensation and settlement of the forward equity sale agreement are used to purchase the Company’s common stock at the average market price during the period. The following table summarizes the shares, in thousands, used in computing basic and diluted net income per common share: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20" w:type="dxa"/>
            <w:vAlign w:val="bottom"/>
          </w:tcPr>
          <w:p>
            <w:pPr>
              <w:spacing w:after="0"/>
              <w:rPr>
                <w:sz w:val="21"/>
                <w:szCs w:val="21"/>
                <w:color w:val="auto"/>
              </w:rPr>
            </w:pPr>
          </w:p>
        </w:tc>
        <w:tc>
          <w:tcPr>
            <w:tcW w:w="2740" w:type="dxa"/>
            <w:vAlign w:val="bottom"/>
            <w:gridSpan w:val="4"/>
          </w:tcPr>
          <w:p>
            <w:pPr>
              <w:jc w:val="center"/>
              <w:ind w:right="160"/>
              <w:spacing w:after="0"/>
              <w:rPr>
                <w:sz w:val="20"/>
                <w:szCs w:val="20"/>
                <w:color w:val="auto"/>
              </w:rPr>
            </w:pPr>
            <w:r>
              <w:rPr>
                <w:rFonts w:ascii="Arial" w:cs="Arial" w:eastAsia="Arial" w:hAnsi="Arial"/>
                <w:sz w:val="22"/>
                <w:szCs w:val="22"/>
                <w:color w:val="auto"/>
                <w:w w:val="88"/>
              </w:rPr>
              <w:t>Three Months Ended</w:t>
            </w:r>
          </w:p>
        </w:tc>
        <w:tc>
          <w:tcPr>
            <w:tcW w:w="2480" w:type="dxa"/>
            <w:vAlign w:val="bottom"/>
            <w:gridSpan w:val="3"/>
          </w:tcPr>
          <w:p>
            <w:pPr>
              <w:jc w:val="right"/>
              <w:ind w:right="252"/>
              <w:spacing w:after="0"/>
              <w:rPr>
                <w:sz w:val="20"/>
                <w:szCs w:val="20"/>
                <w:color w:val="auto"/>
              </w:rPr>
            </w:pPr>
            <w:r>
              <w:rPr>
                <w:rFonts w:ascii="Arial" w:cs="Arial" w:eastAsia="Arial" w:hAnsi="Arial"/>
                <w:sz w:val="22"/>
                <w:szCs w:val="22"/>
                <w:color w:val="auto"/>
              </w:rPr>
              <w:t>Nine Months Ended</w:t>
            </w:r>
          </w:p>
        </w:tc>
        <w:tc>
          <w:tcPr>
            <w:tcW w:w="0" w:type="dxa"/>
            <w:vAlign w:val="bottom"/>
          </w:tcPr>
          <w:p>
            <w:pPr>
              <w:spacing w:after="0"/>
              <w:rPr>
                <w:sz w:val="1"/>
                <w:szCs w:val="1"/>
                <w:color w:val="auto"/>
              </w:rPr>
            </w:pPr>
          </w:p>
        </w:tc>
      </w:tr>
      <w:tr>
        <w:trPr>
          <w:trHeight w:val="251"/>
        </w:trPr>
        <w:tc>
          <w:tcPr>
            <w:tcW w:w="6020" w:type="dxa"/>
            <w:vAlign w:val="bottom"/>
          </w:tcPr>
          <w:p>
            <w:pPr>
              <w:spacing w:after="0"/>
              <w:rPr>
                <w:sz w:val="21"/>
                <w:szCs w:val="21"/>
                <w:color w:val="auto"/>
              </w:rPr>
            </w:pPr>
          </w:p>
        </w:tc>
        <w:tc>
          <w:tcPr>
            <w:tcW w:w="2740" w:type="dxa"/>
            <w:vAlign w:val="bottom"/>
            <w:gridSpan w:val="4"/>
          </w:tcPr>
          <w:p>
            <w:pPr>
              <w:jc w:val="center"/>
              <w:ind w:right="180"/>
              <w:spacing w:after="0" w:line="251" w:lineRule="exact"/>
              <w:rPr>
                <w:sz w:val="20"/>
                <w:szCs w:val="20"/>
                <w:color w:val="auto"/>
              </w:rPr>
            </w:pPr>
            <w:r>
              <w:rPr>
                <w:rFonts w:ascii="Arial" w:cs="Arial" w:eastAsia="Arial" w:hAnsi="Arial"/>
                <w:sz w:val="22"/>
                <w:szCs w:val="22"/>
                <w:color w:val="auto"/>
                <w:w w:val="85"/>
              </w:rPr>
              <w:t>September 30,</w:t>
            </w:r>
          </w:p>
        </w:tc>
        <w:tc>
          <w:tcPr>
            <w:tcW w:w="2480" w:type="dxa"/>
            <w:vAlign w:val="bottom"/>
            <w:gridSpan w:val="3"/>
          </w:tcPr>
          <w:p>
            <w:pPr>
              <w:jc w:val="right"/>
              <w:ind w:right="512"/>
              <w:spacing w:after="0" w:line="251" w:lineRule="exact"/>
              <w:rPr>
                <w:sz w:val="20"/>
                <w:szCs w:val="20"/>
                <w:color w:val="auto"/>
              </w:rPr>
            </w:pPr>
            <w:r>
              <w:rPr>
                <w:rFonts w:ascii="Arial" w:cs="Arial" w:eastAsia="Arial" w:hAnsi="Arial"/>
                <w:sz w:val="22"/>
                <w:szCs w:val="22"/>
                <w:color w:val="auto"/>
              </w:rPr>
              <w:t>September 30,</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32"/>
              <w:spacing w:after="0" w:line="223" w:lineRule="exact"/>
              <w:rPr>
                <w:sz w:val="20"/>
                <w:szCs w:val="20"/>
                <w:color w:val="auto"/>
              </w:rPr>
            </w:pPr>
            <w:r>
              <w:rPr>
                <w:rFonts w:ascii="Arial" w:cs="Arial" w:eastAsia="Arial" w:hAnsi="Arial"/>
                <w:sz w:val="22"/>
                <w:szCs w:val="22"/>
                <w:color w:val="auto"/>
              </w:rPr>
              <w:t>2021</w:t>
            </w:r>
          </w:p>
        </w:tc>
        <w:tc>
          <w:tcPr>
            <w:tcW w:w="18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12"/>
              <w:spacing w:after="0" w:line="223" w:lineRule="exact"/>
              <w:rPr>
                <w:sz w:val="20"/>
                <w:szCs w:val="20"/>
                <w:color w:val="auto"/>
              </w:rPr>
            </w:pPr>
            <w:r>
              <w:rPr>
                <w:rFonts w:ascii="Arial" w:cs="Arial" w:eastAsia="Arial" w:hAnsi="Arial"/>
                <w:sz w:val="22"/>
                <w:szCs w:val="22"/>
                <w:color w:val="auto"/>
              </w:rPr>
              <w:t>2020</w:t>
            </w:r>
          </w:p>
        </w:tc>
        <w:tc>
          <w:tcPr>
            <w:tcW w:w="1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12"/>
              <w:spacing w:after="0" w:line="223" w:lineRule="exact"/>
              <w:rPr>
                <w:sz w:val="20"/>
                <w:szCs w:val="20"/>
                <w:color w:val="auto"/>
              </w:rPr>
            </w:pPr>
            <w:r>
              <w:rPr>
                <w:rFonts w:ascii="Arial" w:cs="Arial" w:eastAsia="Arial" w:hAnsi="Arial"/>
                <w:sz w:val="22"/>
                <w:szCs w:val="22"/>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72"/>
              <w:spacing w:after="0" w:line="223" w:lineRule="exact"/>
              <w:rPr>
                <w:sz w:val="20"/>
                <w:szCs w:val="20"/>
                <w:color w:val="auto"/>
              </w:rPr>
            </w:pPr>
            <w:r>
              <w:rPr>
                <w:rFonts w:ascii="Arial" w:cs="Arial" w:eastAsia="Arial" w:hAnsi="Arial"/>
                <w:sz w:val="22"/>
                <w:szCs w:val="22"/>
                <w:color w:val="auto"/>
              </w:rPr>
              <w:t>2020</w:t>
            </w:r>
          </w:p>
        </w:tc>
        <w:tc>
          <w:tcPr>
            <w:tcW w:w="0" w:type="dxa"/>
            <w:vAlign w:val="bottom"/>
          </w:tcPr>
          <w:p>
            <w:pPr>
              <w:spacing w:after="0"/>
              <w:rPr>
                <w:sz w:val="1"/>
                <w:szCs w:val="1"/>
                <w:color w:val="auto"/>
              </w:rPr>
            </w:pPr>
          </w:p>
        </w:tc>
      </w:tr>
      <w:tr>
        <w:trPr>
          <w:trHeight w:val="188"/>
        </w:trPr>
        <w:tc>
          <w:tcPr>
            <w:tcW w:w="602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Average common shares outstanding during the period for basic</w:t>
            </w: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02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computation</w:t>
            </w:r>
          </w:p>
        </w:tc>
        <w:tc>
          <w:tcPr>
            <w:tcW w:w="11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258,773</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254,280</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256,051</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248,212</w:t>
            </w:r>
          </w:p>
        </w:tc>
        <w:tc>
          <w:tcPr>
            <w:tcW w:w="0" w:type="dxa"/>
            <w:vAlign w:val="bottom"/>
          </w:tcPr>
          <w:p>
            <w:pPr>
              <w:spacing w:after="0"/>
              <w:rPr>
                <w:sz w:val="1"/>
                <w:szCs w:val="1"/>
                <w:color w:val="auto"/>
              </w:rPr>
            </w:pPr>
          </w:p>
        </w:tc>
      </w:tr>
      <w:tr>
        <w:trPr>
          <w:trHeight w:val="230"/>
        </w:trPr>
        <w:tc>
          <w:tcPr>
            <w:tcW w:w="6020" w:type="dxa"/>
            <w:vAlign w:val="bottom"/>
          </w:tcPr>
          <w:p>
            <w:pPr>
              <w:spacing w:after="0" w:line="229" w:lineRule="exact"/>
              <w:rPr>
                <w:sz w:val="20"/>
                <w:szCs w:val="20"/>
                <w:color w:val="auto"/>
              </w:rPr>
            </w:pPr>
            <w:r>
              <w:rPr>
                <w:rFonts w:ascii="Arial" w:cs="Arial" w:eastAsia="Arial" w:hAnsi="Arial"/>
                <w:sz w:val="22"/>
                <w:szCs w:val="22"/>
                <w:color w:val="auto"/>
              </w:rPr>
              <w:t>Effect of dilutive securities: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Forward equity sale agreement</w:t>
            </w: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223</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216</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6020" w:type="dxa"/>
            <w:vAlign w:val="bottom"/>
          </w:tcPr>
          <w:p>
            <w:pPr>
              <w:ind w:left="120"/>
              <w:spacing w:after="0" w:line="229" w:lineRule="exact"/>
              <w:rPr>
                <w:sz w:val="20"/>
                <w:szCs w:val="20"/>
                <w:color w:val="auto"/>
              </w:rPr>
            </w:pPr>
            <w:r>
              <w:rPr>
                <w:rFonts w:ascii="Arial" w:cs="Arial" w:eastAsia="Arial" w:hAnsi="Arial"/>
                <w:sz w:val="22"/>
                <w:szCs w:val="22"/>
                <w:color w:val="auto"/>
              </w:rPr>
              <w:t>Issuance of common stock from private placement</w:t>
            </w: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5,929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Tangible equity units</w:t>
            </w: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591</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615</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Employee stock-based compensation</w:t>
            </w:r>
          </w:p>
        </w:tc>
        <w:tc>
          <w:tcPr>
            <w:tcW w:w="11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441</w:t>
            </w: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291</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496</w:t>
            </w: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383</w:t>
            </w:r>
          </w:p>
        </w:tc>
        <w:tc>
          <w:tcPr>
            <w:tcW w:w="0" w:type="dxa"/>
            <w:vAlign w:val="bottom"/>
          </w:tcPr>
          <w:p>
            <w:pPr>
              <w:spacing w:after="0"/>
              <w:rPr>
                <w:sz w:val="1"/>
                <w:szCs w:val="1"/>
                <w:color w:val="auto"/>
              </w:rPr>
            </w:pPr>
          </w:p>
        </w:tc>
      </w:tr>
      <w:tr>
        <w:trPr>
          <w:trHeight w:val="188"/>
        </w:trPr>
        <w:tc>
          <w:tcPr>
            <w:tcW w:w="602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w w:val="98"/>
              </w:rPr>
              <w:t>Average common shares outstanding during the period for diluted</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259,437</w:t>
            </w: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255,162</w:t>
            </w:r>
          </w:p>
        </w:tc>
        <w:tc>
          <w:tcPr>
            <w:tcW w:w="18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256,763</w:t>
            </w:r>
          </w:p>
        </w:tc>
        <w:tc>
          <w:tcPr>
            <w:tcW w:w="20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255,139</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CCEEFF"/>
            </w:tcBorders>
            <w:shd w:val="clear" w:color="auto" w:fill="CCEEFF"/>
          </w:tcPr>
          <w:p>
            <w:pPr>
              <w:spacing w:after="0" w:line="238" w:lineRule="exact"/>
              <w:rPr>
                <w:sz w:val="20"/>
                <w:szCs w:val="20"/>
                <w:color w:val="auto"/>
              </w:rPr>
            </w:pPr>
            <w:r>
              <w:rPr>
                <w:rFonts w:ascii="Arial" w:cs="Arial" w:eastAsia="Arial" w:hAnsi="Arial"/>
                <w:sz w:val="22"/>
                <w:szCs w:val="22"/>
                <w:color w:val="auto"/>
              </w:rPr>
              <w:t>computation</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spacing w:after="0" w:line="231" w:lineRule="auto"/>
        <w:rPr>
          <w:sz w:val="20"/>
          <w:szCs w:val="20"/>
          <w:color w:val="auto"/>
        </w:rPr>
      </w:pPr>
      <w:r>
        <w:rPr>
          <w:rFonts w:ascii="Arial" w:cs="Arial" w:eastAsia="Arial" w:hAnsi="Arial"/>
          <w:sz w:val="22"/>
          <w:szCs w:val="22"/>
          <w:color w:val="auto"/>
        </w:rPr>
        <w:t>For the three and nine months ended September 30, 2020, the average common shares outstanding during the period for diluted computation reflects the impact of the issuance of common stock from the March 16, 2020 private placement as if the shares were issued on January 1, 2020.</w:t>
      </w:r>
    </w:p>
    <w:p>
      <w:pPr>
        <w:spacing w:after="0" w:line="188"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The average common shares outstanding during the period for basic computation includes the weighted-average impact of 9,022,040 and 9,067,879 shares for the three and nine months ended September 30, 2021, respectively, and 9,091,179 and 9,464,482 shares for the three and nine months ended September 30, 2020, respectively, based on the minimum number of shares of 8,964,213 to be issued in April 2022 upon settlement of the stock purchase contracts issued in April 2019 under the tangible equity units. Further, for the three and nine months ended September 30, 2020, average common shares outstanding during the period for diluted computation includes the impact of the additional shares to be issued in April 2022 upon settlement of the stock purchase contracts based on the threshold appreciation price of $42.41.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5" w:name="page26"/>
    <w:bookmarkEnd w:id="2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300"/>
        <w:spacing w:after="0" w:line="226" w:lineRule="auto"/>
        <w:rPr>
          <w:sz w:val="20"/>
          <w:szCs w:val="20"/>
          <w:color w:val="auto"/>
        </w:rPr>
      </w:pPr>
      <w:r>
        <w:rPr>
          <w:rFonts w:ascii="Arial" w:cs="Arial" w:eastAsia="Arial" w:hAnsi="Arial"/>
          <w:sz w:val="22"/>
          <w:szCs w:val="22"/>
          <w:color w:val="auto"/>
        </w:rPr>
        <w:t>For the three and nine months ended September 30, 2021 and 2020, all of the Company’s outstanding employee stock options were included in the calculations of diluted net income per share as the calculated cost to exercise employee stock options was less than the average market price of the Company’s common stock during these periods. Additionally, the dilutive effect of performance share units and restricted share units granted are included in the Company’s calculation of diluted net income per share.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w:t>
      </w:r>
      <w:r>
        <w:rPr>
          <w:rFonts w:ascii="Arial" w:cs="Arial" w:eastAsia="Arial" w:hAnsi="Arial"/>
          <w:sz w:val="22"/>
          <w:szCs w:val="22"/>
          <w:b w:val="1"/>
          <w:bCs w:val="1"/>
          <w:i w:val="1"/>
          <w:iCs w:val="1"/>
          <w:color w:val="auto"/>
        </w:rPr>
        <w:t>Stock-based Compensation</w:t>
      </w:r>
    </w:p>
    <w:p>
      <w:pPr>
        <w:spacing w:after="0" w:line="212"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September 30, 2021, 1,955,579 shares were still available for issuance under the Plan. No further grants may be made under the Company’s 2004 Equity Compensation Plan.</w:t>
      </w:r>
    </w:p>
    <w:p>
      <w:pPr>
        <w:spacing w:after="0" w:line="171"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b w:val="1"/>
          <w:bCs w:val="1"/>
          <w:i w:val="1"/>
          <w:iCs w:val="1"/>
          <w:color w:val="auto"/>
        </w:rPr>
        <w:t xml:space="preserve">Performance Share Units </w:t>
      </w:r>
      <w:r>
        <w:rPr>
          <w:rFonts w:ascii="Arial" w:cs="Arial" w:eastAsia="Arial" w:hAnsi="Arial"/>
          <w:sz w:val="19"/>
          <w:szCs w:val="19"/>
          <w:color w:val="auto"/>
        </w:rPr>
        <w:t>– A performance share unit (“PSU”) represents the right to receive a share of the Company’s common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gridSpan w:val="4"/>
          </w:tcPr>
          <w:p>
            <w:pPr>
              <w:jc w:val="right"/>
              <w:ind w:right="572"/>
              <w:spacing w:after="0"/>
              <w:rPr>
                <w:sz w:val="20"/>
                <w:szCs w:val="20"/>
                <w:color w:val="auto"/>
              </w:rPr>
            </w:pPr>
            <w:r>
              <w:rPr>
                <w:rFonts w:ascii="Arial" w:cs="Arial" w:eastAsia="Arial" w:hAnsi="Arial"/>
                <w:sz w:val="22"/>
                <w:szCs w:val="22"/>
                <w:color w:val="auto"/>
              </w:rPr>
              <w:t>Three Months Ended</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4"/>
          </w:tcPr>
          <w:p>
            <w:pPr>
              <w:ind w:left="360"/>
              <w:spacing w:after="0"/>
              <w:rPr>
                <w:sz w:val="20"/>
                <w:szCs w:val="20"/>
                <w:color w:val="auto"/>
              </w:rPr>
            </w:pPr>
            <w:r>
              <w:rPr>
                <w:rFonts w:ascii="Arial" w:cs="Arial" w:eastAsia="Arial" w:hAnsi="Arial"/>
                <w:sz w:val="22"/>
                <w:szCs w:val="22"/>
                <w:color w:val="auto"/>
              </w:rPr>
              <w:t>Nine Months Ended</w:t>
            </w:r>
          </w:p>
        </w:tc>
      </w:tr>
      <w:tr>
        <w:trPr>
          <w:trHeight w:val="251"/>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852"/>
              <w:spacing w:after="0" w:line="251" w:lineRule="exact"/>
              <w:rPr>
                <w:sz w:val="20"/>
                <w:szCs w:val="20"/>
                <w:color w:val="auto"/>
              </w:rPr>
            </w:pPr>
            <w:r>
              <w:rPr>
                <w:rFonts w:ascii="Arial" w:cs="Arial" w:eastAsia="Arial" w:hAnsi="Arial"/>
                <w:sz w:val="22"/>
                <w:szCs w:val="22"/>
                <w:color w:val="auto"/>
              </w:rPr>
              <w:t>September 30,</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ind w:left="600"/>
              <w:spacing w:after="0" w:line="251" w:lineRule="exact"/>
              <w:rPr>
                <w:sz w:val="20"/>
                <w:szCs w:val="20"/>
                <w:color w:val="auto"/>
              </w:rPr>
            </w:pPr>
            <w:r>
              <w:rPr>
                <w:rFonts w:ascii="Arial" w:cs="Arial" w:eastAsia="Arial" w:hAnsi="Arial"/>
                <w:sz w:val="22"/>
                <w:szCs w:val="22"/>
                <w:color w:val="auto"/>
              </w:rPr>
              <w:t>September 30,</w:t>
            </w:r>
          </w:p>
        </w:tc>
      </w:tr>
      <w:tr>
        <w:trPr>
          <w:trHeight w:val="223"/>
        </w:trPr>
        <w:tc>
          <w:tcPr>
            <w:tcW w:w="45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2"/>
              <w:spacing w:after="0" w:line="223" w:lineRule="exact"/>
              <w:rPr>
                <w:sz w:val="20"/>
                <w:szCs w:val="20"/>
                <w:color w:val="auto"/>
              </w:rPr>
            </w:pPr>
            <w:r>
              <w:rPr>
                <w:rFonts w:ascii="Arial" w:cs="Arial" w:eastAsia="Arial" w:hAnsi="Arial"/>
                <w:sz w:val="22"/>
                <w:szCs w:val="22"/>
                <w:color w:val="auto"/>
              </w:rPr>
              <w:t>2020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00"/>
              <w:spacing w:after="0" w:line="223" w:lineRule="exact"/>
              <w:rPr>
                <w:sz w:val="20"/>
                <w:szCs w:val="20"/>
                <w:color w:val="auto"/>
              </w:rPr>
            </w:pPr>
            <w:r>
              <w:rPr>
                <w:rFonts w:ascii="Arial" w:cs="Arial" w:eastAsia="Arial" w:hAnsi="Arial"/>
                <w:sz w:val="22"/>
                <w:szCs w:val="22"/>
                <w:color w:val="auto"/>
              </w:rPr>
              <w:t>2021</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2"/>
              <w:spacing w:after="0" w:line="223" w:lineRule="exact"/>
              <w:rPr>
                <w:sz w:val="20"/>
                <w:szCs w:val="20"/>
                <w:color w:val="auto"/>
              </w:rPr>
            </w:pPr>
            <w:r>
              <w:rPr>
                <w:rFonts w:ascii="Arial" w:cs="Arial" w:eastAsia="Arial" w:hAnsi="Arial"/>
                <w:sz w:val="22"/>
                <w:szCs w:val="22"/>
                <w:color w:val="auto"/>
              </w:rPr>
              <w:t>2020</w:t>
            </w:r>
          </w:p>
        </w:tc>
      </w:tr>
      <w:tr>
        <w:trPr>
          <w:trHeight w:val="188"/>
        </w:trPr>
        <w:tc>
          <w:tcPr>
            <w:tcW w:w="450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w w:val="97"/>
              </w:rPr>
              <w:t>Stock-based compensation within operations and</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51"/>
        </w:trPr>
        <w:tc>
          <w:tcPr>
            <w:tcW w:w="450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580" w:type="dxa"/>
            <w:vAlign w:val="bottom"/>
            <w:gridSpan w:val="2"/>
            <w:shd w:val="clear" w:color="auto" w:fill="CCEEFF"/>
          </w:tcPr>
          <w:p>
            <w:pPr>
              <w:jc w:val="right"/>
              <w:ind w:right="200"/>
              <w:spacing w:after="0" w:line="251" w:lineRule="exact"/>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1,285</w:t>
            </w:r>
          </w:p>
        </w:tc>
        <w:tc>
          <w:tcPr>
            <w:tcW w:w="540" w:type="dxa"/>
            <w:vAlign w:val="bottom"/>
            <w:gridSpan w:val="2"/>
            <w:shd w:val="clear" w:color="auto" w:fill="CCEEFF"/>
          </w:tcPr>
          <w:p>
            <w:pPr>
              <w:jc w:val="right"/>
              <w:ind w:right="220"/>
              <w:spacing w:after="0" w:line="251" w:lineRule="exact"/>
              <w:rPr>
                <w:sz w:val="20"/>
                <w:szCs w:val="20"/>
                <w:color w:val="auto"/>
              </w:rPr>
            </w:pPr>
            <w:r>
              <w:rPr>
                <w:rFonts w:ascii="Arial" w:cs="Arial" w:eastAsia="Arial" w:hAnsi="Arial"/>
                <w:sz w:val="22"/>
                <w:szCs w:val="22"/>
                <w:color w:val="auto"/>
              </w:rPr>
              <w:t>$</w:t>
            </w:r>
          </w:p>
        </w:tc>
        <w:tc>
          <w:tcPr>
            <w:tcW w:w="11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918</w:t>
            </w:r>
          </w:p>
        </w:tc>
        <w:tc>
          <w:tcPr>
            <w:tcW w:w="540" w:type="dxa"/>
            <w:vAlign w:val="bottom"/>
            <w:gridSpan w:val="2"/>
            <w:shd w:val="clear" w:color="auto" w:fill="CCEEFF"/>
          </w:tcPr>
          <w:p>
            <w:pPr>
              <w:jc w:val="right"/>
              <w:ind w:right="180"/>
              <w:spacing w:after="0" w:line="251" w:lineRule="exact"/>
              <w:rPr>
                <w:sz w:val="20"/>
                <w:szCs w:val="20"/>
                <w:color w:val="auto"/>
              </w:rPr>
            </w:pPr>
            <w:r>
              <w:rPr>
                <w:rFonts w:ascii="Arial" w:cs="Arial" w:eastAsia="Arial" w:hAnsi="Arial"/>
                <w:sz w:val="22"/>
                <w:szCs w:val="22"/>
                <w:color w:val="auto"/>
              </w:rPr>
              <w:t>$</w:t>
            </w:r>
          </w:p>
        </w:tc>
        <w:tc>
          <w:tcPr>
            <w:tcW w:w="1140" w:type="dxa"/>
            <w:vAlign w:val="bottom"/>
            <w:shd w:val="clear" w:color="auto" w:fill="CCEEFF"/>
          </w:tcPr>
          <w:p>
            <w:pPr>
              <w:ind w:left="580"/>
              <w:spacing w:after="0" w:line="251" w:lineRule="exact"/>
              <w:rPr>
                <w:sz w:val="20"/>
                <w:szCs w:val="20"/>
                <w:color w:val="auto"/>
              </w:rPr>
            </w:pPr>
            <w:r>
              <w:rPr>
                <w:rFonts w:ascii="Arial" w:cs="Arial" w:eastAsia="Arial" w:hAnsi="Arial"/>
                <w:sz w:val="22"/>
                <w:szCs w:val="22"/>
                <w:color w:val="auto"/>
                <w:w w:val="98"/>
              </w:rPr>
              <w:t>4,216</w:t>
            </w:r>
          </w:p>
        </w:tc>
        <w:tc>
          <w:tcPr>
            <w:tcW w:w="480" w:type="dxa"/>
            <w:vAlign w:val="bottom"/>
            <w:gridSpan w:val="2"/>
            <w:shd w:val="clear" w:color="auto" w:fill="CCEEFF"/>
          </w:tcPr>
          <w:p>
            <w:pPr>
              <w:jc w:val="right"/>
              <w:ind w:right="180"/>
              <w:spacing w:after="0" w:line="251" w:lineRule="exact"/>
              <w:rPr>
                <w:sz w:val="20"/>
                <w:szCs w:val="20"/>
                <w:color w:val="auto"/>
              </w:rPr>
            </w:pPr>
            <w:r>
              <w:rPr>
                <w:rFonts w:ascii="Arial" w:cs="Arial" w:eastAsia="Arial" w:hAnsi="Arial"/>
                <w:sz w:val="22"/>
                <w:szCs w:val="22"/>
                <w:color w:val="auto"/>
              </w:rPr>
              <w:t>$</w:t>
            </w:r>
          </w:p>
        </w:tc>
        <w:tc>
          <w:tcPr>
            <w:tcW w:w="11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2,364</w:t>
            </w:r>
          </w:p>
        </w:tc>
      </w:tr>
      <w:tr>
        <w:trPr>
          <w:trHeight w:val="274"/>
        </w:trPr>
        <w:tc>
          <w:tcPr>
            <w:tcW w:w="4500" w:type="dxa"/>
            <w:vAlign w:val="bottom"/>
          </w:tcPr>
          <w:p>
            <w:pPr>
              <w:spacing w:after="0"/>
              <w:rPr>
                <w:sz w:val="20"/>
                <w:szCs w:val="20"/>
                <w:color w:val="auto"/>
              </w:rPr>
            </w:pPr>
            <w:r>
              <w:rPr>
                <w:rFonts w:ascii="Arial" w:cs="Arial" w:eastAsia="Arial" w:hAnsi="Arial"/>
                <w:sz w:val="22"/>
                <w:szCs w:val="22"/>
                <w:color w:val="auto"/>
              </w:rPr>
              <w:t>Income tax benefit</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365</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252</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580"/>
              <w:spacing w:after="0"/>
              <w:rPr>
                <w:sz w:val="20"/>
                <w:szCs w:val="20"/>
                <w:color w:val="auto"/>
              </w:rPr>
            </w:pPr>
            <w:r>
              <w:rPr>
                <w:rFonts w:ascii="Arial" w:cs="Arial" w:eastAsia="Arial" w:hAnsi="Arial"/>
                <w:sz w:val="22"/>
                <w:szCs w:val="22"/>
                <w:color w:val="auto"/>
                <w:w w:val="98"/>
              </w:rPr>
              <w:t>1,191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660</w:t>
            </w:r>
          </w:p>
        </w:tc>
      </w:tr>
      <w:tr>
        <w:trPr>
          <w:trHeight w:val="438"/>
        </w:trPr>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Arial" w:cs="Arial" w:eastAsia="Arial" w:hAnsi="Arial"/>
                <w:sz w:val="22"/>
                <w:szCs w:val="22"/>
                <w:color w:val="auto"/>
              </w:rPr>
              <w:t>25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8"/>
        </w:trPr>
        <w:tc>
          <w:tcPr>
            <w:tcW w:w="4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6" w:name="page27"/>
    <w:bookmarkEnd w:id="2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PSU transactions for the nine months ended September 30,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6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22"/>
                <w:szCs w:val="22"/>
                <w:color w:val="auto"/>
                <w:w w:val="91"/>
              </w:rPr>
              <w:t>Number</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right="92"/>
              <w:spacing w:after="0"/>
              <w:rPr>
                <w:sz w:val="20"/>
                <w:szCs w:val="20"/>
                <w:color w:val="auto"/>
              </w:rPr>
            </w:pPr>
            <w:r>
              <w:rPr>
                <w:rFonts w:ascii="Arial" w:cs="Arial" w:eastAsia="Arial" w:hAnsi="Arial"/>
                <w:sz w:val="22"/>
                <w:szCs w:val="22"/>
                <w:color w:val="auto"/>
                <w:w w:val="88"/>
              </w:rPr>
              <w:t>Weighted</w:t>
            </w:r>
          </w:p>
        </w:tc>
      </w:tr>
      <w:tr>
        <w:trPr>
          <w:trHeight w:val="230"/>
        </w:trPr>
        <w:tc>
          <w:tcPr>
            <w:tcW w:w="8060" w:type="dxa"/>
            <w:vAlign w:val="bottom"/>
          </w:tcPr>
          <w:p>
            <w:pPr>
              <w:spacing w:after="0"/>
              <w:rPr>
                <w:sz w:val="19"/>
                <w:szCs w:val="19"/>
                <w:color w:val="auto"/>
              </w:rPr>
            </w:pPr>
          </w:p>
        </w:tc>
        <w:tc>
          <w:tcPr>
            <w:tcW w:w="152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7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806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8"/>
              </w:rPr>
              <w:t>Share Units</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7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80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share units at beginning of period</w:t>
            </w:r>
          </w:p>
        </w:tc>
        <w:tc>
          <w:tcPr>
            <w:tcW w:w="15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283,007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34.57</w:t>
            </w:r>
          </w:p>
        </w:tc>
      </w:tr>
      <w:tr>
        <w:trPr>
          <w:trHeight w:val="229"/>
        </w:trPr>
        <w:tc>
          <w:tcPr>
            <w:tcW w:w="806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520" w:type="dxa"/>
            <w:vAlign w:val="bottom"/>
          </w:tcPr>
          <w:p>
            <w:pPr>
              <w:jc w:val="right"/>
              <w:spacing w:after="0" w:line="229" w:lineRule="exact"/>
              <w:rPr>
                <w:sz w:val="20"/>
                <w:szCs w:val="20"/>
                <w:color w:val="auto"/>
              </w:rPr>
            </w:pPr>
            <w:r>
              <w:rPr>
                <w:rFonts w:ascii="Arial" w:cs="Arial" w:eastAsia="Arial" w:hAnsi="Arial"/>
                <w:sz w:val="22"/>
                <w:szCs w:val="22"/>
                <w:color w:val="auto"/>
              </w:rPr>
              <w:t>152,068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43.18</w:t>
            </w:r>
          </w:p>
        </w:tc>
      </w:tr>
      <w:tr>
        <w:trPr>
          <w:trHeight w:val="229"/>
        </w:trPr>
        <w:tc>
          <w:tcPr>
            <w:tcW w:w="80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Performance criteria adjustment</w:t>
            </w:r>
          </w:p>
        </w:tc>
        <w:tc>
          <w:tcPr>
            <w:tcW w:w="15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27,643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53.62</w:t>
            </w:r>
          </w:p>
        </w:tc>
      </w:tr>
      <w:tr>
        <w:trPr>
          <w:trHeight w:val="230"/>
        </w:trPr>
        <w:tc>
          <w:tcPr>
            <w:tcW w:w="8060" w:type="dxa"/>
            <w:vAlign w:val="bottom"/>
          </w:tcPr>
          <w:p>
            <w:pPr>
              <w:ind w:left="120"/>
              <w:spacing w:after="0" w:line="229" w:lineRule="exact"/>
              <w:rPr>
                <w:sz w:val="20"/>
                <w:szCs w:val="20"/>
                <w:color w:val="auto"/>
              </w:rPr>
            </w:pPr>
            <w:r>
              <w:rPr>
                <w:rFonts w:ascii="Arial" w:cs="Arial" w:eastAsia="Arial" w:hAnsi="Arial"/>
                <w:sz w:val="22"/>
                <w:szCs w:val="22"/>
                <w:color w:val="auto"/>
              </w:rPr>
              <w:t>Forfeited</w:t>
            </w:r>
          </w:p>
        </w:tc>
        <w:tc>
          <w:tcPr>
            <w:tcW w:w="1520" w:type="dxa"/>
            <w:vAlign w:val="bottom"/>
          </w:tcPr>
          <w:p>
            <w:pPr>
              <w:jc w:val="right"/>
              <w:spacing w:after="0" w:line="229" w:lineRule="exact"/>
              <w:rPr>
                <w:sz w:val="20"/>
                <w:szCs w:val="20"/>
                <w:color w:val="auto"/>
              </w:rPr>
            </w:pPr>
            <w:r>
              <w:rPr>
                <w:rFonts w:ascii="Arial" w:cs="Arial" w:eastAsia="Arial" w:hAnsi="Arial"/>
                <w:sz w:val="22"/>
                <w:szCs w:val="22"/>
                <w:color w:val="auto"/>
              </w:rPr>
              <w:t>(5,588)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45.84</w:t>
            </w:r>
          </w:p>
        </w:tc>
      </w:tr>
      <w:tr>
        <w:trPr>
          <w:trHeight w:val="229"/>
        </w:trPr>
        <w:tc>
          <w:tcPr>
            <w:tcW w:w="80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Share units issued</w:t>
            </w:r>
          </w:p>
        </w:tc>
        <w:tc>
          <w:tcPr>
            <w:tcW w:w="15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(141,328)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31.36</w:t>
            </w:r>
          </w:p>
        </w:tc>
      </w:tr>
      <w:tr>
        <w:trPr>
          <w:trHeight w:val="223"/>
        </w:trPr>
        <w:tc>
          <w:tcPr>
            <w:tcW w:w="8060" w:type="dxa"/>
            <w:vAlign w:val="bottom"/>
          </w:tcPr>
          <w:p>
            <w:pPr>
              <w:spacing w:after="0" w:line="223" w:lineRule="exact"/>
              <w:rPr>
                <w:sz w:val="20"/>
                <w:szCs w:val="20"/>
                <w:color w:val="auto"/>
              </w:rPr>
            </w:pPr>
            <w:r>
              <w:rPr>
                <w:rFonts w:ascii="Arial" w:cs="Arial" w:eastAsia="Arial" w:hAnsi="Arial"/>
                <w:sz w:val="22"/>
                <w:szCs w:val="22"/>
                <w:color w:val="auto"/>
              </w:rPr>
              <w:t>Nonvested share units at end of period</w:t>
            </w:r>
          </w:p>
        </w:tc>
        <w:tc>
          <w:tcPr>
            <w:tcW w:w="15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315,802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Arial" w:cs="Arial" w:eastAsia="Arial" w:hAnsi="Arial"/>
                <w:sz w:val="22"/>
                <w:szCs w:val="22"/>
                <w:color w:val="auto"/>
              </w:rPr>
              <w:t>41.51</w:t>
            </w: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nine months ended September 30, 2021 and 2020 was $43.18 and $55.43,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70" w:lineRule="exact"/>
        <w:rPr>
          <w:sz w:val="20"/>
          <w:szCs w:val="20"/>
          <w:color w:val="auto"/>
        </w:rPr>
      </w:pPr>
    </w:p>
    <w:p>
      <w:pPr>
        <w:ind w:right="60"/>
        <w:spacing w:after="0" w:line="235" w:lineRule="auto"/>
        <w:rPr>
          <w:sz w:val="20"/>
          <w:szCs w:val="20"/>
          <w:color w:val="auto"/>
        </w:rPr>
      </w:pPr>
      <w:r>
        <w:rPr>
          <w:rFonts w:ascii="Arial" w:cs="Arial" w:eastAsia="Arial" w:hAnsi="Arial"/>
          <w:sz w:val="21"/>
          <w:szCs w:val="21"/>
          <w:b w:val="1"/>
          <w:bCs w:val="1"/>
          <w:i w:val="1"/>
          <w:iCs w:val="1"/>
          <w:color w:val="auto"/>
        </w:rPr>
        <w:t xml:space="preserve">Restricted Stock Units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restricted stock unit (“RSU”) represents the right to receive a share of the Company’s common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gridSpan w:val="4"/>
          </w:tcPr>
          <w:p>
            <w:pPr>
              <w:jc w:val="center"/>
              <w:ind w:left="312"/>
              <w:spacing w:after="0"/>
              <w:rPr>
                <w:sz w:val="20"/>
                <w:szCs w:val="20"/>
                <w:color w:val="auto"/>
              </w:rPr>
            </w:pPr>
            <w:r>
              <w:rPr>
                <w:rFonts w:ascii="Arial" w:cs="Arial" w:eastAsia="Arial" w:hAnsi="Arial"/>
                <w:sz w:val="22"/>
                <w:szCs w:val="22"/>
                <w:color w:val="auto"/>
                <w:w w:val="88"/>
              </w:rPr>
              <w:t>Three Months Ended</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0" w:type="dxa"/>
            <w:vAlign w:val="bottom"/>
            <w:gridSpan w:val="4"/>
          </w:tcPr>
          <w:p>
            <w:pPr>
              <w:jc w:val="center"/>
              <w:ind w:right="232"/>
              <w:spacing w:after="0"/>
              <w:rPr>
                <w:sz w:val="20"/>
                <w:szCs w:val="20"/>
                <w:color w:val="auto"/>
              </w:rPr>
            </w:pPr>
            <w:r>
              <w:rPr>
                <w:rFonts w:ascii="Arial" w:cs="Arial" w:eastAsia="Arial" w:hAnsi="Arial"/>
                <w:sz w:val="22"/>
                <w:szCs w:val="22"/>
                <w:color w:val="auto"/>
                <w:w w:val="90"/>
              </w:rPr>
              <w:t>Nine Months Ended</w:t>
            </w:r>
          </w:p>
        </w:tc>
      </w:tr>
      <w:tr>
        <w:trPr>
          <w:trHeight w:val="251"/>
        </w:trPr>
        <w:tc>
          <w:tcPr>
            <w:tcW w:w="4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Borders>
              <w:bottom w:val="single" w:sz="8" w:color="auto"/>
            </w:tcBorders>
            <w:gridSpan w:val="4"/>
          </w:tcPr>
          <w:p>
            <w:pPr>
              <w:jc w:val="center"/>
              <w:ind w:left="292"/>
              <w:spacing w:after="0" w:line="251" w:lineRule="exact"/>
              <w:rPr>
                <w:sz w:val="20"/>
                <w:szCs w:val="20"/>
                <w:color w:val="auto"/>
              </w:rPr>
            </w:pPr>
            <w:r>
              <w:rPr>
                <w:rFonts w:ascii="Arial" w:cs="Arial" w:eastAsia="Arial" w:hAnsi="Arial"/>
                <w:sz w:val="22"/>
                <w:szCs w:val="22"/>
                <w:color w:val="auto"/>
                <w:w w:val="85"/>
              </w:rPr>
              <w:t>September 30,</w:t>
            </w: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center"/>
              <w:ind w:left="572"/>
              <w:spacing w:after="0" w:line="251" w:lineRule="exact"/>
              <w:rPr>
                <w:sz w:val="20"/>
                <w:szCs w:val="20"/>
                <w:color w:val="auto"/>
              </w:rPr>
            </w:pPr>
            <w:r>
              <w:rPr>
                <w:rFonts w:ascii="Arial" w:cs="Arial" w:eastAsia="Arial" w:hAnsi="Arial"/>
                <w:sz w:val="22"/>
                <w:szCs w:val="22"/>
                <w:color w:val="auto"/>
                <w:w w:val="87"/>
              </w:rPr>
              <w:t>September 30,</w:t>
            </w:r>
          </w:p>
        </w:tc>
        <w:tc>
          <w:tcPr>
            <w:tcW w:w="1020" w:type="dxa"/>
            <w:vAlign w:val="bottom"/>
            <w:tcBorders>
              <w:bottom w:val="single" w:sz="8" w:color="auto"/>
            </w:tcBorders>
          </w:tcPr>
          <w:p>
            <w:pPr>
              <w:spacing w:after="0"/>
              <w:rPr>
                <w:sz w:val="21"/>
                <w:szCs w:val="21"/>
                <w:color w:val="auto"/>
              </w:rPr>
            </w:pPr>
          </w:p>
        </w:tc>
      </w:tr>
      <w:tr>
        <w:trPr>
          <w:trHeight w:val="223"/>
        </w:trPr>
        <w:tc>
          <w:tcPr>
            <w:tcW w:w="4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Arial" w:cs="Arial" w:eastAsia="Arial" w:hAnsi="Arial"/>
                <w:sz w:val="22"/>
                <w:szCs w:val="22"/>
                <w:color w:val="auto"/>
              </w:rPr>
              <w:t>2021</w:t>
            </w:r>
          </w:p>
        </w:tc>
        <w:tc>
          <w:tcPr>
            <w:tcW w:w="400" w:type="dxa"/>
            <w:vAlign w:val="bottom"/>
          </w:tcPr>
          <w:p>
            <w:pPr>
              <w:spacing w:after="0"/>
              <w:rPr>
                <w:sz w:val="19"/>
                <w:szCs w:val="19"/>
                <w:color w:val="auto"/>
              </w:rPr>
            </w:pPr>
          </w:p>
        </w:tc>
        <w:tc>
          <w:tcPr>
            <w:tcW w:w="1120" w:type="dxa"/>
            <w:vAlign w:val="bottom"/>
            <w:gridSpan w:val="2"/>
          </w:tcPr>
          <w:p>
            <w:pPr>
              <w:jc w:val="right"/>
              <w:ind w:right="40"/>
              <w:spacing w:after="0" w:line="223" w:lineRule="exact"/>
              <w:rPr>
                <w:sz w:val="20"/>
                <w:szCs w:val="20"/>
                <w:color w:val="auto"/>
              </w:rPr>
            </w:pPr>
            <w:r>
              <w:rPr>
                <w:rFonts w:ascii="Arial" w:cs="Arial" w:eastAsia="Arial" w:hAnsi="Arial"/>
                <w:sz w:val="22"/>
                <w:szCs w:val="22"/>
                <w:color w:val="auto"/>
              </w:rPr>
              <w:t>2020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472"/>
              <w:spacing w:after="0" w:line="223" w:lineRule="exact"/>
              <w:rPr>
                <w:sz w:val="20"/>
                <w:szCs w:val="20"/>
                <w:color w:val="auto"/>
              </w:rPr>
            </w:pPr>
            <w:r>
              <w:rPr>
                <w:rFonts w:ascii="Arial" w:cs="Arial" w:eastAsia="Arial" w:hAnsi="Arial"/>
                <w:sz w:val="22"/>
                <w:szCs w:val="22"/>
                <w:color w:val="auto"/>
              </w:rPr>
              <w:t>2021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452"/>
              <w:spacing w:after="0" w:line="223" w:lineRule="exact"/>
              <w:rPr>
                <w:sz w:val="20"/>
                <w:szCs w:val="20"/>
                <w:color w:val="auto"/>
              </w:rPr>
            </w:pPr>
            <w:r>
              <w:rPr>
                <w:rFonts w:ascii="Arial" w:cs="Arial" w:eastAsia="Arial" w:hAnsi="Arial"/>
                <w:sz w:val="22"/>
                <w:szCs w:val="22"/>
                <w:color w:val="auto"/>
                <w:w w:val="89"/>
              </w:rPr>
              <w:t>2020</w:t>
            </w:r>
          </w:p>
        </w:tc>
      </w:tr>
      <w:tr>
        <w:trPr>
          <w:trHeight w:val="188"/>
        </w:trPr>
        <w:tc>
          <w:tcPr>
            <w:tcW w:w="45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21"/>
                <w:szCs w:val="21"/>
                <w:color w:val="auto"/>
                <w:w w:val="98"/>
              </w:rPr>
              <w:t>Stock-based compensation within operations and</w:t>
            </w:r>
          </w:p>
        </w:tc>
        <w:tc>
          <w:tcPr>
            <w:tcW w:w="3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251"/>
        </w:trPr>
        <w:tc>
          <w:tcPr>
            <w:tcW w:w="454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200" w:type="dxa"/>
            <w:vAlign w:val="bottom"/>
            <w:gridSpan w:val="2"/>
            <w:shd w:val="clear" w:color="auto" w:fill="CCEEFF"/>
          </w:tcPr>
          <w:p>
            <w:pPr>
              <w:jc w:val="right"/>
              <w:ind w:right="672"/>
              <w:spacing w:after="0" w:line="251" w:lineRule="exact"/>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87"/>
              </w:rPr>
              <w:t>724</w:t>
            </w:r>
          </w:p>
        </w:tc>
        <w:tc>
          <w:tcPr>
            <w:tcW w:w="1120" w:type="dxa"/>
            <w:vAlign w:val="bottom"/>
            <w:gridSpan w:val="2"/>
            <w:shd w:val="clear" w:color="auto" w:fill="CCEEFF"/>
          </w:tcPr>
          <w:p>
            <w:pPr>
              <w:jc w:val="right"/>
              <w:ind w:right="820"/>
              <w:spacing w:after="0" w:line="251" w:lineRule="exact"/>
              <w:rPr>
                <w:sz w:val="20"/>
                <w:szCs w:val="20"/>
                <w:color w:val="auto"/>
              </w:rPr>
            </w:pPr>
            <w:r>
              <w:rPr>
                <w:rFonts w:ascii="Arial" w:cs="Arial" w:eastAsia="Arial" w:hAnsi="Arial"/>
                <w:sz w:val="22"/>
                <w:szCs w:val="22"/>
                <w:color w:val="auto"/>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550</w:t>
            </w:r>
          </w:p>
        </w:tc>
        <w:tc>
          <w:tcPr>
            <w:tcW w:w="560" w:type="dxa"/>
            <w:vAlign w:val="bottom"/>
            <w:gridSpan w:val="2"/>
            <w:shd w:val="clear" w:color="auto" w:fill="CCEEFF"/>
          </w:tcPr>
          <w:p>
            <w:pPr>
              <w:jc w:val="right"/>
              <w:ind w:right="220"/>
              <w:spacing w:after="0" w:line="251" w:lineRule="exact"/>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2,089</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43"/>
              <w:spacing w:after="0"/>
              <w:rPr>
                <w:sz w:val="20"/>
                <w:szCs w:val="20"/>
                <w:color w:val="auto"/>
              </w:rPr>
            </w:pPr>
            <w:r>
              <w:rPr>
                <w:rFonts w:ascii="Arial" w:cs="Arial" w:eastAsia="Arial" w:hAnsi="Arial"/>
                <w:sz w:val="19"/>
                <w:szCs w:val="19"/>
                <w:color w:val="auto"/>
                <w:w w:val="75"/>
              </w:rPr>
              <w:t>$</w:t>
            </w:r>
          </w:p>
        </w:tc>
        <w:tc>
          <w:tcPr>
            <w:tcW w:w="10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1,582</w:t>
            </w:r>
          </w:p>
        </w:tc>
      </w:tr>
      <w:tr>
        <w:trPr>
          <w:trHeight w:val="274"/>
        </w:trPr>
        <w:tc>
          <w:tcPr>
            <w:tcW w:w="4540" w:type="dxa"/>
            <w:vAlign w:val="bottom"/>
          </w:tcPr>
          <w:p>
            <w:pPr>
              <w:spacing w:after="0"/>
              <w:rPr>
                <w:sz w:val="20"/>
                <w:szCs w:val="20"/>
                <w:color w:val="auto"/>
              </w:rPr>
            </w:pPr>
            <w:r>
              <w:rPr>
                <w:rFonts w:ascii="Arial" w:cs="Arial" w:eastAsia="Arial" w:hAnsi="Arial"/>
                <w:sz w:val="22"/>
                <w:szCs w:val="22"/>
                <w:color w:val="auto"/>
              </w:rPr>
              <w:t>Income tax benefit</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w w:val="87"/>
              </w:rPr>
              <w:t>205</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w w:val="92"/>
              </w:rPr>
              <w:t>148</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586</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438</w:t>
            </w:r>
          </w:p>
        </w:tc>
      </w:tr>
      <w:tr>
        <w:trPr>
          <w:trHeight w:val="451"/>
        </w:trPr>
        <w:tc>
          <w:tcPr>
            <w:tcW w:w="45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26</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8"/>
        </w:trPr>
        <w:tc>
          <w:tcPr>
            <w:tcW w:w="4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7" w:name="page28"/>
    <w:bookmarkEnd w:id="2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RSU transactions for the nine months ended September 30,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22"/>
                <w:szCs w:val="22"/>
                <w:color w:val="auto"/>
                <w:w w:val="89"/>
              </w:rPr>
              <w:t>Number</w:t>
            </w:r>
          </w:p>
        </w:tc>
        <w:tc>
          <w:tcPr>
            <w:tcW w:w="240" w:type="dxa"/>
            <w:vAlign w:val="bottom"/>
          </w:tcPr>
          <w:p>
            <w:pPr>
              <w:spacing w:after="0"/>
              <w:rPr>
                <w:sz w:val="21"/>
                <w:szCs w:val="21"/>
                <w:color w:val="auto"/>
              </w:rPr>
            </w:pPr>
          </w:p>
        </w:tc>
        <w:tc>
          <w:tcPr>
            <w:tcW w:w="1380" w:type="dxa"/>
            <w:vAlign w:val="bottom"/>
          </w:tcPr>
          <w:p>
            <w:pPr>
              <w:jc w:val="center"/>
              <w:ind w:right="132"/>
              <w:spacing w:after="0"/>
              <w:rPr>
                <w:sz w:val="20"/>
                <w:szCs w:val="20"/>
                <w:color w:val="auto"/>
              </w:rPr>
            </w:pPr>
            <w:r>
              <w:rPr>
                <w:rFonts w:ascii="Arial" w:cs="Arial" w:eastAsia="Arial" w:hAnsi="Arial"/>
                <w:sz w:val="22"/>
                <w:szCs w:val="22"/>
                <w:color w:val="auto"/>
                <w:w w:val="88"/>
              </w:rPr>
              <w:t>Weighted</w:t>
            </w:r>
          </w:p>
        </w:tc>
      </w:tr>
      <w:tr>
        <w:trPr>
          <w:trHeight w:val="230"/>
        </w:trPr>
        <w:tc>
          <w:tcPr>
            <w:tcW w:w="7940" w:type="dxa"/>
            <w:vAlign w:val="bottom"/>
          </w:tcPr>
          <w:p>
            <w:pPr>
              <w:spacing w:after="0"/>
              <w:rPr>
                <w:sz w:val="19"/>
                <w:szCs w:val="19"/>
                <w:color w:val="auto"/>
              </w:rPr>
            </w:pPr>
          </w:p>
        </w:tc>
        <w:tc>
          <w:tcPr>
            <w:tcW w:w="1680" w:type="dxa"/>
            <w:vAlign w:val="bottom"/>
            <w:gridSpan w:val="2"/>
          </w:tcPr>
          <w:p>
            <w:pPr>
              <w:jc w:val="center"/>
              <w:ind w:right="220"/>
              <w:spacing w:after="0" w:line="229" w:lineRule="exact"/>
              <w:rPr>
                <w:sz w:val="20"/>
                <w:szCs w:val="20"/>
                <w:color w:val="auto"/>
              </w:rPr>
            </w:pPr>
            <w:r>
              <w:rPr>
                <w:rFonts w:ascii="Arial" w:cs="Arial" w:eastAsia="Arial" w:hAnsi="Arial"/>
                <w:sz w:val="22"/>
                <w:szCs w:val="22"/>
                <w:color w:val="auto"/>
                <w:w w:val="97"/>
              </w:rPr>
              <w:t>of</w:t>
            </w:r>
          </w:p>
        </w:tc>
        <w:tc>
          <w:tcPr>
            <w:tcW w:w="240" w:type="dxa"/>
            <w:vAlign w:val="bottom"/>
          </w:tcPr>
          <w:p>
            <w:pPr>
              <w:spacing w:after="0"/>
              <w:rPr>
                <w:sz w:val="19"/>
                <w:szCs w:val="19"/>
                <w:color w:val="auto"/>
              </w:rPr>
            </w:pPr>
          </w:p>
        </w:tc>
        <w:tc>
          <w:tcPr>
            <w:tcW w:w="1380" w:type="dxa"/>
            <w:vAlign w:val="bottom"/>
          </w:tcPr>
          <w:p>
            <w:pPr>
              <w:jc w:val="center"/>
              <w:ind w:right="132"/>
              <w:spacing w:after="0" w:line="229" w:lineRule="exact"/>
              <w:rPr>
                <w:sz w:val="20"/>
                <w:szCs w:val="20"/>
                <w:color w:val="auto"/>
              </w:rPr>
            </w:pPr>
            <w:r>
              <w:rPr>
                <w:rFonts w:ascii="Arial" w:cs="Arial" w:eastAsia="Arial" w:hAnsi="Arial"/>
                <w:sz w:val="22"/>
                <w:szCs w:val="22"/>
                <w:color w:val="auto"/>
                <w:w w:val="85"/>
              </w:rPr>
              <w:t>Average</w:t>
            </w:r>
          </w:p>
        </w:tc>
      </w:tr>
      <w:tr>
        <w:trPr>
          <w:trHeight w:val="251"/>
        </w:trPr>
        <w:tc>
          <w:tcPr>
            <w:tcW w:w="7940" w:type="dxa"/>
            <w:vAlign w:val="bottom"/>
          </w:tcPr>
          <w:p>
            <w:pPr>
              <w:spacing w:after="0"/>
              <w:rPr>
                <w:sz w:val="21"/>
                <w:szCs w:val="21"/>
                <w:color w:val="auto"/>
              </w:rPr>
            </w:pPr>
          </w:p>
        </w:tc>
        <w:tc>
          <w:tcPr>
            <w:tcW w:w="1680" w:type="dxa"/>
            <w:vAlign w:val="bottom"/>
            <w:gridSpan w:val="2"/>
          </w:tcPr>
          <w:p>
            <w:pPr>
              <w:jc w:val="center"/>
              <w:ind w:right="220"/>
              <w:spacing w:after="0" w:line="251" w:lineRule="exact"/>
              <w:rPr>
                <w:sz w:val="20"/>
                <w:szCs w:val="20"/>
                <w:color w:val="auto"/>
              </w:rPr>
            </w:pPr>
            <w:r>
              <w:rPr>
                <w:rFonts w:ascii="Arial" w:cs="Arial" w:eastAsia="Arial" w:hAnsi="Arial"/>
                <w:sz w:val="22"/>
                <w:szCs w:val="22"/>
                <w:color w:val="auto"/>
                <w:w w:val="91"/>
              </w:rPr>
              <w:t>Stock Units</w:t>
            </w:r>
          </w:p>
        </w:tc>
        <w:tc>
          <w:tcPr>
            <w:tcW w:w="240" w:type="dxa"/>
            <w:vAlign w:val="bottom"/>
          </w:tcPr>
          <w:p>
            <w:pPr>
              <w:spacing w:after="0"/>
              <w:rPr>
                <w:sz w:val="21"/>
                <w:szCs w:val="21"/>
                <w:color w:val="auto"/>
              </w:rPr>
            </w:pPr>
          </w:p>
        </w:tc>
        <w:tc>
          <w:tcPr>
            <w:tcW w:w="1380" w:type="dxa"/>
            <w:vAlign w:val="bottom"/>
          </w:tcPr>
          <w:p>
            <w:pPr>
              <w:jc w:val="center"/>
              <w:ind w:right="13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9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beginning of period</w:t>
            </w:r>
          </w:p>
        </w:tc>
        <w:tc>
          <w:tcPr>
            <w:tcW w:w="14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163,906</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40.80</w:t>
            </w:r>
          </w:p>
        </w:tc>
      </w:tr>
      <w:tr>
        <w:trPr>
          <w:trHeight w:val="229"/>
        </w:trPr>
        <w:tc>
          <w:tcPr>
            <w:tcW w:w="79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460" w:type="dxa"/>
            <w:vAlign w:val="bottom"/>
          </w:tcPr>
          <w:p>
            <w:pPr>
              <w:jc w:val="right"/>
              <w:spacing w:after="0" w:line="229" w:lineRule="exact"/>
              <w:rPr>
                <w:sz w:val="20"/>
                <w:szCs w:val="20"/>
                <w:color w:val="auto"/>
              </w:rPr>
            </w:pPr>
            <w:r>
              <w:rPr>
                <w:rFonts w:ascii="Arial" w:cs="Arial" w:eastAsia="Arial" w:hAnsi="Arial"/>
                <w:sz w:val="22"/>
                <w:szCs w:val="22"/>
                <w:color w:val="auto"/>
              </w:rPr>
              <w:t>85,829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44.44</w:t>
            </w:r>
          </w:p>
        </w:tc>
      </w:tr>
      <w:tr>
        <w:trPr>
          <w:trHeight w:val="229"/>
        </w:trPr>
        <w:tc>
          <w:tcPr>
            <w:tcW w:w="79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Stock units vested and issued</w:t>
            </w:r>
          </w:p>
        </w:tc>
        <w:tc>
          <w:tcPr>
            <w:tcW w:w="168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(49,692)</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35.33</w:t>
            </w:r>
          </w:p>
        </w:tc>
      </w:tr>
      <w:tr>
        <w:trPr>
          <w:trHeight w:val="230"/>
        </w:trPr>
        <w:tc>
          <w:tcPr>
            <w:tcW w:w="7940" w:type="dxa"/>
            <w:vAlign w:val="bottom"/>
          </w:tcPr>
          <w:p>
            <w:pPr>
              <w:ind w:left="120"/>
              <w:spacing w:after="0" w:line="229" w:lineRule="exact"/>
              <w:rPr>
                <w:sz w:val="20"/>
                <w:szCs w:val="20"/>
                <w:color w:val="auto"/>
              </w:rPr>
            </w:pPr>
            <w:r>
              <w:rPr>
                <w:rFonts w:ascii="Arial" w:cs="Arial" w:eastAsia="Arial" w:hAnsi="Arial"/>
                <w:sz w:val="22"/>
                <w:szCs w:val="22"/>
                <w:color w:val="auto"/>
              </w:rPr>
              <w:t>Forfeited</w:t>
            </w:r>
          </w:p>
        </w:tc>
        <w:tc>
          <w:tcPr>
            <w:tcW w:w="168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(3,325)</w:t>
            </w: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43.30</w:t>
            </w:r>
          </w:p>
        </w:tc>
      </w:tr>
      <w:tr>
        <w:trPr>
          <w:trHeight w:val="223"/>
        </w:trPr>
        <w:tc>
          <w:tcPr>
            <w:tcW w:w="79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end of period</w:t>
            </w:r>
          </w:p>
        </w:tc>
        <w:tc>
          <w:tcPr>
            <w:tcW w:w="14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196,718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43.72</w:t>
            </w:r>
          </w:p>
        </w:tc>
      </w:tr>
      <w:tr>
        <w:trPr>
          <w:trHeight w:val="20"/>
        </w:trPr>
        <w:tc>
          <w:tcPr>
            <w:tcW w:w="7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60"/>
        <w:spacing w:after="0" w:line="239" w:lineRule="auto"/>
        <w:rPr>
          <w:sz w:val="20"/>
          <w:szCs w:val="20"/>
          <w:color w:val="auto"/>
        </w:rPr>
      </w:pPr>
      <w:r>
        <w:rPr>
          <w:rFonts w:ascii="Arial" w:cs="Arial" w:eastAsia="Arial" w:hAnsi="Arial"/>
          <w:sz w:val="22"/>
          <w:szCs w:val="22"/>
          <w:color w:val="auto"/>
        </w:rPr>
        <w:t>The per unit weighted-average fair value at the date of grant for RSUs granted during the nine months ended September 30, 2021 and 2020 was $44.44 and $49.40, respectively.</w:t>
      </w:r>
    </w:p>
    <w:p>
      <w:pPr>
        <w:spacing w:after="0" w:line="185" w:lineRule="exact"/>
        <w:rPr>
          <w:sz w:val="20"/>
          <w:szCs w:val="20"/>
          <w:color w:val="auto"/>
        </w:rPr>
      </w:pPr>
    </w:p>
    <w:p>
      <w:pPr>
        <w:ind w:right="20"/>
        <w:spacing w:after="0" w:line="233" w:lineRule="auto"/>
        <w:rPr>
          <w:sz w:val="20"/>
          <w:szCs w:val="20"/>
          <w:color w:val="auto"/>
        </w:rPr>
      </w:pPr>
      <w:r>
        <w:rPr>
          <w:rFonts w:ascii="Arial" w:cs="Arial" w:eastAsia="Arial" w:hAnsi="Arial"/>
          <w:sz w:val="21"/>
          <w:szCs w:val="21"/>
          <w:b w:val="1"/>
          <w:bCs w:val="1"/>
          <w:i w:val="1"/>
          <w:iCs w:val="1"/>
          <w:color w:val="auto"/>
        </w:rPr>
        <w:t xml:space="preserve">Stock Options </w:t>
      </w:r>
      <w:r>
        <w:rPr>
          <w:rFonts w:ascii="Arial" w:cs="Arial" w:eastAsia="Arial" w:hAnsi="Arial"/>
          <w:sz w:val="21"/>
          <w:szCs w:val="21"/>
          <w:color w:val="auto"/>
        </w:rPr>
        <w:t>– A stock option represents the option to purchase a number of shares of common stock of the Company 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20" w:type="dxa"/>
            <w:vAlign w:val="bottom"/>
          </w:tcPr>
          <w:p>
            <w:pPr>
              <w:spacing w:after="0"/>
              <w:rPr>
                <w:sz w:val="21"/>
                <w:szCs w:val="21"/>
                <w:color w:val="auto"/>
              </w:rPr>
            </w:pPr>
          </w:p>
        </w:tc>
        <w:tc>
          <w:tcPr>
            <w:tcW w:w="2440" w:type="dxa"/>
            <w:vAlign w:val="bottom"/>
            <w:gridSpan w:val="4"/>
          </w:tcPr>
          <w:p>
            <w:pPr>
              <w:jc w:val="center"/>
              <w:ind w:left="312"/>
              <w:spacing w:after="0"/>
              <w:rPr>
                <w:sz w:val="20"/>
                <w:szCs w:val="20"/>
                <w:color w:val="auto"/>
              </w:rPr>
            </w:pPr>
            <w:r>
              <w:rPr>
                <w:rFonts w:ascii="Arial" w:cs="Arial" w:eastAsia="Arial" w:hAnsi="Arial"/>
                <w:sz w:val="22"/>
                <w:szCs w:val="22"/>
                <w:color w:val="auto"/>
                <w:w w:val="88"/>
              </w:rPr>
              <w:t>Three Months Ended</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432"/>
              <w:spacing w:after="0"/>
              <w:rPr>
                <w:sz w:val="20"/>
                <w:szCs w:val="20"/>
                <w:color w:val="auto"/>
              </w:rPr>
            </w:pPr>
            <w:r>
              <w:rPr>
                <w:rFonts w:ascii="Arial" w:cs="Arial" w:eastAsia="Arial" w:hAnsi="Arial"/>
                <w:sz w:val="22"/>
                <w:szCs w:val="22"/>
                <w:color w:val="auto"/>
              </w:rPr>
              <w:t>Nine Months Ended</w:t>
            </w:r>
          </w:p>
        </w:tc>
      </w:tr>
      <w:tr>
        <w:trPr>
          <w:trHeight w:val="251"/>
        </w:trPr>
        <w:tc>
          <w:tcPr>
            <w:tcW w:w="5320" w:type="dxa"/>
            <w:vAlign w:val="bottom"/>
          </w:tcPr>
          <w:p>
            <w:pPr>
              <w:spacing w:after="0"/>
              <w:rPr>
                <w:sz w:val="21"/>
                <w:szCs w:val="21"/>
                <w:color w:val="auto"/>
              </w:rPr>
            </w:pPr>
          </w:p>
        </w:tc>
        <w:tc>
          <w:tcPr>
            <w:tcW w:w="2440" w:type="dxa"/>
            <w:vAlign w:val="bottom"/>
            <w:tcBorders>
              <w:bottom w:val="single" w:sz="8" w:color="auto"/>
            </w:tcBorders>
            <w:gridSpan w:val="4"/>
          </w:tcPr>
          <w:p>
            <w:pPr>
              <w:jc w:val="center"/>
              <w:ind w:left="312"/>
              <w:spacing w:after="0" w:line="251" w:lineRule="exact"/>
              <w:rPr>
                <w:sz w:val="20"/>
                <w:szCs w:val="20"/>
                <w:color w:val="auto"/>
              </w:rPr>
            </w:pPr>
            <w:r>
              <w:rPr>
                <w:rFonts w:ascii="Arial" w:cs="Arial" w:eastAsia="Arial" w:hAnsi="Arial"/>
                <w:sz w:val="22"/>
                <w:szCs w:val="22"/>
                <w:color w:val="auto"/>
                <w:w w:val="87"/>
              </w:rPr>
              <w:t>September 30,</w:t>
            </w:r>
          </w:p>
        </w:tc>
        <w:tc>
          <w:tcPr>
            <w:tcW w:w="4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572"/>
              <w:spacing w:after="0" w:line="251" w:lineRule="exact"/>
              <w:rPr>
                <w:sz w:val="20"/>
                <w:szCs w:val="20"/>
                <w:color w:val="auto"/>
              </w:rPr>
            </w:pPr>
            <w:r>
              <w:rPr>
                <w:rFonts w:ascii="Arial" w:cs="Arial" w:eastAsia="Arial" w:hAnsi="Arial"/>
                <w:sz w:val="22"/>
                <w:szCs w:val="22"/>
                <w:color w:val="auto"/>
              </w:rPr>
              <w:t>September 30,</w:t>
            </w:r>
          </w:p>
        </w:tc>
      </w:tr>
      <w:tr>
        <w:trPr>
          <w:trHeight w:val="223"/>
        </w:trPr>
        <w:tc>
          <w:tcPr>
            <w:tcW w:w="532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Arial" w:cs="Arial" w:eastAsia="Arial" w:hAnsi="Arial"/>
                <w:sz w:val="22"/>
                <w:szCs w:val="22"/>
                <w:color w:val="auto"/>
              </w:rPr>
              <w:t>2021</w:t>
            </w:r>
          </w:p>
        </w:tc>
        <w:tc>
          <w:tcPr>
            <w:tcW w:w="360" w:type="dxa"/>
            <w:vAlign w:val="bottom"/>
          </w:tcPr>
          <w:p>
            <w:pPr>
              <w:spacing w:after="0"/>
              <w:rPr>
                <w:sz w:val="19"/>
                <w:szCs w:val="19"/>
                <w:color w:val="auto"/>
              </w:rPr>
            </w:pPr>
          </w:p>
        </w:tc>
        <w:tc>
          <w:tcPr>
            <w:tcW w:w="1120" w:type="dxa"/>
            <w:vAlign w:val="bottom"/>
            <w:gridSpan w:val="2"/>
          </w:tcPr>
          <w:p>
            <w:pPr>
              <w:jc w:val="right"/>
              <w:ind w:right="20"/>
              <w:spacing w:after="0" w:line="223" w:lineRule="exact"/>
              <w:rPr>
                <w:sz w:val="20"/>
                <w:szCs w:val="20"/>
                <w:color w:val="auto"/>
              </w:rPr>
            </w:pPr>
            <w:r>
              <w:rPr>
                <w:rFonts w:ascii="Arial" w:cs="Arial" w:eastAsia="Arial" w:hAnsi="Arial"/>
                <w:sz w:val="22"/>
                <w:szCs w:val="22"/>
                <w:color w:val="auto"/>
              </w:rPr>
              <w:t>2020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32"/>
              <w:spacing w:after="0" w:line="223" w:lineRule="exact"/>
              <w:rPr>
                <w:sz w:val="20"/>
                <w:szCs w:val="20"/>
                <w:color w:val="auto"/>
              </w:rPr>
            </w:pPr>
            <w:r>
              <w:rPr>
                <w:rFonts w:ascii="Arial" w:cs="Arial" w:eastAsia="Arial" w:hAnsi="Arial"/>
                <w:sz w:val="22"/>
                <w:szCs w:val="22"/>
                <w:color w:val="auto"/>
              </w:rPr>
              <w:t>2021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32"/>
              <w:spacing w:after="0" w:line="223" w:lineRule="exact"/>
              <w:rPr>
                <w:sz w:val="20"/>
                <w:szCs w:val="20"/>
                <w:color w:val="auto"/>
              </w:rPr>
            </w:pPr>
            <w:r>
              <w:rPr>
                <w:rFonts w:ascii="Arial" w:cs="Arial" w:eastAsia="Arial" w:hAnsi="Arial"/>
                <w:sz w:val="22"/>
                <w:szCs w:val="22"/>
                <w:color w:val="auto"/>
              </w:rPr>
              <w:t>2020</w:t>
            </w:r>
          </w:p>
        </w:tc>
      </w:tr>
      <w:tr>
        <w:trPr>
          <w:trHeight w:val="188"/>
        </w:trPr>
        <w:tc>
          <w:tcPr>
            <w:tcW w:w="53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21"/>
                <w:szCs w:val="21"/>
                <w:color w:val="auto"/>
              </w:rPr>
              <w:t>Stock-based compensation within operations and</w:t>
            </w: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r>
      <w:tr>
        <w:trPr>
          <w:trHeight w:val="251"/>
        </w:trPr>
        <w:tc>
          <w:tcPr>
            <w:tcW w:w="532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960" w:type="dxa"/>
            <w:vAlign w:val="bottom"/>
            <w:shd w:val="clear" w:color="auto" w:fill="CCEEFF"/>
          </w:tcPr>
          <w:p>
            <w:pPr>
              <w:jc w:val="right"/>
              <w:ind w:right="732"/>
              <w:spacing w:after="0" w:line="251" w:lineRule="exact"/>
              <w:rPr>
                <w:sz w:val="20"/>
                <w:szCs w:val="20"/>
                <w:color w:val="auto"/>
              </w:rPr>
            </w:pPr>
            <w:r>
              <w:rPr>
                <w:rFonts w:ascii="Arial" w:cs="Arial" w:eastAsia="Arial" w:hAnsi="Arial"/>
                <w:sz w:val="22"/>
                <w:szCs w:val="22"/>
                <w:color w:val="auto"/>
                <w:w w:val="81"/>
              </w:rPr>
              <w:t>$</w:t>
            </w:r>
          </w:p>
        </w:tc>
        <w:tc>
          <w:tcPr>
            <w:tcW w:w="3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94</w:t>
            </w:r>
          </w:p>
        </w:tc>
        <w:tc>
          <w:tcPr>
            <w:tcW w:w="1120" w:type="dxa"/>
            <w:vAlign w:val="bottom"/>
            <w:gridSpan w:val="2"/>
            <w:shd w:val="clear" w:color="auto" w:fill="CCEEFF"/>
          </w:tcPr>
          <w:p>
            <w:pPr>
              <w:jc w:val="right"/>
              <w:ind w:right="800"/>
              <w:spacing w:after="0" w:line="251" w:lineRule="exact"/>
              <w:rPr>
                <w:sz w:val="20"/>
                <w:szCs w:val="20"/>
                <w:color w:val="auto"/>
              </w:rPr>
            </w:pPr>
            <w:r>
              <w:rPr>
                <w:rFonts w:ascii="Arial" w:cs="Arial" w:eastAsia="Arial" w:hAnsi="Arial"/>
                <w:sz w:val="22"/>
                <w:szCs w:val="22"/>
                <w:color w:val="auto"/>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279</w:t>
            </w:r>
          </w:p>
        </w:tc>
        <w:tc>
          <w:tcPr>
            <w:tcW w:w="500" w:type="dxa"/>
            <w:vAlign w:val="bottom"/>
            <w:gridSpan w:val="2"/>
            <w:shd w:val="clear" w:color="auto" w:fill="CCEEFF"/>
          </w:tcPr>
          <w:p>
            <w:pPr>
              <w:jc w:val="right"/>
              <w:ind w:right="160"/>
              <w:spacing w:after="0" w:line="251" w:lineRule="exact"/>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395</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9"/>
                <w:szCs w:val="19"/>
                <w:color w:val="auto"/>
                <w:w w:val="75"/>
              </w:rPr>
              <w:t>$</w:t>
            </w:r>
          </w:p>
        </w:tc>
        <w:tc>
          <w:tcPr>
            <w:tcW w:w="10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1,046</w:t>
            </w:r>
          </w:p>
        </w:tc>
      </w:tr>
      <w:tr>
        <w:trPr>
          <w:trHeight w:val="274"/>
        </w:trPr>
        <w:tc>
          <w:tcPr>
            <w:tcW w:w="5320" w:type="dxa"/>
            <w:vAlign w:val="bottom"/>
          </w:tcPr>
          <w:p>
            <w:pPr>
              <w:spacing w:after="0"/>
              <w:rPr>
                <w:sz w:val="20"/>
                <w:szCs w:val="20"/>
                <w:color w:val="auto"/>
              </w:rPr>
            </w:pPr>
            <w:r>
              <w:rPr>
                <w:rFonts w:ascii="Arial" w:cs="Arial" w:eastAsia="Arial" w:hAnsi="Arial"/>
                <w:sz w:val="22"/>
                <w:szCs w:val="22"/>
                <w:color w:val="auto"/>
              </w:rPr>
              <w:t>Income tax benefit</w:t>
            </w:r>
          </w:p>
        </w:tc>
        <w:tc>
          <w:tcPr>
            <w:tcW w:w="9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27</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79</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113</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296</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The Company did not grant stock options for the nine months ended September 30, 2021 and 2020.</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8" w:name="page29"/>
    <w:bookmarkEnd w:id="2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option transactions for the nine months ended September 30,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22"/>
                <w:szCs w:val="22"/>
                <w:color w:val="auto"/>
                <w:w w:val="88"/>
              </w:rPr>
              <w:t>Weighted</w:t>
            </w:r>
          </w:p>
        </w:tc>
        <w:tc>
          <w:tcPr>
            <w:tcW w:w="1460" w:type="dxa"/>
            <w:vAlign w:val="bottom"/>
            <w:gridSpan w:val="2"/>
          </w:tcPr>
          <w:p>
            <w:pPr>
              <w:jc w:val="center"/>
              <w:ind w:right="160"/>
              <w:spacing w:after="0"/>
              <w:rPr>
                <w:sz w:val="20"/>
                <w:szCs w:val="20"/>
                <w:color w:val="auto"/>
              </w:rPr>
            </w:pPr>
            <w:r>
              <w:rPr>
                <w:rFonts w:ascii="Arial" w:cs="Arial" w:eastAsia="Arial" w:hAnsi="Arial"/>
                <w:sz w:val="22"/>
                <w:szCs w:val="22"/>
                <w:color w:val="auto"/>
                <w:w w:val="88"/>
              </w:rPr>
              <w:t>Weighted</w:t>
            </w:r>
          </w:p>
        </w:tc>
        <w:tc>
          <w:tcPr>
            <w:tcW w:w="1560" w:type="dxa"/>
            <w:vAlign w:val="bottom"/>
          </w:tcPr>
          <w:p>
            <w:pPr>
              <w:spacing w:after="0"/>
              <w:rPr>
                <w:sz w:val="21"/>
                <w:szCs w:val="21"/>
                <w:color w:val="auto"/>
              </w:rPr>
            </w:pPr>
          </w:p>
        </w:tc>
      </w:tr>
      <w:tr>
        <w:trPr>
          <w:trHeight w:val="229"/>
        </w:trPr>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80"/>
              <w:spacing w:after="0" w:line="229" w:lineRule="exact"/>
              <w:rPr>
                <w:sz w:val="20"/>
                <w:szCs w:val="20"/>
                <w:color w:val="auto"/>
              </w:rPr>
            </w:pPr>
            <w:r>
              <w:rPr>
                <w:rFonts w:ascii="Arial" w:cs="Arial" w:eastAsia="Arial" w:hAnsi="Arial"/>
                <w:sz w:val="22"/>
                <w:szCs w:val="22"/>
                <w:color w:val="auto"/>
                <w:w w:val="85"/>
              </w:rPr>
              <w:t>Average</w:t>
            </w:r>
          </w:p>
        </w:tc>
        <w:tc>
          <w:tcPr>
            <w:tcW w:w="1460" w:type="dxa"/>
            <w:vAlign w:val="bottom"/>
            <w:gridSpan w:val="2"/>
          </w:tcPr>
          <w:p>
            <w:pPr>
              <w:jc w:val="center"/>
              <w:ind w:right="180"/>
              <w:spacing w:after="0" w:line="229" w:lineRule="exact"/>
              <w:rPr>
                <w:sz w:val="20"/>
                <w:szCs w:val="20"/>
                <w:color w:val="auto"/>
              </w:rPr>
            </w:pPr>
            <w:r>
              <w:rPr>
                <w:rFonts w:ascii="Arial" w:cs="Arial" w:eastAsia="Arial" w:hAnsi="Arial"/>
                <w:sz w:val="22"/>
                <w:szCs w:val="22"/>
                <w:color w:val="auto"/>
                <w:w w:val="87"/>
              </w:rPr>
              <w:t>Average</w:t>
            </w:r>
          </w:p>
        </w:tc>
        <w:tc>
          <w:tcPr>
            <w:tcW w:w="1560" w:type="dxa"/>
            <w:vAlign w:val="bottom"/>
          </w:tcPr>
          <w:p>
            <w:pPr>
              <w:jc w:val="center"/>
              <w:spacing w:after="0" w:line="229" w:lineRule="exact"/>
              <w:rPr>
                <w:sz w:val="20"/>
                <w:szCs w:val="20"/>
                <w:color w:val="auto"/>
              </w:rPr>
            </w:pPr>
            <w:r>
              <w:rPr>
                <w:rFonts w:ascii="Arial" w:cs="Arial" w:eastAsia="Arial" w:hAnsi="Arial"/>
                <w:sz w:val="22"/>
                <w:szCs w:val="22"/>
                <w:color w:val="auto"/>
                <w:w w:val="88"/>
              </w:rPr>
              <w:t>Aggregate</w:t>
            </w:r>
          </w:p>
        </w:tc>
      </w:tr>
      <w:tr>
        <w:trPr>
          <w:trHeight w:val="230"/>
        </w:trPr>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80"/>
              <w:spacing w:after="0" w:line="229" w:lineRule="exact"/>
              <w:rPr>
                <w:sz w:val="20"/>
                <w:szCs w:val="20"/>
                <w:color w:val="auto"/>
              </w:rPr>
            </w:pPr>
            <w:r>
              <w:rPr>
                <w:rFonts w:ascii="Arial" w:cs="Arial" w:eastAsia="Arial" w:hAnsi="Arial"/>
                <w:sz w:val="22"/>
                <w:szCs w:val="22"/>
                <w:color w:val="auto"/>
                <w:w w:val="87"/>
              </w:rPr>
              <w:t>Exercise</w:t>
            </w:r>
          </w:p>
        </w:tc>
        <w:tc>
          <w:tcPr>
            <w:tcW w:w="1460" w:type="dxa"/>
            <w:vAlign w:val="bottom"/>
            <w:gridSpan w:val="2"/>
          </w:tcPr>
          <w:p>
            <w:pPr>
              <w:jc w:val="center"/>
              <w:ind w:right="160"/>
              <w:spacing w:after="0" w:line="229" w:lineRule="exact"/>
              <w:rPr>
                <w:sz w:val="20"/>
                <w:szCs w:val="20"/>
                <w:color w:val="auto"/>
              </w:rPr>
            </w:pPr>
            <w:r>
              <w:rPr>
                <w:rFonts w:ascii="Arial" w:cs="Arial" w:eastAsia="Arial" w:hAnsi="Arial"/>
                <w:sz w:val="22"/>
                <w:szCs w:val="22"/>
                <w:color w:val="auto"/>
                <w:w w:val="89"/>
              </w:rPr>
              <w:t>Remaining</w:t>
            </w:r>
          </w:p>
        </w:tc>
        <w:tc>
          <w:tcPr>
            <w:tcW w:w="1560" w:type="dxa"/>
            <w:vAlign w:val="bottom"/>
          </w:tcPr>
          <w:p>
            <w:pPr>
              <w:jc w:val="center"/>
              <w:spacing w:after="0" w:line="229" w:lineRule="exact"/>
              <w:rPr>
                <w:sz w:val="20"/>
                <w:szCs w:val="20"/>
                <w:color w:val="auto"/>
              </w:rPr>
            </w:pPr>
            <w:r>
              <w:rPr>
                <w:rFonts w:ascii="Arial" w:cs="Arial" w:eastAsia="Arial" w:hAnsi="Arial"/>
                <w:sz w:val="22"/>
                <w:szCs w:val="22"/>
                <w:color w:val="auto"/>
                <w:w w:val="94"/>
              </w:rPr>
              <w:t>Intrinsic</w:t>
            </w:r>
          </w:p>
        </w:tc>
      </w:tr>
      <w:tr>
        <w:trPr>
          <w:trHeight w:val="251"/>
        </w:trPr>
        <w:tc>
          <w:tcPr>
            <w:tcW w:w="5100" w:type="dxa"/>
            <w:vAlign w:val="bottom"/>
          </w:tcPr>
          <w:p>
            <w:pPr>
              <w:spacing w:after="0"/>
              <w:rPr>
                <w:sz w:val="21"/>
                <w:szCs w:val="21"/>
                <w:color w:val="auto"/>
              </w:rPr>
            </w:pPr>
          </w:p>
        </w:tc>
        <w:tc>
          <w:tcPr>
            <w:tcW w:w="1580" w:type="dxa"/>
            <w:vAlign w:val="bottom"/>
            <w:gridSpan w:val="2"/>
          </w:tcPr>
          <w:p>
            <w:pPr>
              <w:ind w:left="400"/>
              <w:spacing w:after="0" w:line="251" w:lineRule="exact"/>
              <w:rPr>
                <w:sz w:val="20"/>
                <w:szCs w:val="20"/>
                <w:color w:val="auto"/>
              </w:rPr>
            </w:pPr>
            <w:r>
              <w:rPr>
                <w:rFonts w:ascii="Arial" w:cs="Arial" w:eastAsia="Arial" w:hAnsi="Arial"/>
                <w:sz w:val="22"/>
                <w:szCs w:val="22"/>
                <w:color w:val="auto"/>
              </w:rPr>
              <w:t>Shares</w:t>
            </w:r>
          </w:p>
        </w:tc>
        <w:tc>
          <w:tcPr>
            <w:tcW w:w="180" w:type="dxa"/>
            <w:vAlign w:val="bottom"/>
          </w:tcPr>
          <w:p>
            <w:pPr>
              <w:spacing w:after="0"/>
              <w:rPr>
                <w:sz w:val="21"/>
                <w:szCs w:val="21"/>
                <w:color w:val="auto"/>
              </w:rPr>
            </w:pPr>
          </w:p>
        </w:tc>
        <w:tc>
          <w:tcPr>
            <w:tcW w:w="1360" w:type="dxa"/>
            <w:vAlign w:val="bottom"/>
            <w:gridSpan w:val="2"/>
          </w:tcPr>
          <w:p>
            <w:pPr>
              <w:jc w:val="center"/>
              <w:ind w:right="360"/>
              <w:spacing w:after="0" w:line="251" w:lineRule="exact"/>
              <w:rPr>
                <w:sz w:val="20"/>
                <w:szCs w:val="20"/>
                <w:color w:val="auto"/>
              </w:rPr>
            </w:pPr>
            <w:r>
              <w:rPr>
                <w:rFonts w:ascii="Arial" w:cs="Arial" w:eastAsia="Arial" w:hAnsi="Arial"/>
                <w:sz w:val="22"/>
                <w:szCs w:val="22"/>
                <w:color w:val="auto"/>
                <w:w w:val="87"/>
              </w:rPr>
              <w:t>Price</w:t>
            </w:r>
          </w:p>
        </w:tc>
        <w:tc>
          <w:tcPr>
            <w:tcW w:w="1460" w:type="dxa"/>
            <w:vAlign w:val="bottom"/>
            <w:gridSpan w:val="2"/>
          </w:tcPr>
          <w:p>
            <w:pPr>
              <w:jc w:val="center"/>
              <w:ind w:right="160"/>
              <w:spacing w:after="0" w:line="251" w:lineRule="exact"/>
              <w:rPr>
                <w:sz w:val="20"/>
                <w:szCs w:val="20"/>
                <w:color w:val="auto"/>
              </w:rPr>
            </w:pPr>
            <w:r>
              <w:rPr>
                <w:rFonts w:ascii="Arial" w:cs="Arial" w:eastAsia="Arial" w:hAnsi="Arial"/>
                <w:sz w:val="22"/>
                <w:szCs w:val="22"/>
                <w:color w:val="auto"/>
                <w:w w:val="92"/>
              </w:rPr>
              <w:t>Life (years)</w:t>
            </w:r>
          </w:p>
        </w:tc>
        <w:tc>
          <w:tcPr>
            <w:tcW w:w="1560" w:type="dxa"/>
            <w:vAlign w:val="bottom"/>
          </w:tcPr>
          <w:p>
            <w:pPr>
              <w:jc w:val="center"/>
              <w:spacing w:after="0" w:line="251" w:lineRule="exact"/>
              <w:rPr>
                <w:sz w:val="20"/>
                <w:szCs w:val="20"/>
                <w:color w:val="auto"/>
              </w:rPr>
            </w:pPr>
            <w:r>
              <w:rPr>
                <w:rFonts w:ascii="Arial" w:cs="Arial" w:eastAsia="Arial" w:hAnsi="Arial"/>
                <w:sz w:val="22"/>
                <w:szCs w:val="22"/>
                <w:color w:val="auto"/>
                <w:w w:val="85"/>
              </w:rPr>
              <w:t>Value</w:t>
            </w:r>
          </w:p>
        </w:tc>
      </w:tr>
      <w:tr>
        <w:trPr>
          <w:trHeight w:val="223"/>
        </w:trPr>
        <w:tc>
          <w:tcPr>
            <w:tcW w:w="51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Outstanding at beginning of period</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948,270</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35.22</w:t>
            </w:r>
          </w:p>
        </w:tc>
        <w:tc>
          <w:tcPr>
            <w:tcW w:w="2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510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1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Forfeited</w:t>
            </w: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(7,219)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35.91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100" w:type="dxa"/>
            <w:vAlign w:val="bottom"/>
          </w:tcPr>
          <w:p>
            <w:pPr>
              <w:ind w:left="120"/>
              <w:spacing w:after="0" w:line="229" w:lineRule="exact"/>
              <w:rPr>
                <w:sz w:val="20"/>
                <w:szCs w:val="20"/>
                <w:color w:val="auto"/>
              </w:rPr>
            </w:pPr>
            <w:r>
              <w:rPr>
                <w:rFonts w:ascii="Arial" w:cs="Arial" w:eastAsia="Arial" w:hAnsi="Arial"/>
                <w:sz w:val="22"/>
                <w:szCs w:val="22"/>
                <w:color w:val="auto"/>
              </w:rPr>
              <w:t>Expired</w:t>
            </w: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(984)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33.93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51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Exercised</w:t>
            </w:r>
          </w:p>
        </w:tc>
        <w:tc>
          <w:tcPr>
            <w:tcW w:w="13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(97,659)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33.72</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3"/>
        </w:trPr>
        <w:tc>
          <w:tcPr>
            <w:tcW w:w="5100" w:type="dxa"/>
            <w:vAlign w:val="bottom"/>
          </w:tcPr>
          <w:p>
            <w:pPr>
              <w:spacing w:after="0" w:line="223" w:lineRule="exact"/>
              <w:rPr>
                <w:sz w:val="20"/>
                <w:szCs w:val="20"/>
                <w:color w:val="auto"/>
              </w:rPr>
            </w:pPr>
            <w:r>
              <w:rPr>
                <w:rFonts w:ascii="Arial" w:cs="Arial" w:eastAsia="Arial" w:hAnsi="Arial"/>
                <w:sz w:val="22"/>
                <w:szCs w:val="22"/>
                <w:color w:val="auto"/>
              </w:rPr>
              <w:t>Outstanding at end of period</w:t>
            </w:r>
          </w:p>
        </w:tc>
        <w:tc>
          <w:tcPr>
            <w:tcW w:w="13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842,408</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35.22</w:t>
            </w:r>
          </w:p>
        </w:tc>
        <w:tc>
          <w:tcPr>
            <w:tcW w:w="200" w:type="dxa"/>
            <w:vAlign w:val="bottom"/>
          </w:tcPr>
          <w:p>
            <w:pPr>
              <w:spacing w:after="0"/>
              <w:rPr>
                <w:sz w:val="19"/>
                <w:szCs w:val="19"/>
                <w:color w:val="auto"/>
              </w:rPr>
            </w:pPr>
          </w:p>
        </w:tc>
        <w:tc>
          <w:tcPr>
            <w:tcW w:w="1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7.1</w:t>
            </w:r>
          </w:p>
        </w:tc>
        <w:tc>
          <w:tcPr>
            <w:tcW w:w="180" w:type="dxa"/>
            <w:vAlign w:val="bottom"/>
          </w:tcPr>
          <w:p>
            <w:pPr>
              <w:spacing w:after="0"/>
              <w:rPr>
                <w:sz w:val="19"/>
                <w:szCs w:val="19"/>
                <w:color w:val="auto"/>
              </w:rPr>
            </w:pPr>
          </w:p>
        </w:tc>
        <w:tc>
          <w:tcPr>
            <w:tcW w:w="15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9,009,081</w:t>
            </w:r>
          </w:p>
        </w:tc>
      </w:tr>
      <w:tr>
        <w:trPr>
          <w:trHeight w:val="20"/>
        </w:trPr>
        <w:tc>
          <w:tcPr>
            <w:tcW w:w="5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5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5100" w:type="dxa"/>
            <w:vAlign w:val="bottom"/>
            <w:tcBorders>
              <w:bottom w:val="single" w:sz="8" w:color="CCEEFF"/>
            </w:tcBorders>
            <w:shd w:val="clear" w:color="auto" w:fill="CCEEFF"/>
          </w:tcPr>
          <w:p>
            <w:pPr>
              <w:spacing w:after="0" w:line="229" w:lineRule="exact"/>
              <w:rPr>
                <w:sz w:val="20"/>
                <w:szCs w:val="20"/>
                <w:color w:val="auto"/>
              </w:rPr>
            </w:pPr>
            <w:r>
              <w:rPr>
                <w:rFonts w:ascii="Arial" w:cs="Arial" w:eastAsia="Arial" w:hAnsi="Arial"/>
                <w:sz w:val="22"/>
                <w:szCs w:val="22"/>
                <w:color w:val="auto"/>
              </w:rPr>
              <w:t>Exercisable at end of period</w:t>
            </w:r>
          </w:p>
        </w:tc>
        <w:tc>
          <w:tcPr>
            <w:tcW w:w="13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609,410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35.17</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7.0</w:t>
            </w:r>
          </w:p>
        </w:tc>
        <w:tc>
          <w:tcPr>
            <w:tcW w:w="1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6,650,661</w:t>
            </w:r>
          </w:p>
        </w:tc>
      </w:tr>
      <w:tr>
        <w:trPr>
          <w:trHeight w:val="20"/>
        </w:trPr>
        <w:tc>
          <w:tcPr>
            <w:tcW w:w="5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i w:val="1"/>
          <w:iCs w:val="1"/>
          <w:color w:val="auto"/>
        </w:rPr>
        <w:t xml:space="preserve">Restricted Stock – </w:t>
      </w:r>
      <w:r>
        <w:rPr>
          <w:rFonts w:ascii="Arial" w:cs="Arial" w:eastAsia="Arial" w:hAnsi="Arial"/>
          <w:sz w:val="19"/>
          <w:szCs w:val="19"/>
          <w:color w:val="auto"/>
        </w:rPr>
        <w:t>Restricted stock awards provide the grantee with the rights of a shareholder, including the right to receive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80" w:type="dxa"/>
            <w:vAlign w:val="bottom"/>
          </w:tcPr>
          <w:p>
            <w:pPr>
              <w:spacing w:after="0"/>
              <w:rPr>
                <w:sz w:val="21"/>
                <w:szCs w:val="21"/>
                <w:color w:val="auto"/>
              </w:rPr>
            </w:pPr>
          </w:p>
        </w:tc>
        <w:tc>
          <w:tcPr>
            <w:tcW w:w="2300" w:type="dxa"/>
            <w:vAlign w:val="bottom"/>
            <w:gridSpan w:val="4"/>
          </w:tcPr>
          <w:p>
            <w:pPr>
              <w:ind w:left="440"/>
              <w:spacing w:after="0"/>
              <w:rPr>
                <w:sz w:val="20"/>
                <w:szCs w:val="20"/>
                <w:color w:val="auto"/>
              </w:rPr>
            </w:pPr>
            <w:r>
              <w:rPr>
                <w:rFonts w:ascii="Arial" w:cs="Arial" w:eastAsia="Arial" w:hAnsi="Arial"/>
                <w:sz w:val="22"/>
                <w:szCs w:val="22"/>
                <w:color w:val="auto"/>
                <w:w w:val="89"/>
              </w:rPr>
              <w:t>Three Months Ended</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60" w:type="dxa"/>
            <w:vAlign w:val="bottom"/>
            <w:gridSpan w:val="4"/>
          </w:tcPr>
          <w:p>
            <w:pPr>
              <w:jc w:val="center"/>
              <w:ind w:right="212"/>
              <w:spacing w:after="0"/>
              <w:rPr>
                <w:sz w:val="20"/>
                <w:szCs w:val="20"/>
                <w:color w:val="auto"/>
              </w:rPr>
            </w:pPr>
            <w:r>
              <w:rPr>
                <w:rFonts w:ascii="Arial" w:cs="Arial" w:eastAsia="Arial" w:hAnsi="Arial"/>
                <w:sz w:val="22"/>
                <w:szCs w:val="22"/>
                <w:color w:val="auto"/>
                <w:w w:val="90"/>
              </w:rPr>
              <w:t>Nine Months Ended</w:t>
            </w:r>
          </w:p>
        </w:tc>
      </w:tr>
      <w:tr>
        <w:trPr>
          <w:trHeight w:val="251"/>
        </w:trPr>
        <w:tc>
          <w:tcPr>
            <w:tcW w:w="5080" w:type="dxa"/>
            <w:vAlign w:val="bottom"/>
          </w:tcPr>
          <w:p>
            <w:pPr>
              <w:spacing w:after="0"/>
              <w:rPr>
                <w:sz w:val="21"/>
                <w:szCs w:val="21"/>
                <w:color w:val="auto"/>
              </w:rPr>
            </w:pPr>
          </w:p>
        </w:tc>
        <w:tc>
          <w:tcPr>
            <w:tcW w:w="2300" w:type="dxa"/>
            <w:vAlign w:val="bottom"/>
            <w:tcBorders>
              <w:bottom w:val="single" w:sz="8" w:color="auto"/>
            </w:tcBorders>
            <w:gridSpan w:val="4"/>
          </w:tcPr>
          <w:p>
            <w:pPr>
              <w:ind w:left="740"/>
              <w:spacing w:after="0" w:line="251" w:lineRule="exact"/>
              <w:rPr>
                <w:sz w:val="20"/>
                <w:szCs w:val="20"/>
                <w:color w:val="auto"/>
              </w:rPr>
            </w:pPr>
            <w:r>
              <w:rPr>
                <w:rFonts w:ascii="Arial" w:cs="Arial" w:eastAsia="Arial" w:hAnsi="Arial"/>
                <w:sz w:val="22"/>
                <w:szCs w:val="22"/>
                <w:color w:val="auto"/>
              </w:rPr>
              <w:t>September 30,</w:t>
            </w:r>
          </w:p>
        </w:tc>
        <w:tc>
          <w:tcPr>
            <w:tcW w:w="4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center"/>
              <w:ind w:left="532"/>
              <w:spacing w:after="0" w:line="251" w:lineRule="exact"/>
              <w:rPr>
                <w:sz w:val="20"/>
                <w:szCs w:val="20"/>
                <w:color w:val="auto"/>
              </w:rPr>
            </w:pPr>
            <w:r>
              <w:rPr>
                <w:rFonts w:ascii="Arial" w:cs="Arial" w:eastAsia="Arial" w:hAnsi="Arial"/>
                <w:sz w:val="22"/>
                <w:szCs w:val="22"/>
                <w:color w:val="auto"/>
                <w:w w:val="87"/>
              </w:rPr>
              <w:t>September 30,</w:t>
            </w:r>
          </w:p>
        </w:tc>
        <w:tc>
          <w:tcPr>
            <w:tcW w:w="960" w:type="dxa"/>
            <w:vAlign w:val="bottom"/>
            <w:tcBorders>
              <w:bottom w:val="single" w:sz="8" w:color="auto"/>
            </w:tcBorders>
          </w:tcPr>
          <w:p>
            <w:pPr>
              <w:spacing w:after="0"/>
              <w:rPr>
                <w:sz w:val="21"/>
                <w:szCs w:val="2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ind w:left="440"/>
              <w:spacing w:after="0" w:line="223" w:lineRule="exact"/>
              <w:rPr>
                <w:sz w:val="20"/>
                <w:szCs w:val="20"/>
                <w:color w:val="auto"/>
              </w:rPr>
            </w:pPr>
            <w:r>
              <w:rPr>
                <w:rFonts w:ascii="Arial" w:cs="Arial" w:eastAsia="Arial" w:hAnsi="Arial"/>
                <w:sz w:val="22"/>
                <w:szCs w:val="22"/>
                <w:color w:val="auto"/>
              </w:rPr>
              <w:t>2021</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gridSpan w:val="2"/>
          </w:tcPr>
          <w:p>
            <w:pPr>
              <w:jc w:val="right"/>
              <w:ind w:right="232"/>
              <w:spacing w:after="0" w:line="223" w:lineRule="exact"/>
              <w:rPr>
                <w:sz w:val="20"/>
                <w:szCs w:val="20"/>
                <w:color w:val="auto"/>
              </w:rPr>
            </w:pPr>
            <w:r>
              <w:rPr>
                <w:rFonts w:ascii="Arial" w:cs="Arial" w:eastAsia="Arial" w:hAnsi="Arial"/>
                <w:sz w:val="22"/>
                <w:szCs w:val="22"/>
                <w:color w:val="auto"/>
              </w:rPr>
              <w:t>2020</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2021</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w w:val="85"/>
              </w:rPr>
              <w:t>2020</w:t>
            </w:r>
          </w:p>
        </w:tc>
      </w:tr>
      <w:tr>
        <w:trPr>
          <w:trHeight w:val="188"/>
        </w:trPr>
        <w:tc>
          <w:tcPr>
            <w:tcW w:w="508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Stock-based compensation within operations and</w:t>
            </w: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51"/>
        </w:trPr>
        <w:tc>
          <w:tcPr>
            <w:tcW w:w="508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960" w:type="dxa"/>
            <w:vAlign w:val="bottom"/>
            <w:shd w:val="clear" w:color="auto" w:fill="CCEEFF"/>
          </w:tcPr>
          <w:p>
            <w:pPr>
              <w:jc w:val="right"/>
              <w:ind w:right="732"/>
              <w:spacing w:after="0" w:line="251" w:lineRule="exact"/>
              <w:rPr>
                <w:sz w:val="20"/>
                <w:szCs w:val="20"/>
                <w:color w:val="auto"/>
              </w:rPr>
            </w:pPr>
            <w:r>
              <w:rPr>
                <w:rFonts w:ascii="Arial" w:cs="Arial" w:eastAsia="Arial" w:hAnsi="Arial"/>
                <w:sz w:val="22"/>
                <w:szCs w:val="22"/>
                <w:color w:val="auto"/>
                <w:w w:val="81"/>
              </w:rPr>
              <w:t>$</w:t>
            </w:r>
          </w:p>
        </w:tc>
        <w:tc>
          <w:tcPr>
            <w:tcW w:w="3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11</w:t>
            </w: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97"/>
              <w:spacing w:after="0"/>
              <w:rPr>
                <w:sz w:val="20"/>
                <w:szCs w:val="20"/>
                <w:color w:val="auto"/>
              </w:rPr>
            </w:pPr>
            <w:r>
              <w:rPr>
                <w:rFonts w:ascii="Arial" w:cs="Arial" w:eastAsia="Arial" w:hAnsi="Arial"/>
                <w:sz w:val="19"/>
                <w:szCs w:val="19"/>
                <w:color w:val="auto"/>
                <w:w w:val="75"/>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103</w:t>
            </w:r>
          </w:p>
        </w:tc>
        <w:tc>
          <w:tcPr>
            <w:tcW w:w="580" w:type="dxa"/>
            <w:vAlign w:val="bottom"/>
            <w:gridSpan w:val="2"/>
            <w:shd w:val="clear" w:color="auto" w:fill="CCEEFF"/>
          </w:tcPr>
          <w:p>
            <w:pPr>
              <w:jc w:val="right"/>
              <w:ind w:right="200"/>
              <w:spacing w:after="0" w:line="251" w:lineRule="exact"/>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117</w:t>
            </w: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72"/>
              <w:spacing w:after="0" w:line="251" w:lineRule="exact"/>
              <w:rPr>
                <w:sz w:val="20"/>
                <w:szCs w:val="20"/>
                <w:color w:val="auto"/>
              </w:rPr>
            </w:pPr>
            <w:r>
              <w:rPr>
                <w:rFonts w:ascii="Arial" w:cs="Arial" w:eastAsia="Arial" w:hAnsi="Arial"/>
                <w:sz w:val="22"/>
                <w:szCs w:val="22"/>
                <w:color w:val="auto"/>
                <w:w w:val="81"/>
              </w:rPr>
              <w:t>$</w:t>
            </w:r>
          </w:p>
        </w:tc>
        <w:tc>
          <w:tcPr>
            <w:tcW w:w="9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220</w:t>
            </w:r>
          </w:p>
        </w:tc>
      </w:tr>
      <w:tr>
        <w:trPr>
          <w:trHeight w:val="274"/>
        </w:trPr>
        <w:tc>
          <w:tcPr>
            <w:tcW w:w="5080" w:type="dxa"/>
            <w:vAlign w:val="bottom"/>
          </w:tcPr>
          <w:p>
            <w:pPr>
              <w:spacing w:after="0"/>
              <w:rPr>
                <w:sz w:val="20"/>
                <w:szCs w:val="20"/>
                <w:color w:val="auto"/>
              </w:rPr>
            </w:pPr>
            <w:r>
              <w:rPr>
                <w:rFonts w:ascii="Arial" w:cs="Arial" w:eastAsia="Arial" w:hAnsi="Arial"/>
                <w:sz w:val="22"/>
                <w:szCs w:val="22"/>
                <w:color w:val="auto"/>
              </w:rPr>
              <w:t>Income tax benefit</w:t>
            </w:r>
          </w:p>
        </w:tc>
        <w:tc>
          <w:tcPr>
            <w:tcW w:w="9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3</w:t>
            </w: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30</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34</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64</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restricted stock transactions for the nine months ended September 30,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22"/>
                <w:szCs w:val="22"/>
                <w:color w:val="auto"/>
                <w:w w:val="91"/>
              </w:rPr>
              <w:t>Number</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center"/>
              <w:ind w:right="212"/>
              <w:spacing w:after="0"/>
              <w:rPr>
                <w:sz w:val="20"/>
                <w:szCs w:val="20"/>
                <w:color w:val="auto"/>
              </w:rPr>
            </w:pPr>
            <w:r>
              <w:rPr>
                <w:rFonts w:ascii="Arial" w:cs="Arial" w:eastAsia="Arial" w:hAnsi="Arial"/>
                <w:sz w:val="22"/>
                <w:szCs w:val="22"/>
                <w:color w:val="auto"/>
                <w:w w:val="88"/>
              </w:rPr>
              <w:t>Weighted</w:t>
            </w:r>
          </w:p>
        </w:tc>
      </w:tr>
      <w:tr>
        <w:trPr>
          <w:trHeight w:val="230"/>
        </w:trPr>
        <w:tc>
          <w:tcPr>
            <w:tcW w:w="7260" w:type="dxa"/>
            <w:vAlign w:val="bottom"/>
          </w:tcPr>
          <w:p>
            <w:pPr>
              <w:spacing w:after="0"/>
              <w:rPr>
                <w:sz w:val="19"/>
                <w:szCs w:val="19"/>
                <w:color w:val="auto"/>
              </w:rPr>
            </w:pPr>
          </w:p>
        </w:tc>
        <w:tc>
          <w:tcPr>
            <w:tcW w:w="2000" w:type="dxa"/>
            <w:vAlign w:val="bottom"/>
            <w:gridSpan w:val="2"/>
          </w:tcPr>
          <w:p>
            <w:pPr>
              <w:jc w:val="center"/>
              <w:ind w:right="260"/>
              <w:spacing w:after="0" w:line="229" w:lineRule="exact"/>
              <w:rPr>
                <w:sz w:val="20"/>
                <w:szCs w:val="20"/>
                <w:color w:val="auto"/>
              </w:rPr>
            </w:pPr>
            <w:r>
              <w:rPr>
                <w:rFonts w:ascii="Arial" w:cs="Arial" w:eastAsia="Arial" w:hAnsi="Arial"/>
                <w:sz w:val="22"/>
                <w:szCs w:val="22"/>
                <w:color w:val="auto"/>
                <w:w w:val="97"/>
              </w:rPr>
              <w:t>of</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center"/>
              <w:ind w:right="212"/>
              <w:spacing w:after="0" w:line="229" w:lineRule="exact"/>
              <w:rPr>
                <w:sz w:val="20"/>
                <w:szCs w:val="20"/>
                <w:color w:val="auto"/>
              </w:rPr>
            </w:pPr>
            <w:r>
              <w:rPr>
                <w:rFonts w:ascii="Arial" w:cs="Arial" w:eastAsia="Arial" w:hAnsi="Arial"/>
                <w:sz w:val="22"/>
                <w:szCs w:val="22"/>
                <w:color w:val="auto"/>
                <w:w w:val="85"/>
              </w:rPr>
              <w:t>Average</w:t>
            </w:r>
          </w:p>
        </w:tc>
      </w:tr>
      <w:tr>
        <w:trPr>
          <w:trHeight w:val="251"/>
        </w:trPr>
        <w:tc>
          <w:tcPr>
            <w:tcW w:w="7260" w:type="dxa"/>
            <w:vAlign w:val="bottom"/>
          </w:tcPr>
          <w:p>
            <w:pPr>
              <w:spacing w:after="0"/>
              <w:rPr>
                <w:sz w:val="21"/>
                <w:szCs w:val="21"/>
                <w:color w:val="auto"/>
              </w:rPr>
            </w:pPr>
          </w:p>
        </w:tc>
        <w:tc>
          <w:tcPr>
            <w:tcW w:w="2000" w:type="dxa"/>
            <w:vAlign w:val="bottom"/>
            <w:gridSpan w:val="2"/>
          </w:tcPr>
          <w:p>
            <w:pPr>
              <w:jc w:val="center"/>
              <w:ind w:right="280"/>
              <w:spacing w:after="0" w:line="251" w:lineRule="exact"/>
              <w:rPr>
                <w:sz w:val="20"/>
                <w:szCs w:val="20"/>
                <w:color w:val="auto"/>
              </w:rPr>
            </w:pPr>
            <w:r>
              <w:rPr>
                <w:rFonts w:ascii="Arial" w:cs="Arial" w:eastAsia="Arial" w:hAnsi="Arial"/>
                <w:sz w:val="22"/>
                <w:szCs w:val="22"/>
                <w:color w:val="auto"/>
                <w:w w:val="80"/>
              </w:rPr>
              <w:t>Shares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center"/>
              <w:ind w:right="21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2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restricted stock at beginning of period</w:t>
            </w:r>
          </w:p>
        </w:tc>
        <w:tc>
          <w:tcPr>
            <w:tcW w:w="17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13,228</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34.02</w:t>
            </w:r>
          </w:p>
        </w:tc>
      </w:tr>
      <w:tr>
        <w:trPr>
          <w:trHeight w:val="230"/>
        </w:trPr>
        <w:tc>
          <w:tcPr>
            <w:tcW w:w="726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720" w:type="dxa"/>
            <w:vAlign w:val="bottom"/>
          </w:tcPr>
          <w:p>
            <w:pPr>
              <w:jc w:val="right"/>
              <w:spacing w:after="0" w:line="229" w:lineRule="exact"/>
              <w:rPr>
                <w:sz w:val="20"/>
                <w:szCs w:val="20"/>
                <w:color w:val="auto"/>
              </w:rPr>
            </w:pPr>
            <w:r>
              <w:rPr>
                <w:rFonts w:ascii="Arial" w:cs="Arial" w:eastAsia="Arial" w:hAnsi="Arial"/>
                <w:sz w:val="22"/>
                <w:szCs w:val="22"/>
                <w:color w:val="auto"/>
              </w:rPr>
              <w:t>1,068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Arial" w:cs="Arial" w:eastAsia="Arial" w:hAnsi="Arial"/>
                <w:sz w:val="22"/>
                <w:szCs w:val="22"/>
                <w:color w:val="auto"/>
              </w:rPr>
              <w:t>46.83</w:t>
            </w:r>
          </w:p>
        </w:tc>
      </w:tr>
      <w:tr>
        <w:trPr>
          <w:trHeight w:val="229"/>
        </w:trPr>
        <w:tc>
          <w:tcPr>
            <w:tcW w:w="72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7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(13,228)</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34.02</w:t>
            </w:r>
          </w:p>
        </w:tc>
      </w:tr>
      <w:tr>
        <w:trPr>
          <w:trHeight w:val="223"/>
        </w:trPr>
        <w:tc>
          <w:tcPr>
            <w:tcW w:w="7260" w:type="dxa"/>
            <w:vAlign w:val="bottom"/>
          </w:tcPr>
          <w:p>
            <w:pPr>
              <w:spacing w:after="0" w:line="223" w:lineRule="exact"/>
              <w:rPr>
                <w:sz w:val="20"/>
                <w:szCs w:val="20"/>
                <w:color w:val="auto"/>
              </w:rPr>
            </w:pPr>
            <w:r>
              <w:rPr>
                <w:rFonts w:ascii="Arial" w:cs="Arial" w:eastAsia="Arial" w:hAnsi="Arial"/>
                <w:sz w:val="22"/>
                <w:szCs w:val="22"/>
                <w:color w:val="auto"/>
              </w:rPr>
              <w:t>Nonvested restricted stock at end of period</w:t>
            </w:r>
          </w:p>
        </w:tc>
        <w:tc>
          <w:tcPr>
            <w:tcW w:w="1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1,068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46.83</w:t>
            </w:r>
          </w:p>
        </w:tc>
      </w:tr>
      <w:tr>
        <w:trPr>
          <w:trHeight w:val="20"/>
        </w:trPr>
        <w:tc>
          <w:tcPr>
            <w:tcW w:w="7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780"/>
        <w:spacing w:after="0" w:line="239" w:lineRule="auto"/>
        <w:rPr>
          <w:sz w:val="20"/>
          <w:szCs w:val="20"/>
          <w:color w:val="auto"/>
        </w:rPr>
      </w:pPr>
      <w:r>
        <w:rPr>
          <w:rFonts w:ascii="Arial" w:cs="Arial" w:eastAsia="Arial" w:hAnsi="Arial"/>
          <w:sz w:val="22"/>
          <w:szCs w:val="22"/>
          <w:color w:val="auto"/>
        </w:rPr>
        <w:t>The weighted-average fair value at the date of the grant for restricted stock awards granted during the nine months ended September 30, 2021 and 2020 was $46.83 and $34.02,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9" w:name="page30"/>
    <w:bookmarkEnd w:id="2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120"/>
        <w:spacing w:after="0" w:line="228" w:lineRule="auto"/>
        <w:rPr>
          <w:sz w:val="20"/>
          <w:szCs w:val="20"/>
          <w:color w:val="auto"/>
        </w:rPr>
      </w:pPr>
      <w:r>
        <w:rPr>
          <w:rFonts w:ascii="Arial" w:cs="Arial" w:eastAsia="Arial" w:hAnsi="Arial"/>
          <w:sz w:val="22"/>
          <w:szCs w:val="22"/>
          <w:b w:val="1"/>
          <w:bCs w:val="1"/>
          <w:i w:val="1"/>
          <w:iCs w:val="1"/>
          <w:color w:val="auto"/>
        </w:rPr>
        <w:t xml:space="preserve">Stock Awards </w:t>
      </w:r>
      <w:r>
        <w:rPr>
          <w:rFonts w:ascii="Arial" w:cs="Arial" w:eastAsia="Arial" w:hAnsi="Arial"/>
          <w:sz w:val="22"/>
          <w:szCs w:val="22"/>
          <w:color w:val="auto"/>
        </w:rPr>
        <w:t>– Stock awards represent the issuance of the Company’s common stock, without restriction. The issuance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awards results in 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4"/>
          </w:tcPr>
          <w:p>
            <w:pPr>
              <w:jc w:val="center"/>
              <w:ind w:left="332"/>
              <w:spacing w:after="0"/>
              <w:rPr>
                <w:sz w:val="20"/>
                <w:szCs w:val="20"/>
                <w:color w:val="auto"/>
              </w:rPr>
            </w:pPr>
            <w:r>
              <w:rPr>
                <w:rFonts w:ascii="Arial" w:cs="Arial" w:eastAsia="Arial" w:hAnsi="Arial"/>
                <w:sz w:val="22"/>
                <w:szCs w:val="22"/>
                <w:color w:val="auto"/>
                <w:w w:val="88"/>
              </w:rPr>
              <w:t>Three Months Ended</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60" w:type="dxa"/>
            <w:vAlign w:val="bottom"/>
            <w:gridSpan w:val="4"/>
          </w:tcPr>
          <w:p>
            <w:pPr>
              <w:jc w:val="center"/>
              <w:ind w:right="252"/>
              <w:spacing w:after="0"/>
              <w:rPr>
                <w:sz w:val="20"/>
                <w:szCs w:val="20"/>
                <w:color w:val="auto"/>
              </w:rPr>
            </w:pPr>
            <w:r>
              <w:rPr>
                <w:rFonts w:ascii="Arial" w:cs="Arial" w:eastAsia="Arial" w:hAnsi="Arial"/>
                <w:sz w:val="22"/>
                <w:szCs w:val="22"/>
                <w:color w:val="auto"/>
                <w:w w:val="90"/>
              </w:rPr>
              <w:t>Nine Months Ended</w:t>
            </w:r>
          </w:p>
        </w:tc>
      </w:tr>
      <w:tr>
        <w:trPr>
          <w:trHeight w:val="251"/>
        </w:trPr>
        <w:tc>
          <w:tcPr>
            <w:tcW w:w="4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tcBorders>
              <w:bottom w:val="single" w:sz="8" w:color="auto"/>
            </w:tcBorders>
            <w:gridSpan w:val="4"/>
          </w:tcPr>
          <w:p>
            <w:pPr>
              <w:jc w:val="center"/>
              <w:ind w:left="332"/>
              <w:spacing w:after="0" w:line="251" w:lineRule="exact"/>
              <w:rPr>
                <w:sz w:val="20"/>
                <w:szCs w:val="20"/>
                <w:color w:val="auto"/>
              </w:rPr>
            </w:pPr>
            <w:r>
              <w:rPr>
                <w:rFonts w:ascii="Arial" w:cs="Arial" w:eastAsia="Arial" w:hAnsi="Arial"/>
                <w:sz w:val="22"/>
                <w:szCs w:val="22"/>
                <w:color w:val="auto"/>
                <w:w w:val="87"/>
              </w:rPr>
              <w:t>September 30,</w:t>
            </w:r>
          </w:p>
        </w:tc>
        <w:tc>
          <w:tcPr>
            <w:tcW w:w="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left="572"/>
              <w:spacing w:after="0" w:line="251" w:lineRule="exact"/>
              <w:rPr>
                <w:sz w:val="20"/>
                <w:szCs w:val="20"/>
                <w:color w:val="auto"/>
              </w:rPr>
            </w:pPr>
            <w:r>
              <w:rPr>
                <w:rFonts w:ascii="Arial" w:cs="Arial" w:eastAsia="Arial" w:hAnsi="Arial"/>
                <w:sz w:val="22"/>
                <w:szCs w:val="22"/>
                <w:color w:val="auto"/>
                <w:w w:val="87"/>
              </w:rPr>
              <w:t>September 30,</w:t>
            </w:r>
          </w:p>
        </w:tc>
        <w:tc>
          <w:tcPr>
            <w:tcW w:w="1040" w:type="dxa"/>
            <w:vAlign w:val="bottom"/>
            <w:tcBorders>
              <w:bottom w:val="single" w:sz="8" w:color="auto"/>
            </w:tcBorders>
          </w:tcPr>
          <w:p>
            <w:pPr>
              <w:spacing w:after="0"/>
              <w:rPr>
                <w:sz w:val="21"/>
                <w:szCs w:val="2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2021</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2020</w:t>
            </w: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2021</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w w:val="89"/>
              </w:rPr>
              <w:t>2020</w:t>
            </w:r>
          </w:p>
        </w:tc>
      </w:tr>
      <w:tr>
        <w:trPr>
          <w:trHeight w:val="188"/>
        </w:trPr>
        <w:tc>
          <w:tcPr>
            <w:tcW w:w="446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w w:val="97"/>
              </w:rPr>
              <w:t>Stock-based compensation within operations and</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51"/>
        </w:trPr>
        <w:tc>
          <w:tcPr>
            <w:tcW w:w="446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120" w:type="dxa"/>
            <w:vAlign w:val="bottom"/>
            <w:gridSpan w:val="2"/>
            <w:shd w:val="clear" w:color="auto" w:fill="CCEEFF"/>
          </w:tcPr>
          <w:p>
            <w:pPr>
              <w:jc w:val="right"/>
              <w:ind w:right="692"/>
              <w:spacing w:after="0" w:line="251" w:lineRule="exact"/>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87"/>
              </w:rPr>
              <w:t>175</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9"/>
                <w:szCs w:val="19"/>
                <w:color w:val="auto"/>
                <w:w w:val="75"/>
              </w:rPr>
              <w:t>$</w:t>
            </w:r>
          </w:p>
        </w:tc>
        <w:tc>
          <w:tcPr>
            <w:tcW w:w="4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7"/>
              </w:rPr>
              <w:t>175</w:t>
            </w:r>
          </w:p>
        </w:tc>
        <w:tc>
          <w:tcPr>
            <w:tcW w:w="580" w:type="dxa"/>
            <w:vAlign w:val="bottom"/>
            <w:gridSpan w:val="2"/>
            <w:shd w:val="clear" w:color="auto" w:fill="CCEEFF"/>
          </w:tcPr>
          <w:p>
            <w:pPr>
              <w:jc w:val="right"/>
              <w:ind w:right="240"/>
              <w:spacing w:after="0" w:line="251" w:lineRule="exact"/>
              <w:rPr>
                <w:sz w:val="20"/>
                <w:szCs w:val="20"/>
                <w:color w:val="auto"/>
              </w:rPr>
            </w:pPr>
            <w:r>
              <w:rPr>
                <w:rFonts w:ascii="Arial" w:cs="Arial" w:eastAsia="Arial" w:hAnsi="Arial"/>
                <w:sz w:val="22"/>
                <w:szCs w:val="22"/>
                <w:color w:val="auto"/>
              </w:rPr>
              <w:t>$</w:t>
            </w:r>
          </w:p>
        </w:tc>
        <w:tc>
          <w:tcPr>
            <w:tcW w:w="12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525</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32"/>
              <w:spacing w:after="0" w:line="251" w:lineRule="exact"/>
              <w:rPr>
                <w:sz w:val="20"/>
                <w:szCs w:val="20"/>
                <w:color w:val="auto"/>
              </w:rPr>
            </w:pPr>
            <w:r>
              <w:rPr>
                <w:rFonts w:ascii="Arial" w:cs="Arial" w:eastAsia="Arial" w:hAnsi="Arial"/>
                <w:sz w:val="22"/>
                <w:szCs w:val="22"/>
                <w:color w:val="auto"/>
                <w:w w:val="81"/>
              </w:rPr>
              <w:t>$</w:t>
            </w:r>
          </w:p>
        </w:tc>
        <w:tc>
          <w:tcPr>
            <w:tcW w:w="10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520</w:t>
            </w:r>
          </w:p>
        </w:tc>
      </w:tr>
      <w:tr>
        <w:trPr>
          <w:trHeight w:val="274"/>
        </w:trPr>
        <w:tc>
          <w:tcPr>
            <w:tcW w:w="4460" w:type="dxa"/>
            <w:vAlign w:val="bottom"/>
          </w:tcPr>
          <w:p>
            <w:pPr>
              <w:spacing w:after="0"/>
              <w:rPr>
                <w:sz w:val="20"/>
                <w:szCs w:val="20"/>
                <w:color w:val="auto"/>
              </w:rPr>
            </w:pPr>
            <w:r>
              <w:rPr>
                <w:rFonts w:ascii="Arial" w:cs="Arial" w:eastAsia="Arial" w:hAnsi="Arial"/>
                <w:sz w:val="22"/>
                <w:szCs w:val="22"/>
                <w:color w:val="auto"/>
              </w:rPr>
              <w:t>Income tax benefit</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51</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50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152</w:t>
            </w: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150</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award transactions for the nine months ended September 30,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center"/>
              <w:ind w:right="232"/>
              <w:spacing w:after="0"/>
              <w:rPr>
                <w:sz w:val="20"/>
                <w:szCs w:val="20"/>
                <w:color w:val="auto"/>
              </w:rPr>
            </w:pPr>
            <w:r>
              <w:rPr>
                <w:rFonts w:ascii="Arial" w:cs="Arial" w:eastAsia="Arial" w:hAnsi="Arial"/>
                <w:sz w:val="22"/>
                <w:szCs w:val="22"/>
                <w:color w:val="auto"/>
                <w:w w:val="90"/>
              </w:rPr>
              <w:t>Weighted</w:t>
            </w:r>
          </w:p>
        </w:tc>
      </w:tr>
      <w:tr>
        <w:trPr>
          <w:trHeight w:val="229"/>
        </w:trPr>
        <w:tc>
          <w:tcPr>
            <w:tcW w:w="7140" w:type="dxa"/>
            <w:vAlign w:val="bottom"/>
          </w:tcPr>
          <w:p>
            <w:pPr>
              <w:spacing w:after="0"/>
              <w:rPr>
                <w:sz w:val="19"/>
                <w:szCs w:val="19"/>
                <w:color w:val="auto"/>
              </w:rPr>
            </w:pPr>
          </w:p>
        </w:tc>
        <w:tc>
          <w:tcPr>
            <w:tcW w:w="182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center"/>
              <w:ind w:right="23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714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9"/>
              </w:rPr>
              <w:t>Stock Awards</w:t>
            </w:r>
          </w:p>
        </w:tc>
        <w:tc>
          <w:tcPr>
            <w:tcW w:w="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3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71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stock awards at beginning of period</w:t>
            </w:r>
          </w:p>
        </w:tc>
        <w:tc>
          <w:tcPr>
            <w:tcW w:w="18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r>
      <w:tr>
        <w:trPr>
          <w:trHeight w:val="230"/>
        </w:trPr>
        <w:tc>
          <w:tcPr>
            <w:tcW w:w="71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820" w:type="dxa"/>
            <w:vAlign w:val="bottom"/>
          </w:tcPr>
          <w:p>
            <w:pPr>
              <w:jc w:val="right"/>
              <w:spacing w:after="0" w:line="229" w:lineRule="exact"/>
              <w:rPr>
                <w:sz w:val="20"/>
                <w:szCs w:val="20"/>
                <w:color w:val="auto"/>
              </w:rPr>
            </w:pPr>
            <w:r>
              <w:rPr>
                <w:rFonts w:ascii="Arial" w:cs="Arial" w:eastAsia="Arial" w:hAnsi="Arial"/>
                <w:sz w:val="22"/>
                <w:szCs w:val="22"/>
                <w:color w:val="auto"/>
              </w:rPr>
              <w:t>11,487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Arial" w:cs="Arial" w:eastAsia="Arial" w:hAnsi="Arial"/>
                <w:sz w:val="22"/>
                <w:szCs w:val="22"/>
                <w:color w:val="auto"/>
              </w:rPr>
              <w:t>45.71</w:t>
            </w:r>
          </w:p>
        </w:tc>
      </w:tr>
      <w:tr>
        <w:trPr>
          <w:trHeight w:val="229"/>
        </w:trPr>
        <w:tc>
          <w:tcPr>
            <w:tcW w:w="71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8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(11,487)</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(45.71)</w:t>
            </w:r>
          </w:p>
        </w:tc>
      </w:tr>
      <w:tr>
        <w:trPr>
          <w:trHeight w:val="223"/>
        </w:trPr>
        <w:tc>
          <w:tcPr>
            <w:tcW w:w="7140" w:type="dxa"/>
            <w:vAlign w:val="bottom"/>
          </w:tcPr>
          <w:p>
            <w:pPr>
              <w:spacing w:after="0" w:line="223" w:lineRule="exact"/>
              <w:rPr>
                <w:sz w:val="20"/>
                <w:szCs w:val="20"/>
                <w:color w:val="auto"/>
              </w:rPr>
            </w:pPr>
            <w:r>
              <w:rPr>
                <w:rFonts w:ascii="Arial" w:cs="Arial" w:eastAsia="Arial" w:hAnsi="Arial"/>
                <w:sz w:val="22"/>
                <w:szCs w:val="22"/>
                <w:color w:val="auto"/>
              </w:rPr>
              <w:t>Nonvested stock awards at end of period</w:t>
            </w:r>
          </w:p>
        </w:tc>
        <w:tc>
          <w:tcPr>
            <w:tcW w:w="18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3" w:lineRule="exact"/>
              <w:rPr>
                <w:sz w:val="20"/>
                <w:szCs w:val="20"/>
                <w:color w:val="auto"/>
              </w:rPr>
            </w:pPr>
            <w:r>
              <w:rPr>
                <w:rFonts w:ascii="Arial" w:cs="Arial" w:eastAsia="Arial" w:hAnsi="Arial"/>
                <w:sz w:val="22"/>
                <w:szCs w:val="22"/>
                <w:color w:val="auto"/>
              </w:rPr>
              <w:t>-</w:t>
            </w:r>
          </w:p>
        </w:tc>
      </w:tr>
      <w:tr>
        <w:trPr>
          <w:trHeight w:val="20"/>
        </w:trPr>
        <w:tc>
          <w:tcPr>
            <w:tcW w:w="7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spacing w:after="0" w:line="239" w:lineRule="auto"/>
        <w:rPr>
          <w:sz w:val="20"/>
          <w:szCs w:val="20"/>
          <w:color w:val="auto"/>
        </w:rPr>
      </w:pPr>
      <w:r>
        <w:rPr>
          <w:rFonts w:ascii="Arial" w:cs="Arial" w:eastAsia="Arial" w:hAnsi="Arial"/>
          <w:sz w:val="22"/>
          <w:szCs w:val="22"/>
          <w:color w:val="auto"/>
        </w:rPr>
        <w:t>The weighted-average fair value at the date of grant for stock awards granted during the nine months ended September 30, 2021 and 2020 was $45.71 and $40.54,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0" w:name="page31"/>
    <w:bookmarkEnd w:id="3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w:t>
      </w:r>
      <w:r>
        <w:rPr>
          <w:rFonts w:ascii="Arial" w:cs="Arial" w:eastAsia="Arial" w:hAnsi="Arial"/>
          <w:sz w:val="22"/>
          <w:szCs w:val="22"/>
          <w:b w:val="1"/>
          <w:bCs w:val="1"/>
          <w:i w:val="1"/>
          <w:iCs w:val="1"/>
          <w:color w:val="auto"/>
        </w:rPr>
        <w:t>Pension Plans and Other Postretirement Benefits</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21"/>
          <w:szCs w:val="21"/>
          <w:color w:val="auto"/>
        </w:rPr>
        <w:t>The Company maintains a qualified defined benefit pension plan (the “Pension Plan”), a nonqualified pension plan, and other postretirement benefit plans for certain of its employees. On March 16, 2020, we completed the Peoples Gas Acquisition and assumed the pension and other postretirement benefit plans for its employees. The operating results of Peoples has been included in our consolidated financial statements since the date of acquisition. On April 1, 2020, the Company merged the pension plans acquired in the Peoples Gas Acquisition into the Company’s legacy Pension Plan.</w:t>
      </w:r>
    </w:p>
    <w:p>
      <w:pPr>
        <w:spacing w:after="0" w:line="185"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color w:val="auto"/>
        </w:rPr>
        <w:t>The following tables provide the components of net periodic benefit cost for the Company’s pension and other postretirement benefit plans: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22"/>
                <w:szCs w:val="22"/>
                <w:color w:val="auto"/>
                <w:w w:val="88"/>
              </w:rPr>
              <w:t>Pension Benefits</w:t>
            </w: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6"/>
          </w:tcPr>
          <w:p>
            <w:pPr>
              <w:jc w:val="right"/>
              <w:ind w:right="660"/>
              <w:spacing w:after="0" w:line="202" w:lineRule="exact"/>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5"/>
          </w:tcPr>
          <w:p>
            <w:pPr>
              <w:jc w:val="right"/>
              <w:ind w:right="752"/>
              <w:spacing w:after="0" w:line="202" w:lineRule="exact"/>
              <w:rPr>
                <w:sz w:val="20"/>
                <w:szCs w:val="20"/>
                <w:color w:val="auto"/>
              </w:rPr>
            </w:pPr>
            <w:r>
              <w:rPr>
                <w:rFonts w:ascii="Arial" w:cs="Arial" w:eastAsia="Arial" w:hAnsi="Arial"/>
                <w:sz w:val="22"/>
                <w:szCs w:val="22"/>
                <w:color w:val="auto"/>
              </w:rPr>
              <w:t>Nine Months Ended</w:t>
            </w:r>
          </w:p>
        </w:tc>
        <w:tc>
          <w:tcPr>
            <w:tcW w:w="20" w:type="dxa"/>
            <w:vAlign w:val="bottom"/>
          </w:tcPr>
          <w:p>
            <w:pPr>
              <w:spacing w:after="0"/>
              <w:rPr>
                <w:sz w:val="17"/>
                <w:szCs w:val="17"/>
                <w:color w:val="auto"/>
              </w:rPr>
            </w:pPr>
          </w:p>
        </w:tc>
      </w:tr>
      <w:tr>
        <w:trPr>
          <w:trHeight w:val="251"/>
        </w:trPr>
        <w:tc>
          <w:tcPr>
            <w:tcW w:w="4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spacing w:after="0" w:line="251" w:lineRule="exact"/>
              <w:rPr>
                <w:sz w:val="20"/>
                <w:szCs w:val="20"/>
                <w:color w:val="auto"/>
              </w:rPr>
            </w:pPr>
            <w:r>
              <w:rPr>
                <w:rFonts w:ascii="Arial" w:cs="Arial" w:eastAsia="Arial" w:hAnsi="Arial"/>
                <w:sz w:val="22"/>
                <w:szCs w:val="22"/>
                <w:color w:val="auto"/>
              </w:rPr>
              <w:t>September 30,</w:t>
            </w:r>
          </w:p>
        </w:tc>
        <w:tc>
          <w:tcPr>
            <w:tcW w:w="8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4"/>
          </w:tcPr>
          <w:p>
            <w:pPr>
              <w:jc w:val="right"/>
              <w:spacing w:after="0" w:line="251" w:lineRule="exact"/>
              <w:rPr>
                <w:sz w:val="20"/>
                <w:szCs w:val="20"/>
                <w:color w:val="auto"/>
              </w:rPr>
            </w:pPr>
            <w:r>
              <w:rPr>
                <w:rFonts w:ascii="Arial" w:cs="Arial" w:eastAsia="Arial" w:hAnsi="Arial"/>
                <w:sz w:val="22"/>
                <w:szCs w:val="22"/>
                <w:color w:val="auto"/>
              </w:rPr>
              <w:t>September 30,</w:t>
            </w: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line="223" w:lineRule="exact"/>
              <w:rPr>
                <w:sz w:val="20"/>
                <w:szCs w:val="20"/>
                <w:color w:val="auto"/>
              </w:rPr>
            </w:pPr>
            <w:r>
              <w:rPr>
                <w:rFonts w:ascii="Arial" w:cs="Arial" w:eastAsia="Arial" w:hAnsi="Arial"/>
                <w:sz w:val="22"/>
                <w:szCs w:val="22"/>
                <w:color w:val="auto"/>
                <w:w w:val="85"/>
              </w:rPr>
              <w:t>2020</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w w:val="93"/>
              </w:rPr>
              <w:t>2020</w:t>
            </w: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340" w:type="dxa"/>
            <w:vAlign w:val="bottom"/>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23"/>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992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2,728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2,783</w:t>
            </w:r>
          </w:p>
        </w:tc>
        <w:tc>
          <w:tcPr>
            <w:tcW w:w="20" w:type="dxa"/>
            <w:vAlign w:val="bottom"/>
          </w:tcPr>
          <w:p>
            <w:pPr>
              <w:spacing w:after="0"/>
              <w:rPr>
                <w:sz w:val="19"/>
                <w:szCs w:val="19"/>
                <w:color w:val="auto"/>
              </w:rPr>
            </w:pPr>
          </w:p>
        </w:tc>
      </w:tr>
      <w:tr>
        <w:trPr>
          <w:trHeight w:val="230"/>
        </w:trPr>
        <w:tc>
          <w:tcPr>
            <w:tcW w:w="444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3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3,351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Arial" w:cs="Arial" w:eastAsia="Arial" w:hAnsi="Arial"/>
                <w:sz w:val="22"/>
                <w:szCs w:val="22"/>
                <w:color w:val="auto"/>
              </w:rPr>
              <w:t>3,642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9,667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2"/>
                <w:szCs w:val="22"/>
                <w:color w:val="auto"/>
              </w:rPr>
              <w:t>10,003</w:t>
            </w:r>
          </w:p>
        </w:tc>
        <w:tc>
          <w:tcPr>
            <w:tcW w:w="20" w:type="dxa"/>
            <w:vAlign w:val="bottom"/>
          </w:tcPr>
          <w:p>
            <w:pPr>
              <w:spacing w:after="0"/>
              <w:rPr>
                <w:sz w:val="19"/>
                <w:szCs w:val="19"/>
                <w:color w:val="auto"/>
              </w:rPr>
            </w:pPr>
          </w:p>
        </w:tc>
      </w:tr>
      <w:tr>
        <w:trPr>
          <w:trHeight w:val="229"/>
        </w:trPr>
        <w:tc>
          <w:tcPr>
            <w:tcW w:w="44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(5,733)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line="229" w:lineRule="exact"/>
              <w:rPr>
                <w:sz w:val="20"/>
                <w:szCs w:val="20"/>
                <w:color w:val="auto"/>
              </w:rPr>
            </w:pPr>
            <w:r>
              <w:rPr>
                <w:rFonts w:ascii="Arial" w:cs="Arial" w:eastAsia="Arial" w:hAnsi="Arial"/>
                <w:sz w:val="22"/>
                <w:szCs w:val="22"/>
                <w:color w:val="auto"/>
              </w:rPr>
              <w:t>(5,676)</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(17,432)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(15,573)</w:t>
            </w:r>
          </w:p>
        </w:tc>
        <w:tc>
          <w:tcPr>
            <w:tcW w:w="20" w:type="dxa"/>
            <w:vAlign w:val="bottom"/>
          </w:tcPr>
          <w:p>
            <w:pPr>
              <w:spacing w:after="0"/>
              <w:rPr>
                <w:sz w:val="19"/>
                <w:szCs w:val="19"/>
                <w:color w:val="auto"/>
              </w:rPr>
            </w:pPr>
          </w:p>
        </w:tc>
      </w:tr>
      <w:tr>
        <w:trPr>
          <w:trHeight w:val="229"/>
        </w:trPr>
        <w:tc>
          <w:tcPr>
            <w:tcW w:w="4440" w:type="dxa"/>
            <w:vAlign w:val="bottom"/>
          </w:tcPr>
          <w:p>
            <w:pPr>
              <w:spacing w:after="0" w:line="229" w:lineRule="exact"/>
              <w:rPr>
                <w:sz w:val="20"/>
                <w:szCs w:val="20"/>
                <w:color w:val="auto"/>
              </w:rPr>
            </w:pPr>
            <w:r>
              <w:rPr>
                <w:rFonts w:ascii="Arial" w:cs="Arial" w:eastAsia="Arial" w:hAnsi="Arial"/>
                <w:sz w:val="22"/>
                <w:szCs w:val="22"/>
                <w:color w:val="auto"/>
              </w:rPr>
              <w:t>Amortization of prior service cost</w:t>
            </w:r>
          </w:p>
        </w:tc>
        <w:tc>
          <w:tcPr>
            <w:tcW w:w="3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Arial" w:cs="Arial" w:eastAsia="Arial" w:hAnsi="Arial"/>
                <w:sz w:val="22"/>
                <w:szCs w:val="22"/>
                <w:color w:val="auto"/>
              </w:rPr>
              <w:t>148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419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2"/>
                <w:szCs w:val="22"/>
                <w:color w:val="auto"/>
              </w:rPr>
              <w:t>444</w:t>
            </w:r>
          </w:p>
        </w:tc>
        <w:tc>
          <w:tcPr>
            <w:tcW w:w="20" w:type="dxa"/>
            <w:vAlign w:val="bottom"/>
          </w:tcPr>
          <w:p>
            <w:pPr>
              <w:spacing w:after="0"/>
              <w:rPr>
                <w:sz w:val="19"/>
                <w:szCs w:val="19"/>
                <w:color w:val="auto"/>
              </w:rPr>
            </w:pPr>
          </w:p>
        </w:tc>
      </w:tr>
      <w:tr>
        <w:trPr>
          <w:trHeight w:val="230"/>
        </w:trPr>
        <w:tc>
          <w:tcPr>
            <w:tcW w:w="44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1,992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2,352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5,976</w:t>
            </w:r>
          </w:p>
        </w:tc>
        <w:tc>
          <w:tcPr>
            <w:tcW w:w="20" w:type="dxa"/>
            <w:vAlign w:val="bottom"/>
          </w:tcPr>
          <w:p>
            <w:pPr>
              <w:spacing w:after="0"/>
              <w:rPr>
                <w:sz w:val="19"/>
                <w:szCs w:val="19"/>
                <w:color w:val="auto"/>
              </w:rPr>
            </w:pPr>
          </w:p>
        </w:tc>
      </w:tr>
      <w:tr>
        <w:trPr>
          <w:trHeight w:val="223"/>
        </w:trPr>
        <w:tc>
          <w:tcPr>
            <w:tcW w:w="4440" w:type="dxa"/>
            <w:vAlign w:val="bottom"/>
          </w:tcPr>
          <w:p>
            <w:pPr>
              <w:spacing w:after="0" w:line="223" w:lineRule="exact"/>
              <w:rPr>
                <w:sz w:val="20"/>
                <w:szCs w:val="20"/>
                <w:color w:val="auto"/>
              </w:rPr>
            </w:pPr>
            <w:r>
              <w:rPr>
                <w:rFonts w:ascii="Arial" w:cs="Arial" w:eastAsia="Arial" w:hAnsi="Arial"/>
                <w:sz w:val="22"/>
                <w:szCs w:val="22"/>
                <w:color w:val="auto"/>
              </w:rPr>
              <w:t>Net periodic benefit cost</w:t>
            </w:r>
          </w:p>
        </w:tc>
        <w:tc>
          <w:tcPr>
            <w:tcW w:w="340" w:type="dxa"/>
            <w:vAlign w:val="bottom"/>
            <w:tcBorders>
              <w:bottom w:val="single" w:sz="8" w:color="auto"/>
            </w:tcBorders>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(912)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23"/>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1,098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(2,266)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3,633</w:t>
            </w:r>
          </w:p>
        </w:tc>
        <w:tc>
          <w:tcPr>
            <w:tcW w:w="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8"/>
        </w:trPr>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2"/>
                <w:szCs w:val="22"/>
                <w:color w:val="auto"/>
                <w:w w:val="90"/>
              </w:rPr>
              <w:t>Other</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4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6"/>
          </w:tcPr>
          <w:p>
            <w:pPr>
              <w:jc w:val="center"/>
              <w:ind w:right="560"/>
              <w:spacing w:after="0" w:line="251" w:lineRule="exact"/>
              <w:rPr>
                <w:sz w:val="20"/>
                <w:szCs w:val="20"/>
                <w:color w:val="auto"/>
              </w:rPr>
            </w:pPr>
            <w:r>
              <w:rPr>
                <w:rFonts w:ascii="Arial" w:cs="Arial" w:eastAsia="Arial" w:hAnsi="Arial"/>
                <w:sz w:val="22"/>
                <w:szCs w:val="22"/>
                <w:color w:val="auto"/>
                <w:w w:val="89"/>
              </w:rPr>
              <w:t>Postretirement Benefits</w:t>
            </w: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6"/>
          </w:tcPr>
          <w:p>
            <w:pPr>
              <w:jc w:val="right"/>
              <w:ind w:right="540"/>
              <w:spacing w:after="0" w:line="202" w:lineRule="exact"/>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5"/>
          </w:tcPr>
          <w:p>
            <w:pPr>
              <w:jc w:val="center"/>
              <w:ind w:right="112"/>
              <w:spacing w:after="0" w:line="202" w:lineRule="exact"/>
              <w:rPr>
                <w:sz w:val="20"/>
                <w:szCs w:val="20"/>
                <w:color w:val="auto"/>
              </w:rPr>
            </w:pPr>
            <w:r>
              <w:rPr>
                <w:rFonts w:ascii="Arial" w:cs="Arial" w:eastAsia="Arial" w:hAnsi="Arial"/>
                <w:sz w:val="22"/>
                <w:szCs w:val="22"/>
                <w:color w:val="auto"/>
                <w:w w:val="90"/>
              </w:rPr>
              <w:t>Nine Months Ended</w:t>
            </w:r>
          </w:p>
        </w:tc>
        <w:tc>
          <w:tcPr>
            <w:tcW w:w="20" w:type="dxa"/>
            <w:vAlign w:val="bottom"/>
          </w:tcPr>
          <w:p>
            <w:pPr>
              <w:spacing w:after="0"/>
              <w:rPr>
                <w:sz w:val="17"/>
                <w:szCs w:val="17"/>
                <w:color w:val="auto"/>
              </w:rPr>
            </w:pPr>
          </w:p>
        </w:tc>
      </w:tr>
      <w:tr>
        <w:trPr>
          <w:trHeight w:val="251"/>
        </w:trPr>
        <w:tc>
          <w:tcPr>
            <w:tcW w:w="4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60" w:type="dxa"/>
            <w:vAlign w:val="bottom"/>
            <w:gridSpan w:val="6"/>
          </w:tcPr>
          <w:p>
            <w:pPr>
              <w:jc w:val="right"/>
              <w:ind w:right="820"/>
              <w:spacing w:after="0" w:line="251" w:lineRule="exact"/>
              <w:rPr>
                <w:sz w:val="20"/>
                <w:szCs w:val="20"/>
                <w:color w:val="auto"/>
              </w:rPr>
            </w:pPr>
            <w:r>
              <w:rPr>
                <w:rFonts w:ascii="Arial" w:cs="Arial" w:eastAsia="Arial" w:hAnsi="Arial"/>
                <w:sz w:val="22"/>
                <w:szCs w:val="22"/>
                <w:color w:val="auto"/>
              </w:rPr>
              <w:t>September 30,</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20" w:type="dxa"/>
            <w:vAlign w:val="bottom"/>
            <w:gridSpan w:val="6"/>
          </w:tcPr>
          <w:p>
            <w:pPr>
              <w:jc w:val="center"/>
              <w:ind w:right="240"/>
              <w:spacing w:after="0" w:line="251" w:lineRule="exact"/>
              <w:rPr>
                <w:sz w:val="20"/>
                <w:szCs w:val="20"/>
                <w:color w:val="auto"/>
              </w:rPr>
            </w:pPr>
            <w:r>
              <w:rPr>
                <w:rFonts w:ascii="Arial" w:cs="Arial" w:eastAsia="Arial" w:hAnsi="Arial"/>
                <w:sz w:val="22"/>
                <w:szCs w:val="22"/>
                <w:color w:val="auto"/>
                <w:w w:val="87"/>
              </w:rPr>
              <w:t>September 30,</w:t>
            </w:r>
          </w:p>
        </w:tc>
      </w:tr>
      <w:tr>
        <w:trPr>
          <w:trHeight w:val="223"/>
        </w:trPr>
        <w:tc>
          <w:tcPr>
            <w:tcW w:w="44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2"/>
              <w:spacing w:after="0" w:line="223" w:lineRule="exact"/>
              <w:rPr>
                <w:sz w:val="20"/>
                <w:szCs w:val="20"/>
                <w:color w:val="auto"/>
              </w:rPr>
            </w:pPr>
            <w:r>
              <w:rPr>
                <w:rFonts w:ascii="Arial" w:cs="Arial" w:eastAsia="Arial" w:hAnsi="Arial"/>
                <w:sz w:val="22"/>
                <w:szCs w:val="22"/>
                <w:color w:val="auto"/>
                <w:w w:val="85"/>
              </w:rPr>
              <w:t>2020</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w w:val="93"/>
              </w:rPr>
              <w:t>2020</w:t>
            </w: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340" w:type="dxa"/>
            <w:vAlign w:val="bottom"/>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698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23"/>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662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2,094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1,614</w:t>
            </w:r>
          </w:p>
        </w:tc>
        <w:tc>
          <w:tcPr>
            <w:tcW w:w="20" w:type="dxa"/>
            <w:vAlign w:val="bottom"/>
          </w:tcPr>
          <w:p>
            <w:pPr>
              <w:spacing w:after="0"/>
              <w:rPr>
                <w:sz w:val="19"/>
                <w:szCs w:val="19"/>
                <w:color w:val="auto"/>
              </w:rPr>
            </w:pPr>
          </w:p>
        </w:tc>
      </w:tr>
      <w:tr>
        <w:trPr>
          <w:trHeight w:val="230"/>
        </w:trPr>
        <w:tc>
          <w:tcPr>
            <w:tcW w:w="444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3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840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Arial" w:cs="Arial" w:eastAsia="Arial" w:hAnsi="Arial"/>
                <w:sz w:val="22"/>
                <w:szCs w:val="22"/>
                <w:color w:val="auto"/>
              </w:rPr>
              <w:t>989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2,520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2"/>
                <w:szCs w:val="22"/>
                <w:color w:val="auto"/>
              </w:rPr>
              <w:t>2,707</w:t>
            </w:r>
          </w:p>
        </w:tc>
        <w:tc>
          <w:tcPr>
            <w:tcW w:w="20" w:type="dxa"/>
            <w:vAlign w:val="bottom"/>
          </w:tcPr>
          <w:p>
            <w:pPr>
              <w:spacing w:after="0"/>
              <w:rPr>
                <w:sz w:val="19"/>
                <w:szCs w:val="19"/>
                <w:color w:val="auto"/>
              </w:rPr>
            </w:pPr>
          </w:p>
        </w:tc>
      </w:tr>
      <w:tr>
        <w:trPr>
          <w:trHeight w:val="230"/>
        </w:trPr>
        <w:tc>
          <w:tcPr>
            <w:tcW w:w="44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(1,039)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line="229" w:lineRule="exact"/>
              <w:rPr>
                <w:sz w:val="20"/>
                <w:szCs w:val="20"/>
                <w:color w:val="auto"/>
              </w:rPr>
            </w:pPr>
            <w:r>
              <w:rPr>
                <w:rFonts w:ascii="Arial" w:cs="Arial" w:eastAsia="Arial" w:hAnsi="Arial"/>
                <w:sz w:val="22"/>
                <w:szCs w:val="22"/>
                <w:color w:val="auto"/>
              </w:rPr>
              <w:t>(1,111)</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(3,117)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(2,969)</w:t>
            </w:r>
          </w:p>
        </w:tc>
        <w:tc>
          <w:tcPr>
            <w:tcW w:w="20" w:type="dxa"/>
            <w:vAlign w:val="bottom"/>
          </w:tcPr>
          <w:p>
            <w:pPr>
              <w:spacing w:after="0"/>
              <w:rPr>
                <w:sz w:val="19"/>
                <w:szCs w:val="19"/>
                <w:color w:val="auto"/>
              </w:rPr>
            </w:pPr>
          </w:p>
        </w:tc>
      </w:tr>
      <w:tr>
        <w:trPr>
          <w:trHeight w:val="229"/>
        </w:trPr>
        <w:tc>
          <w:tcPr>
            <w:tcW w:w="4440" w:type="dxa"/>
            <w:vAlign w:val="bottom"/>
          </w:tcPr>
          <w:p>
            <w:pPr>
              <w:spacing w:after="0" w:line="229" w:lineRule="exact"/>
              <w:rPr>
                <w:sz w:val="20"/>
                <w:szCs w:val="20"/>
                <w:color w:val="auto"/>
              </w:rPr>
            </w:pPr>
            <w:r>
              <w:rPr>
                <w:rFonts w:ascii="Arial" w:cs="Arial" w:eastAsia="Arial" w:hAnsi="Arial"/>
                <w:sz w:val="22"/>
                <w:szCs w:val="22"/>
                <w:color w:val="auto"/>
              </w:rPr>
              <w:t>Amortization of prior service credit</w:t>
            </w:r>
          </w:p>
        </w:tc>
        <w:tc>
          <w:tcPr>
            <w:tcW w:w="340" w:type="dxa"/>
            <w:vAlign w:val="bottom"/>
          </w:tcPr>
          <w:p>
            <w:pPr>
              <w:spacing w:after="0"/>
              <w:rPr>
                <w:sz w:val="19"/>
                <w:szCs w:val="19"/>
                <w:color w:val="auto"/>
              </w:rPr>
            </w:pPr>
          </w:p>
        </w:tc>
        <w:tc>
          <w:tcPr>
            <w:tcW w:w="12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(108)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60"/>
              <w:spacing w:after="0" w:line="229" w:lineRule="exact"/>
              <w:rPr>
                <w:sz w:val="20"/>
                <w:szCs w:val="20"/>
                <w:color w:val="auto"/>
              </w:rPr>
            </w:pPr>
            <w:r>
              <w:rPr>
                <w:rFonts w:ascii="Arial" w:cs="Arial" w:eastAsia="Arial" w:hAnsi="Arial"/>
                <w:sz w:val="22"/>
                <w:szCs w:val="22"/>
                <w:color w:val="auto"/>
              </w:rPr>
              <w:t>(116)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(324)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2"/>
                <w:szCs w:val="22"/>
                <w:color w:val="auto"/>
              </w:rPr>
              <w:t>(348)</w:t>
            </w:r>
          </w:p>
        </w:tc>
        <w:tc>
          <w:tcPr>
            <w:tcW w:w="20" w:type="dxa"/>
            <w:vAlign w:val="bottom"/>
          </w:tcPr>
          <w:p>
            <w:pPr>
              <w:spacing w:after="0"/>
              <w:rPr>
                <w:sz w:val="19"/>
                <w:szCs w:val="19"/>
                <w:color w:val="auto"/>
              </w:rPr>
            </w:pPr>
          </w:p>
        </w:tc>
      </w:tr>
      <w:tr>
        <w:trPr>
          <w:trHeight w:val="230"/>
        </w:trPr>
        <w:tc>
          <w:tcPr>
            <w:tcW w:w="44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156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165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468</w:t>
            </w:r>
          </w:p>
        </w:tc>
        <w:tc>
          <w:tcPr>
            <w:tcW w:w="20" w:type="dxa"/>
            <w:vAlign w:val="bottom"/>
          </w:tcPr>
          <w:p>
            <w:pPr>
              <w:spacing w:after="0"/>
              <w:rPr>
                <w:sz w:val="19"/>
                <w:szCs w:val="19"/>
                <w:color w:val="auto"/>
              </w:rPr>
            </w:pPr>
          </w:p>
        </w:tc>
      </w:tr>
      <w:tr>
        <w:trPr>
          <w:trHeight w:val="223"/>
        </w:trPr>
        <w:tc>
          <w:tcPr>
            <w:tcW w:w="4440" w:type="dxa"/>
            <w:vAlign w:val="bottom"/>
          </w:tcPr>
          <w:p>
            <w:pPr>
              <w:spacing w:after="0" w:line="223" w:lineRule="exact"/>
              <w:rPr>
                <w:sz w:val="20"/>
                <w:szCs w:val="20"/>
                <w:color w:val="auto"/>
              </w:rPr>
            </w:pPr>
            <w:r>
              <w:rPr>
                <w:rFonts w:ascii="Arial" w:cs="Arial" w:eastAsia="Arial" w:hAnsi="Arial"/>
                <w:sz w:val="22"/>
                <w:szCs w:val="22"/>
                <w:color w:val="auto"/>
              </w:rPr>
              <w:t>Net periodic benefit cost</w:t>
            </w:r>
          </w:p>
        </w:tc>
        <w:tc>
          <w:tcPr>
            <w:tcW w:w="340" w:type="dxa"/>
            <w:vAlign w:val="bottom"/>
            <w:tcBorders>
              <w:bottom w:val="single" w:sz="8" w:color="auto"/>
            </w:tcBorders>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446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23"/>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580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1,338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1,472</w:t>
            </w:r>
          </w:p>
        </w:tc>
        <w:tc>
          <w:tcPr>
            <w:tcW w:w="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spacing w:after="0" w:line="239" w:lineRule="auto"/>
        <w:rPr>
          <w:sz w:val="20"/>
          <w:szCs w:val="20"/>
          <w:color w:val="auto"/>
        </w:rPr>
      </w:pPr>
      <w:r>
        <w:rPr>
          <w:rFonts w:ascii="Arial" w:cs="Arial" w:eastAsia="Arial" w:hAnsi="Arial"/>
          <w:sz w:val="21"/>
          <w:szCs w:val="21"/>
          <w:color w:val="auto"/>
        </w:rPr>
        <w:t>The net periodic benefit cost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cost other than service cost in the consolidated statements of operations and comprehensive income on the line item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1" w:name="page32"/>
    <w:bookmarkEnd w:id="3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80" w:right="236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color w:val="auto"/>
        </w:rPr>
        <w:t>The Company made cash contributions of $14,775 to its Pension Plan during the first nine months of 2021, which completed the Company’s expected cash contributions for the year.</w:t>
      </w:r>
    </w:p>
    <w:p>
      <w:pPr>
        <w:spacing w:after="0" w:line="185"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During the second quarter of 2021, the Company remeasured its Pension Plan’s obligations and assets due to a plan amendment, effective May 1, 2021, that ended benefit accrual for a certain group of participants in the Pension Plan. The remeasurement resulted in a decrease in pension benefit obligation and regulatory assets totaling $20,732, of which $17,520 is attributable to the increase in the discount rate assumption from 2.57% at December 31, 2020 to 3.08% at May 1, 2021, and $3,212 is due to the curtailment of benefits. All other assumptions used for the remeasurement were consistent with the valuation as of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 </w:t>
      </w:r>
      <w:r>
        <w:rPr>
          <w:rFonts w:ascii="Arial" w:cs="Arial" w:eastAsia="Arial" w:hAnsi="Arial"/>
          <w:sz w:val="22"/>
          <w:szCs w:val="22"/>
          <w:b w:val="1"/>
          <w:bCs w:val="1"/>
          <w:i w:val="1"/>
          <w:iCs w:val="1"/>
          <w:color w:val="auto"/>
        </w:rPr>
        <w:t>Rate Activity</w:t>
      </w:r>
    </w:p>
    <w:p>
      <w:pPr>
        <w:spacing w:after="0" w:line="212" w:lineRule="exact"/>
        <w:rPr>
          <w:sz w:val="20"/>
          <w:szCs w:val="20"/>
          <w:color w:val="auto"/>
        </w:rPr>
      </w:pPr>
    </w:p>
    <w:p>
      <w:pPr>
        <w:ind w:right="180"/>
        <w:spacing w:after="0" w:line="231" w:lineRule="auto"/>
        <w:rPr>
          <w:sz w:val="20"/>
          <w:szCs w:val="20"/>
          <w:color w:val="auto"/>
        </w:rPr>
      </w:pPr>
      <w:r>
        <w:rPr>
          <w:rFonts w:ascii="Arial" w:cs="Arial" w:eastAsia="Arial" w:hAnsi="Arial"/>
          <w:sz w:val="22"/>
          <w:szCs w:val="22"/>
          <w:color w:val="auto"/>
        </w:rPr>
        <w:t>On August 20, 2021, the Company’s regulated water and wastewater operating subsidiary in Pennsylvania, Aqua Pennsylvania, filed an application with the Pennsylvania Public Utility Commission designed to increase rates by $97,685 or 17.9% on an annual basis. The Company anticipates a final order to be issued by May 2022.</w:t>
      </w:r>
    </w:p>
    <w:p>
      <w:pPr>
        <w:spacing w:after="0" w:line="188" w:lineRule="exact"/>
        <w:rPr>
          <w:sz w:val="20"/>
          <w:szCs w:val="20"/>
          <w:color w:val="auto"/>
        </w:rPr>
      </w:pPr>
    </w:p>
    <w:p>
      <w:pPr>
        <w:ind w:right="520"/>
        <w:spacing w:after="0" w:line="239" w:lineRule="auto"/>
        <w:rPr>
          <w:sz w:val="20"/>
          <w:szCs w:val="20"/>
          <w:color w:val="auto"/>
        </w:rPr>
      </w:pPr>
      <w:r>
        <w:rPr>
          <w:rFonts w:ascii="Arial" w:cs="Arial" w:eastAsia="Arial" w:hAnsi="Arial"/>
          <w:sz w:val="22"/>
          <w:szCs w:val="22"/>
          <w:color w:val="auto"/>
        </w:rPr>
        <w:t>Base rate cases are also underway for our water and wastewater utility operating division in Ohio and our natural gas utility operating division in Kentucky.</w:t>
      </w:r>
    </w:p>
    <w:p>
      <w:pPr>
        <w:spacing w:after="0" w:line="185"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During the first nine months of 2021, the Company’s water and wastewater utility operating divisions in New Jersey, Ohio, Virginia and Indiana were granted base rate increases designed to increase total operating revenues on an annual basis by $2,643 and one of its gas utility operating divisions in Kentucky was granted a rate increase designed to increase annual revenues by $747. Further, during the first nine months of 2021, the Company received approval to bill infrastructure rehabilitation surcharges designed to increase total operating revenues on an annual basis by $27,025 in its water and wastewater utility operating divisions in Pennsylvania and North Carolina, and by $586 annually in its Kentucky gas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32" w:name="page33"/>
    <w:bookmarkEnd w:id="3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 </w:t>
      </w:r>
      <w:r>
        <w:rPr>
          <w:rFonts w:ascii="Arial" w:cs="Arial" w:eastAsia="Arial" w:hAnsi="Arial"/>
          <w:sz w:val="22"/>
          <w:szCs w:val="22"/>
          <w:b w:val="1"/>
          <w:bCs w:val="1"/>
          <w:i w:val="1"/>
          <w:iCs w:val="1"/>
          <w:color w:val="auto"/>
        </w:rPr>
        <w:t>Taxes Other than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taxes other than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5"/>
          </w:tcPr>
          <w:p>
            <w:pPr>
              <w:jc w:val="center"/>
              <w:ind w:right="540"/>
              <w:spacing w:after="0"/>
              <w:rPr>
                <w:sz w:val="20"/>
                <w:szCs w:val="20"/>
                <w:color w:val="auto"/>
              </w:rPr>
            </w:pPr>
            <w:r>
              <w:rPr>
                <w:rFonts w:ascii="Arial" w:cs="Arial" w:eastAsia="Arial" w:hAnsi="Arial"/>
                <w:sz w:val="22"/>
                <w:szCs w:val="22"/>
                <w:color w:val="auto"/>
                <w:w w:val="88"/>
              </w:rPr>
              <w:t>Three Months Ended</w:t>
            </w:r>
          </w:p>
        </w:tc>
        <w:tc>
          <w:tcPr>
            <w:tcW w:w="360" w:type="dxa"/>
            <w:vAlign w:val="bottom"/>
          </w:tcPr>
          <w:p>
            <w:pPr>
              <w:spacing w:after="0"/>
              <w:rPr>
                <w:sz w:val="21"/>
                <w:szCs w:val="21"/>
                <w:color w:val="auto"/>
              </w:rPr>
            </w:pPr>
          </w:p>
        </w:tc>
        <w:tc>
          <w:tcPr>
            <w:tcW w:w="3100" w:type="dxa"/>
            <w:vAlign w:val="bottom"/>
            <w:gridSpan w:val="4"/>
          </w:tcPr>
          <w:p>
            <w:pPr>
              <w:jc w:val="right"/>
              <w:ind w:right="752"/>
              <w:spacing w:after="0"/>
              <w:rPr>
                <w:sz w:val="20"/>
                <w:szCs w:val="20"/>
                <w:color w:val="auto"/>
              </w:rPr>
            </w:pPr>
            <w:r>
              <w:rPr>
                <w:rFonts w:ascii="Arial" w:cs="Arial" w:eastAsia="Arial" w:hAnsi="Arial"/>
                <w:sz w:val="22"/>
                <w:szCs w:val="22"/>
                <w:color w:val="auto"/>
              </w:rPr>
              <w:t>Nine Months Ended</w:t>
            </w:r>
          </w:p>
        </w:tc>
      </w:tr>
      <w:tr>
        <w:trPr>
          <w:trHeight w:val="251"/>
        </w:trPr>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5"/>
          </w:tcPr>
          <w:p>
            <w:pPr>
              <w:jc w:val="center"/>
              <w:ind w:right="520"/>
              <w:spacing w:after="0" w:line="251" w:lineRule="exact"/>
              <w:rPr>
                <w:sz w:val="20"/>
                <w:szCs w:val="20"/>
                <w:color w:val="auto"/>
              </w:rPr>
            </w:pPr>
            <w:r>
              <w:rPr>
                <w:rFonts w:ascii="Arial" w:cs="Arial" w:eastAsia="Arial" w:hAnsi="Arial"/>
                <w:sz w:val="22"/>
                <w:szCs w:val="22"/>
                <w:color w:val="auto"/>
                <w:w w:val="85"/>
              </w:rPr>
              <w:t>September 30,</w:t>
            </w:r>
          </w:p>
        </w:tc>
        <w:tc>
          <w:tcPr>
            <w:tcW w:w="360" w:type="dxa"/>
            <w:vAlign w:val="bottom"/>
          </w:tcPr>
          <w:p>
            <w:pPr>
              <w:spacing w:after="0"/>
              <w:rPr>
                <w:sz w:val="21"/>
                <w:szCs w:val="21"/>
                <w:color w:val="auto"/>
              </w:rPr>
            </w:pPr>
          </w:p>
        </w:tc>
        <w:tc>
          <w:tcPr>
            <w:tcW w:w="2040" w:type="dxa"/>
            <w:vAlign w:val="bottom"/>
            <w:gridSpan w:val="3"/>
          </w:tcPr>
          <w:p>
            <w:pPr>
              <w:jc w:val="right"/>
              <w:spacing w:after="0" w:line="251" w:lineRule="exact"/>
              <w:rPr>
                <w:sz w:val="20"/>
                <w:szCs w:val="20"/>
                <w:color w:val="auto"/>
              </w:rPr>
            </w:pPr>
            <w:r>
              <w:rPr>
                <w:rFonts w:ascii="Arial" w:cs="Arial" w:eastAsia="Arial" w:hAnsi="Arial"/>
                <w:sz w:val="22"/>
                <w:szCs w:val="22"/>
                <w:color w:val="auto"/>
              </w:rPr>
              <w:t>September 30,</w:t>
            </w:r>
          </w:p>
        </w:tc>
        <w:tc>
          <w:tcPr>
            <w:tcW w:w="1060" w:type="dxa"/>
            <w:vAlign w:val="bottom"/>
          </w:tcPr>
          <w:p>
            <w:pPr>
              <w:spacing w:after="0"/>
              <w:rPr>
                <w:sz w:val="21"/>
                <w:szCs w:val="2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2"/>
              <w:spacing w:after="0" w:line="223" w:lineRule="exact"/>
              <w:rPr>
                <w:sz w:val="20"/>
                <w:szCs w:val="20"/>
                <w:color w:val="auto"/>
              </w:rPr>
            </w:pPr>
            <w:r>
              <w:rPr>
                <w:rFonts w:ascii="Arial" w:cs="Arial" w:eastAsia="Arial" w:hAnsi="Arial"/>
                <w:sz w:val="22"/>
                <w:szCs w:val="22"/>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2"/>
              <w:spacing w:after="0" w:line="223" w:lineRule="exact"/>
              <w:rPr>
                <w:sz w:val="20"/>
                <w:szCs w:val="20"/>
                <w:color w:val="auto"/>
              </w:rPr>
            </w:pPr>
            <w:r>
              <w:rPr>
                <w:rFonts w:ascii="Arial" w:cs="Arial" w:eastAsia="Arial" w:hAnsi="Arial"/>
                <w:sz w:val="22"/>
                <w:szCs w:val="22"/>
                <w:color w:val="auto"/>
              </w:rPr>
              <w:t>2020</w:t>
            </w:r>
          </w:p>
        </w:tc>
        <w:tc>
          <w:tcPr>
            <w:tcW w:w="2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w w:val="89"/>
              </w:rPr>
              <w:t>2020</w:t>
            </w:r>
          </w:p>
        </w:tc>
      </w:tr>
      <w:tr>
        <w:trPr>
          <w:trHeight w:val="223"/>
        </w:trPr>
        <w:tc>
          <w:tcPr>
            <w:tcW w:w="44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Property</w:t>
            </w:r>
          </w:p>
        </w:tc>
        <w:tc>
          <w:tcPr>
            <w:tcW w:w="300" w:type="dxa"/>
            <w:vAlign w:val="bottom"/>
            <w:shd w:val="clear" w:color="auto" w:fill="CCEEFF"/>
          </w:tcPr>
          <w:p>
            <w:pPr>
              <w:jc w:val="right"/>
              <w:ind w:right="72"/>
              <w:spacing w:after="0" w:line="223" w:lineRule="exact"/>
              <w:rPr>
                <w:sz w:val="20"/>
                <w:szCs w:val="20"/>
                <w:color w:val="auto"/>
              </w:rPr>
            </w:pPr>
            <w:r>
              <w:rPr>
                <w:rFonts w:ascii="Arial" w:cs="Arial" w:eastAsia="Arial" w:hAnsi="Arial"/>
                <w:sz w:val="22"/>
                <w:szCs w:val="22"/>
                <w:color w:val="auto"/>
                <w:w w:val="81"/>
              </w:rPr>
              <w:t>$</w:t>
            </w: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8,623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2"/>
              <w:spacing w:after="0" w:line="223" w:lineRule="exact"/>
              <w:rPr>
                <w:sz w:val="20"/>
                <w:szCs w:val="20"/>
                <w:color w:val="auto"/>
              </w:rPr>
            </w:pPr>
            <w:r>
              <w:rPr>
                <w:rFonts w:ascii="Arial" w:cs="Arial" w:eastAsia="Arial" w:hAnsi="Arial"/>
                <w:sz w:val="22"/>
                <w:szCs w:val="22"/>
                <w:color w:val="auto"/>
                <w:w w:val="81"/>
              </w:rPr>
              <w:t>$</w:t>
            </w: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8,437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32"/>
              <w:spacing w:after="0" w:line="223" w:lineRule="exact"/>
              <w:rPr>
                <w:sz w:val="20"/>
                <w:szCs w:val="20"/>
                <w:color w:val="auto"/>
              </w:rPr>
            </w:pPr>
            <w:r>
              <w:rPr>
                <w:rFonts w:ascii="Arial" w:cs="Arial" w:eastAsia="Arial" w:hAnsi="Arial"/>
                <w:sz w:val="22"/>
                <w:szCs w:val="22"/>
                <w:color w:val="auto"/>
                <w:w w:val="81"/>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25,907</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63"/>
              <w:spacing w:after="0"/>
              <w:rPr>
                <w:sz w:val="20"/>
                <w:szCs w:val="20"/>
                <w:color w:val="auto"/>
              </w:rPr>
            </w:pPr>
            <w:r>
              <w:rPr>
                <w:rFonts w:ascii="Arial" w:cs="Arial" w:eastAsia="Arial" w:hAnsi="Arial"/>
                <w:sz w:val="19"/>
                <w:szCs w:val="19"/>
                <w:color w:val="auto"/>
                <w:w w:val="75"/>
              </w:rPr>
              <w:t>$</w:t>
            </w:r>
          </w:p>
        </w:tc>
        <w:tc>
          <w:tcPr>
            <w:tcW w:w="10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23,746</w:t>
            </w:r>
          </w:p>
        </w:tc>
      </w:tr>
      <w:tr>
        <w:trPr>
          <w:trHeight w:val="229"/>
        </w:trPr>
        <w:tc>
          <w:tcPr>
            <w:tcW w:w="4480" w:type="dxa"/>
            <w:vAlign w:val="bottom"/>
          </w:tcPr>
          <w:p>
            <w:pPr>
              <w:spacing w:after="0" w:line="229" w:lineRule="exact"/>
              <w:rPr>
                <w:sz w:val="20"/>
                <w:szCs w:val="20"/>
                <w:color w:val="auto"/>
              </w:rPr>
            </w:pPr>
            <w:r>
              <w:rPr>
                <w:rFonts w:ascii="Arial" w:cs="Arial" w:eastAsia="Arial" w:hAnsi="Arial"/>
                <w:sz w:val="22"/>
                <w:szCs w:val="22"/>
                <w:color w:val="auto"/>
              </w:rPr>
              <w:t>Gross receipts, excise and franchise</w:t>
            </w:r>
          </w:p>
        </w:tc>
        <w:tc>
          <w:tcPr>
            <w:tcW w:w="30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4,223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4,023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11,857</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2"/>
                <w:szCs w:val="22"/>
                <w:color w:val="auto"/>
              </w:rPr>
              <w:t>10,724</w:t>
            </w:r>
          </w:p>
        </w:tc>
      </w:tr>
      <w:tr>
        <w:trPr>
          <w:trHeight w:val="229"/>
        </w:trPr>
        <w:tc>
          <w:tcPr>
            <w:tcW w:w="44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Payroll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5,082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4,788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16,556</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13,760</w:t>
            </w:r>
          </w:p>
        </w:tc>
      </w:tr>
      <w:tr>
        <w:trPr>
          <w:trHeight w:val="230"/>
        </w:trPr>
        <w:tc>
          <w:tcPr>
            <w:tcW w:w="4480" w:type="dxa"/>
            <w:vAlign w:val="bottom"/>
          </w:tcPr>
          <w:p>
            <w:pPr>
              <w:spacing w:after="0" w:line="229" w:lineRule="exact"/>
              <w:rPr>
                <w:sz w:val="20"/>
                <w:szCs w:val="20"/>
                <w:color w:val="auto"/>
              </w:rPr>
            </w:pPr>
            <w:r>
              <w:rPr>
                <w:rFonts w:ascii="Arial" w:cs="Arial" w:eastAsia="Arial" w:hAnsi="Arial"/>
                <w:sz w:val="22"/>
                <w:szCs w:val="22"/>
                <w:color w:val="auto"/>
              </w:rPr>
              <w:t>Regulatory assessments</w:t>
            </w:r>
          </w:p>
        </w:tc>
        <w:tc>
          <w:tcPr>
            <w:tcW w:w="30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951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867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2,637</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2"/>
                <w:szCs w:val="22"/>
                <w:color w:val="auto"/>
              </w:rPr>
              <w:t>2,266</w:t>
            </w:r>
          </w:p>
        </w:tc>
      </w:tr>
      <w:tr>
        <w:trPr>
          <w:trHeight w:val="229"/>
        </w:trPr>
        <w:tc>
          <w:tcPr>
            <w:tcW w:w="44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Pumping fees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1,752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1,941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4,343</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4,509</w:t>
            </w:r>
          </w:p>
        </w:tc>
      </w:tr>
      <w:tr>
        <w:trPr>
          <w:trHeight w:val="229"/>
        </w:trPr>
        <w:tc>
          <w:tcPr>
            <w:tcW w:w="448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427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499</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1,919</w:t>
            </w: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1,419</w:t>
            </w:r>
          </w:p>
        </w:tc>
      </w:tr>
      <w:tr>
        <w:trPr>
          <w:trHeight w:val="223"/>
        </w:trPr>
        <w:tc>
          <w:tcPr>
            <w:tcW w:w="448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Total taxes other than income</w:t>
            </w:r>
          </w:p>
        </w:tc>
        <w:tc>
          <w:tcPr>
            <w:tcW w:w="300" w:type="dxa"/>
            <w:vAlign w:val="bottom"/>
            <w:tcBorders>
              <w:bottom w:val="single" w:sz="8" w:color="auto"/>
            </w:tcBorders>
            <w:shd w:val="clear" w:color="auto" w:fill="CCEEFF"/>
          </w:tcPr>
          <w:p>
            <w:pPr>
              <w:jc w:val="right"/>
              <w:ind w:right="72"/>
              <w:spacing w:after="0" w:line="223" w:lineRule="exact"/>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21,058</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92"/>
              <w:spacing w:after="0" w:line="223" w:lineRule="exact"/>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20,555</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32"/>
              <w:spacing w:after="0" w:line="223" w:lineRule="exact"/>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63,219</w:t>
            </w:r>
          </w:p>
        </w:tc>
        <w:tc>
          <w:tcPr>
            <w:tcW w:w="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9"/>
                <w:szCs w:val="19"/>
                <w:color w:val="auto"/>
                <w:w w:val="75"/>
              </w:rPr>
              <w:t>$</w:t>
            </w:r>
          </w:p>
        </w:tc>
        <w:tc>
          <w:tcPr>
            <w:tcW w:w="10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56,424</w:t>
            </w: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 </w:t>
      </w:r>
      <w:r>
        <w:rPr>
          <w:rFonts w:ascii="Arial" w:cs="Arial" w:eastAsia="Arial" w:hAnsi="Arial"/>
          <w:sz w:val="22"/>
          <w:szCs w:val="22"/>
          <w:b w:val="1"/>
          <w:bCs w:val="1"/>
          <w:i w:val="1"/>
          <w:iCs w:val="1"/>
          <w:color w:val="auto"/>
        </w:rPr>
        <w:t>Segment Information</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On March 16, 2020, the Company completed the Peoples Gas Acquisition, marking the Company’s entrance into the regulated natural gas business. The operating results of Peoples are included in the consolidated financial statements for the period since the acquisition date. As a result, the Company now has twelve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49"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In addition to the Company’s two reportable segments, we include three of our operating segments within the Other category below. These segments are not quantitatively significant and are comprised of our non-regulated natural gas operations, Aqua Infrastructure, and Aqua Resources. Our non-regulated natural gas operations consist of utility service line protection solutions and repair services to households and the operation of gas marketing and production entities. Prior to our October 30, 2020 sale of investment in joint venture, Aqua Infrastructure provided non-utility raw water supply services for firms in the natural gas drilling industry. Aqua Resources offers, through a third party, water and sewer service line protection solutions and repair services to households. In addition to these segments, Other is comprised of business activities not included in the reportable segments, including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 The regulated water 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3" w:name="page34"/>
    <w:bookmarkEnd w:id="3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40" w:right="240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ind w:right="700"/>
        <w:spacing w:after="0" w:line="239" w:lineRule="auto"/>
        <w:rPr>
          <w:sz w:val="20"/>
          <w:szCs w:val="20"/>
          <w:color w:val="auto"/>
        </w:rPr>
      </w:pPr>
      <w:r>
        <w:rPr>
          <w:rFonts w:ascii="Arial" w:cs="Arial" w:eastAsia="Arial" w:hAnsi="Arial"/>
          <w:sz w:val="22"/>
          <w:szCs w:val="22"/>
          <w:color w:val="auto"/>
        </w:rPr>
        <w:t>regulated natural gas segments report interest expense that includes long-term debt that was pushed-down to the regulated operating subsidiaries from Essential Utilities, Inc.</w:t>
      </w:r>
    </w:p>
    <w:p>
      <w:pPr>
        <w:spacing w:after="0" w:line="185"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The following table presents information about the Company’s reportable segments, including the operating results and capital expenditures of the Regulated Natural Gas segment for the period since the completion of the Peoples Gas Acquisition on March 16,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44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gridSpan w:val="6"/>
          </w:tcPr>
          <w:p>
            <w:pPr>
              <w:jc w:val="center"/>
              <w:ind w:right="180"/>
              <w:spacing w:after="0"/>
              <w:rPr>
                <w:sz w:val="20"/>
                <w:szCs w:val="20"/>
                <w:color w:val="auto"/>
              </w:rPr>
            </w:pPr>
            <w:r>
              <w:rPr>
                <w:rFonts w:ascii="Arial" w:cs="Arial" w:eastAsia="Arial" w:hAnsi="Arial"/>
                <w:sz w:val="14"/>
                <w:szCs w:val="14"/>
                <w:color w:val="auto"/>
                <w:w w:val="91"/>
              </w:rPr>
              <w:t>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color w:val="auto"/>
              </w:rPr>
              <w:t>September 30, 2021</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color w:val="auto"/>
                <w:w w:val="91"/>
              </w:rPr>
              <w:t>September 30, 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0"/>
              </w:rPr>
              <w:t>Regulated</w:t>
            </w:r>
          </w:p>
        </w:tc>
        <w:tc>
          <w:tcPr>
            <w:tcW w:w="100" w:type="dxa"/>
            <w:vAlign w:val="bottom"/>
          </w:tcPr>
          <w:p>
            <w:pPr>
              <w:spacing w:after="0"/>
              <w:rPr>
                <w:sz w:val="10"/>
                <w:szCs w:val="10"/>
                <w:color w:val="auto"/>
              </w:rPr>
            </w:pPr>
          </w:p>
        </w:tc>
        <w:tc>
          <w:tcPr>
            <w:tcW w:w="860" w:type="dxa"/>
            <w:vAlign w:val="bottom"/>
          </w:tcPr>
          <w:p>
            <w:pPr>
              <w:jc w:val="center"/>
              <w:ind w:right="48"/>
              <w:spacing w:after="0" w:line="123" w:lineRule="exact"/>
              <w:rPr>
                <w:sz w:val="20"/>
                <w:szCs w:val="20"/>
                <w:color w:val="auto"/>
              </w:rPr>
            </w:pPr>
            <w:r>
              <w:rPr>
                <w:rFonts w:ascii="Arial" w:cs="Arial" w:eastAsia="Arial" w:hAnsi="Arial"/>
                <w:sz w:val="14"/>
                <w:szCs w:val="14"/>
                <w:color w:val="auto"/>
                <w:w w:val="90"/>
              </w:rPr>
              <w:t>Regulated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w w:val="90"/>
              </w:rPr>
              <w:t>Regulated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Water</w:t>
            </w:r>
          </w:p>
        </w:tc>
        <w:tc>
          <w:tcPr>
            <w:tcW w:w="1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color w:val="auto"/>
                <w:w w:val="90"/>
              </w:rPr>
              <w:t>Natural Gas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Consolidated</w:t>
            </w:r>
          </w:p>
        </w:tc>
        <w:tc>
          <w:tcPr>
            <w:tcW w:w="80" w:type="dxa"/>
            <w:vAlign w:val="bottom"/>
          </w:tcPr>
          <w:p>
            <w:pPr>
              <w:spacing w:after="0"/>
              <w:rPr>
                <w:sz w:val="14"/>
                <w:szCs w:val="14"/>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4"/>
                <w:szCs w:val="14"/>
                <w:color w:val="auto"/>
                <w:w w:val="91"/>
              </w:rPr>
              <w:t>Regulated Water</w:t>
            </w:r>
          </w:p>
        </w:tc>
        <w:tc>
          <w:tcPr>
            <w:tcW w:w="1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Natural Gas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Operating revenues</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259,859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94,752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7,249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361,860</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255,725</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88,880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4,042</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348,647</w:t>
            </w:r>
          </w:p>
        </w:tc>
        <w:tc>
          <w:tcPr>
            <w:tcW w:w="0" w:type="dxa"/>
            <w:vAlign w:val="bottom"/>
          </w:tcPr>
          <w:p>
            <w:pPr>
              <w:spacing w:after="0"/>
              <w:rPr>
                <w:sz w:val="1"/>
                <w:szCs w:val="1"/>
                <w:color w:val="auto"/>
              </w:rPr>
            </w:pPr>
          </w:p>
        </w:tc>
      </w:tr>
      <w:tr>
        <w:trPr>
          <w:trHeight w:val="148"/>
        </w:trPr>
        <w:tc>
          <w:tcPr>
            <w:tcW w:w="2920" w:type="dxa"/>
            <w:vAlign w:val="bottom"/>
          </w:tcPr>
          <w:p>
            <w:pPr>
              <w:spacing w:after="0" w:line="128" w:lineRule="exact"/>
              <w:rPr>
                <w:sz w:val="20"/>
                <w:szCs w:val="20"/>
                <w:color w:val="auto"/>
              </w:rPr>
            </w:pPr>
            <w:r>
              <w:rPr>
                <w:rFonts w:ascii="Arial" w:cs="Arial" w:eastAsia="Arial" w:hAnsi="Arial"/>
                <w:sz w:val="13"/>
                <w:szCs w:val="13"/>
                <w:color w:val="auto"/>
              </w:rPr>
              <w:t>Operations and maintenance expense</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86,923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53,954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(1,522)</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139,355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79,313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59,560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(2,699)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136,174</w:t>
            </w: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Purchased gas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20,386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25,488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14,841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16,744</w:t>
            </w:r>
          </w:p>
        </w:tc>
        <w:tc>
          <w:tcPr>
            <w:tcW w:w="0" w:type="dxa"/>
            <w:vAlign w:val="bottom"/>
          </w:tcPr>
          <w:p>
            <w:pPr>
              <w:spacing w:after="0"/>
              <w:rPr>
                <w:sz w:val="1"/>
                <w:szCs w:val="1"/>
                <w:color w:val="auto"/>
              </w:rPr>
            </w:pPr>
          </w:p>
        </w:tc>
      </w:tr>
      <w:tr>
        <w:trPr>
          <w:trHeight w:val="149"/>
        </w:trPr>
        <w:tc>
          <w:tcPr>
            <w:tcW w:w="2920" w:type="dxa"/>
            <w:vAlign w:val="bottom"/>
          </w:tcPr>
          <w:p>
            <w:pPr>
              <w:spacing w:after="0" w:line="128" w:lineRule="exact"/>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45,506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28,194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74,507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42,955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25,793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1,193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69,941</w:t>
            </w: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Taxes other than income taxes</w:t>
            </w: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16,291</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4,271</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496</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21,058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15,906</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20,555</w:t>
            </w:r>
          </w:p>
        </w:tc>
        <w:tc>
          <w:tcPr>
            <w:tcW w:w="0" w:type="dxa"/>
            <w:vAlign w:val="bottom"/>
          </w:tcPr>
          <w:p>
            <w:pPr>
              <w:spacing w:after="0"/>
              <w:rPr>
                <w:sz w:val="1"/>
                <w:szCs w:val="1"/>
                <w:color w:val="auto"/>
              </w:rPr>
            </w:pPr>
          </w:p>
        </w:tc>
      </w:tr>
      <w:tr>
        <w:trPr>
          <w:trHeight w:val="142"/>
        </w:trPr>
        <w:tc>
          <w:tcPr>
            <w:tcW w:w="2920" w:type="dxa"/>
            <w:vAlign w:val="bottom"/>
          </w:tcPr>
          <w:p>
            <w:pPr>
              <w:spacing w:after="0" w:line="115" w:lineRule="exact"/>
              <w:rPr>
                <w:sz w:val="20"/>
                <w:szCs w:val="20"/>
                <w:color w:val="auto"/>
              </w:rPr>
            </w:pPr>
            <w:r>
              <w:rPr>
                <w:rFonts w:ascii="Arial" w:cs="Arial" w:eastAsia="Arial" w:hAnsi="Arial"/>
                <w:sz w:val="13"/>
                <w:szCs w:val="13"/>
                <w:color w:val="auto"/>
              </w:rPr>
              <w:t>Operating income (loss)</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111,139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(12,053)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2,366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101,452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117,551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(15,459)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3,141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105,233</w:t>
            </w: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Interest expense, net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18,406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51,567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27,063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9,333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13,351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49,747</w:t>
            </w:r>
          </w:p>
        </w:tc>
        <w:tc>
          <w:tcPr>
            <w:tcW w:w="0" w:type="dxa"/>
            <w:vAlign w:val="bottom"/>
          </w:tcPr>
          <w:p>
            <w:pPr>
              <w:spacing w:after="0"/>
              <w:rPr>
                <w:sz w:val="1"/>
                <w:szCs w:val="1"/>
                <w:color w:val="auto"/>
              </w:rPr>
            </w:pPr>
          </w:p>
        </w:tc>
      </w:tr>
      <w:tr>
        <w:trPr>
          <w:trHeight w:val="148"/>
        </w:trPr>
        <w:tc>
          <w:tcPr>
            <w:tcW w:w="2920" w:type="dxa"/>
            <w:vAlign w:val="bottom"/>
          </w:tcPr>
          <w:p>
            <w:pPr>
              <w:spacing w:after="0" w:line="128" w:lineRule="exact"/>
              <w:rPr>
                <w:sz w:val="20"/>
                <w:szCs w:val="20"/>
                <w:color w:val="auto"/>
              </w:rPr>
            </w:pPr>
            <w:r>
              <w:rPr>
                <w:rFonts w:ascii="Arial" w:cs="Arial" w:eastAsia="Arial" w:hAnsi="Arial"/>
                <w:sz w:val="13"/>
                <w:szCs w:val="13"/>
                <w:color w:val="auto"/>
              </w:rPr>
              <w:t>Allowance for funds used during construction</w:t>
            </w: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(5,407)</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(675)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(3,082)</w:t>
            </w:r>
          </w:p>
        </w:tc>
        <w:tc>
          <w:tcPr>
            <w:tcW w:w="12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(461)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(3,543)</w:t>
            </w: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Equity loss in joint venture</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3,626</w:t>
            </w:r>
          </w:p>
        </w:tc>
        <w:tc>
          <w:tcPr>
            <w:tcW w:w="0" w:type="dxa"/>
            <w:vAlign w:val="bottom"/>
          </w:tcPr>
          <w:p>
            <w:pPr>
              <w:spacing w:after="0"/>
              <w:rPr>
                <w:sz w:val="1"/>
                <w:szCs w:val="1"/>
                <w:color w:val="auto"/>
              </w:rPr>
            </w:pPr>
          </w:p>
        </w:tc>
      </w:tr>
      <w:tr>
        <w:trPr>
          <w:trHeight w:val="148"/>
        </w:trPr>
        <w:tc>
          <w:tcPr>
            <w:tcW w:w="2920" w:type="dxa"/>
            <w:vAlign w:val="bottom"/>
          </w:tcPr>
          <w:p>
            <w:pPr>
              <w:spacing w:after="0" w:line="128" w:lineRule="exact"/>
              <w:rPr>
                <w:sz w:val="20"/>
                <w:szCs w:val="20"/>
                <w:color w:val="auto"/>
              </w:rPr>
            </w:pPr>
            <w:r>
              <w:rPr>
                <w:rFonts w:ascii="Arial" w:cs="Arial" w:eastAsia="Arial" w:hAnsi="Arial"/>
                <w:sz w:val="13"/>
                <w:szCs w:val="13"/>
                <w:color w:val="auto"/>
              </w:rPr>
              <w:t>Other</w:t>
            </w: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(1,896)</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5,329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3,699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(761)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(4,360)</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Income before income taxes</w:t>
            </w: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91,053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(35,113)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52,268</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93,460</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(23,570)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(10,127)</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59,763</w:t>
            </w:r>
          </w:p>
        </w:tc>
        <w:tc>
          <w:tcPr>
            <w:tcW w:w="0" w:type="dxa"/>
            <w:vAlign w:val="bottom"/>
          </w:tcPr>
          <w:p>
            <w:pPr>
              <w:spacing w:after="0"/>
              <w:rPr>
                <w:sz w:val="1"/>
                <w:szCs w:val="1"/>
                <w:color w:val="auto"/>
              </w:rPr>
            </w:pPr>
          </w:p>
        </w:tc>
      </w:tr>
      <w:tr>
        <w:trPr>
          <w:trHeight w:val="148"/>
        </w:trPr>
        <w:tc>
          <w:tcPr>
            <w:tcW w:w="2920" w:type="dxa"/>
            <w:vAlign w:val="bottom"/>
          </w:tcPr>
          <w:p>
            <w:pPr>
              <w:spacing w:after="0" w:line="128" w:lineRule="exact"/>
              <w:rPr>
                <w:sz w:val="20"/>
                <w:szCs w:val="20"/>
                <w:color w:val="auto"/>
              </w:rPr>
            </w:pPr>
            <w:r>
              <w:rPr>
                <w:rFonts w:ascii="Arial" w:cs="Arial" w:eastAsia="Arial" w:hAnsi="Arial"/>
                <w:sz w:val="13"/>
                <w:szCs w:val="13"/>
                <w:color w:val="auto"/>
              </w:rPr>
              <w:t>Provision for income taxes (benefit)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9,230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(6,821)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(644)</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1,765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8,081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4,031</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income (loss)</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81,823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(28,292)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50,503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85,379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(22,351)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(7,296)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55,732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color w:val="auto"/>
              </w:rPr>
              <w:t>Nine Months Ended</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gridSpan w:val="6"/>
          </w:tcPr>
          <w:p>
            <w:pPr>
              <w:jc w:val="center"/>
              <w:ind w:right="180"/>
              <w:spacing w:after="0"/>
              <w:rPr>
                <w:sz w:val="20"/>
                <w:szCs w:val="20"/>
                <w:color w:val="auto"/>
              </w:rPr>
            </w:pPr>
            <w:r>
              <w:rPr>
                <w:rFonts w:ascii="Arial" w:cs="Arial" w:eastAsia="Arial" w:hAnsi="Arial"/>
                <w:sz w:val="14"/>
                <w:szCs w:val="14"/>
                <w:color w:val="auto"/>
                <w:w w:val="94"/>
              </w:rPr>
              <w:t>Nine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color w:val="auto"/>
              </w:rPr>
              <w:t>September 30, 2021</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color w:val="auto"/>
                <w:w w:val="91"/>
              </w:rPr>
              <w:t>September 30, 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0"/>
              </w:rPr>
              <w:t>Regulated</w:t>
            </w:r>
          </w:p>
        </w:tc>
        <w:tc>
          <w:tcPr>
            <w:tcW w:w="100" w:type="dxa"/>
            <w:vAlign w:val="bottom"/>
          </w:tcPr>
          <w:p>
            <w:pPr>
              <w:spacing w:after="0"/>
              <w:rPr>
                <w:sz w:val="10"/>
                <w:szCs w:val="10"/>
                <w:color w:val="auto"/>
              </w:rPr>
            </w:pPr>
          </w:p>
        </w:tc>
        <w:tc>
          <w:tcPr>
            <w:tcW w:w="860" w:type="dxa"/>
            <w:vAlign w:val="bottom"/>
          </w:tcPr>
          <w:p>
            <w:pPr>
              <w:jc w:val="center"/>
              <w:ind w:right="48"/>
              <w:spacing w:after="0" w:line="123" w:lineRule="exact"/>
              <w:rPr>
                <w:sz w:val="20"/>
                <w:szCs w:val="20"/>
                <w:color w:val="auto"/>
              </w:rPr>
            </w:pPr>
            <w:r>
              <w:rPr>
                <w:rFonts w:ascii="Arial" w:cs="Arial" w:eastAsia="Arial" w:hAnsi="Arial"/>
                <w:sz w:val="14"/>
                <w:szCs w:val="14"/>
                <w:color w:val="auto"/>
                <w:w w:val="90"/>
              </w:rPr>
              <w:t>Regulated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w w:val="90"/>
              </w:rPr>
              <w:t>Regulated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Water</w:t>
            </w:r>
          </w:p>
        </w:tc>
        <w:tc>
          <w:tcPr>
            <w:tcW w:w="1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color w:val="auto"/>
                <w:w w:val="90"/>
              </w:rPr>
              <w:t>Natural Gas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Consolidated</w:t>
            </w:r>
          </w:p>
        </w:tc>
        <w:tc>
          <w:tcPr>
            <w:tcW w:w="80" w:type="dxa"/>
            <w:vAlign w:val="bottom"/>
          </w:tcPr>
          <w:p>
            <w:pPr>
              <w:spacing w:after="0"/>
              <w:rPr>
                <w:sz w:val="14"/>
                <w:szCs w:val="14"/>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4"/>
                <w:szCs w:val="14"/>
                <w:color w:val="auto"/>
                <w:w w:val="91"/>
              </w:rPr>
              <w:t>Regulated Water</w:t>
            </w:r>
          </w:p>
        </w:tc>
        <w:tc>
          <w:tcPr>
            <w:tcW w:w="1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Natural Gas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Operating revenues</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736,389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579,429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26,639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1,342,457</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706,008</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273,798</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8,894</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988,700</w:t>
            </w:r>
          </w:p>
        </w:tc>
        <w:tc>
          <w:tcPr>
            <w:tcW w:w="0" w:type="dxa"/>
            <w:vAlign w:val="bottom"/>
          </w:tcPr>
          <w:p>
            <w:pPr>
              <w:spacing w:after="0"/>
              <w:rPr>
                <w:sz w:val="1"/>
                <w:szCs w:val="1"/>
                <w:color w:val="auto"/>
              </w:rPr>
            </w:pPr>
          </w:p>
        </w:tc>
      </w:tr>
      <w:tr>
        <w:trPr>
          <w:trHeight w:val="149"/>
        </w:trPr>
        <w:tc>
          <w:tcPr>
            <w:tcW w:w="2920" w:type="dxa"/>
            <w:vAlign w:val="bottom"/>
          </w:tcPr>
          <w:p>
            <w:pPr>
              <w:spacing w:after="0" w:line="128" w:lineRule="exact"/>
              <w:rPr>
                <w:sz w:val="20"/>
                <w:szCs w:val="20"/>
                <w:color w:val="auto"/>
              </w:rPr>
            </w:pPr>
            <w:r>
              <w:rPr>
                <w:rFonts w:ascii="Arial" w:cs="Arial" w:eastAsia="Arial" w:hAnsi="Arial"/>
                <w:sz w:val="13"/>
                <w:szCs w:val="13"/>
                <w:color w:val="auto"/>
              </w:rPr>
              <w:t>Operations and maintenance expense</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243,071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157,614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(8,740)</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391,945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229,652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120,192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21,571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371,415</w:t>
            </w: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Purchased gas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183,062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202,538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68,807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72,934</w:t>
            </w:r>
          </w:p>
        </w:tc>
        <w:tc>
          <w:tcPr>
            <w:tcW w:w="0" w:type="dxa"/>
            <w:vAlign w:val="bottom"/>
          </w:tcPr>
          <w:p>
            <w:pPr>
              <w:spacing w:after="0"/>
              <w:rPr>
                <w:sz w:val="1"/>
                <w:szCs w:val="1"/>
                <w:color w:val="auto"/>
              </w:rPr>
            </w:pPr>
          </w:p>
        </w:tc>
      </w:tr>
      <w:tr>
        <w:trPr>
          <w:trHeight w:val="149"/>
        </w:trPr>
        <w:tc>
          <w:tcPr>
            <w:tcW w:w="2920" w:type="dxa"/>
            <w:vAlign w:val="bottom"/>
          </w:tcPr>
          <w:p>
            <w:pPr>
              <w:spacing w:after="0" w:line="128" w:lineRule="exact"/>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136,189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83,905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221,623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127,214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56,026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2,838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186,078</w:t>
            </w: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Taxes other than income taxes</w:t>
            </w: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47,756</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13,356</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2,107</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63,219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45,292</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8,799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2,333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56,424</w:t>
            </w:r>
          </w:p>
        </w:tc>
        <w:tc>
          <w:tcPr>
            <w:tcW w:w="0" w:type="dxa"/>
            <w:vAlign w:val="bottom"/>
          </w:tcPr>
          <w:p>
            <w:pPr>
              <w:spacing w:after="0"/>
              <w:rPr>
                <w:sz w:val="1"/>
                <w:szCs w:val="1"/>
                <w:color w:val="auto"/>
              </w:rPr>
            </w:pPr>
          </w:p>
        </w:tc>
      </w:tr>
      <w:tr>
        <w:trPr>
          <w:trHeight w:val="142"/>
        </w:trPr>
        <w:tc>
          <w:tcPr>
            <w:tcW w:w="2920" w:type="dxa"/>
            <w:vAlign w:val="bottom"/>
          </w:tcPr>
          <w:p>
            <w:pPr>
              <w:spacing w:after="0" w:line="115" w:lineRule="exact"/>
              <w:rPr>
                <w:sz w:val="20"/>
                <w:szCs w:val="20"/>
                <w:color w:val="auto"/>
              </w:rPr>
            </w:pPr>
            <w:r>
              <w:rPr>
                <w:rFonts w:ascii="Arial" w:cs="Arial" w:eastAsia="Arial" w:hAnsi="Arial"/>
                <w:sz w:val="13"/>
                <w:szCs w:val="13"/>
                <w:color w:val="auto"/>
              </w:rPr>
              <w:t>Operating income (loss)</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309,373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141,492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12,267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463,132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303,850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19,974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(21,975)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301,849</w:t>
            </w: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Interest expense, net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80,971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56,125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153,647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21,260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31,544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131,304</w:t>
            </w:r>
          </w:p>
        </w:tc>
        <w:tc>
          <w:tcPr>
            <w:tcW w:w="0" w:type="dxa"/>
            <w:vAlign w:val="bottom"/>
          </w:tcPr>
          <w:p>
            <w:pPr>
              <w:spacing w:after="0"/>
              <w:rPr>
                <w:sz w:val="1"/>
                <w:szCs w:val="1"/>
                <w:color w:val="auto"/>
              </w:rPr>
            </w:pPr>
          </w:p>
        </w:tc>
      </w:tr>
      <w:tr>
        <w:trPr>
          <w:trHeight w:val="148"/>
        </w:trPr>
        <w:tc>
          <w:tcPr>
            <w:tcW w:w="2920" w:type="dxa"/>
            <w:vAlign w:val="bottom"/>
          </w:tcPr>
          <w:p>
            <w:pPr>
              <w:spacing w:after="0" w:line="128" w:lineRule="exact"/>
              <w:rPr>
                <w:sz w:val="20"/>
                <w:szCs w:val="20"/>
                <w:color w:val="auto"/>
              </w:rPr>
            </w:pPr>
            <w:r>
              <w:rPr>
                <w:rFonts w:ascii="Arial" w:cs="Arial" w:eastAsia="Arial" w:hAnsi="Arial"/>
                <w:sz w:val="13"/>
                <w:szCs w:val="13"/>
                <w:color w:val="auto"/>
              </w:rPr>
              <w:t>Allowance for funds used during construction</w:t>
            </w: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(13,091)</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(13,922)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(7,905)</w:t>
            </w:r>
          </w:p>
        </w:tc>
        <w:tc>
          <w:tcPr>
            <w:tcW w:w="12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(8,721)</w:t>
            </w: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Equity loss in joint venture</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3,283</w:t>
            </w:r>
          </w:p>
        </w:tc>
        <w:tc>
          <w:tcPr>
            <w:tcW w:w="0" w:type="dxa"/>
            <w:vAlign w:val="bottom"/>
          </w:tcPr>
          <w:p>
            <w:pPr>
              <w:spacing w:after="0"/>
              <w:rPr>
                <w:sz w:val="1"/>
                <w:szCs w:val="1"/>
                <w:color w:val="auto"/>
              </w:rPr>
            </w:pPr>
          </w:p>
        </w:tc>
      </w:tr>
      <w:tr>
        <w:trPr>
          <w:trHeight w:val="148"/>
        </w:trPr>
        <w:tc>
          <w:tcPr>
            <w:tcW w:w="2920" w:type="dxa"/>
            <w:vAlign w:val="bottom"/>
          </w:tcPr>
          <w:p>
            <w:pPr>
              <w:spacing w:after="0" w:line="128" w:lineRule="exact"/>
              <w:rPr>
                <w:sz w:val="20"/>
                <w:szCs w:val="20"/>
                <w:color w:val="auto"/>
              </w:rPr>
            </w:pPr>
            <w:r>
              <w:rPr>
                <w:rFonts w:ascii="Arial" w:cs="Arial" w:eastAsia="Arial" w:hAnsi="Arial"/>
                <w:sz w:val="13"/>
                <w:szCs w:val="13"/>
                <w:color w:val="auto"/>
              </w:rPr>
              <w:t>Other</w:t>
            </w: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(5,265)</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4,462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(1,213)</w:t>
            </w: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Income before income taxes</w:t>
            </w: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246,758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81,736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(3,071)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325,423</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232,778</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1,046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(54,313)</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179,511</w:t>
            </w:r>
          </w:p>
        </w:tc>
        <w:tc>
          <w:tcPr>
            <w:tcW w:w="0" w:type="dxa"/>
            <w:vAlign w:val="bottom"/>
          </w:tcPr>
          <w:p>
            <w:pPr>
              <w:spacing w:after="0"/>
              <w:rPr>
                <w:sz w:val="1"/>
                <w:szCs w:val="1"/>
                <w:color w:val="auto"/>
              </w:rPr>
            </w:pPr>
          </w:p>
        </w:tc>
      </w:tr>
      <w:tr>
        <w:trPr>
          <w:trHeight w:val="148"/>
        </w:trPr>
        <w:tc>
          <w:tcPr>
            <w:tcW w:w="2920" w:type="dxa"/>
            <w:vAlign w:val="bottom"/>
          </w:tcPr>
          <w:p>
            <w:pPr>
              <w:spacing w:after="0" w:line="128" w:lineRule="exact"/>
              <w:rPr>
                <w:sz w:val="20"/>
                <w:szCs w:val="20"/>
                <w:color w:val="auto"/>
              </w:rPr>
            </w:pPr>
            <w:r>
              <w:rPr>
                <w:rFonts w:ascii="Arial" w:cs="Arial" w:eastAsia="Arial" w:hAnsi="Arial"/>
                <w:sz w:val="13"/>
                <w:szCs w:val="13"/>
                <w:color w:val="auto"/>
              </w:rPr>
              <w:t>Provision for income taxes (benefit)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22,056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(11,128)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(611)</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10,317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18,402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(8,131)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(12,902)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(2,631)</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bottom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Net income (loss)</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224,702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92,864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(2,460)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315,106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214,376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9,177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(41,411)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182,142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3"/>
                <w:szCs w:val="13"/>
                <w:color w:val="auto"/>
              </w:rPr>
              <w:t>Capital expenditures</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404,894</w:t>
            </w: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269,958</w:t>
            </w:r>
          </w:p>
        </w:tc>
        <w:tc>
          <w:tcPr>
            <w:tcW w:w="140" w:type="dxa"/>
            <w:vAlign w:val="bottom"/>
            <w:vMerge w:val="continue"/>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993</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675,845</w:t>
            </w:r>
          </w:p>
        </w:tc>
        <w:tc>
          <w:tcPr>
            <w:tcW w:w="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4"/>
                <w:szCs w:val="14"/>
                <w:color w:val="auto"/>
              </w:rPr>
              <w:t>376,064</w:t>
            </w: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134,632</w:t>
            </w:r>
          </w:p>
        </w:tc>
        <w:tc>
          <w:tcPr>
            <w:tcW w:w="4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43,445</w:t>
            </w:r>
          </w:p>
        </w:tc>
        <w:tc>
          <w:tcPr>
            <w:tcW w:w="8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554,141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7"/>
          </w:tcPr>
          <w:p>
            <w:pPr>
              <w:jc w:val="center"/>
              <w:ind w:left="426"/>
              <w:spacing w:after="0"/>
              <w:rPr>
                <w:sz w:val="20"/>
                <w:szCs w:val="20"/>
                <w:color w:val="auto"/>
              </w:rPr>
            </w:pPr>
            <w:r>
              <w:rPr>
                <w:rFonts w:ascii="Arial" w:cs="Arial" w:eastAsia="Arial" w:hAnsi="Arial"/>
                <w:sz w:val="22"/>
                <w:szCs w:val="22"/>
                <w:color w:val="auto"/>
                <w:w w:val="85"/>
              </w:rPr>
              <w:t>September 30,</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7"/>
          </w:tcPr>
          <w:p>
            <w:pPr>
              <w:jc w:val="right"/>
              <w:ind w:right="785"/>
              <w:spacing w:after="0"/>
              <w:rPr>
                <w:sz w:val="20"/>
                <w:szCs w:val="20"/>
                <w:color w:val="auto"/>
              </w:rPr>
            </w:pPr>
            <w:r>
              <w:rPr>
                <w:rFonts w:ascii="Arial" w:cs="Arial" w:eastAsia="Arial" w:hAnsi="Arial"/>
                <w:sz w:val="22"/>
                <w:szCs w:val="22"/>
                <w:color w:val="auto"/>
                <w:w w:val="88"/>
              </w:rPr>
              <w:t>December 31,</w:t>
            </w:r>
          </w:p>
        </w:tc>
        <w:tc>
          <w:tcPr>
            <w:tcW w:w="0" w:type="dxa"/>
            <w:vAlign w:val="bottom"/>
          </w:tcPr>
          <w:p>
            <w:pPr>
              <w:spacing w:after="0"/>
              <w:rPr>
                <w:sz w:val="1"/>
                <w:szCs w:val="1"/>
                <w:color w:val="auto"/>
              </w:rPr>
            </w:pPr>
          </w:p>
        </w:tc>
      </w:tr>
      <w:tr>
        <w:trPr>
          <w:trHeight w:val="251"/>
        </w:trPr>
        <w:tc>
          <w:tcPr>
            <w:tcW w:w="2920" w:type="dxa"/>
            <w:vAlign w:val="bottom"/>
            <w:vMerge w:val="restart"/>
          </w:tcPr>
          <w:p>
            <w:pPr>
              <w:spacing w:after="0"/>
              <w:rPr>
                <w:sz w:val="20"/>
                <w:szCs w:val="20"/>
                <w:color w:val="auto"/>
              </w:rPr>
            </w:pPr>
            <w:r>
              <w:rPr>
                <w:rFonts w:ascii="Arial" w:cs="Arial" w:eastAsia="Arial" w:hAnsi="Arial"/>
                <w:sz w:val="22"/>
                <w:szCs w:val="22"/>
                <w:color w:val="auto"/>
              </w:rPr>
              <w:t>Total assets:</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6"/>
              <w:spacing w:after="0" w:line="251" w:lineRule="exact"/>
              <w:rPr>
                <w:sz w:val="20"/>
                <w:szCs w:val="20"/>
                <w:color w:val="auto"/>
              </w:rPr>
            </w:pPr>
            <w:r>
              <w:rPr>
                <w:rFonts w:ascii="Arial" w:cs="Arial" w:eastAsia="Arial" w:hAnsi="Arial"/>
                <w:sz w:val="22"/>
                <w:szCs w:val="22"/>
                <w:color w:val="auto"/>
                <w:w w:val="89"/>
              </w:rPr>
              <w:t>2021</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7"/>
              <w:spacing w:after="0" w:line="251" w:lineRule="exact"/>
              <w:rPr>
                <w:sz w:val="20"/>
                <w:szCs w:val="20"/>
                <w:color w:val="auto"/>
              </w:rPr>
            </w:pPr>
            <w:r>
              <w:rPr>
                <w:rFonts w:ascii="Arial" w:cs="Arial" w:eastAsia="Arial" w:hAnsi="Arial"/>
                <w:sz w:val="22"/>
                <w:szCs w:val="22"/>
                <w:color w:val="auto"/>
              </w:rPr>
              <w:t>2020</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Regulated water</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w w:val="81"/>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line="229" w:lineRule="exact"/>
              <w:rPr>
                <w:sz w:val="20"/>
                <w:szCs w:val="20"/>
                <w:color w:val="auto"/>
              </w:rPr>
            </w:pPr>
            <w:r>
              <w:rPr>
                <w:rFonts w:ascii="Arial" w:cs="Arial" w:eastAsia="Arial" w:hAnsi="Arial"/>
                <w:sz w:val="22"/>
                <w:szCs w:val="22"/>
                <w:color w:val="auto"/>
                <w:w w:val="89"/>
              </w:rPr>
              <w:t>8,301,201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0"/>
              <w:spacing w:after="0" w:line="229" w:lineRule="exact"/>
              <w:rPr>
                <w:sz w:val="20"/>
                <w:szCs w:val="20"/>
                <w:color w:val="auto"/>
              </w:rPr>
            </w:pPr>
            <w:r>
              <w:rPr>
                <w:rFonts w:ascii="Arial" w:cs="Arial" w:eastAsia="Arial" w:hAnsi="Arial"/>
                <w:sz w:val="22"/>
                <w:szCs w:val="22"/>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w w:val="87"/>
              </w:rPr>
              <w:t>7,838,034</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line="229" w:lineRule="exact"/>
              <w:rPr>
                <w:sz w:val="20"/>
                <w:szCs w:val="20"/>
                <w:color w:val="auto"/>
              </w:rPr>
            </w:pPr>
            <w:r>
              <w:rPr>
                <w:rFonts w:ascii="Arial" w:cs="Arial" w:eastAsia="Arial" w:hAnsi="Arial"/>
                <w:sz w:val="22"/>
                <w:szCs w:val="22"/>
                <w:color w:val="auto"/>
              </w:rPr>
              <w:t>Regulated natural gas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3"/>
          </w:tcPr>
          <w:p>
            <w:pPr>
              <w:jc w:val="right"/>
              <w:spacing w:after="0" w:line="229" w:lineRule="exact"/>
              <w:rPr>
                <w:sz w:val="20"/>
                <w:szCs w:val="20"/>
                <w:color w:val="auto"/>
              </w:rPr>
            </w:pPr>
            <w:r>
              <w:rPr>
                <w:rFonts w:ascii="Arial" w:cs="Arial" w:eastAsia="Arial" w:hAnsi="Arial"/>
                <w:sz w:val="22"/>
                <w:szCs w:val="22"/>
                <w:color w:val="auto"/>
                <w:w w:val="89"/>
              </w:rPr>
              <w:t>5,748,774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Arial" w:cs="Arial" w:eastAsia="Arial" w:hAnsi="Arial"/>
                <w:sz w:val="22"/>
                <w:szCs w:val="22"/>
                <w:color w:val="auto"/>
                <w:w w:val="87"/>
              </w:rPr>
              <w:t>5,303,507</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Other</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w w:val="87"/>
              </w:rPr>
              <w:t>186,510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563,736</w:t>
            </w:r>
          </w:p>
        </w:tc>
        <w:tc>
          <w:tcPr>
            <w:tcW w:w="0" w:type="dxa"/>
            <w:vAlign w:val="bottom"/>
          </w:tcPr>
          <w:p>
            <w:pPr>
              <w:spacing w:after="0"/>
              <w:rPr>
                <w:sz w:val="1"/>
                <w:szCs w:val="1"/>
                <w:color w:val="auto"/>
              </w:rPr>
            </w:pPr>
          </w:p>
        </w:tc>
      </w:tr>
      <w:tr>
        <w:trPr>
          <w:trHeight w:val="223"/>
        </w:trPr>
        <w:tc>
          <w:tcPr>
            <w:tcW w:w="2920" w:type="dxa"/>
            <w:vAlign w:val="bottom"/>
          </w:tcPr>
          <w:p>
            <w:pPr>
              <w:ind w:left="120"/>
              <w:spacing w:after="0" w:line="223" w:lineRule="exact"/>
              <w:rPr>
                <w:sz w:val="20"/>
                <w:szCs w:val="20"/>
                <w:color w:val="auto"/>
              </w:rPr>
            </w:pPr>
            <w:r>
              <w:rPr>
                <w:rFonts w:ascii="Arial" w:cs="Arial" w:eastAsia="Arial" w:hAnsi="Arial"/>
                <w:sz w:val="22"/>
                <w:szCs w:val="22"/>
                <w:color w:val="auto"/>
              </w:rPr>
              <w:t>Consolidated</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w w:val="81"/>
              </w:rPr>
              <w:t>$</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jc w:val="right"/>
              <w:spacing w:after="0" w:line="223" w:lineRule="exact"/>
              <w:rPr>
                <w:sz w:val="20"/>
                <w:szCs w:val="20"/>
                <w:color w:val="auto"/>
              </w:rPr>
            </w:pPr>
            <w:r>
              <w:rPr>
                <w:rFonts w:ascii="Arial" w:cs="Arial" w:eastAsia="Arial" w:hAnsi="Arial"/>
                <w:sz w:val="22"/>
                <w:szCs w:val="22"/>
                <w:color w:val="auto"/>
              </w:rPr>
              <w:t>14,236,485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92"/>
              </w:rPr>
              <w:t>13,705,277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46"/>
              <w:spacing w:after="0"/>
              <w:rPr>
                <w:sz w:val="20"/>
                <w:szCs w:val="20"/>
                <w:color w:val="auto"/>
              </w:rPr>
            </w:pPr>
            <w:r>
              <w:rPr>
                <w:rFonts w:ascii="Arial" w:cs="Arial" w:eastAsia="Arial" w:hAnsi="Arial"/>
                <w:sz w:val="22"/>
                <w:szCs w:val="22"/>
                <w:color w:val="auto"/>
              </w:rPr>
              <w:t>33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4" w:name="page35"/>
    <w:bookmarkEnd w:id="3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420" w:right="232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 </w:t>
      </w:r>
      <w:r>
        <w:rPr>
          <w:rFonts w:ascii="Arial" w:cs="Arial" w:eastAsia="Arial" w:hAnsi="Arial"/>
          <w:sz w:val="22"/>
          <w:szCs w:val="22"/>
          <w:b w:val="1"/>
          <w:bCs w:val="1"/>
          <w:i w:val="1"/>
          <w:iCs w:val="1"/>
          <w:color w:val="auto"/>
        </w:rPr>
        <w:t>Commitments and Contingencies</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September 30, 2021, the aggregate amount of $18,102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the Company has insurance coverage for certain of these loss contingencies, and as of September 30, 2021, estimates that approximately $3,015 of the amount accrued for these matters are probable of recovery through insurance, which amount is also reported in the Company’s consolidated balance sheet as deferred charges and other assets, net.</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During a portion of 2019, the Company initiated a do not consume advisory for some of its water customers in one division served by the Company’s Illinois subsidiary. During the second quarter of 2021, an immaterial amount was accrued for the portion of the fine or penalty that we determined to be probable and estimable of being incurred.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is vigorously defending against this claim. A claim for the expenses incurred has been submitted to the Company’s insurance carrier for potential recovery of a portion of these costs, and on August 3, 2020, the Company received $2,874 in insurance proceeds.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200" w:lineRule="exact"/>
        <w:rPr>
          <w:sz w:val="20"/>
          <w:szCs w:val="20"/>
          <w:color w:val="auto"/>
        </w:rPr>
      </w:pPr>
    </w:p>
    <w:p>
      <w:pPr>
        <w:spacing w:after="0" w:line="209" w:lineRule="exact"/>
        <w:rPr>
          <w:sz w:val="20"/>
          <w:szCs w:val="20"/>
          <w:color w:val="auto"/>
        </w:rPr>
      </w:pPr>
    </w:p>
    <w:p>
      <w:pPr>
        <w:ind w:right="240"/>
        <w:spacing w:after="0" w:line="228" w:lineRule="auto"/>
        <w:rPr>
          <w:sz w:val="20"/>
          <w:szCs w:val="20"/>
          <w:color w:val="auto"/>
        </w:rPr>
      </w:pPr>
      <w:r>
        <w:rPr>
          <w:rFonts w:ascii="Arial" w:cs="Arial" w:eastAsia="Arial" w:hAnsi="Arial"/>
          <w:sz w:val="22"/>
          <w:szCs w:val="22"/>
          <w:color w:val="auto"/>
        </w:rPr>
        <w:t>Although the results of legal proceedings cannot be predicted with certainty, other than disclosed above, there are no other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86" w:lineRule="exact"/>
        <w:rPr>
          <w:sz w:val="20"/>
          <w:szCs w:val="20"/>
          <w:color w:val="auto"/>
        </w:rPr>
      </w:pPr>
    </w:p>
    <w:p>
      <w:pPr>
        <w:ind w:right="140"/>
        <w:spacing w:after="0" w:line="228" w:lineRule="auto"/>
        <w:rPr>
          <w:sz w:val="20"/>
          <w:szCs w:val="20"/>
          <w:color w:val="auto"/>
        </w:rPr>
      </w:pPr>
      <w:r>
        <w:rPr>
          <w:rFonts w:ascii="Arial" w:cs="Arial" w:eastAsia="Arial" w:hAnsi="Arial"/>
          <w:sz w:val="22"/>
          <w:szCs w:val="22"/>
          <w:color w:val="auto"/>
        </w:rPr>
        <w:t>In addition to the aforementioned loss contingencies, the Company self-insures its employee medical benefit program, and maintains stop-loss coverage to limit the exposure arising from these claims. The Company’s reserve for these claims totaled $2,470 at September 30, 2021 and represents a reserve for unpaid claim costs, including an estimate for the cost of incurred but not reported claims.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 w:right="419" w:bottom="1440" w:gutter="0" w:footer="0" w:header="0"/>
        </w:sectPr>
      </w:pPr>
    </w:p>
    <w:bookmarkStart w:id="35" w:name="page36"/>
    <w:bookmarkEnd w:id="3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40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committed to provide $23,004 of one-time customer rate credits to its Pennsylvania natural gas utility customers and water and wastewater customers served by Aqua Pennsylvania, Inc.</w:t>
      </w:r>
    </w:p>
    <w:p>
      <w:pPr>
        <w:ind w:right="220"/>
        <w:spacing w:after="0" w:line="293" w:lineRule="auto"/>
        <w:rPr>
          <w:sz w:val="20"/>
          <w:szCs w:val="20"/>
          <w:color w:val="auto"/>
        </w:rPr>
      </w:pPr>
      <w:r>
        <w:rPr>
          <w:rFonts w:ascii="Arial" w:cs="Arial" w:eastAsia="Arial" w:hAnsi="Arial"/>
          <w:sz w:val="19"/>
          <w:szCs w:val="19"/>
          <w:color w:val="auto"/>
        </w:rPr>
        <w:t>In the third quarter of 2020, the Company granted $4,080 of customer rate credits to its water and wastewater customers served by Aqua Pennsylvania and $18,924 was granted to its Pennsylvania natural gas utility customers in the fourth quarter of 2020.</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 </w:t>
      </w:r>
      <w:r>
        <w:rPr>
          <w:rFonts w:ascii="Arial" w:cs="Arial" w:eastAsia="Arial" w:hAnsi="Arial"/>
          <w:sz w:val="22"/>
          <w:szCs w:val="22"/>
          <w:b w:val="1"/>
          <w:bCs w:val="1"/>
          <w:i w:val="1"/>
          <w:iCs w:val="1"/>
          <w:color w:val="auto"/>
        </w:rPr>
        <w:t>Income Taxes</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On March 16, 2020, the Company completed the Peoples Gas Acquisition. On March 31, 2020, the Company changed the method of tax accounting for certain qualifying infrastructure investments at its Peoples Natural Gas subsidiary, its largest natural gas subsidiary in Pennsylvania. This change allows a tax deduction for qualifying utility asset improvement costs that were formerly capitalized for tax purposes. The Company is performing an analysis to determine the ultimate amount of qualifying utility asset improvement costs eligible to be deducted under the IRS’s final tangible property regulations that will be reflected on its 2021 and 2020 Federal Tax Return. As a result, the Company has estimated a portion of its infrastructure investment at Peoples Natural Gas since the acquisition date that will qualify as a utility system repairs deduction for 2021 and 2020. Consistent with the Company’s accounting for differences between book and tax expenditures in Pennsylvania, the Company is utilizing the flow-through method to account for this timing difference. The Company completed its analysis of the income tax benefits for qualifying capital expenditures made prior to March 16, 2020 (“catch-up adjustment”) and recorded a regulatory liability of $160,655 for these tax benefits. In August 2020, the Company filed a petition with the Pennsylvania Public Utility Commission proposing treatment of the catch-up adjustment. On March 11, 2021, the Company and the statutory advocates filed a Joint Petition of Settlement (“Settlement”) representing a settlement of the parties, and, on May 6, 2021, it was approved by the Pennsylvania Public Utility Commission. The Settlement stipulates, among other points, that the catch-up adjustment be provided to utility customers over a five-year period, and the Company can continue to use flow-through accounting for the current tax repair benefit until its next base rate case. The five-year customer surcredit for the catch-up adjustment was initiated in August 2021. In addition, the Company contributed $500 to a customer-bill payment assistance program in July 2021 and in December 2021, will provide $5,000 in relief to past-due accounts for natural gas customers impacted by the COVID-19 pandemic.</w:t>
      </w:r>
    </w:p>
    <w:p>
      <w:pPr>
        <w:spacing w:after="0" w:line="200" w:lineRule="exact"/>
        <w:rPr>
          <w:sz w:val="20"/>
          <w:szCs w:val="20"/>
          <w:color w:val="auto"/>
        </w:rPr>
      </w:pP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The Company’s effective tax rate was 3.4% and 3.2% for the three and nine months ended September 30, 2021, respectively. The Company’s effective tax rate was 6.7% and (1.5)% for the three and nine months ended September 30, 2020, respectively. The decrease in the effective tax rate for the third quarter is primarily attributed to an increase in our income tax benefit associated with the tax deduction for qualifying infrastructure. The increase in the effective tax rate for the nine months ended September 30, 2021 over the first nine months of 2020 is due to an increase in income taxed at the statutory Federal and State tax rates partially offset by an increase in the income tax benefit associated with the tax deduction for qualifying infrastructure. The statutory Federal tax rate is 21% for the three and nine months ended September 30, 2021 and 2020. For states with a corporate net income tax, the state corporate net income tax rates range from 2.5% to 9.9% for all periods presented. In determining its interim tax provision, the Company reflects its estimated permanent and flow-through tax differences for the taxable year,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6" w:name="page37"/>
    <w:bookmarkEnd w:id="3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400" w:right="234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371" w:lineRule="exact"/>
        <w:rPr>
          <w:sz w:val="20"/>
          <w:szCs w:val="20"/>
          <w:color w:val="auto"/>
        </w:rPr>
      </w:pPr>
    </w:p>
    <w:p>
      <w:pPr>
        <w:ind w:right="140"/>
        <w:spacing w:after="0" w:line="231" w:lineRule="auto"/>
        <w:rPr>
          <w:sz w:val="20"/>
          <w:szCs w:val="20"/>
          <w:color w:val="auto"/>
        </w:rPr>
      </w:pPr>
      <w:r>
        <w:rPr>
          <w:rFonts w:ascii="Arial" w:cs="Arial" w:eastAsia="Arial" w:hAnsi="Arial"/>
          <w:sz w:val="22"/>
          <w:szCs w:val="22"/>
          <w:color w:val="auto"/>
        </w:rPr>
        <w:t>including the basis difference for the adoption of the tangible property regulations. Qualifying utility asset improvement costs and the amortization of excess deferred income taxes caused the year-to-date effective tax rate to be significantly different from the statutory rate.</w:t>
      </w:r>
    </w:p>
    <w:p>
      <w:pPr>
        <w:spacing w:after="0" w:line="188"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In connection with the completion of the Peoples Gas Acquisition, the Company identified changes to acquired deferred tax asset valuation allowances or liabilities related to uncertain tax positions during the one year measurement period, which related to new information obtained about facts and circumstances that existed as of the acquisition date. Those changes are considered a measurement-period adjustment, and an offset was recorded as an adjustment to goodwill. The Company records all other changes to deferred tax asset valuation allowances and liabilities related to uncertain tax positions in current-period income tax expense.</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37" w:name="page38"/>
    <w:bookmarkEnd w:id="3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360" w:right="2380"/>
        <w:spacing w:after="0"/>
        <w:rPr>
          <w:sz w:val="20"/>
          <w:szCs w:val="20"/>
          <w:color w:val="auto"/>
        </w:rPr>
      </w:pPr>
      <w:r>
        <w:rPr>
          <w:rFonts w:ascii="Arial" w:cs="Arial" w:eastAsia="Arial" w:hAnsi="Arial"/>
          <w:sz w:val="22"/>
          <w:szCs w:val="22"/>
          <w:color w:val="auto"/>
        </w:rPr>
        <w:t>ESSENTIAL UTILITIES,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16 – </w:t>
      </w:r>
      <w:r>
        <w:rPr>
          <w:rFonts w:ascii="Arial" w:cs="Arial" w:eastAsia="Arial" w:hAnsi="Arial"/>
          <w:sz w:val="22"/>
          <w:szCs w:val="22"/>
          <w:b w:val="1"/>
          <w:bCs w:val="1"/>
          <w:i w:val="1"/>
          <w:iCs w:val="1"/>
          <w:color w:val="auto"/>
        </w:rPr>
        <w:t>Recent Accounting Pronouncements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Pronouncements to be adopted upon the effective date:</w:t>
      </w:r>
    </w:p>
    <w:p>
      <w:pPr>
        <w:spacing w:after="0" w:line="206"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In August 2020, the FASB issued updated accounting guidance on accounting for convertible instruments and contracts in an entity’s own equity. The updated guidance reduces the number of accounting models for convertible debt and convertible preferred stock instruments and makes certain disclosure amendments intended to improve the information provided to users. Additionally, the guidance also amends the derivative guidance for the “own stock” scope exception, which exempts qualifying instruments from being accounted for as derivatives if certain criteria are met. Further, the standard changes the way certain convertible instruments are treated when calculating earnings per share. The updated accounting guidance is effective for fiscal years beginning after December 15, 2021 with early adoption permitted beginning in 2021. The Company is evaluating the requirements of the updated guidance to determine the impact of adoption.</w:t>
      </w:r>
    </w:p>
    <w:p>
      <w:pPr>
        <w:spacing w:after="0" w:line="172" w:lineRule="exact"/>
        <w:rPr>
          <w:sz w:val="20"/>
          <w:szCs w:val="20"/>
          <w:color w:val="auto"/>
        </w:rPr>
      </w:pPr>
    </w:p>
    <w:p>
      <w:pPr>
        <w:spacing w:after="0" w:line="235" w:lineRule="auto"/>
        <w:rPr>
          <w:sz w:val="20"/>
          <w:szCs w:val="20"/>
          <w:color w:val="auto"/>
        </w:rPr>
      </w:pPr>
      <w:r>
        <w:rPr>
          <w:rFonts w:ascii="Arial" w:cs="Arial" w:eastAsia="Arial" w:hAnsi="Arial"/>
          <w:sz w:val="21"/>
          <w:szCs w:val="21"/>
          <w:color w:val="auto"/>
        </w:rPr>
        <w:t>In March 2020, the FASB issued accounting guidance that provides companies with optional guidance, including expedients and exceptions for applying generally accepted accounting principles to contracts and other transactions affected by reference rate reform, such as the London Interbank Offered Rate (LIBOR). In January 2021, the FASB clarified the scope of that accounting standards update with additional guidance for reference rate reform on financial reporting. The accounting guidance was effective upon issuance and generally can be applied to applicable contract modifications through December 31, 2022. The Company is evaluating the impact of this accounting guidance.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Pronouncement adopted during the year:</w:t>
      </w:r>
    </w:p>
    <w:p>
      <w:pPr>
        <w:spacing w:after="0" w:line="206"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In December 2019, the FASB issued updated accounting guidance that simplifies the accounting for income taxes. The updated guidance removes certain exceptions to the general principles of accounting for income taxes to reduce the cost and complexity of its application, including the accounting for intraperiod tax allocation when there is a loss from continuing operations and income or a gain from other items, deferred tax liabilities for equity method investments when a foreign subsidiary becomes an equity method investment or when a foreign equity method investment becomes a subsidiary, and calculating income taxes in an interim period when a year-to-date loss exceeds the anticipated loss for the year. Additionally, the updated guidance clarifies and amends the existing guidance over accounting for franchise taxes and other taxes partially based on income, an entity’s tax basis of goodwill, separate entity financial statements, interim recognition of enactment of tax laws or rate changes, and improvements to the Codification for income taxes related to employee stock ownership plans and investments in qualified affordable housing projects accounted for using the equity method. As permitted, we adopted this updated guidance on January 1, 2021, which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8" w:name="page39"/>
    <w:bookmarkEnd w:id="3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40"/>
        <w:spacing w:after="0"/>
        <w:rPr>
          <w:sz w:val="20"/>
          <w:szCs w:val="20"/>
          <w:color w:val="auto"/>
        </w:rPr>
      </w:pPr>
      <w:r>
        <w:rPr>
          <w:rFonts w:ascii="Arial" w:cs="Arial" w:eastAsia="Arial" w:hAnsi="Arial"/>
          <w:sz w:val="22"/>
          <w:szCs w:val="22"/>
          <w:color w:val="auto"/>
        </w:rPr>
        <w:t>ESSENTIAL UTILITIES, INC. AND SUBSIDIARIES</w:t>
      </w:r>
    </w:p>
    <w:p>
      <w:pPr>
        <w:spacing w:after="0" w:line="188" w:lineRule="exact"/>
        <w:rPr>
          <w:sz w:val="20"/>
          <w:szCs w:val="20"/>
          <w:color w:val="auto"/>
        </w:rPr>
      </w:pPr>
    </w:p>
    <w:p>
      <w:pPr>
        <w:jc w:val="center"/>
        <w:ind w:right="40"/>
        <w:spacing w:after="0" w:line="282" w:lineRule="auto"/>
        <w:rPr>
          <w:sz w:val="20"/>
          <w:szCs w:val="20"/>
          <w:color w:val="auto"/>
        </w:rPr>
      </w:pPr>
      <w:r>
        <w:rPr>
          <w:rFonts w:ascii="Arial" w:cs="Arial" w:eastAsia="Arial" w:hAnsi="Arial"/>
          <w:sz w:val="19"/>
          <w:szCs w:val="19"/>
          <w:color w:val="auto"/>
        </w:rPr>
        <w:t>MANAGEMENT’S DISCUSSION AND ANALYSIS OF FINANCIAL CONDITION AND RESULTS OF OPERATIONS (In thousands of dollars, except per share amounts)</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Item 2 – Management’s Discussion and Analysis of Financial Condition and Results of Operations</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u w:val="single" w:color="auto"/>
          <w:color w:val="auto"/>
        </w:rPr>
        <w:t>Forward-looking Statements</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the COVID-19 pandemic, the effects of regulation, abnormal weather, changes in capital requirements and funding, our ability to close acquisitions, changes to the capital markets, and our ability to assimilate acquired operations, as well as those risks, uncertainties and other factors discussed in our Annual Report on Form 10-K for the fiscal year ended December 31, 2020 under the captions “Risk Factors” and “Management’s Discussion and Analysis of Financial Condition and Results of Operations” and elsewhere in such report and those included under the captions “Risk Factors” and this Quarterly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General Information</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Essential Utilities, Inc. (“we”, “us”, “our” or the “Company”), a Pennsylvania corporation, is the holding company for regulated utilities providing water, wastewater, or natural gas services to an estimated five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additional states. Additionally, pursuant to the Company’s growth strategy,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Lastly, the Company’s market-based activities are conducted through Aqua Infrastructure, LLC and Aqua Resources, Inc. and certain other non-regulated subsidiaries of Peoples. Prior to our October 30, 2020 sale of our investment in a joint venture, Aqua Infrastructure provided non-utility raw water supply services for firms in the natural gas drilling industry. Following the October 30, 2020</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9" w:name="page40"/>
    <w:bookmarkEnd w:id="3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3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closing, Aqua Infrastructure does not provide any services to the natural gas drilling industry. Aqua Resources offers, through a third party, water and sewer service line protection solutions and repair services to households.</w:t>
      </w:r>
    </w:p>
    <w:p>
      <w:pPr>
        <w:spacing w:after="0" w:line="200" w:lineRule="exact"/>
        <w:rPr>
          <w:sz w:val="20"/>
          <w:szCs w:val="20"/>
          <w:color w:val="auto"/>
        </w:rPr>
      </w:pPr>
    </w:p>
    <w:p>
      <w:pPr>
        <w:spacing w:after="0" w:line="212"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color w:val="auto"/>
        </w:rPr>
        <w:t>The non-regulated subsidiaries of Peoples provide utility service line protection solutions and repair services to households and operates gas marketing and production entities.</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Essential Utilities, Inc., which prior to its name change in February 2020 was known as Aqua America, Inc., was formed in 1968 as a holding company for its primary subsidiary, Aqua Pennsylvania, formerly known as Philadelphia Suburban Water Company. In the early 1990s, we embarked on a growth-through-acquisition strategy. Our most significant transactions to date have been the merger with Consumers Water Company in 1999, the acquisition of the regulated water and wastewater operations of AquaSource, Inc. in 2003, the acquisition of Heater Utilities, Inc. in 2004, the acquisition of American Water Works Company, Inc.’s regulated operations in Ohio in 2012, and the March 16, 2020 acquisition of Peoples, a Pittsburgh, Pennsylvania based natural gas distribution company. For many years, starting in the early 1990s, our business strategy has been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in seven other states. On March 16, 2020, the Company completed the Peoples Gas Acquisition, a natural gas distribution utility, marking its entrance into the regulated natural gas business. The Company seeks to acquire businesses in the U.S. regulated sector, which includes water and wastewater utilities, natural gas utilities, and other regulated utilities, and to opportunistically pursue growth ventures in select market-based activities, such as infrastructure opportunities that are supplementary and complementary to our regulated utility businesses.</w:t>
      </w:r>
    </w:p>
    <w:p>
      <w:pPr>
        <w:spacing w:after="0" w:line="180" w:lineRule="exact"/>
        <w:rPr>
          <w:sz w:val="20"/>
          <w:szCs w:val="20"/>
          <w:color w:val="auto"/>
        </w:rPr>
      </w:pPr>
    </w:p>
    <w:p>
      <w:pPr>
        <w:ind w:right="560"/>
        <w:spacing w:after="0" w:line="239"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COVID-19 Pandemic</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We provide a critical service to our customers, which means that it is paramount that we keep our employees who operate the business safe and informed while supporting our customers and assuring the continuity of our operations. We continue to monitor the COVID-19 pandemic and continue to take steps to mitigate the potential risks to our employees. We continue to implement strong physical and cyber-security measures in an effort to ensure that our systems remain functional in order to both serve our operational needs with a hybrid workforce and maintain uninterrupted service to our customers.</w:t>
      </w: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We continue to monitor developments affecting our business, workforce, and suppliers and take additional precautions as we believe are warranted. We are continuing with our capital investment program and continue to work with our suppliers to monitor and address the risks present in our supply chain. While we have experienced some delays in certain materials, we have been able to adjust our purchasing procedures to secure and stock the necessary materials without materially impacting our operations or capital investment program. We are actively monitoring our utility billings for changes in residential, commercial and industrial usage. In response to concerns about customer economic hardship and affordability during the COVID-19 pandemic, our state regulators mandated the temporary curtailment of certain collection practices, such as disconnections from utility service. In addition, we are monitoring collections of customer utility accounts as to potential impacts on cash flows, and increased expenses for costs associated with workforce-related expenses, security and cleaning of company offices and operating facilities, as well as other one-time expenses above the expense amounts included in general rates. In most of the states where we operate, regulators have allowed utilities to resume disconnections from utility service for certain customers who have unpaid balances. In eight of the ten states in which we operate regulated utilities, public utility commissions issued guidance for utilities to defer COVID-19 expenses in anticipation of seeking recovery in a future rate proceeding, and we continue to evaluate the impact of this guidance.</w:t>
      </w:r>
    </w:p>
    <w:p>
      <w:pPr>
        <w:spacing w:after="0" w:line="200" w:lineRule="exact"/>
        <w:rPr>
          <w:sz w:val="20"/>
          <w:szCs w:val="20"/>
          <w:color w:val="auto"/>
        </w:rPr>
      </w:pPr>
    </w:p>
    <w:p>
      <w:pPr>
        <w:spacing w:after="0" w:line="213" w:lineRule="exact"/>
        <w:rPr>
          <w:sz w:val="20"/>
          <w:szCs w:val="20"/>
          <w:color w:val="auto"/>
        </w:rPr>
      </w:pPr>
    </w:p>
    <w:p>
      <w:pPr>
        <w:ind w:right="160"/>
        <w:spacing w:after="0" w:line="264" w:lineRule="auto"/>
        <w:rPr>
          <w:sz w:val="20"/>
          <w:szCs w:val="20"/>
          <w:color w:val="auto"/>
        </w:rPr>
      </w:pPr>
      <w:r>
        <w:rPr>
          <w:rFonts w:ascii="Arial" w:cs="Arial" w:eastAsia="Arial" w:hAnsi="Arial"/>
          <w:sz w:val="19"/>
          <w:szCs w:val="19"/>
          <w:color w:val="auto"/>
        </w:rPr>
        <w:t>While the pandemic presents risks to the Company's business, as further described in the Company’s 2020 Form 10-K in Part II, Item 1A — Risk Factors, as of the date of this report, the Company has not experienced any material financial or operational impacts related to COVID-19. Despite our efforts, the potential for a material negative impact on the Company exists as the COVID-19 pandemic also depends on factors beyond our knowledge, control, or ability to predict, including the duration and severity of this pandemic, the emergence of new variants of the virus, the development and availability of effective treatments and vaccines, as well as third party actions taken to contain its spread and mitigate its public health effects.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Hurricane Ida</w:t>
      </w:r>
    </w:p>
    <w:p>
      <w:pPr>
        <w:spacing w:after="0" w:line="206" w:lineRule="exact"/>
        <w:rPr>
          <w:sz w:val="20"/>
          <w:szCs w:val="20"/>
          <w:color w:val="auto"/>
        </w:rPr>
      </w:pPr>
    </w:p>
    <w:p>
      <w:pPr>
        <w:ind w:right="260"/>
        <w:spacing w:after="0" w:line="232" w:lineRule="auto"/>
        <w:rPr>
          <w:sz w:val="20"/>
          <w:szCs w:val="20"/>
          <w:color w:val="auto"/>
        </w:rPr>
      </w:pPr>
      <w:r>
        <w:rPr>
          <w:rFonts w:ascii="Arial" w:cs="Arial" w:eastAsia="Arial" w:hAnsi="Arial"/>
          <w:sz w:val="21"/>
          <w:szCs w:val="21"/>
          <w:color w:val="auto"/>
        </w:rPr>
        <w:t>On September 1, 2021, Hurricane Ida made landfall in Pennsylvania and the Company had to temporarily shut down two of its water treatment plants, Pickering East and Pickering West, which had been damaged due to heavy rainfall, flooding and loss of power. These plants serve a significant portion of Aqua Pennsylvania’s service territory in southeastern Pennsylvania. The Company was able to maintain supply to most of its customers by ramping up production at other treatment plants located throughout its system. However, water pressure fell in some locations, and the Company asked customers to adopt voluntary water conservation measures during a two-week period. As of September 30, 2021, total costs incurred to date to restore operations at the Pickering water treatment plants amounted to approximately $3,845, of which $2,160 were expenses. The Company is still in the process of determining the total cost to repair or replace the equipment damaged by Hurricane Ida. Management is considering all avenues to recover storm-related costs from Hurricane Ida in a manner that will minimize its effects on customers.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Company’s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157" w:lineRule="exact"/>
        <w:rPr>
          <w:sz w:val="20"/>
          <w:szCs w:val="20"/>
          <w:color w:val="auto"/>
        </w:rPr>
      </w:pPr>
    </w:p>
    <w:p>
      <w:pPr>
        <w:ind w:right="60"/>
        <w:spacing w:after="0" w:line="235" w:lineRule="auto"/>
        <w:rPr>
          <w:sz w:val="20"/>
          <w:szCs w:val="20"/>
          <w:color w:val="auto"/>
        </w:rPr>
      </w:pPr>
      <w:r>
        <w:rPr>
          <w:rFonts w:ascii="Arial" w:cs="Arial" w:eastAsia="Arial" w:hAnsi="Arial"/>
          <w:sz w:val="21"/>
          <w:szCs w:val="21"/>
          <w:color w:val="auto"/>
        </w:rPr>
        <w:t>During the first nine months of 2021, we incurred $675,845 of capital expenditures, issued $795,153 of long-term debt, and repaid debt and made sinking fund contributions and other loan repayments of $749,432. The capital expenditures were related to new and replacement water, wastewater, and natural gas mains, improvements to treatment plants, tanks, hydrants, and service lines, construction of natural gas fueled energy plants, well and booster improvements, information technology improvements, and other enhancements and improvements. The issuance of long-term debt was for funds borrowed under our revolving credit facility and used for capital expenditures.</w:t>
      </w:r>
    </w:p>
    <w:p>
      <w:pPr>
        <w:spacing w:after="0" w:line="188" w:lineRule="exact"/>
        <w:rPr>
          <w:sz w:val="20"/>
          <w:szCs w:val="20"/>
          <w:color w:val="auto"/>
        </w:rPr>
      </w:pPr>
    </w:p>
    <w:p>
      <w:pPr>
        <w:ind w:right="240"/>
        <w:spacing w:after="0" w:line="223" w:lineRule="auto"/>
        <w:rPr>
          <w:sz w:val="20"/>
          <w:szCs w:val="20"/>
          <w:color w:val="auto"/>
        </w:rPr>
      </w:pPr>
      <w:r>
        <w:rPr>
          <w:rFonts w:ascii="Arial" w:cs="Arial" w:eastAsia="Arial" w:hAnsi="Arial"/>
          <w:sz w:val="22"/>
          <w:szCs w:val="22"/>
          <w:color w:val="auto"/>
        </w:rPr>
        <w:t>In August 2020, we entered into a forward equity sale agreement for 6,700,000 shares of common stock with affiliates of a certain underwriter (“forward purchaser”). In connection with the forward equity sale agreement, the forward purchaser borrowed an equal number of shares of our common stock from stock lenders and sold the borrowed shares to the public. On August 9, 2021, the Company settled the forward equity sale agreement in full by physical share settlement. The Company issued 6,700,000 shares and received cash proceeds of $299,739 at a forward price of $44.74 per share. The net proceeds were used for general corporate purposes, including for water and wastewater utility acquisitions, working capital and capital expenditures.</w:t>
      </w:r>
    </w:p>
    <w:p>
      <w:pPr>
        <w:spacing w:after="0" w:line="191"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On March 16, 2020 (the “Closing Date”), the Company completed the Peoples Gas Acquisition and paid cash consideration of $3,465,344, which was subject to adjustment based upon the terms of the purchase agreement. Purchase price adjustments include the completion of a closing balance sheet, which was provided to the seller, and an adjustment for utility capital expenditures made by the seller during the period between November 1, 2018 and the Closing Date. In November 2021, the dispute between the parties regarding the adjustment for utility capital expenditures was resolved in accordance with the provisions of the purchase agreement and an inconsequential payment will be made between the parties. Peoples is headquartered in Pittsburgh, Pennsylvania and serves approximately 750,000 natural gas utility customers in western Pennsylvania, West Virginia, and Kentucky. The acquisition was financed through a series of financing transactions that included the issuance of common stock from a public offering and a private placement, a tangible equity unit offering, and short and long-term debt.</w:t>
      </w:r>
    </w:p>
    <w:p>
      <w:pPr>
        <w:spacing w:after="0" w:line="190"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Associated with the approval of the Peoples Gas Acquisition from the Pennsylvania Public Utility Commission, the Company has committed to addressing the replacement of gathering pipe over a seven year timeframe for an estimated cost of $120,000, which will be recoverable through customer rates. Additionally, the Company committed to provide $23,004 of one-time customer rate credits to its Pennsylvania natural gas utility customers and water and wastewater customers served by Aqua Pennsylvania. The Company granted $4,080 of customer rate credits to its water and wastewater</w:t>
      </w: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3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customers during the third quarter of 2020, and $18,924 was granted to its natural gas utility customers in the fourth quarter of 2020 to satisfy the $23,004 commitment.</w:t>
      </w:r>
    </w:p>
    <w:p>
      <w:pPr>
        <w:spacing w:after="0" w:line="185" w:lineRule="exact"/>
        <w:rPr>
          <w:sz w:val="20"/>
          <w:szCs w:val="20"/>
          <w:color w:val="auto"/>
        </w:rPr>
      </w:pPr>
    </w:p>
    <w:p>
      <w:pPr>
        <w:ind w:right="20"/>
        <w:spacing w:after="0" w:line="233" w:lineRule="auto"/>
        <w:rPr>
          <w:sz w:val="20"/>
          <w:szCs w:val="20"/>
          <w:color w:val="auto"/>
        </w:rPr>
      </w:pPr>
      <w:r>
        <w:rPr>
          <w:rFonts w:ascii="Arial" w:cs="Arial" w:eastAsia="Arial" w:hAnsi="Arial"/>
          <w:sz w:val="21"/>
          <w:szCs w:val="21"/>
          <w:color w:val="auto"/>
        </w:rPr>
        <w:t>On March 31, 2020, we changed the method of tax accounting for the certain qualifying infrastructure investments at Peoples Natural Gas, our largest gas subsidiary in Pennsylvania. This change allows a tax deduction for qualifying capital expenditures, including those made prior to March 16, 2020 (“catch-up adjustment”) that have been deferred and recorded as a regulatory liability on the consolidated balance sheet. As a result of a settlement agreement approved by the Pennsylvania Public Utility Commission, the income tax benefits associated with the catch-up adjustment of $160,655 are being refunded to utility customers over a five-year period starting in August 2021. In addition, the Company contributed $500 to a customer-bill payment assistance program in July 2021 and in December 2021, will provide $5,000 in relief to past-due accounts for natural gas customers impacted by the COVID-19 pandemic.</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On April 15, 2021, the Company’s operating subsidiary Aqua Ohio, Inc. issued $100,000 of first mortgage bonds, of which</w:t>
      </w:r>
    </w:p>
    <w:p>
      <w:pPr>
        <w:spacing w:after="0" w:line="29" w:lineRule="exact"/>
        <w:rPr>
          <w:sz w:val="20"/>
          <w:szCs w:val="20"/>
          <w:color w:val="auto"/>
        </w:rPr>
      </w:pPr>
    </w:p>
    <w:p>
      <w:pPr>
        <w:spacing w:after="0" w:line="221" w:lineRule="auto"/>
        <w:rPr>
          <w:sz w:val="20"/>
          <w:szCs w:val="20"/>
          <w:color w:val="auto"/>
        </w:rPr>
      </w:pPr>
      <w:r>
        <w:rPr>
          <w:rFonts w:ascii="Arial" w:cs="Arial" w:eastAsia="Arial" w:hAnsi="Arial"/>
          <w:sz w:val="22"/>
          <w:szCs w:val="22"/>
          <w:color w:val="auto"/>
        </w:rPr>
        <w:t>$50,000 is due in 2031 and $50,000 is due in 2051, with interest rates of 2.37% and 3.35%, respectively. The proceeds from these bonds were used for general corporate purposes and to repay existing indebtedness. Further on April 19, 2021, the Company issued $400,000 of long-term debt, less expenses of $4,010, which is due in 2031 with an interest rate of 2.40%. The Company used the proceeds from this issuance to repay $50,000 of borrowings under our Aqua Pennsylvania five- year revolving credit facility, and the balance was used to repay in full the borrowings under its existing five-year unsecured revolving credit agreement.</w:t>
      </w:r>
    </w:p>
    <w:p>
      <w:pPr>
        <w:spacing w:after="0" w:line="191" w:lineRule="exact"/>
        <w:rPr>
          <w:sz w:val="20"/>
          <w:szCs w:val="20"/>
          <w:color w:val="auto"/>
        </w:rPr>
      </w:pPr>
    </w:p>
    <w:p>
      <w:pPr>
        <w:ind w:right="140"/>
        <w:spacing w:after="0" w:line="231" w:lineRule="auto"/>
        <w:rPr>
          <w:sz w:val="20"/>
          <w:szCs w:val="20"/>
          <w:color w:val="auto"/>
        </w:rPr>
      </w:pPr>
      <w:r>
        <w:rPr>
          <w:rFonts w:ascii="Arial" w:cs="Arial" w:eastAsia="Arial" w:hAnsi="Arial"/>
          <w:sz w:val="22"/>
          <w:szCs w:val="22"/>
          <w:color w:val="auto"/>
        </w:rPr>
        <w:t>At September 30, 2021 we had $9,736 of cash and cash equivalents compared to $4,827 at December 31, 2020. During the first nine months of 2021, we used the proceeds from long-term debt, issuance of common stock and internally generated funds to fund the cash requirements discussed above and to pay dividends.</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At September 30, 2021 our $1,000,000 unsecured revolving credit facility, which expires in December 2023, had $966,684 available for borrowing. Additionally, at September 30, we had short-term lines of credit of $235,500, of which $188,918 was available for borrowing. One of our short-term lines of credit is an Aqua Pennsylvania $100,000 364-day unsecured revolving credit facility with four banks, which is used to provide working capital, and as of September 30, 2021, $83,418 was available for borrowing. Another one of our short-term lines of credit is a Peoples Natural Gas Companies $100,000 364-day unsecured revolving credit facility with two banks, which is used to provide working capital, and as of September 30, 2021, $70,000 was available for borrowing. Our short-term lines of credit of $235,500 are subject to renewal on an annual basis. Although we believe we will be able to renew these facilities, there is no assurance that they will be renewed, or what the terms of any such renewal will be.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3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Results of Operations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Analysis of Third Quarter of 2021 Compared to Third Quarter of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Consolidated results</w:t>
      </w:r>
    </w:p>
    <w:p>
      <w:pPr>
        <w:spacing w:after="0" w:line="206"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Operating revenues increased by $13,213 or 3.8% for the three months ended September 30, 2021, as compared to the same period in 2020. Revenues from our Regulated Water segment, Regulated Natural Gas segment and Other business segment increased by $4,134, $5,872 and $3,207, respectively. Refer below for further details on the changes on Regulated Water and Regulated Natural Gas segment revenues. The increase in our Other business segment revenue is largely due to higher purchased gas revenues of $3,199, which has a corresponding offset in expense, and went up due to an increase in gas prices.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Operations and maintenance increased by $3,181 or 2.3%, primarily due to:</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costs related to the restoration and repair of facilities damaged by Hurricane Ida of $2,160;</w:t>
      </w:r>
    </w:p>
    <w:p>
      <w:pPr>
        <w:ind w:left="660" w:right="920"/>
        <w:spacing w:after="0" w:line="217" w:lineRule="auto"/>
        <w:rPr>
          <w:sz w:val="20"/>
          <w:szCs w:val="20"/>
          <w:color w:val="auto"/>
        </w:rPr>
      </w:pPr>
      <w:r>
        <w:rPr>
          <w:rFonts w:ascii="Arial" w:cs="Arial" w:eastAsia="Arial" w:hAnsi="Arial"/>
          <w:sz w:val="22"/>
          <w:szCs w:val="22"/>
          <w:color w:val="auto"/>
        </w:rPr>
        <w:t>increase in employee related costs of $6,825 related to pension and post-retirement benefits, medical and labor; increase in insurance expense of $2,407 due to higher insurance claims;</w:t>
      </w:r>
    </w:p>
    <w:p>
      <w:pPr>
        <w:ind w:left="660"/>
        <w:spacing w:after="0" w:line="219" w:lineRule="auto"/>
        <w:rPr>
          <w:sz w:val="20"/>
          <w:szCs w:val="20"/>
          <w:color w:val="auto"/>
        </w:rPr>
      </w:pPr>
      <w:r>
        <w:rPr>
          <w:rFonts w:ascii="Arial" w:cs="Arial" w:eastAsia="Arial" w:hAnsi="Arial"/>
          <w:sz w:val="22"/>
          <w:szCs w:val="22"/>
          <w:color w:val="auto"/>
        </w:rPr>
        <w:t>increase in outside services of $1,656 and production costs for water and wastewater operations of $747;</w:t>
      </w:r>
    </w:p>
    <w:p>
      <w:pPr>
        <w:ind w:left="660" w:right="240"/>
        <w:spacing w:after="0" w:line="217" w:lineRule="auto"/>
        <w:rPr>
          <w:sz w:val="20"/>
          <w:szCs w:val="20"/>
          <w:color w:val="auto"/>
        </w:rPr>
      </w:pPr>
      <w:r>
        <w:rPr>
          <w:rFonts w:ascii="Arial" w:cs="Arial" w:eastAsia="Arial" w:hAnsi="Arial"/>
          <w:sz w:val="22"/>
          <w:szCs w:val="22"/>
          <w:color w:val="auto"/>
        </w:rPr>
        <w:t>additional operating costs associated with acquired and pending acquisitions of water and wastewater utility systems of $1,185; and</w:t>
      </w:r>
    </w:p>
    <w:p>
      <w:pPr>
        <w:spacing w:after="0" w:line="2" w:lineRule="exact"/>
        <w:rPr>
          <w:sz w:val="20"/>
          <w:szCs w:val="20"/>
          <w:color w:val="auto"/>
        </w:rPr>
      </w:pPr>
    </w:p>
    <w:p>
      <w:pPr>
        <w:jc w:val="both"/>
        <w:ind w:left="660" w:right="200"/>
        <w:spacing w:after="0" w:line="252" w:lineRule="auto"/>
        <w:rPr>
          <w:sz w:val="20"/>
          <w:szCs w:val="20"/>
          <w:color w:val="auto"/>
        </w:rPr>
      </w:pPr>
      <w:r>
        <w:rPr>
          <w:rFonts w:ascii="Arial" w:cs="Arial" w:eastAsia="Arial" w:hAnsi="Arial"/>
          <w:sz w:val="19"/>
          <w:szCs w:val="19"/>
          <w:color w:val="auto"/>
        </w:rPr>
        <w:t>expenses of $401 associated with remediating an advisory for some of our water utility customers served by our Illinois subsidiary, plus the prior year effect of net insurance proceeds of $2,145 for expenses incurred related to such advisory. We expect the expenses associated with remediating the advisory to continue in the fourth quarter of 2021;</w:t>
      </w:r>
    </w:p>
    <w:p>
      <w:pPr>
        <w:ind w:left="660"/>
        <w:spacing w:after="0"/>
        <w:rPr>
          <w:sz w:val="20"/>
          <w:szCs w:val="20"/>
          <w:color w:val="auto"/>
        </w:rPr>
      </w:pPr>
      <w:r>
        <w:rPr>
          <w:rFonts w:ascii="Arial" w:cs="Arial" w:eastAsia="Arial" w:hAnsi="Arial"/>
          <w:sz w:val="19"/>
          <w:szCs w:val="19"/>
          <w:color w:val="auto"/>
        </w:rPr>
        <w:t>offset by decreased COVID-19 pandemic related expenses of $9,387 and contributions to charitable trust of $5,720.</w:t>
      </w:r>
    </w:p>
    <w:p>
      <w:pPr>
        <w:spacing w:after="0" w:line="223"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Purchased gas increased by $8,744 or 52.2%. Purchased gas represents the cost of gas sold by Peoples for the regulated and non-regulated gas business and has a corresponding offset in revenue. This expense increased for the regulated natural gas business and non-regulated business by $5,545 and $3,199, respectively, as a result of the increase in natural gas prices.</w:t>
      </w:r>
    </w:p>
    <w:p>
      <w:pPr>
        <w:spacing w:after="0" w:line="148" w:lineRule="exact"/>
        <w:rPr>
          <w:sz w:val="20"/>
          <w:szCs w:val="20"/>
          <w:color w:val="auto"/>
        </w:rPr>
      </w:pPr>
    </w:p>
    <w:p>
      <w:pPr>
        <w:jc w:val="both"/>
        <w:ind w:right="20"/>
        <w:spacing w:after="0" w:line="228" w:lineRule="auto"/>
        <w:rPr>
          <w:sz w:val="20"/>
          <w:szCs w:val="20"/>
          <w:color w:val="auto"/>
        </w:rPr>
      </w:pPr>
      <w:r>
        <w:rPr>
          <w:rFonts w:ascii="Arial" w:cs="Arial" w:eastAsia="Arial" w:hAnsi="Arial"/>
          <w:sz w:val="22"/>
          <w:szCs w:val="22"/>
          <w:color w:val="auto"/>
        </w:rPr>
        <w:t>Depreciation and amortization expense increased by $4,431 or 6.5% and $135 or 7.6%, respectively, principally due to continued capital expenditures to expand and improve our utility facilities, our acquisitions of new utility systems, and additional rate case filings. Expenses associated with filing rate cases are deferred and amortized over periods that generally range from one to three years.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Taxes other than income taxes increased by $503 or 2.4%.</w:t>
      </w:r>
    </w:p>
    <w:p>
      <w:pPr>
        <w:jc w:val="center"/>
        <w:ind w:right="-3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4" w:name="page45"/>
    <w:bookmarkEnd w:id="4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7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 increased by $2,271 or 4.6% for the quarter primarily due to the increase in average borrowings.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Interest income increased by $451 due to higher investment rates.</w:t>
      </w:r>
    </w:p>
    <w:p>
      <w:pPr>
        <w:spacing w:after="0" w:line="206" w:lineRule="exact"/>
        <w:rPr>
          <w:sz w:val="20"/>
          <w:szCs w:val="20"/>
          <w:color w:val="auto"/>
        </w:rPr>
      </w:pPr>
    </w:p>
    <w:p>
      <w:pPr>
        <w:ind w:right="460"/>
        <w:spacing w:after="0" w:line="239" w:lineRule="auto"/>
        <w:rPr>
          <w:sz w:val="20"/>
          <w:szCs w:val="20"/>
          <w:color w:val="auto"/>
        </w:rPr>
      </w:pPr>
      <w:r>
        <w:rPr>
          <w:rFonts w:ascii="Arial" w:cs="Arial" w:eastAsia="Arial" w:hAnsi="Arial"/>
          <w:sz w:val="22"/>
          <w:szCs w:val="22"/>
          <w:color w:val="auto"/>
        </w:rPr>
        <w:t>Allowance for funds used during construction (“AFUDC”) increased by $2,539 due to an increase in the average balance of utility plant construction work in progress, to which AFUDC is applied.</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Equity loss from the joint venture was $3,626 in 2020, and our investment in the joint venture was sold in October 2020.</w:t>
      </w:r>
    </w:p>
    <w:p>
      <w:pPr>
        <w:spacing w:after="0" w:line="218"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 xml:space="preserve">Other expense, which largely consist of the non-service cost component of our net benefit cost for pension benefits, increased by $8,146 during the </w:t>
      </w:r>
      <w:r>
        <w:rPr>
          <w:rFonts w:ascii="Arial" w:cs="Arial" w:eastAsia="Arial" w:hAnsi="Arial"/>
          <w:sz w:val="17"/>
          <w:szCs w:val="17"/>
          <w:color w:val="auto"/>
        </w:rPr>
        <w:t>quarter</w:t>
      </w:r>
      <w:r>
        <w:rPr>
          <w:rFonts w:ascii="Arial" w:cs="Arial" w:eastAsia="Arial" w:hAnsi="Arial"/>
          <w:sz w:val="19"/>
          <w:szCs w:val="19"/>
          <w:color w:val="auto"/>
        </w:rPr>
        <w:t xml:space="preserve"> compared to the same period in the prior year. The net benefit in 2020 is primarily due to a recovery of a previously incurred cost that resulted in the recognition of a regulatory asset based on the Company’s recovery in a rate case.</w:t>
      </w:r>
    </w:p>
    <w:p>
      <w:pPr>
        <w:spacing w:after="0" w:line="134" w:lineRule="exact"/>
        <w:rPr>
          <w:sz w:val="20"/>
          <w:szCs w:val="20"/>
          <w:color w:val="auto"/>
        </w:rPr>
      </w:pPr>
    </w:p>
    <w:p>
      <w:pPr>
        <w:ind w:right="260"/>
        <w:spacing w:after="0" w:line="231" w:lineRule="auto"/>
        <w:rPr>
          <w:sz w:val="20"/>
          <w:szCs w:val="20"/>
          <w:color w:val="auto"/>
        </w:rPr>
      </w:pPr>
      <w:r>
        <w:rPr>
          <w:rFonts w:ascii="Arial" w:cs="Arial" w:eastAsia="Arial" w:hAnsi="Arial"/>
          <w:sz w:val="22"/>
          <w:szCs w:val="22"/>
          <w:color w:val="auto"/>
        </w:rPr>
        <w:t>Our effective income tax rate was 3.4% in the third quarter of 2021 and 6.7% in the third quarter of 2020. The decrease in the effective tax rate for the third quarter is primarily attributed to an increase in the income tax benefit associated with the tax deduction for qualifying infrastructure.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Net income decreased by $5,229 or 9.4% primarily as a result of the factors described above.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Regulated Water Segment</w:t>
      </w:r>
    </w:p>
    <w:p>
      <w:pPr>
        <w:spacing w:after="0" w:line="206"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88" w:lineRule="exact"/>
        <w:rPr>
          <w:sz w:val="20"/>
          <w:szCs w:val="20"/>
          <w:color w:val="auto"/>
        </w:rPr>
      </w:pPr>
    </w:p>
    <w:p>
      <w:pPr>
        <w:ind w:right="200"/>
        <w:spacing w:after="0" w:line="239" w:lineRule="auto"/>
        <w:rPr>
          <w:sz w:val="20"/>
          <w:szCs w:val="20"/>
          <w:color w:val="auto"/>
        </w:rPr>
      </w:pPr>
      <w:r>
        <w:rPr>
          <w:rFonts w:ascii="Arial" w:cs="Arial" w:eastAsia="Arial" w:hAnsi="Arial"/>
          <w:sz w:val="22"/>
          <w:szCs w:val="22"/>
          <w:color w:val="auto"/>
        </w:rPr>
        <w:t>Revenues increased by $4,134 or 1.6% for the third quarter of 2021 as compared to the same period in 2020, mainly due to the following: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increase in water and wastewater rates, including infrastructure rehabilitation surcharges, of $6,770;</w:t>
      </w:r>
    </w:p>
    <w:p>
      <w:pPr>
        <w:ind w:left="660" w:right="40"/>
        <w:spacing w:after="0" w:line="217" w:lineRule="auto"/>
        <w:rPr>
          <w:sz w:val="20"/>
          <w:szCs w:val="20"/>
          <w:color w:val="auto"/>
        </w:rPr>
      </w:pPr>
      <w:r>
        <w:rPr>
          <w:rFonts w:ascii="Arial" w:cs="Arial" w:eastAsia="Arial" w:hAnsi="Arial"/>
          <w:sz w:val="22"/>
          <w:szCs w:val="22"/>
          <w:color w:val="auto"/>
        </w:rPr>
        <w:t>additional water and wastewater revenues of $2,624 associated with a larger customer base due to utility acquisitions and organic growth;</w:t>
      </w:r>
    </w:p>
    <w:p>
      <w:pPr>
        <w:spacing w:after="0" w:line="2" w:lineRule="exact"/>
        <w:rPr>
          <w:sz w:val="20"/>
          <w:szCs w:val="20"/>
          <w:color w:val="auto"/>
        </w:rPr>
      </w:pPr>
    </w:p>
    <w:p>
      <w:pPr>
        <w:ind w:left="660" w:right="620"/>
        <w:spacing w:after="0" w:line="217" w:lineRule="auto"/>
        <w:rPr>
          <w:sz w:val="20"/>
          <w:szCs w:val="20"/>
          <w:color w:val="auto"/>
        </w:rPr>
      </w:pPr>
      <w:r>
        <w:rPr>
          <w:rFonts w:ascii="Arial" w:cs="Arial" w:eastAsia="Arial" w:hAnsi="Arial"/>
          <w:sz w:val="22"/>
          <w:szCs w:val="22"/>
          <w:color w:val="auto"/>
        </w:rPr>
        <w:t>prior year effect of customer rate credits of $4,080 granted to our water and wastewater customers served by Aqua Pennsylvania in the third quarter of 2020; and</w:t>
      </w:r>
    </w:p>
    <w:p>
      <w:pPr>
        <w:spacing w:after="0" w:line="2" w:lineRule="exact"/>
        <w:rPr>
          <w:sz w:val="20"/>
          <w:szCs w:val="20"/>
          <w:color w:val="auto"/>
        </w:rPr>
      </w:pPr>
    </w:p>
    <w:p>
      <w:pPr>
        <w:ind w:left="660"/>
        <w:spacing w:after="0" w:line="217" w:lineRule="auto"/>
        <w:rPr>
          <w:sz w:val="20"/>
          <w:szCs w:val="20"/>
          <w:color w:val="auto"/>
        </w:rPr>
      </w:pPr>
      <w:r>
        <w:rPr>
          <w:rFonts w:ascii="Arial" w:cs="Arial" w:eastAsia="Arial" w:hAnsi="Arial"/>
          <w:sz w:val="22"/>
          <w:szCs w:val="22"/>
          <w:color w:val="auto"/>
        </w:rPr>
        <w:t>offset by a decrease in customer water and wastewater volumes amounting to $9,590 and foregone water revenue of $292 as a result of an advisory for some of our water utility customers</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5" w:name="page46"/>
    <w:bookmarkEnd w:id="4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left="660" w:right="160"/>
        <w:spacing w:after="0" w:line="239" w:lineRule="auto"/>
        <w:rPr>
          <w:sz w:val="20"/>
          <w:szCs w:val="20"/>
          <w:color w:val="auto"/>
        </w:rPr>
      </w:pPr>
      <w:r>
        <w:rPr>
          <w:rFonts w:ascii="Arial" w:cs="Arial" w:eastAsia="Arial" w:hAnsi="Arial"/>
          <w:sz w:val="22"/>
          <w:szCs w:val="22"/>
          <w:color w:val="auto"/>
        </w:rPr>
        <w:t>served by our Illinois subsidiary. We expect this impact on revenues resulting from the advisory to continue in the fourth quarter of 2021.</w:t>
      </w:r>
    </w:p>
    <w:p>
      <w:pPr>
        <w:spacing w:after="0" w:line="185" w:lineRule="exact"/>
        <w:rPr>
          <w:sz w:val="20"/>
          <w:szCs w:val="20"/>
          <w:color w:val="auto"/>
        </w:rPr>
      </w:pPr>
    </w:p>
    <w:p>
      <w:pPr>
        <w:spacing w:after="0" w:line="313" w:lineRule="auto"/>
        <w:rPr>
          <w:sz w:val="20"/>
          <w:szCs w:val="20"/>
          <w:color w:val="auto"/>
        </w:rPr>
      </w:pPr>
      <w:r>
        <w:rPr>
          <w:rFonts w:ascii="Arial" w:cs="Arial" w:eastAsia="Arial" w:hAnsi="Arial"/>
          <w:sz w:val="19"/>
          <w:szCs w:val="19"/>
          <w:color w:val="auto"/>
        </w:rPr>
        <w:t>Operations and maintenance expense for the three months ended September 30, 2021 was $86,923 (33.5% of revenues) compared to $79,313 (31.0% of revenues) in the prior period. The increase of $7,610 or 9.6% was primarily due to the following:</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costs related to the restoration and repair of facilities damaged by Hurricane Ida of $2,160;</w:t>
      </w:r>
    </w:p>
    <w:p>
      <w:pPr>
        <w:ind w:left="660" w:right="560"/>
        <w:spacing w:after="0" w:line="217" w:lineRule="auto"/>
        <w:rPr>
          <w:sz w:val="20"/>
          <w:szCs w:val="20"/>
          <w:color w:val="auto"/>
        </w:rPr>
      </w:pPr>
      <w:r>
        <w:rPr>
          <w:rFonts w:ascii="Arial" w:cs="Arial" w:eastAsia="Arial" w:hAnsi="Arial"/>
          <w:sz w:val="22"/>
          <w:szCs w:val="22"/>
          <w:color w:val="auto"/>
        </w:rPr>
        <w:t>additional operating costs resulting from acquired water and wastewater utility systems and higher customer base of $1,185;</w:t>
      </w:r>
    </w:p>
    <w:p>
      <w:pPr>
        <w:ind w:left="660"/>
        <w:spacing w:after="0" w:line="219" w:lineRule="auto"/>
        <w:rPr>
          <w:sz w:val="20"/>
          <w:szCs w:val="20"/>
          <w:color w:val="auto"/>
        </w:rPr>
      </w:pPr>
      <w:r>
        <w:rPr>
          <w:rFonts w:ascii="Arial" w:cs="Arial" w:eastAsia="Arial" w:hAnsi="Arial"/>
          <w:sz w:val="22"/>
          <w:szCs w:val="22"/>
          <w:color w:val="auto"/>
        </w:rPr>
        <w:t>increase in pension and post-retirement benefits expense of $5,083;</w:t>
      </w:r>
    </w:p>
    <w:p>
      <w:pPr>
        <w:ind w:left="660" w:right="120"/>
        <w:spacing w:after="0" w:line="234" w:lineRule="auto"/>
        <w:rPr>
          <w:sz w:val="20"/>
          <w:szCs w:val="20"/>
          <w:color w:val="auto"/>
        </w:rPr>
      </w:pPr>
      <w:r>
        <w:rPr>
          <w:rFonts w:ascii="Arial" w:cs="Arial" w:eastAsia="Arial" w:hAnsi="Arial"/>
          <w:sz w:val="21"/>
          <w:szCs w:val="21"/>
          <w:color w:val="auto"/>
        </w:rPr>
        <w:t>expenses of $401 associated with remediating an advisory for some of our water utility customers served by our Illinois subsidiary, plus the prior year effect of net insurance proceeds of $2,145 for expenses incurred related such advisory. We expect the expenses associated with remediating the advisory to continue in the fourth quarter of 2021; offset by, the decrease in COVID-19 pandemic related expenses of $3,329.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increased by $2,551 or 5.9% primarily due to continued capital spend.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Taxes other than income taxes increased by $385 or 2.4%.</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Interest expense, net, increased by $325 or 1.2% for the quarter primarily due to the increase in average borrowings.</w:t>
      </w:r>
    </w:p>
    <w:p>
      <w:pPr>
        <w:spacing w:after="0" w:line="218"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color w:val="auto"/>
        </w:rPr>
        <w:t>AFUDC increased by $2,324 or 75.4% due to the increase in the average balance of utility plant construction work in progress, to which AFUDC is applied.</w:t>
      </w:r>
    </w:p>
    <w:p>
      <w:pPr>
        <w:spacing w:after="0" w:line="185" w:lineRule="exact"/>
        <w:rPr>
          <w:sz w:val="20"/>
          <w:szCs w:val="20"/>
          <w:color w:val="auto"/>
        </w:rPr>
      </w:pPr>
    </w:p>
    <w:p>
      <w:pPr>
        <w:jc w:val="both"/>
        <w:ind w:right="180"/>
        <w:spacing w:after="0" w:line="231" w:lineRule="auto"/>
        <w:rPr>
          <w:sz w:val="20"/>
          <w:szCs w:val="20"/>
          <w:color w:val="auto"/>
        </w:rPr>
      </w:pPr>
      <w:r>
        <w:rPr>
          <w:rFonts w:ascii="Arial" w:cs="Arial" w:eastAsia="Arial" w:hAnsi="Arial"/>
          <w:sz w:val="22"/>
          <w:szCs w:val="22"/>
          <w:color w:val="auto"/>
        </w:rPr>
        <w:t>Other expense decreased by $2,006, resulting in a net benefit of $1,896 for the quarter, primarily due to the decrease in the non-service cost component of our net benefit cost for pension benefits. This is driven by improved investment returns as a result of favorable market experience from the prior period.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Regulated Natural Gas Segment</w:t>
      </w:r>
    </w:p>
    <w:p>
      <w:pPr>
        <w:spacing w:after="0" w:line="206" w:lineRule="exact"/>
        <w:rPr>
          <w:sz w:val="20"/>
          <w:szCs w:val="20"/>
          <w:color w:val="auto"/>
        </w:rPr>
      </w:pPr>
    </w:p>
    <w:p>
      <w:pPr>
        <w:ind w:right="60"/>
        <w:spacing w:after="0" w:line="228" w:lineRule="auto"/>
        <w:rPr>
          <w:sz w:val="20"/>
          <w:szCs w:val="20"/>
          <w:color w:val="auto"/>
        </w:rPr>
      </w:pPr>
      <w:r>
        <w:rPr>
          <w:rFonts w:ascii="Arial" w:cs="Arial" w:eastAsia="Arial" w:hAnsi="Arial"/>
          <w:sz w:val="22"/>
          <w:szCs w:val="22"/>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86" w:lineRule="exact"/>
        <w:rPr>
          <w:sz w:val="20"/>
          <w:szCs w:val="20"/>
          <w:color w:val="auto"/>
        </w:rPr>
      </w:pPr>
    </w:p>
    <w:p>
      <w:pPr>
        <w:ind w:right="60"/>
        <w:spacing w:after="0" w:line="221" w:lineRule="auto"/>
        <w:rPr>
          <w:sz w:val="20"/>
          <w:szCs w:val="20"/>
          <w:color w:val="auto"/>
        </w:rPr>
      </w:pPr>
      <w:r>
        <w:rPr>
          <w:rFonts w:ascii="Arial" w:cs="Arial" w:eastAsia="Arial" w:hAnsi="Arial"/>
          <w:sz w:val="22"/>
          <w:szCs w:val="22"/>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 the cost of purchased gas impact operating revenues on a dollar-for-dollar basis, but do not impact gross margin. Management uses gross margin, 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non-GAAP financial measure, defined as operating revenues less purchased gas expense, to analyze the financial performance of our Regulated Natural Gas segment, as management believes gross margin provides a meaningful basis for evaluating our natural gas utility operations since purchased gas expenses are included in operating revenues and passed through to customers. The following table includes the operating results for our Regulated Natural Gas segment for the period since the acquisition date of March 16, 2020, including the reconciliation of gross margin (non-GAAP) to operating revenues (GAAP):</w:t>
      </w: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000" w:type="dxa"/>
            <w:vAlign w:val="bottom"/>
            <w:gridSpan w:val="4"/>
          </w:tcPr>
          <w:p>
            <w:pPr>
              <w:jc w:val="center"/>
              <w:ind w:left="572"/>
              <w:spacing w:after="0" w:line="233" w:lineRule="exact"/>
              <w:rPr>
                <w:sz w:val="20"/>
                <w:szCs w:val="20"/>
                <w:color w:val="auto"/>
              </w:rPr>
            </w:pPr>
            <w:r>
              <w:rPr>
                <w:rFonts w:ascii="Arial" w:cs="Arial" w:eastAsia="Arial" w:hAnsi="Arial"/>
                <w:sz w:val="22"/>
                <w:szCs w:val="22"/>
                <w:color w:val="auto"/>
                <w:w w:val="89"/>
              </w:rPr>
              <w:t>Three Months Ended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60" w:type="dxa"/>
            <w:vAlign w:val="bottom"/>
            <w:gridSpan w:val="4"/>
          </w:tcPr>
          <w:p>
            <w:pPr>
              <w:jc w:val="center"/>
              <w:ind w:right="332"/>
              <w:spacing w:after="0" w:line="233" w:lineRule="exact"/>
              <w:rPr>
                <w:sz w:val="20"/>
                <w:szCs w:val="20"/>
                <w:color w:val="auto"/>
              </w:rPr>
            </w:pPr>
            <w:r>
              <w:rPr>
                <w:rFonts w:ascii="Arial" w:cs="Arial" w:eastAsia="Arial" w:hAnsi="Arial"/>
                <w:sz w:val="22"/>
                <w:szCs w:val="22"/>
                <w:color w:val="auto"/>
                <w:w w:val="90"/>
              </w:rPr>
              <w:t>Nine Months Ended</w:t>
            </w:r>
          </w:p>
        </w:tc>
      </w:tr>
      <w:tr>
        <w:trPr>
          <w:trHeight w:val="251"/>
        </w:trPr>
        <w:tc>
          <w:tcPr>
            <w:tcW w:w="358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right="352"/>
              <w:spacing w:after="0" w:line="251" w:lineRule="exact"/>
              <w:rPr>
                <w:sz w:val="20"/>
                <w:szCs w:val="20"/>
                <w:color w:val="auto"/>
              </w:rPr>
            </w:pPr>
            <w:r>
              <w:rPr>
                <w:rFonts w:ascii="Arial" w:cs="Arial" w:eastAsia="Arial" w:hAnsi="Arial"/>
                <w:sz w:val="22"/>
                <w:szCs w:val="22"/>
                <w:color w:val="auto"/>
                <w:w w:val="85"/>
              </w:rPr>
              <w:t>September 30,</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left="732"/>
              <w:spacing w:after="0" w:line="251" w:lineRule="exact"/>
              <w:rPr>
                <w:sz w:val="20"/>
                <w:szCs w:val="20"/>
                <w:color w:val="auto"/>
              </w:rPr>
            </w:pPr>
            <w:r>
              <w:rPr>
                <w:rFonts w:ascii="Arial" w:cs="Arial" w:eastAsia="Arial" w:hAnsi="Arial"/>
                <w:sz w:val="22"/>
                <w:szCs w:val="22"/>
                <w:color w:val="auto"/>
                <w:w w:val="85"/>
              </w:rPr>
              <w:t>September 30,</w:t>
            </w:r>
          </w:p>
        </w:tc>
        <w:tc>
          <w:tcPr>
            <w:tcW w:w="1260" w:type="dxa"/>
            <w:vAlign w:val="bottom"/>
            <w:tcBorders>
              <w:bottom w:val="single" w:sz="8" w:color="auto"/>
            </w:tcBorders>
          </w:tcPr>
          <w:p>
            <w:pPr>
              <w:spacing w:after="0"/>
              <w:rPr>
                <w:sz w:val="21"/>
                <w:szCs w:val="21"/>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2021</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2020</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2"/>
              <w:spacing w:after="0" w:line="223" w:lineRule="exact"/>
              <w:rPr>
                <w:sz w:val="20"/>
                <w:szCs w:val="20"/>
                <w:color w:val="auto"/>
              </w:rPr>
            </w:pPr>
            <w:r>
              <w:rPr>
                <w:rFonts w:ascii="Arial" w:cs="Arial" w:eastAsia="Arial" w:hAnsi="Arial"/>
                <w:sz w:val="22"/>
                <w:szCs w:val="22"/>
                <w:color w:val="auto"/>
              </w:rPr>
              <w:t>2021</w:t>
            </w:r>
          </w:p>
        </w:tc>
        <w:tc>
          <w:tcPr>
            <w:tcW w:w="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52"/>
              <w:spacing w:after="0" w:line="223" w:lineRule="exact"/>
              <w:rPr>
                <w:sz w:val="20"/>
                <w:szCs w:val="20"/>
                <w:color w:val="auto"/>
              </w:rPr>
            </w:pPr>
            <w:r>
              <w:rPr>
                <w:rFonts w:ascii="Arial" w:cs="Arial" w:eastAsia="Arial" w:hAnsi="Arial"/>
                <w:sz w:val="22"/>
                <w:szCs w:val="22"/>
                <w:color w:val="auto"/>
                <w:w w:val="98"/>
              </w:rPr>
              <w:t>2020</w:t>
            </w:r>
          </w:p>
        </w:tc>
      </w:tr>
      <w:tr>
        <w:trPr>
          <w:trHeight w:val="223"/>
        </w:trPr>
        <w:tc>
          <w:tcPr>
            <w:tcW w:w="35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 (GAAP)</w:t>
            </w:r>
          </w:p>
        </w:tc>
        <w:tc>
          <w:tcPr>
            <w:tcW w:w="1140" w:type="dxa"/>
            <w:vAlign w:val="bottom"/>
            <w:shd w:val="clear" w:color="auto" w:fill="CCEEFF"/>
          </w:tcPr>
          <w:p>
            <w:pPr>
              <w:jc w:val="right"/>
              <w:ind w:right="912"/>
              <w:spacing w:after="0" w:line="223" w:lineRule="exact"/>
              <w:rPr>
                <w:sz w:val="20"/>
                <w:szCs w:val="20"/>
                <w:color w:val="auto"/>
              </w:rPr>
            </w:pPr>
            <w:r>
              <w:rPr>
                <w:rFonts w:ascii="Arial" w:cs="Arial" w:eastAsia="Arial" w:hAnsi="Arial"/>
                <w:sz w:val="22"/>
                <w:szCs w:val="22"/>
                <w:color w:val="auto"/>
                <w:w w:val="81"/>
              </w:rPr>
              <w:t>$</w:t>
            </w:r>
          </w:p>
        </w:tc>
        <w:tc>
          <w:tcPr>
            <w:tcW w:w="6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w w:val="86"/>
              </w:rPr>
              <w:t>94,752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2"/>
              <w:spacing w:after="0" w:line="223" w:lineRule="exact"/>
              <w:rPr>
                <w:sz w:val="20"/>
                <w:szCs w:val="20"/>
                <w:color w:val="auto"/>
              </w:rPr>
            </w:pPr>
            <w:r>
              <w:rPr>
                <w:rFonts w:ascii="Arial" w:cs="Arial" w:eastAsia="Arial" w:hAnsi="Arial"/>
                <w:sz w:val="22"/>
                <w:szCs w:val="22"/>
                <w:color w:val="auto"/>
                <w:w w:val="81"/>
              </w:rPr>
              <w:t>$</w:t>
            </w:r>
          </w:p>
        </w:tc>
        <w:tc>
          <w:tcPr>
            <w:tcW w:w="6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w w:val="86"/>
              </w:rPr>
              <w:t>88,880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92"/>
              <w:spacing w:after="0" w:line="223" w:lineRule="exact"/>
              <w:rPr>
                <w:sz w:val="20"/>
                <w:szCs w:val="20"/>
                <w:color w:val="auto"/>
              </w:rPr>
            </w:pPr>
            <w:r>
              <w:rPr>
                <w:rFonts w:ascii="Arial" w:cs="Arial" w:eastAsia="Arial" w:hAnsi="Arial"/>
                <w:sz w:val="22"/>
                <w:szCs w:val="22"/>
                <w:color w:val="auto"/>
                <w:w w:val="81"/>
              </w:rPr>
              <w:t>$</w:t>
            </w:r>
          </w:p>
        </w:tc>
        <w:tc>
          <w:tcPr>
            <w:tcW w:w="14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579,429</w:t>
            </w: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72"/>
              <w:spacing w:after="0" w:line="223" w:lineRule="exact"/>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273,798</w:t>
            </w:r>
          </w:p>
        </w:tc>
      </w:tr>
      <w:tr>
        <w:trPr>
          <w:trHeight w:val="230"/>
        </w:trPr>
        <w:tc>
          <w:tcPr>
            <w:tcW w:w="358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Purchased gas</w:t>
            </w:r>
          </w:p>
        </w:tc>
        <w:tc>
          <w:tcPr>
            <w:tcW w:w="11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line="229" w:lineRule="exact"/>
              <w:rPr>
                <w:sz w:val="20"/>
                <w:szCs w:val="20"/>
                <w:color w:val="auto"/>
              </w:rPr>
            </w:pPr>
            <w:r>
              <w:rPr>
                <w:rFonts w:ascii="Arial" w:cs="Arial" w:eastAsia="Arial" w:hAnsi="Arial"/>
                <w:sz w:val="22"/>
                <w:szCs w:val="22"/>
                <w:color w:val="auto"/>
                <w:w w:val="86"/>
              </w:rPr>
              <w:t>20,386</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w w:val="86"/>
              </w:rPr>
              <w:t>14,841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183,062</w:t>
            </w:r>
          </w:p>
        </w:tc>
        <w:tc>
          <w:tcPr>
            <w:tcW w:w="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68,807</w:t>
            </w:r>
          </w:p>
        </w:tc>
      </w:tr>
      <w:tr>
        <w:trPr>
          <w:trHeight w:val="223"/>
        </w:trPr>
        <w:tc>
          <w:tcPr>
            <w:tcW w:w="358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Gross margin (non-GAAP)</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w w:val="86"/>
              </w:rPr>
              <w:t>74,366</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w w:val="86"/>
              </w:rPr>
              <w:t>74,039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396,367</w:t>
            </w:r>
          </w:p>
        </w:tc>
        <w:tc>
          <w:tcPr>
            <w:tcW w:w="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204,991</w:t>
            </w:r>
          </w:p>
        </w:tc>
      </w:tr>
      <w:tr>
        <w:trPr>
          <w:trHeight w:val="20"/>
        </w:trPr>
        <w:tc>
          <w:tcPr>
            <w:tcW w:w="3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460"/>
        <w:spacing w:after="0" w:line="231" w:lineRule="auto"/>
        <w:rPr>
          <w:sz w:val="20"/>
          <w:szCs w:val="20"/>
          <w:color w:val="auto"/>
        </w:rPr>
      </w:pPr>
      <w:r>
        <w:rPr>
          <w:rFonts w:ascii="Arial" w:cs="Arial" w:eastAsia="Arial" w:hAnsi="Arial"/>
          <w:sz w:val="22"/>
          <w:szCs w:val="22"/>
          <w:color w:val="auto"/>
        </w:rPr>
        <w:t>The term gross margin is not intended to represent operating revenues, the most comparable GAAP financial measure, as an indicator of operating performance. In addition, our measurement of gross margin is not necessarily comparable to similarly titled measures reported by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Operating revenues from the Regulated Natural Gas segment increased by $5,872 or 6.6% due to:</w:t>
      </w:r>
    </w:p>
    <w:p>
      <w:pPr>
        <w:spacing w:after="0" w:line="206" w:lineRule="exact"/>
        <w:rPr>
          <w:sz w:val="20"/>
          <w:szCs w:val="20"/>
          <w:color w:val="auto"/>
        </w:rPr>
      </w:pPr>
    </w:p>
    <w:p>
      <w:pPr>
        <w:ind w:left="660" w:right="3040"/>
        <w:spacing w:after="0" w:line="223" w:lineRule="auto"/>
        <w:rPr>
          <w:sz w:val="20"/>
          <w:szCs w:val="20"/>
          <w:color w:val="auto"/>
        </w:rPr>
      </w:pPr>
      <w:r>
        <w:rPr>
          <w:rFonts w:ascii="Arial" w:cs="Arial" w:eastAsia="Arial" w:hAnsi="Arial"/>
          <w:sz w:val="22"/>
          <w:szCs w:val="22"/>
          <w:color w:val="auto"/>
        </w:rPr>
        <w:t>impact of higher gas cost of $6,534 during the quarter as compared to the prior quarter; higher average delivery and rider rates of $2,183; and increased revenues from strategic projects of $1,234;</w:t>
      </w:r>
    </w:p>
    <w:p>
      <w:pPr>
        <w:spacing w:after="0" w:line="1" w:lineRule="exact"/>
        <w:rPr>
          <w:sz w:val="20"/>
          <w:szCs w:val="20"/>
          <w:color w:val="auto"/>
        </w:rPr>
      </w:pPr>
    </w:p>
    <w:p>
      <w:pPr>
        <w:jc w:val="both"/>
        <w:ind w:left="660" w:right="20"/>
        <w:spacing w:after="0" w:line="226" w:lineRule="auto"/>
        <w:rPr>
          <w:sz w:val="20"/>
          <w:szCs w:val="20"/>
          <w:color w:val="auto"/>
        </w:rPr>
      </w:pPr>
      <w:r>
        <w:rPr>
          <w:rFonts w:ascii="Arial" w:cs="Arial" w:eastAsia="Arial" w:hAnsi="Arial"/>
          <w:sz w:val="22"/>
          <w:szCs w:val="22"/>
          <w:color w:val="auto"/>
        </w:rPr>
        <w:t>offset by lower usage of $1,620 due to warmer weather during the third quarter of 2021 as compared to the same period in 2020; credit to customers for tax repair catch-up of $2,439; and increased refund of the tax benefit associated with the Tax Cuts and Jobs Act of $46.</w:t>
      </w:r>
    </w:p>
    <w:p>
      <w:pPr>
        <w:spacing w:after="0" w:line="185"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color w:val="auto"/>
        </w:rPr>
        <w:t>Operations and maintenance expense for the three months ended September 30, 2021 decreased by $5,606 or 9.4% primarily due to the following:</w:t>
      </w:r>
    </w:p>
    <w:p>
      <w:pPr>
        <w:spacing w:after="0" w:line="185" w:lineRule="exact"/>
        <w:rPr>
          <w:sz w:val="20"/>
          <w:szCs w:val="20"/>
          <w:color w:val="auto"/>
        </w:rPr>
      </w:pPr>
    </w:p>
    <w:p>
      <w:pPr>
        <w:ind w:left="660" w:right="1280"/>
        <w:spacing w:after="0" w:line="313" w:lineRule="auto"/>
        <w:rPr>
          <w:sz w:val="20"/>
          <w:szCs w:val="20"/>
          <w:color w:val="auto"/>
        </w:rPr>
      </w:pPr>
      <w:r>
        <w:rPr>
          <w:rFonts w:ascii="Arial" w:cs="Arial" w:eastAsia="Arial" w:hAnsi="Arial"/>
          <w:sz w:val="19"/>
          <w:szCs w:val="19"/>
          <w:color w:val="auto"/>
        </w:rPr>
        <w:t>decrease in COVID-19 pandemic related expenses of $6,058 and contributions to charitable trust of $5,720; offset by increase in employee related costs of $1,959 and outside services expense of $1,087.</w:t>
      </w:r>
    </w:p>
    <w:p>
      <w:pPr>
        <w:spacing w:after="0" w:line="119"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Purchased gas increased by $5,545 or 37.4% which has a corresponding offset in revenues. The increase is due to an increase in the price of natural gas in the third quarter of 2021 as compared to the prior year.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increased by $2,401 or 9.3% primarily due to continued capital spend.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Taxes other than income taxes increased by $126 or 3.0% mainly due to higher property tax expense.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 net, increased by $9,073 or 97.2% for the quarter due to additional borrowings.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color w:val="auto"/>
        </w:rPr>
        <w:t>AFUDC increased by $215 or 46.5% due to the increase in the average balance of utility plant construction work in progress, to which AFUDC is applied.</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Other expense increased by $6,090 due to the non-service cost component of our net benefit cost for pension benefits.</w:t>
      </w:r>
    </w:p>
    <w:p>
      <w:pPr>
        <w:spacing w:after="0" w:line="218"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Net income for the Regulated Natural Gas segment decreased by $5,941or 26.6% during the third quarter of 2021 as compared to the same period in 2020 as a result of the factors described above.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Analysis of First Nine Months of 2021 Compared to First Nine Months of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Consolidated results</w:t>
      </w:r>
    </w:p>
    <w:p>
      <w:pPr>
        <w:spacing w:after="0" w:line="206" w:lineRule="exact"/>
        <w:rPr>
          <w:sz w:val="20"/>
          <w:szCs w:val="20"/>
          <w:color w:val="auto"/>
        </w:rPr>
      </w:pPr>
    </w:p>
    <w:p>
      <w:pPr>
        <w:ind w:right="280"/>
        <w:spacing w:after="0" w:line="224" w:lineRule="auto"/>
        <w:rPr>
          <w:sz w:val="20"/>
          <w:szCs w:val="20"/>
          <w:color w:val="auto"/>
        </w:rPr>
      </w:pPr>
      <w:r>
        <w:rPr>
          <w:rFonts w:ascii="Arial" w:cs="Arial" w:eastAsia="Arial" w:hAnsi="Arial"/>
          <w:sz w:val="22"/>
          <w:szCs w:val="22"/>
          <w:color w:val="auto"/>
        </w:rPr>
        <w:t>Operating revenues increased by $353,757 or 35.8% for the nine months ended September 30, 2021, as compared to the same period in 2020. Revenues from our regulated water segment increased by $30,381, regulated natural gas segment by $305,631 and other business segment by $17,745. Upon closing on the Peoples Gas Acquisition on March 16, 2020, the first quarter of 2020 only represented 16 days of Peoples Gas’ operating results, compared to the full period in the first quarter of 2021. Total operating revenues from Peoples Gas during for the first nine months of 2020 and 2021 were $280,300 and $602,989,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operations and maintenance expenses increased by $20,530 or 5.5%, primarily due to:</w:t>
      </w:r>
    </w:p>
    <w:p>
      <w:pPr>
        <w:spacing w:after="0" w:line="206" w:lineRule="exact"/>
        <w:rPr>
          <w:sz w:val="20"/>
          <w:szCs w:val="20"/>
          <w:color w:val="auto"/>
        </w:rPr>
      </w:pPr>
    </w:p>
    <w:p>
      <w:pPr>
        <w:ind w:left="660" w:right="240"/>
        <w:spacing w:after="0" w:line="226" w:lineRule="auto"/>
        <w:rPr>
          <w:sz w:val="20"/>
          <w:szCs w:val="20"/>
          <w:color w:val="auto"/>
        </w:rPr>
      </w:pPr>
      <w:r>
        <w:rPr>
          <w:rFonts w:ascii="Arial" w:cs="Arial" w:eastAsia="Arial" w:hAnsi="Arial"/>
          <w:sz w:val="22"/>
          <w:szCs w:val="22"/>
          <w:color w:val="auto"/>
        </w:rPr>
        <w:t>the timing of the People’s Natural Gas acquisition that resulted in an increase in operations and maintenance expense of $42,864 for the first quarter of 2021 as compared to the same period in 2020;</w:t>
      </w:r>
    </w:p>
    <w:p>
      <w:pPr>
        <w:spacing w:after="0" w:line="1" w:lineRule="exact"/>
        <w:rPr>
          <w:sz w:val="20"/>
          <w:szCs w:val="20"/>
          <w:color w:val="auto"/>
        </w:rPr>
      </w:pPr>
    </w:p>
    <w:p>
      <w:pPr>
        <w:ind w:left="660" w:right="2740"/>
        <w:spacing w:after="0" w:line="217" w:lineRule="auto"/>
        <w:rPr>
          <w:sz w:val="20"/>
          <w:szCs w:val="20"/>
          <w:color w:val="auto"/>
        </w:rPr>
      </w:pPr>
      <w:r>
        <w:rPr>
          <w:rFonts w:ascii="Arial" w:cs="Arial" w:eastAsia="Arial" w:hAnsi="Arial"/>
          <w:sz w:val="22"/>
          <w:szCs w:val="22"/>
          <w:color w:val="auto"/>
        </w:rPr>
        <w:t>costs related to the restoration and repair of facilities damaged by Hurricane Ida of $2,160; an increase in employee related costs of $5,475;</w:t>
      </w:r>
    </w:p>
    <w:p>
      <w:pPr>
        <w:spacing w:after="0" w:line="2" w:lineRule="exact"/>
        <w:rPr>
          <w:sz w:val="20"/>
          <w:szCs w:val="20"/>
          <w:color w:val="auto"/>
        </w:rPr>
      </w:pPr>
    </w:p>
    <w:p>
      <w:pPr>
        <w:ind w:left="660" w:right="280"/>
        <w:spacing w:after="0" w:line="217" w:lineRule="auto"/>
        <w:rPr>
          <w:sz w:val="20"/>
          <w:szCs w:val="20"/>
          <w:color w:val="auto"/>
        </w:rPr>
      </w:pPr>
      <w:r>
        <w:rPr>
          <w:rFonts w:ascii="Arial" w:cs="Arial" w:eastAsia="Arial" w:hAnsi="Arial"/>
          <w:sz w:val="22"/>
          <w:szCs w:val="22"/>
          <w:color w:val="auto"/>
        </w:rPr>
        <w:t>additional operating costs associated with acquired and pending acquisitions of water and wastewater utility systems of $2,951;</w:t>
      </w:r>
    </w:p>
    <w:p>
      <w:pPr>
        <w:ind w:left="660"/>
        <w:spacing w:after="0" w:line="219" w:lineRule="auto"/>
        <w:rPr>
          <w:sz w:val="20"/>
          <w:szCs w:val="20"/>
          <w:color w:val="auto"/>
        </w:rPr>
      </w:pPr>
      <w:r>
        <w:rPr>
          <w:rFonts w:ascii="Arial" w:cs="Arial" w:eastAsia="Arial" w:hAnsi="Arial"/>
          <w:sz w:val="22"/>
          <w:szCs w:val="22"/>
          <w:color w:val="auto"/>
        </w:rPr>
        <w:t>an increase in outside services and maintenance expenses of $2,672;</w:t>
      </w:r>
    </w:p>
    <w:p>
      <w:pPr>
        <w:ind w:left="660" w:right="3340"/>
        <w:spacing w:after="0" w:line="217" w:lineRule="auto"/>
        <w:rPr>
          <w:sz w:val="20"/>
          <w:szCs w:val="20"/>
          <w:color w:val="auto"/>
        </w:rPr>
      </w:pPr>
      <w:r>
        <w:rPr>
          <w:rFonts w:ascii="Arial" w:cs="Arial" w:eastAsia="Arial" w:hAnsi="Arial"/>
          <w:sz w:val="22"/>
          <w:szCs w:val="22"/>
          <w:color w:val="auto"/>
        </w:rPr>
        <w:t>an increase in insurance expense of $7,926 for increased insurance claims; offset by a decrease in contributions to charitable trust of $8,820;</w:t>
      </w:r>
    </w:p>
    <w:p>
      <w:pPr>
        <w:ind w:left="660"/>
        <w:spacing w:after="0" w:line="219" w:lineRule="auto"/>
        <w:rPr>
          <w:sz w:val="20"/>
          <w:szCs w:val="20"/>
          <w:color w:val="auto"/>
        </w:rPr>
      </w:pPr>
      <w:r>
        <w:rPr>
          <w:rFonts w:ascii="Arial" w:cs="Arial" w:eastAsia="Arial" w:hAnsi="Arial"/>
          <w:sz w:val="22"/>
          <w:szCs w:val="22"/>
          <w:color w:val="auto"/>
        </w:rPr>
        <w:t>a decrease in COVID-19 pandemic related costs of $14,199; and,</w:t>
      </w:r>
    </w:p>
    <w:p>
      <w:pPr>
        <w:ind w:left="660"/>
        <w:spacing w:after="0" w:line="226" w:lineRule="auto"/>
        <w:rPr>
          <w:sz w:val="20"/>
          <w:szCs w:val="20"/>
          <w:color w:val="auto"/>
        </w:rPr>
      </w:pPr>
      <w:r>
        <w:rPr>
          <w:rFonts w:ascii="Arial" w:cs="Arial" w:eastAsia="Arial" w:hAnsi="Arial"/>
          <w:sz w:val="22"/>
          <w:szCs w:val="22"/>
          <w:color w:val="auto"/>
        </w:rPr>
        <w:t>the prior year effect of transaction expenses of $25,397 in the first quarter of 2020 for the Peoples Gas Acquisition, primarily representing expenses associated with investment banking fees, employee related expenses, obtaining regulatory approvals, legal expenses, and integration planning.</w:t>
      </w:r>
    </w:p>
    <w:p>
      <w:pPr>
        <w:spacing w:after="0" w:line="185" w:lineRule="exact"/>
        <w:rPr>
          <w:sz w:val="20"/>
          <w:szCs w:val="20"/>
          <w:color w:val="auto"/>
        </w:rPr>
      </w:pPr>
    </w:p>
    <w:p>
      <w:pPr>
        <w:ind w:right="240"/>
        <w:spacing w:after="0" w:line="226" w:lineRule="auto"/>
        <w:rPr>
          <w:sz w:val="20"/>
          <w:szCs w:val="20"/>
          <w:color w:val="auto"/>
        </w:rPr>
      </w:pPr>
      <w:r>
        <w:rPr>
          <w:rFonts w:ascii="Arial" w:cs="Arial" w:eastAsia="Arial" w:hAnsi="Arial"/>
          <w:sz w:val="22"/>
          <w:szCs w:val="22"/>
          <w:color w:val="auto"/>
        </w:rPr>
        <w:t>Purchased gas increased by $129,604. Purchased gas represents the cost of gas sold by Peoples for regulated and non-regulated gas business. This expense increased by $114,255 and $15,349 for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regulated natural gas and non-regulated gas business, respectively, mainly due to the timing of the Peoples Gas acquisition.</w:t>
      </w:r>
    </w:p>
    <w:p>
      <w:pPr>
        <w:spacing w:after="0" w:line="241"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Depreciation expense increased by $35,341or 19.5%, primarily due to depreciation expense associated with our completion of the Peoples Gas Acquisition on March 16, 2020 and the utility plant placed in service, significant capital expenditures made to expand and improve our utility facilities, and our acquisitions of new utility systems.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Amortization slightly increased by $204 or 4.6% during the period as compared to the prior period.</w:t>
      </w:r>
    </w:p>
    <w:p>
      <w:pPr>
        <w:spacing w:after="0" w:line="179" w:lineRule="exact"/>
        <w:rPr>
          <w:sz w:val="20"/>
          <w:szCs w:val="20"/>
          <w:color w:val="auto"/>
        </w:rPr>
      </w:pPr>
    </w:p>
    <w:p>
      <w:pPr>
        <w:ind w:right="760"/>
        <w:spacing w:after="0" w:line="260" w:lineRule="auto"/>
        <w:rPr>
          <w:sz w:val="20"/>
          <w:szCs w:val="20"/>
          <w:color w:val="auto"/>
        </w:rPr>
      </w:pPr>
      <w:r>
        <w:rPr>
          <w:rFonts w:ascii="Arial" w:cs="Arial" w:eastAsia="Arial" w:hAnsi="Arial"/>
          <w:sz w:val="21"/>
          <w:szCs w:val="21"/>
          <w:color w:val="auto"/>
        </w:rPr>
        <w:t>Taxes other than income taxes increased by $6,795 or 12.0% principally due to an increase in payroll taxes of $2,796 and property taxes of $2,162 associated with acquired operations, primarily the Peoples Gas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 increased by $18,287 or 13.4% primarily due to the following items: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increase in average borrowings; and</w:t>
      </w:r>
    </w:p>
    <w:p>
      <w:pPr>
        <w:ind w:left="660" w:right="4860"/>
        <w:spacing w:after="0" w:line="230" w:lineRule="auto"/>
        <w:rPr>
          <w:sz w:val="20"/>
          <w:szCs w:val="20"/>
          <w:color w:val="auto"/>
        </w:rPr>
      </w:pPr>
      <w:r>
        <w:rPr>
          <w:rFonts w:ascii="Arial" w:cs="Arial" w:eastAsia="Arial" w:hAnsi="Arial"/>
          <w:sz w:val="22"/>
          <w:szCs w:val="22"/>
          <w:color w:val="auto"/>
        </w:rPr>
        <w:t>interest on debt assumed in the Peoples Gas Acquisition; offset by a decrease in our effective interest rate.</w:t>
      </w:r>
    </w:p>
    <w:p>
      <w:pPr>
        <w:spacing w:after="0" w:line="186" w:lineRule="exact"/>
        <w:rPr>
          <w:sz w:val="20"/>
          <w:szCs w:val="20"/>
          <w:color w:val="auto"/>
        </w:rPr>
      </w:pPr>
    </w:p>
    <w:p>
      <w:pPr>
        <w:ind w:right="420"/>
        <w:spacing w:after="0" w:line="239" w:lineRule="auto"/>
        <w:rPr>
          <w:sz w:val="20"/>
          <w:szCs w:val="20"/>
          <w:color w:val="auto"/>
        </w:rPr>
      </w:pPr>
      <w:r>
        <w:rPr>
          <w:rFonts w:ascii="Arial" w:cs="Arial" w:eastAsia="Arial" w:hAnsi="Arial"/>
          <w:sz w:val="22"/>
          <w:szCs w:val="22"/>
          <w:color w:val="auto"/>
        </w:rPr>
        <w:t>Interest income decreased by $4,056 or 75.9%, primarily due to the utilization of the proceeds held from our 2019 equity and debt offerings to close the Peoples Gas Acquisition on March 16, 2020.</w:t>
      </w:r>
    </w:p>
    <w:p>
      <w:pPr>
        <w:spacing w:after="0" w:line="185"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color w:val="auto"/>
        </w:rPr>
        <w:t>AFUDC increased by $5,201 or 59.6% due to the increase in the average balance of utility plant construction work in progress, to which AFUDC is applied.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Equity loss in joint venture was $3,283 in 2020, and our investment in the joint venture was sold in October 2020.</w:t>
      </w:r>
    </w:p>
    <w:p>
      <w:pPr>
        <w:spacing w:after="0" w:line="206"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 xml:space="preserve">Other expense increased by $1,777 or 56.1%. </w:t>
      </w:r>
      <w:r>
        <w:rPr>
          <w:rFonts w:ascii="Arial" w:cs="Arial" w:eastAsia="Arial" w:hAnsi="Arial"/>
          <w:sz w:val="19"/>
          <w:szCs w:val="19"/>
          <w:color w:val="auto"/>
        </w:rPr>
        <w:t>The net benefit in 2020 is primarily due to a recovery of a previously incurred cost that</w:t>
      </w:r>
      <w:r>
        <w:rPr>
          <w:rFonts w:ascii="Arial" w:cs="Arial" w:eastAsia="Arial" w:hAnsi="Arial"/>
          <w:sz w:val="22"/>
          <w:szCs w:val="22"/>
          <w:color w:val="auto"/>
        </w:rPr>
        <w:t xml:space="preserve"> </w:t>
      </w:r>
      <w:r>
        <w:rPr>
          <w:rFonts w:ascii="Arial" w:cs="Arial" w:eastAsia="Arial" w:hAnsi="Arial"/>
          <w:sz w:val="19"/>
          <w:szCs w:val="19"/>
          <w:color w:val="auto"/>
        </w:rPr>
        <w:t>resulted in the recognition of a regulatory asset based on the Company’s recovery in a rate case.</w:t>
      </w:r>
    </w:p>
    <w:p>
      <w:pPr>
        <w:spacing w:after="0" w:line="205" w:lineRule="exact"/>
        <w:rPr>
          <w:sz w:val="20"/>
          <w:szCs w:val="20"/>
          <w:color w:val="auto"/>
        </w:rPr>
      </w:pPr>
    </w:p>
    <w:p>
      <w:pPr>
        <w:ind w:right="60"/>
        <w:spacing w:after="0" w:line="239" w:lineRule="auto"/>
        <w:rPr>
          <w:sz w:val="20"/>
          <w:szCs w:val="20"/>
          <w:color w:val="auto"/>
        </w:rPr>
      </w:pPr>
      <w:r>
        <w:rPr>
          <w:rFonts w:ascii="Arial" w:cs="Arial" w:eastAsia="Arial" w:hAnsi="Arial"/>
          <w:sz w:val="21"/>
          <w:szCs w:val="21"/>
          <w:color w:val="auto"/>
        </w:rPr>
        <w:t>Our effective income tax rate was 3.2% for the nine months ended September 30, 2021 and (1.5%) for the same period in the prior year. The increase in the effective tax rate for the nine months ended September 30, 2021 over the first nine months of 2020 is due to an increase in income taxed at the statutory Federal and State tax rates partially offset by an increase in the income tax benefit associated with the tax deduction for qualifying infrastructure.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Net income increased by $132,964 or 73.0% primarily because of the factors described above.</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Regulated Water Segment</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Revenues from our Regulated Water segment for the first nine months of 2021 increased by $30,381 or by 4.3%, as a result of the following:</w:t>
      </w:r>
    </w:p>
    <w:p>
      <w:pPr>
        <w:spacing w:after="0" w:line="185" w:lineRule="exact"/>
        <w:rPr>
          <w:sz w:val="20"/>
          <w:szCs w:val="20"/>
          <w:color w:val="auto"/>
        </w:rPr>
      </w:pPr>
    </w:p>
    <w:p>
      <w:pPr>
        <w:ind w:left="660" w:right="520"/>
        <w:spacing w:after="0" w:line="226" w:lineRule="auto"/>
        <w:rPr>
          <w:sz w:val="20"/>
          <w:szCs w:val="20"/>
          <w:color w:val="auto"/>
        </w:rPr>
      </w:pPr>
      <w:r>
        <w:rPr>
          <w:rFonts w:ascii="Arial" w:cs="Arial" w:eastAsia="Arial" w:hAnsi="Arial"/>
          <w:sz w:val="22"/>
          <w:szCs w:val="22"/>
          <w:color w:val="auto"/>
        </w:rPr>
        <w:t>an increase in water and wastewater rates, including infrastructure rehabilitation surcharges, of $21,019 (net of $364 refund of the tax benefit associated with the Tax Cuts and Jobs Act);</w:t>
      </w:r>
    </w:p>
    <w:p>
      <w:pPr>
        <w:spacing w:after="0" w:line="1" w:lineRule="exact"/>
        <w:rPr>
          <w:sz w:val="20"/>
          <w:szCs w:val="20"/>
          <w:color w:val="auto"/>
        </w:rPr>
      </w:pPr>
    </w:p>
    <w:p>
      <w:pPr>
        <w:ind w:left="660" w:right="100"/>
        <w:spacing w:after="0" w:line="217" w:lineRule="auto"/>
        <w:rPr>
          <w:sz w:val="20"/>
          <w:szCs w:val="20"/>
          <w:color w:val="auto"/>
        </w:rPr>
      </w:pPr>
      <w:r>
        <w:rPr>
          <w:rFonts w:ascii="Arial" w:cs="Arial" w:eastAsia="Arial" w:hAnsi="Arial"/>
          <w:sz w:val="22"/>
          <w:szCs w:val="22"/>
          <w:color w:val="auto"/>
        </w:rPr>
        <w:t>additional water and wastewater revenues of $8,559 associated with a larger customer base due to utility acquisitions and organic growth;</w:t>
      </w:r>
    </w:p>
    <w:p>
      <w:pPr>
        <w:spacing w:after="0" w:line="2" w:lineRule="exact"/>
        <w:rPr>
          <w:sz w:val="20"/>
          <w:szCs w:val="20"/>
          <w:color w:val="auto"/>
        </w:rPr>
      </w:pPr>
    </w:p>
    <w:p>
      <w:pPr>
        <w:ind w:left="660" w:right="680"/>
        <w:spacing w:after="0" w:line="217" w:lineRule="auto"/>
        <w:rPr>
          <w:sz w:val="20"/>
          <w:szCs w:val="20"/>
          <w:color w:val="auto"/>
        </w:rPr>
      </w:pPr>
      <w:r>
        <w:rPr>
          <w:rFonts w:ascii="Arial" w:cs="Arial" w:eastAsia="Arial" w:hAnsi="Arial"/>
          <w:sz w:val="22"/>
          <w:szCs w:val="22"/>
          <w:color w:val="auto"/>
        </w:rPr>
        <w:t>prior year effect of customer rate credits of $4,080 granted to our water and wastewater customers served by Aqua Pennsylvania in the third quarter of 2020; and,</w:t>
      </w:r>
    </w:p>
    <w:p>
      <w:pPr>
        <w:spacing w:after="0" w:line="2" w:lineRule="exact"/>
        <w:rPr>
          <w:sz w:val="20"/>
          <w:szCs w:val="20"/>
          <w:color w:val="auto"/>
        </w:rPr>
      </w:pPr>
    </w:p>
    <w:p>
      <w:pPr>
        <w:jc w:val="both"/>
        <w:ind w:left="660" w:right="200"/>
        <w:spacing w:after="0" w:line="237" w:lineRule="auto"/>
        <w:rPr>
          <w:sz w:val="20"/>
          <w:szCs w:val="20"/>
          <w:color w:val="auto"/>
        </w:rPr>
      </w:pPr>
      <w:r>
        <w:rPr>
          <w:rFonts w:ascii="Arial" w:cs="Arial" w:eastAsia="Arial" w:hAnsi="Arial"/>
          <w:sz w:val="21"/>
          <w:szCs w:val="21"/>
          <w:color w:val="auto"/>
        </w:rPr>
        <w:t>offset by the decrease in customer water and wastewater volumes of $4,238 and by foregone water revenue of $842 as a result of an advisory for some of our water utility customers served by our Illinois subsidiary. We expect this impact on revenues resulting from the advisory to continue in the fourth quarter of 2021.</w:t>
      </w:r>
    </w:p>
    <w:p>
      <w:pPr>
        <w:spacing w:after="0" w:line="185"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color w:val="auto"/>
        </w:rPr>
        <w:t>Operations and maintenance expense was $243,071 (33.0% of revenues) compared to $229,652 (32.5% of revenues) in the prior period. The increase of $13,419 or 5.8% was principally due to the following: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costs related to the restoration and repair of facilities damaged by Hurricane Ida of $2,160;</w:t>
      </w:r>
    </w:p>
    <w:p>
      <w:pPr>
        <w:ind w:left="660" w:right="540"/>
        <w:spacing w:after="0" w:line="217" w:lineRule="auto"/>
        <w:rPr>
          <w:sz w:val="20"/>
          <w:szCs w:val="20"/>
          <w:color w:val="auto"/>
        </w:rPr>
      </w:pPr>
      <w:r>
        <w:rPr>
          <w:rFonts w:ascii="Arial" w:cs="Arial" w:eastAsia="Arial" w:hAnsi="Arial"/>
          <w:sz w:val="22"/>
          <w:szCs w:val="22"/>
          <w:color w:val="auto"/>
        </w:rPr>
        <w:t>additional operating costs resulting from acquired water and wastewater utility systems and higher customer base of $2,951;</w:t>
      </w:r>
    </w:p>
    <w:p>
      <w:pPr>
        <w:ind w:left="660"/>
        <w:spacing w:after="0" w:line="219" w:lineRule="auto"/>
        <w:rPr>
          <w:sz w:val="20"/>
          <w:szCs w:val="20"/>
          <w:color w:val="auto"/>
        </w:rPr>
      </w:pPr>
      <w:r>
        <w:rPr>
          <w:rFonts w:ascii="Arial" w:cs="Arial" w:eastAsia="Arial" w:hAnsi="Arial"/>
          <w:sz w:val="22"/>
          <w:szCs w:val="22"/>
          <w:color w:val="auto"/>
        </w:rPr>
        <w:t>increase in labor and benefits expense of $3,751;</w:t>
      </w:r>
    </w:p>
    <w:p>
      <w:pPr>
        <w:ind w:left="660"/>
        <w:spacing w:after="0" w:line="217" w:lineRule="auto"/>
        <w:rPr>
          <w:sz w:val="20"/>
          <w:szCs w:val="20"/>
          <w:color w:val="auto"/>
        </w:rPr>
      </w:pPr>
      <w:r>
        <w:rPr>
          <w:rFonts w:ascii="Arial" w:cs="Arial" w:eastAsia="Arial" w:hAnsi="Arial"/>
          <w:sz w:val="22"/>
          <w:szCs w:val="22"/>
          <w:color w:val="auto"/>
        </w:rPr>
        <w:t>increase in insurance expense of $4,811 due to higher claims;</w:t>
      </w:r>
    </w:p>
    <w:p>
      <w:pPr>
        <w:ind w:left="660"/>
        <w:spacing w:after="0" w:line="218" w:lineRule="auto"/>
        <w:rPr>
          <w:sz w:val="20"/>
          <w:szCs w:val="20"/>
          <w:color w:val="auto"/>
        </w:rPr>
      </w:pPr>
      <w:r>
        <w:rPr>
          <w:rFonts w:ascii="Arial" w:cs="Arial" w:eastAsia="Arial" w:hAnsi="Arial"/>
          <w:sz w:val="22"/>
          <w:szCs w:val="22"/>
          <w:color w:val="auto"/>
        </w:rPr>
        <w:t>increase in outside services of $908; and,</w:t>
      </w:r>
    </w:p>
    <w:p>
      <w:pPr>
        <w:spacing w:after="0" w:line="1" w:lineRule="exact"/>
        <w:rPr>
          <w:sz w:val="20"/>
          <w:szCs w:val="20"/>
          <w:color w:val="auto"/>
        </w:rPr>
      </w:pPr>
    </w:p>
    <w:p>
      <w:pPr>
        <w:ind w:left="660"/>
        <w:spacing w:after="0" w:line="234" w:lineRule="auto"/>
        <w:rPr>
          <w:sz w:val="20"/>
          <w:szCs w:val="20"/>
          <w:color w:val="auto"/>
        </w:rPr>
      </w:pPr>
      <w:r>
        <w:rPr>
          <w:rFonts w:ascii="Arial" w:cs="Arial" w:eastAsia="Arial" w:hAnsi="Arial"/>
          <w:sz w:val="21"/>
          <w:szCs w:val="21"/>
          <w:color w:val="auto"/>
        </w:rPr>
        <w:t>expenses of $1,471 associated with remediating an advisory for some of our water utility customers served by our Illinois subsidiary, plus the prior year effect of net insurance proceeds of $1,088 for expenses incurred related to such advisory. We expect the expenses associated with remediating the advisory to continue in the fourth quarter of 2021; offset by the decrease in COVID-19 pandemic related expenses of $7,304.</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increased by $8,975 or 7.1% primarily due to continued capital spend.</w:t>
      </w:r>
    </w:p>
    <w:p>
      <w:pPr>
        <w:spacing w:after="0" w:line="206" w:lineRule="exact"/>
        <w:rPr>
          <w:sz w:val="20"/>
          <w:szCs w:val="20"/>
          <w:color w:val="auto"/>
        </w:rPr>
      </w:pPr>
    </w:p>
    <w:p>
      <w:pPr>
        <w:ind w:right="360"/>
        <w:spacing w:after="0" w:line="239" w:lineRule="auto"/>
        <w:rPr>
          <w:sz w:val="20"/>
          <w:szCs w:val="20"/>
          <w:color w:val="auto"/>
        </w:rPr>
      </w:pPr>
      <w:r>
        <w:rPr>
          <w:rFonts w:ascii="Arial" w:cs="Arial" w:eastAsia="Arial" w:hAnsi="Arial"/>
          <w:sz w:val="22"/>
          <w:szCs w:val="22"/>
          <w:color w:val="auto"/>
        </w:rPr>
        <w:t>Taxes other than income taxes increased by $2,464 or 5.4% largely due to higher public utility realty taxes of $933 in 2021 as compared with 2020.</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Interest expense, net, increased by $2,471 or 3.1% for the quarter primarily due to the increase in average borrowings.</w:t>
      </w:r>
    </w:p>
    <w:p>
      <w:pPr>
        <w:spacing w:after="0" w:line="218"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AFUDC increased by $5,186 or 65.6% due to the increase in the average balance of utility plant construction work in progress, to which AFUDC is applied.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jc w:val="both"/>
        <w:ind w:right="360"/>
        <w:spacing w:after="0" w:line="231" w:lineRule="auto"/>
        <w:rPr>
          <w:sz w:val="20"/>
          <w:szCs w:val="20"/>
          <w:color w:val="auto"/>
        </w:rPr>
      </w:pPr>
      <w:r>
        <w:rPr>
          <w:rFonts w:ascii="Arial" w:cs="Arial" w:eastAsia="Arial" w:hAnsi="Arial"/>
          <w:sz w:val="22"/>
          <w:szCs w:val="22"/>
          <w:color w:val="auto"/>
        </w:rPr>
        <w:t>Other expense decreased by $5,742, resulting in a net benefit of $5,265, primarily due to the decrease in the non-service cost component of our net benefit cost for pension benefits. This is driven by improved investment returns as a result of favorable market experience from the prior period.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Regulated Natural Gas Segment</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operating results of Peoples is reported for the period after acquisition, such that the first quarter of 2020 only represented 16 days of operating results, compared to the full period in the first quarter of 2021. The variance of the operating results in the Regulated Natural Gas segment for the nine months period ending September 30, 2021 is comprised of the first quarter difference which is largely attributable to the timing of the acquisition closing on March 16, 2020 plus the changes during the second quarter of 2021. Refer above for the analysis of the changes in the Regulated Natural Gas segment for the third quarter of 2021 compared to the third quarter of 2020. The variance of the operating results in the first quarter of 2021 as compared to 2020 in the regulated natural gas segment for the timing of the acquisition closing, resulted in an increase in the following income statement amounts: $304,571 of operating revenues, $42,503 of operations and maintenance expense, $110,118 of purchased gas expense, $23,021 of depreciation and amortization, $125,149 of operating income, and $105,853 of net income.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Impact of Recent Accounting Pronouncements</w:t>
      </w:r>
    </w:p>
    <w:p>
      <w:pPr>
        <w:spacing w:after="0" w:line="206" w:lineRule="exact"/>
        <w:rPr>
          <w:sz w:val="20"/>
          <w:szCs w:val="20"/>
          <w:color w:val="auto"/>
        </w:rPr>
      </w:pPr>
    </w:p>
    <w:p>
      <w:pPr>
        <w:ind w:right="1100"/>
        <w:spacing w:after="0" w:line="239" w:lineRule="auto"/>
        <w:rPr>
          <w:sz w:val="20"/>
          <w:szCs w:val="20"/>
          <w:color w:val="auto"/>
        </w:rPr>
      </w:pPr>
      <w:r>
        <w:rPr>
          <w:rFonts w:ascii="Arial" w:cs="Arial" w:eastAsia="Arial" w:hAnsi="Arial"/>
          <w:sz w:val="22"/>
          <w:szCs w:val="22"/>
          <w:color w:val="auto"/>
        </w:rPr>
        <w:t xml:space="preserve">We describe the impact of recent accounting pronouncements in Note 16, </w:t>
      </w:r>
      <w:r>
        <w:rPr>
          <w:rFonts w:ascii="Arial" w:cs="Arial" w:eastAsia="Arial" w:hAnsi="Arial"/>
          <w:sz w:val="22"/>
          <w:szCs w:val="22"/>
          <w:i w:val="1"/>
          <w:iCs w:val="1"/>
          <w:color w:val="auto"/>
        </w:rPr>
        <w:t>Recent Accounting Pronouncements</w:t>
      </w:r>
      <w:r>
        <w:rPr>
          <w:rFonts w:ascii="Arial" w:cs="Arial" w:eastAsia="Arial" w:hAnsi="Arial"/>
          <w:sz w:val="22"/>
          <w:szCs w:val="22"/>
          <w:color w:val="auto"/>
        </w:rPr>
        <w:t>, to the consolidated financial statements in this report.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Item 3 – Quantitative and Qualitative Disclosures About Market Risk</w:t>
      </w:r>
    </w:p>
    <w:p>
      <w:pPr>
        <w:spacing w:after="0" w:line="206" w:lineRule="exact"/>
        <w:rPr>
          <w:sz w:val="20"/>
          <w:szCs w:val="20"/>
          <w:color w:val="auto"/>
        </w:rPr>
      </w:pPr>
    </w:p>
    <w:p>
      <w:pPr>
        <w:ind w:right="300"/>
        <w:spacing w:after="0" w:line="231" w:lineRule="auto"/>
        <w:rPr>
          <w:sz w:val="20"/>
          <w:szCs w:val="20"/>
          <w:color w:val="auto"/>
        </w:rPr>
      </w:pPr>
      <w:r>
        <w:rPr>
          <w:rFonts w:ascii="Arial" w:cs="Arial" w:eastAsia="Arial" w:hAnsi="Arial"/>
          <w:sz w:val="22"/>
          <w:szCs w:val="22"/>
          <w:color w:val="auto"/>
        </w:rPr>
        <w:t>We are subject to market risks in the normal course of business, including changes in interest rates and equity prices. Refer to Item 7A of the Company’s Annual Report on Form 10-K for the year ended December 31, 2020, filed March 1, 2021, for additional information on market risks.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4 – Controls and Procedures</w:t>
      </w:r>
    </w:p>
    <w:p>
      <w:pPr>
        <w:spacing w:after="0" w:line="20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 xml:space="preserve">On March 16, 2020, we completed the Peoples Gas Acquisition. For additional information refer to Note 3 – </w:t>
      </w:r>
      <w:r>
        <w:rPr>
          <w:rFonts w:ascii="Arial" w:cs="Arial" w:eastAsia="Arial" w:hAnsi="Arial"/>
          <w:sz w:val="19"/>
          <w:szCs w:val="19"/>
          <w:i w:val="1"/>
          <w:iCs w:val="1"/>
          <w:color w:val="auto"/>
        </w:rPr>
        <w:t>Acquisitions</w:t>
      </w:r>
      <w:r>
        <w:rPr>
          <w:rFonts w:ascii="Arial" w:cs="Arial" w:eastAsia="Arial" w:hAnsi="Arial"/>
          <w:sz w:val="19"/>
          <w:szCs w:val="19"/>
          <w:color w:val="auto"/>
        </w:rPr>
        <w:t xml:space="preserve"> to the consolidated financial statements included in this report. We consider this acquisition material to our business, financial condition, and results of operations, and believe the changes in our internal controls and procedures as a result of the Peoples Gas Acquisition have a material effect on our internal control over financial reporting. During the time since acquisition, we have assessed the control environment and made certain changes in our internal control over financial reporting, including design changes, and we have performed testing of operating effectiveness over many of Peoples’ internal controls. We now consider the Peoples’ business to be included in the scope of our assessment over internal controls.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 – Legal Proceedings</w:t>
      </w:r>
    </w:p>
    <w:p>
      <w:pPr>
        <w:spacing w:after="0" w:line="206" w:lineRule="exact"/>
        <w:rPr>
          <w:sz w:val="20"/>
          <w:szCs w:val="20"/>
          <w:color w:val="auto"/>
        </w:rPr>
      </w:pPr>
    </w:p>
    <w:p>
      <w:pPr>
        <w:ind w:right="160"/>
        <w:spacing w:after="0" w:line="228" w:lineRule="auto"/>
        <w:rPr>
          <w:sz w:val="20"/>
          <w:szCs w:val="20"/>
          <w:color w:val="auto"/>
        </w:rPr>
      </w:pPr>
      <w:r>
        <w:rPr>
          <w:rFonts w:ascii="Arial" w:cs="Arial" w:eastAsia="Arial" w:hAnsi="Arial"/>
          <w:sz w:val="22"/>
          <w:szCs w:val="22"/>
          <w:color w:val="auto"/>
        </w:rPr>
        <w:t>We are party to various legal proceedings in the ordinary course of business. Although the results of these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Item 1A – Risk Factors</w:t>
      </w:r>
    </w:p>
    <w:p>
      <w:pPr>
        <w:spacing w:after="0" w:line="206" w:lineRule="exact"/>
        <w:rPr>
          <w:sz w:val="20"/>
          <w:szCs w:val="20"/>
          <w:color w:val="auto"/>
        </w:rPr>
      </w:pPr>
    </w:p>
    <w:p>
      <w:pPr>
        <w:ind w:right="40"/>
        <w:spacing w:after="0" w:line="239" w:lineRule="auto"/>
        <w:rPr>
          <w:sz w:val="20"/>
          <w:szCs w:val="20"/>
          <w:color w:val="auto"/>
        </w:rPr>
      </w:pPr>
      <w:r>
        <w:rPr>
          <w:rFonts w:ascii="Arial" w:cs="Arial" w:eastAsia="Arial" w:hAnsi="Arial"/>
          <w:sz w:val="22"/>
          <w:szCs w:val="22"/>
          <w:color w:val="auto"/>
        </w:rPr>
        <w:t>Please review the risks disclosed in our Annual Report on Form 10-K for the year ended December 31, 2020, under “Part 1, Item 1A – Risk Factors.”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2" w:name="page53"/>
    <w:bookmarkEnd w:id="5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Item 2 – Unregistered Sales of Equity Securities and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Company’s purchases of its common stock for the quarter ended September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200" w:type="dxa"/>
            <w:vAlign w:val="bottom"/>
            <w:gridSpan w:val="6"/>
          </w:tcPr>
          <w:p>
            <w:pPr>
              <w:ind w:left="20"/>
              <w:spacing w:after="0"/>
              <w:rPr>
                <w:sz w:val="20"/>
                <w:szCs w:val="20"/>
                <w:color w:val="auto"/>
              </w:rPr>
            </w:pPr>
            <w:r>
              <w:rPr>
                <w:rFonts w:ascii="Arial" w:cs="Arial" w:eastAsia="Arial" w:hAnsi="Arial"/>
                <w:sz w:val="22"/>
                <w:szCs w:val="22"/>
                <w:color w:val="auto"/>
              </w:rPr>
              <w:t>Issuer Purchases of Equity Securities</w:t>
            </w:r>
          </w:p>
        </w:tc>
        <w:tc>
          <w:tcPr>
            <w:tcW w:w="1840" w:type="dxa"/>
            <w:vAlign w:val="bottom"/>
            <w:gridSpan w:val="2"/>
            <w:vMerge w:val="restart"/>
          </w:tcPr>
          <w:p>
            <w:pPr>
              <w:jc w:val="right"/>
              <w:ind w:right="260"/>
              <w:spacing w:after="0"/>
              <w:rPr>
                <w:sz w:val="20"/>
                <w:szCs w:val="20"/>
                <w:color w:val="auto"/>
              </w:rPr>
            </w:pPr>
            <w:r>
              <w:rPr>
                <w:rFonts w:ascii="Arial" w:cs="Arial" w:eastAsia="Arial" w:hAnsi="Arial"/>
                <w:sz w:val="22"/>
                <w:szCs w:val="22"/>
                <w:color w:val="auto"/>
              </w:rPr>
              <w:t>Total</w:t>
            </w:r>
          </w:p>
        </w:tc>
        <w:tc>
          <w:tcPr>
            <w:tcW w:w="1800" w:type="dxa"/>
            <w:vAlign w:val="bottom"/>
            <w:vMerge w:val="restart"/>
          </w:tcPr>
          <w:p>
            <w:pPr>
              <w:jc w:val="right"/>
              <w:spacing w:after="0"/>
              <w:rPr>
                <w:sz w:val="20"/>
                <w:szCs w:val="20"/>
                <w:color w:val="auto"/>
              </w:rPr>
            </w:pPr>
            <w:r>
              <w:rPr>
                <w:rFonts w:ascii="Arial" w:cs="Arial" w:eastAsia="Arial" w:hAnsi="Arial"/>
                <w:sz w:val="22"/>
                <w:szCs w:val="22"/>
                <w:color w:val="auto"/>
              </w:rPr>
              <w:t>Maximum</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 of</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Number of</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Shares</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Shares</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Purchased</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that May</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as Part of</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Yet be</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Total</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Publicly</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Purchased</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w w:val="85"/>
              </w:rPr>
              <w:t>Average</w:t>
            </w: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Announced</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Under the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of Shares</w:t>
            </w: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9" w:lineRule="exact"/>
              <w:rPr>
                <w:sz w:val="20"/>
                <w:szCs w:val="20"/>
                <w:color w:val="auto"/>
              </w:rPr>
            </w:pPr>
            <w:r>
              <w:rPr>
                <w:rFonts w:ascii="Arial" w:cs="Arial" w:eastAsia="Arial" w:hAnsi="Arial"/>
                <w:sz w:val="22"/>
                <w:szCs w:val="22"/>
                <w:color w:val="auto"/>
              </w:rPr>
              <w:t>Price Paid</w:t>
            </w: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Plans or</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Plan or</w:t>
            </w:r>
          </w:p>
        </w:tc>
        <w:tc>
          <w:tcPr>
            <w:tcW w:w="0" w:type="dxa"/>
            <w:vAlign w:val="bottom"/>
          </w:tcPr>
          <w:p>
            <w:pPr>
              <w:spacing w:after="0"/>
              <w:rPr>
                <w:sz w:val="1"/>
                <w:szCs w:val="1"/>
                <w:color w:val="auto"/>
              </w:rPr>
            </w:pPr>
          </w:p>
        </w:tc>
      </w:tr>
      <w:tr>
        <w:trPr>
          <w:trHeight w:val="224"/>
        </w:trPr>
        <w:tc>
          <w:tcPr>
            <w:tcW w:w="3400" w:type="dxa"/>
            <w:vAlign w:val="bottom"/>
            <w:gridSpan w:val="2"/>
          </w:tcPr>
          <w:p>
            <w:pPr>
              <w:spacing w:after="0" w:line="224" w:lineRule="exact"/>
              <w:rPr>
                <w:sz w:val="20"/>
                <w:szCs w:val="20"/>
                <w:color w:val="auto"/>
              </w:rPr>
            </w:pPr>
            <w:r>
              <w:rPr>
                <w:rFonts w:ascii="Arial" w:cs="Arial" w:eastAsia="Arial" w:hAnsi="Arial"/>
                <w:sz w:val="22"/>
                <w:szCs w:val="22"/>
                <w:color w:val="auto"/>
              </w:rPr>
              <w:t>Period</w:t>
            </w:r>
          </w:p>
        </w:tc>
        <w:tc>
          <w:tcPr>
            <w:tcW w:w="222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Purchased (1)</w:t>
            </w: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4" w:lineRule="exact"/>
              <w:rPr>
                <w:sz w:val="20"/>
                <w:szCs w:val="20"/>
                <w:color w:val="auto"/>
              </w:rPr>
            </w:pPr>
            <w:r>
              <w:rPr>
                <w:rFonts w:ascii="Arial" w:cs="Arial" w:eastAsia="Arial" w:hAnsi="Arial"/>
                <w:sz w:val="22"/>
                <w:szCs w:val="22"/>
                <w:color w:val="auto"/>
              </w:rPr>
              <w:t>per Share</w:t>
            </w:r>
          </w:p>
        </w:tc>
        <w:tc>
          <w:tcPr>
            <w:tcW w:w="184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Programs</w:t>
            </w:r>
          </w:p>
        </w:tc>
        <w:tc>
          <w:tcPr>
            <w:tcW w:w="1800" w:type="dxa"/>
            <w:vAlign w:val="bottom"/>
          </w:tcPr>
          <w:p>
            <w:pPr>
              <w:jc w:val="right"/>
              <w:spacing w:after="0" w:line="224" w:lineRule="exact"/>
              <w:rPr>
                <w:sz w:val="20"/>
                <w:szCs w:val="20"/>
                <w:color w:val="auto"/>
              </w:rPr>
            </w:pPr>
            <w:r>
              <w:rPr>
                <w:rFonts w:ascii="Arial" w:cs="Arial" w:eastAsia="Arial" w:hAnsi="Arial"/>
                <w:sz w:val="22"/>
                <w:szCs w:val="22"/>
                <w:color w:val="auto"/>
              </w:rPr>
              <w:t>Programs</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shd w:val="clear" w:color="auto" w:fill="CCEEFF"/>
          </w:tcPr>
          <w:p>
            <w:pPr>
              <w:spacing w:after="0" w:line="210" w:lineRule="exact"/>
              <w:rPr>
                <w:sz w:val="20"/>
                <w:szCs w:val="20"/>
                <w:color w:val="auto"/>
              </w:rPr>
            </w:pPr>
            <w:r>
              <w:rPr>
                <w:rFonts w:ascii="Arial" w:cs="Arial" w:eastAsia="Arial" w:hAnsi="Arial"/>
                <w:sz w:val="22"/>
                <w:szCs w:val="22"/>
                <w:color w:val="auto"/>
              </w:rPr>
              <w:t>July 1-31, 2021</w:t>
            </w:r>
          </w:p>
        </w:tc>
        <w:tc>
          <w:tcPr>
            <w:tcW w:w="196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136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52"/>
              <w:spacing w:after="0" w:line="210" w:lineRule="exact"/>
              <w:rPr>
                <w:sz w:val="20"/>
                <w:szCs w:val="20"/>
                <w:color w:val="auto"/>
              </w:rPr>
            </w:pPr>
            <w:r>
              <w:rPr>
                <w:rFonts w:ascii="Arial" w:cs="Arial" w:eastAsia="Arial" w:hAnsi="Arial"/>
                <w:sz w:val="22"/>
                <w:szCs w:val="22"/>
                <w:color w:val="auto"/>
                <w:w w:val="81"/>
              </w:rPr>
              <w:t>$</w:t>
            </w:r>
          </w:p>
        </w:tc>
        <w:tc>
          <w:tcPr>
            <w:tcW w:w="1240" w:type="dxa"/>
            <w:vAlign w:val="bottom"/>
            <w:gridSpan w:val="2"/>
            <w:shd w:val="clear" w:color="auto" w:fill="CCEEFF"/>
          </w:tcPr>
          <w:p>
            <w:pPr>
              <w:jc w:val="right"/>
              <w:spacing w:after="0" w:line="210" w:lineRule="exact"/>
              <w:rPr>
                <w:sz w:val="20"/>
                <w:szCs w:val="20"/>
                <w:color w:val="auto"/>
              </w:rPr>
            </w:pPr>
            <w:r>
              <w:rPr>
                <w:rFonts w:ascii="Arial" w:cs="Arial" w:eastAsia="Arial" w:hAnsi="Arial"/>
                <w:sz w:val="22"/>
                <w:szCs w:val="22"/>
                <w:color w:val="auto"/>
              </w:rPr>
              <w:t>46.50</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9"/>
        </w:trPr>
        <w:tc>
          <w:tcPr>
            <w:tcW w:w="3400" w:type="dxa"/>
            <w:vAlign w:val="bottom"/>
            <w:gridSpan w:val="2"/>
          </w:tcPr>
          <w:p>
            <w:pPr>
              <w:spacing w:after="0" w:line="229" w:lineRule="exact"/>
              <w:rPr>
                <w:sz w:val="20"/>
                <w:szCs w:val="20"/>
                <w:color w:val="auto"/>
              </w:rPr>
            </w:pPr>
            <w:r>
              <w:rPr>
                <w:rFonts w:ascii="Arial" w:cs="Arial" w:eastAsia="Arial" w:hAnsi="Arial"/>
                <w:sz w:val="22"/>
                <w:szCs w:val="22"/>
                <w:color w:val="auto"/>
              </w:rPr>
              <w:t>August 1-31, 2021</w:t>
            </w:r>
          </w:p>
        </w:tc>
        <w:tc>
          <w:tcPr>
            <w:tcW w:w="1960" w:type="dxa"/>
            <w:vAlign w:val="bottom"/>
          </w:tcPr>
          <w:p>
            <w:pPr>
              <w:jc w:val="right"/>
              <w:spacing w:after="0" w:line="229" w:lineRule="exact"/>
              <w:rPr>
                <w:sz w:val="20"/>
                <w:szCs w:val="20"/>
                <w:color w:val="auto"/>
              </w:rPr>
            </w:pPr>
            <w:r>
              <w:rPr>
                <w:rFonts w:ascii="Arial" w:cs="Arial" w:eastAsia="Arial" w:hAnsi="Arial"/>
                <w:sz w:val="22"/>
                <w:szCs w:val="22"/>
                <w:color w:val="auto"/>
              </w:rPr>
              <w:t>40</w:t>
            </w:r>
          </w:p>
        </w:tc>
        <w:tc>
          <w:tcPr>
            <w:tcW w:w="260" w:type="dxa"/>
            <w:vAlign w:val="bottom"/>
          </w:tcPr>
          <w:p>
            <w:pPr>
              <w:spacing w:after="0"/>
              <w:rPr>
                <w:sz w:val="19"/>
                <w:szCs w:val="19"/>
                <w:color w:val="auto"/>
              </w:rPr>
            </w:pPr>
          </w:p>
        </w:tc>
        <w:tc>
          <w:tcPr>
            <w:tcW w:w="480" w:type="dxa"/>
            <w:vAlign w:val="bottom"/>
          </w:tcPr>
          <w:p>
            <w:pPr>
              <w:jc w:val="right"/>
              <w:ind w:right="252"/>
              <w:spacing w:after="0" w:line="229" w:lineRule="exact"/>
              <w:rPr>
                <w:sz w:val="20"/>
                <w:szCs w:val="20"/>
                <w:color w:val="auto"/>
              </w:rPr>
            </w:pPr>
            <w:r>
              <w:rPr>
                <w:rFonts w:ascii="Arial" w:cs="Arial" w:eastAsia="Arial" w:hAnsi="Arial"/>
                <w:sz w:val="22"/>
                <w:szCs w:val="22"/>
                <w:color w:val="auto"/>
                <w:w w:val="81"/>
              </w:rPr>
              <w:t>$</w:t>
            </w:r>
          </w:p>
        </w:tc>
        <w:tc>
          <w:tcPr>
            <w:tcW w:w="124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47.48</w:t>
            </w:r>
          </w:p>
        </w:tc>
        <w:tc>
          <w:tcPr>
            <w:tcW w:w="260" w:type="dxa"/>
            <w:vAlign w:val="bottom"/>
          </w:tcPr>
          <w:p>
            <w:pPr>
              <w:spacing w:after="0"/>
              <w:rPr>
                <w:sz w:val="19"/>
                <w:szCs w:val="19"/>
                <w:color w:val="auto"/>
              </w:rPr>
            </w:pPr>
          </w:p>
        </w:tc>
        <w:tc>
          <w:tcPr>
            <w:tcW w:w="15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spacing w:after="0" w:line="229" w:lineRule="exact"/>
              <w:rPr>
                <w:sz w:val="20"/>
                <w:szCs w:val="20"/>
                <w:color w:val="auto"/>
              </w:rPr>
            </w:pPr>
            <w:r>
              <w:rPr>
                <w:rFonts w:ascii="Arial" w:cs="Arial" w:eastAsia="Arial" w:hAnsi="Arial"/>
                <w:sz w:val="22"/>
                <w:szCs w:val="22"/>
                <w:color w:val="auto"/>
              </w:rPr>
              <w:t>September 1-30, 2021</w:t>
            </w:r>
          </w:p>
        </w:tc>
        <w:tc>
          <w:tcPr>
            <w:tcW w:w="19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52"/>
              <w:spacing w:after="0" w:line="229" w:lineRule="exact"/>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line="223" w:lineRule="exact"/>
              <w:rPr>
                <w:sz w:val="20"/>
                <w:szCs w:val="20"/>
                <w:color w:val="auto"/>
              </w:rPr>
            </w:pPr>
            <w:r>
              <w:rPr>
                <w:rFonts w:ascii="Arial" w:cs="Arial" w:eastAsia="Arial" w:hAnsi="Arial"/>
                <w:sz w:val="22"/>
                <w:szCs w:val="22"/>
                <w:color w:val="auto"/>
              </w:rPr>
              <w:t>Total</w:t>
            </w:r>
          </w:p>
        </w:tc>
        <w:tc>
          <w:tcPr>
            <w:tcW w:w="19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176</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52"/>
              <w:spacing w:after="0" w:line="223" w:lineRule="exact"/>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2"/>
                <w:szCs w:val="22"/>
                <w:color w:val="auto"/>
              </w:rPr>
              <w:t>46.72</w:t>
            </w:r>
          </w:p>
        </w:tc>
        <w:tc>
          <w:tcPr>
            <w:tcW w:w="260" w:type="dxa"/>
            <w:vAlign w:val="bottom"/>
          </w:tcPr>
          <w:p>
            <w:pPr>
              <w:spacing w:after="0"/>
              <w:rPr>
                <w:sz w:val="19"/>
                <w:szCs w:val="19"/>
                <w:color w:val="auto"/>
              </w:rPr>
            </w:pPr>
          </w:p>
        </w:tc>
        <w:tc>
          <w:tcPr>
            <w:tcW w:w="15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18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right="20" w:hanging="328"/>
        <w:spacing w:after="0" w:line="272"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These amounts consist of 176 shares we acquired from employees associated with the withholding of shares to pay certain withholding taxes upon the vesting of stock-based compensation. This feature of our equity compensation plan is available to all employees who receive stock-based compensation under the plan. We purchased these shares at their fair market value, as determined by reference to the closing price of our common stock on the day prior to the award vesting.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53"/>
        </w:trPr>
        <w:tc>
          <w:tcPr>
            <w:tcW w:w="2160" w:type="dxa"/>
            <w:vAlign w:val="bottom"/>
            <w:gridSpan w:val="3"/>
          </w:tcPr>
          <w:p>
            <w:pPr>
              <w:spacing w:after="0"/>
              <w:rPr>
                <w:rFonts w:ascii="Arial" w:cs="Arial" w:eastAsia="Arial" w:hAnsi="Arial"/>
                <w:sz w:val="22"/>
                <w:szCs w:val="22"/>
                <w:color w:val="0563C1"/>
              </w:rPr>
            </w:pPr>
            <w:hyperlink w:anchor="page2">
              <w:r>
                <w:rPr>
                  <w:rFonts w:ascii="Arial" w:cs="Arial" w:eastAsia="Arial" w:hAnsi="Arial"/>
                  <w:sz w:val="22"/>
                  <w:szCs w:val="22"/>
                  <w:color w:val="0563C1"/>
                </w:rPr>
                <w:t>Table of Contents</w:t>
              </w:r>
            </w:hyperlink>
          </w:p>
        </w:tc>
        <w:tc>
          <w:tcPr>
            <w:tcW w:w="194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773"/>
        </w:trPr>
        <w:tc>
          <w:tcPr>
            <w:tcW w:w="1540" w:type="dxa"/>
            <w:vAlign w:val="bottom"/>
            <w:tcBorders>
              <w:top w:val="single" w:sz="8" w:color="0563C1"/>
            </w:tcBorders>
          </w:tcPr>
          <w:p>
            <w:pPr>
              <w:spacing w:after="0"/>
              <w:rPr>
                <w:sz w:val="20"/>
                <w:szCs w:val="20"/>
                <w:color w:val="auto"/>
              </w:rPr>
            </w:pPr>
            <w:r>
              <w:rPr>
                <w:rFonts w:ascii="Arial" w:cs="Arial" w:eastAsia="Arial" w:hAnsi="Arial"/>
                <w:sz w:val="22"/>
                <w:szCs w:val="22"/>
                <w:color w:val="auto"/>
                <w:w w:val="93"/>
              </w:rPr>
              <w:t>Item 6 – Exhibits</w:t>
            </w:r>
          </w:p>
        </w:tc>
        <w:tc>
          <w:tcPr>
            <w:tcW w:w="62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03"/>
        </w:trPr>
        <w:tc>
          <w:tcPr>
            <w:tcW w:w="2160" w:type="dxa"/>
            <w:vAlign w:val="bottom"/>
            <w:gridSpan w:val="3"/>
          </w:tcPr>
          <w:p>
            <w:pPr>
              <w:ind w:left="20"/>
              <w:spacing w:after="0"/>
              <w:rPr>
                <w:sz w:val="20"/>
                <w:szCs w:val="20"/>
                <w:color w:val="auto"/>
              </w:rPr>
            </w:pPr>
            <w:r>
              <w:rPr>
                <w:rFonts w:ascii="Arial" w:cs="Arial" w:eastAsia="Arial" w:hAnsi="Arial"/>
                <w:sz w:val="22"/>
                <w:szCs w:val="22"/>
                <w:b w:val="1"/>
                <w:bCs w:val="1"/>
                <w:color w:val="auto"/>
              </w:rPr>
              <w:t>Exhibit No.</w:t>
            </w:r>
          </w:p>
        </w:tc>
        <w:tc>
          <w:tcPr>
            <w:tcW w:w="9080" w:type="dxa"/>
            <w:vAlign w:val="bottom"/>
            <w:gridSpan w:val="6"/>
          </w:tcPr>
          <w:p>
            <w:pPr>
              <w:ind w:left="60"/>
              <w:spacing w:after="0"/>
              <w:rPr>
                <w:sz w:val="20"/>
                <w:szCs w:val="20"/>
                <w:color w:val="auto"/>
              </w:rPr>
            </w:pPr>
            <w:r>
              <w:rPr>
                <w:rFonts w:ascii="Arial" w:cs="Arial" w:eastAsia="Arial" w:hAnsi="Arial"/>
                <w:sz w:val="22"/>
                <w:szCs w:val="22"/>
                <w:b w:val="1"/>
                <w:bCs w:val="1"/>
                <w:color w:val="auto"/>
              </w:rPr>
              <w:t>Description</w:t>
            </w:r>
          </w:p>
        </w:tc>
      </w:tr>
      <w:tr>
        <w:trPr>
          <w:trHeight w:val="196"/>
        </w:trPr>
        <w:tc>
          <w:tcPr>
            <w:tcW w:w="154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22"/>
                <w:szCs w:val="22"/>
                <w:color w:val="auto"/>
              </w:rPr>
              <w:t>31.1*</w:t>
            </w: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080" w:type="dxa"/>
            <w:vAlign w:val="bottom"/>
            <w:tcBorders>
              <w:top w:val="single" w:sz="8" w:color="auto"/>
            </w:tcBorders>
            <w:gridSpan w:val="6"/>
            <w:shd w:val="clear" w:color="auto" w:fill="CCEEFF"/>
          </w:tcPr>
          <w:p>
            <w:pPr>
              <w:spacing w:after="0" w:line="195" w:lineRule="exact"/>
              <w:rPr>
                <w:rFonts w:ascii="Arial" w:cs="Arial" w:eastAsia="Arial" w:hAnsi="Arial"/>
                <w:sz w:val="22"/>
                <w:szCs w:val="22"/>
                <w:color w:val="0563C1"/>
                <w:w w:val="96"/>
              </w:rPr>
            </w:pPr>
            <w:hyperlink w:anchor="page57">
              <w:r>
                <w:rPr>
                  <w:rFonts w:ascii="Arial" w:cs="Arial" w:eastAsia="Arial" w:hAnsi="Arial"/>
                  <w:sz w:val="22"/>
                  <w:szCs w:val="22"/>
                  <w:color w:val="0563C1"/>
                  <w:w w:val="96"/>
                </w:rPr>
                <w:t>Certification of Chief Executive Officer, filed pursuant to Rule 13a-14(a) under the Securities and</w:t>
              </w:r>
            </w:hyperlink>
          </w:p>
        </w:tc>
      </w:tr>
      <w:tr>
        <w:trPr>
          <w:trHeight w:val="217"/>
        </w:trPr>
        <w:tc>
          <w:tcPr>
            <w:tcW w:w="1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520" w:type="dxa"/>
            <w:vAlign w:val="bottom"/>
            <w:tcBorders>
              <w:top w:val="single" w:sz="8" w:color="0563C1"/>
            </w:tcBorders>
            <w:gridSpan w:val="5"/>
            <w:shd w:val="clear" w:color="auto" w:fill="CCEEFF"/>
          </w:tcPr>
          <w:p>
            <w:pPr>
              <w:spacing w:after="0" w:line="209" w:lineRule="exact"/>
              <w:rPr>
                <w:rFonts w:ascii="Arial" w:cs="Arial" w:eastAsia="Arial" w:hAnsi="Arial"/>
                <w:sz w:val="22"/>
                <w:szCs w:val="22"/>
                <w:color w:val="0563C1"/>
              </w:rPr>
            </w:pPr>
            <w:hyperlink w:anchor="page57">
              <w:r>
                <w:rPr>
                  <w:rFonts w:ascii="Arial" w:cs="Arial" w:eastAsia="Arial" w:hAnsi="Arial"/>
                  <w:sz w:val="22"/>
                  <w:szCs w:val="22"/>
                  <w:color w:val="0563C1"/>
                </w:rPr>
                <w:t>Exchange Act of 1934</w:t>
              </w:r>
            </w:hyperlink>
          </w:p>
        </w:tc>
        <w:tc>
          <w:tcPr>
            <w:tcW w:w="560" w:type="dxa"/>
            <w:vAlign w:val="bottom"/>
            <w:tcBorders>
              <w:top w:val="single" w:sz="8" w:color="CCEEFF"/>
            </w:tcBorders>
            <w:shd w:val="clear" w:color="auto" w:fill="CCEEFF"/>
          </w:tcPr>
          <w:p>
            <w:pPr>
              <w:spacing w:after="0"/>
              <w:rPr>
                <w:sz w:val="18"/>
                <w:szCs w:val="18"/>
                <w:color w:val="auto"/>
              </w:rPr>
            </w:pPr>
          </w:p>
        </w:tc>
      </w:tr>
      <w:tr>
        <w:trPr>
          <w:trHeight w:val="229"/>
        </w:trPr>
        <w:tc>
          <w:tcPr>
            <w:tcW w:w="15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940" w:type="dxa"/>
            <w:vAlign w:val="bottom"/>
            <w:tcBorders>
              <w:top w:val="single" w:sz="8" w:color="0563C1"/>
            </w:tcBorders>
          </w:tcPr>
          <w:p>
            <w:pPr>
              <w:spacing w:after="0"/>
              <w:rPr>
                <w:sz w:val="19"/>
                <w:szCs w:val="19"/>
                <w:color w:val="auto"/>
              </w:rPr>
            </w:pPr>
          </w:p>
        </w:tc>
        <w:tc>
          <w:tcPr>
            <w:tcW w:w="54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r>
      <w:tr>
        <w:trPr>
          <w:trHeight w:val="203"/>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31.2*</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80" w:type="dxa"/>
            <w:vAlign w:val="bottom"/>
            <w:gridSpan w:val="6"/>
            <w:shd w:val="clear" w:color="auto" w:fill="CCEEFF"/>
          </w:tcPr>
          <w:p>
            <w:pPr>
              <w:spacing w:after="0" w:line="203" w:lineRule="exact"/>
              <w:rPr>
                <w:rFonts w:ascii="Arial" w:cs="Arial" w:eastAsia="Arial" w:hAnsi="Arial"/>
                <w:sz w:val="22"/>
                <w:szCs w:val="22"/>
                <w:color w:val="0563C1"/>
                <w:w w:val="97"/>
              </w:rPr>
            </w:pPr>
            <w:hyperlink w:anchor="page58">
              <w:r>
                <w:rPr>
                  <w:rFonts w:ascii="Arial" w:cs="Arial" w:eastAsia="Arial" w:hAnsi="Arial"/>
                  <w:sz w:val="22"/>
                  <w:szCs w:val="22"/>
                  <w:color w:val="0563C1"/>
                  <w:w w:val="97"/>
                </w:rPr>
                <w:t>Certification of Chief Financial Officer, filed pursuant to Rule 13a-14(a) under the Securities and</w:t>
              </w:r>
            </w:hyperlink>
          </w:p>
        </w:tc>
      </w:tr>
      <w:tr>
        <w:trPr>
          <w:trHeight w:val="217"/>
        </w:trPr>
        <w:tc>
          <w:tcPr>
            <w:tcW w:w="1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460" w:type="dxa"/>
            <w:vAlign w:val="bottom"/>
            <w:tcBorders>
              <w:top w:val="single" w:sz="8" w:color="0563C1"/>
            </w:tcBorders>
            <w:gridSpan w:val="4"/>
            <w:shd w:val="clear" w:color="auto" w:fill="CCEEFF"/>
          </w:tcPr>
          <w:p>
            <w:pPr>
              <w:spacing w:after="0" w:line="209" w:lineRule="exact"/>
              <w:rPr>
                <w:rFonts w:ascii="Arial" w:cs="Arial" w:eastAsia="Arial" w:hAnsi="Arial"/>
                <w:sz w:val="22"/>
                <w:szCs w:val="22"/>
                <w:color w:val="0563C1"/>
              </w:rPr>
            </w:pPr>
            <w:hyperlink w:anchor="page58">
              <w:r>
                <w:rPr>
                  <w:rFonts w:ascii="Arial" w:cs="Arial" w:eastAsia="Arial" w:hAnsi="Arial"/>
                  <w:sz w:val="22"/>
                  <w:szCs w:val="22"/>
                  <w:color w:val="0563C1"/>
                </w:rPr>
                <w:t>Exchange Act of 1934</w:t>
              </w:r>
            </w:hyperlink>
          </w:p>
        </w:tc>
        <w:tc>
          <w:tcPr>
            <w:tcW w:w="620" w:type="dxa"/>
            <w:vAlign w:val="bottom"/>
            <w:tcBorders>
              <w:top w:val="single" w:sz="8" w:color="CCEEFF"/>
            </w:tcBorders>
            <w:gridSpan w:val="2"/>
            <w:shd w:val="clear" w:color="auto" w:fill="CCEEFF"/>
          </w:tcPr>
          <w:p>
            <w:pPr>
              <w:spacing w:after="0"/>
              <w:rPr>
                <w:sz w:val="18"/>
                <w:szCs w:val="18"/>
                <w:color w:val="auto"/>
              </w:rPr>
            </w:pPr>
          </w:p>
        </w:tc>
      </w:tr>
      <w:tr>
        <w:trPr>
          <w:trHeight w:val="229"/>
        </w:trPr>
        <w:tc>
          <w:tcPr>
            <w:tcW w:w="15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940" w:type="dxa"/>
            <w:vAlign w:val="bottom"/>
            <w:tcBorders>
              <w:top w:val="single" w:sz="8" w:color="0563C1"/>
            </w:tcBorders>
          </w:tcPr>
          <w:p>
            <w:pPr>
              <w:spacing w:after="0"/>
              <w:rPr>
                <w:sz w:val="19"/>
                <w:szCs w:val="19"/>
                <w:color w:val="auto"/>
              </w:rPr>
            </w:pPr>
          </w:p>
        </w:tc>
        <w:tc>
          <w:tcPr>
            <w:tcW w:w="54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r>
      <w:tr>
        <w:trPr>
          <w:trHeight w:val="210"/>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32.1*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80" w:type="dxa"/>
            <w:vAlign w:val="bottom"/>
            <w:gridSpan w:val="6"/>
            <w:shd w:val="clear" w:color="auto" w:fill="CCEEFF"/>
          </w:tcPr>
          <w:p>
            <w:pPr>
              <w:spacing w:after="0" w:line="203" w:lineRule="exact"/>
              <w:rPr>
                <w:rFonts w:ascii="Arial" w:cs="Arial" w:eastAsia="Arial" w:hAnsi="Arial"/>
                <w:sz w:val="22"/>
                <w:szCs w:val="22"/>
                <w:color w:val="0563C1"/>
              </w:rPr>
            </w:pPr>
            <w:hyperlink w:anchor="page59">
              <w:r>
                <w:rPr>
                  <w:rFonts w:ascii="Arial" w:cs="Arial" w:eastAsia="Arial" w:hAnsi="Arial"/>
                  <w:sz w:val="22"/>
                  <w:szCs w:val="22"/>
                  <w:color w:val="0563C1"/>
                </w:rPr>
                <w:t>Certification of Chief Executive Officer, furnished pursuant to 18 U.S.C. Section 1350</w:t>
              </w:r>
            </w:hyperlink>
          </w:p>
        </w:tc>
      </w:tr>
      <w:tr>
        <w:trPr>
          <w:trHeight w:val="229"/>
        </w:trPr>
        <w:tc>
          <w:tcPr>
            <w:tcW w:w="15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940" w:type="dxa"/>
            <w:vAlign w:val="bottom"/>
            <w:tcBorders>
              <w:top w:val="single" w:sz="8" w:color="0563C1"/>
            </w:tcBorders>
          </w:tcPr>
          <w:p>
            <w:pPr>
              <w:spacing w:after="0"/>
              <w:rPr>
                <w:sz w:val="19"/>
                <w:szCs w:val="19"/>
                <w:color w:val="auto"/>
              </w:rPr>
            </w:pPr>
          </w:p>
        </w:tc>
        <w:tc>
          <w:tcPr>
            <w:tcW w:w="54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r>
      <w:tr>
        <w:trPr>
          <w:trHeight w:val="209"/>
        </w:trPr>
        <w:tc>
          <w:tcPr>
            <w:tcW w:w="154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32.2*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80" w:type="dxa"/>
            <w:vAlign w:val="bottom"/>
            <w:gridSpan w:val="6"/>
            <w:shd w:val="clear" w:color="auto" w:fill="CCEEFF"/>
          </w:tcPr>
          <w:p>
            <w:pPr>
              <w:spacing w:after="0" w:line="203" w:lineRule="exact"/>
              <w:rPr>
                <w:rFonts w:ascii="Arial" w:cs="Arial" w:eastAsia="Arial" w:hAnsi="Arial"/>
                <w:sz w:val="22"/>
                <w:szCs w:val="22"/>
                <w:color w:val="0563C1"/>
              </w:rPr>
            </w:pPr>
            <w:hyperlink w:anchor="page60">
              <w:r>
                <w:rPr>
                  <w:rFonts w:ascii="Arial" w:cs="Arial" w:eastAsia="Arial" w:hAnsi="Arial"/>
                  <w:sz w:val="22"/>
                  <w:szCs w:val="22"/>
                  <w:color w:val="0563C1"/>
                </w:rPr>
                <w:t>Certification of Chief Financial Officer, furnished pursuant to 18 U.S.C. Section 1350</w:t>
              </w:r>
            </w:hyperlink>
          </w:p>
        </w:tc>
      </w:tr>
      <w:tr>
        <w:trPr>
          <w:trHeight w:val="230"/>
        </w:trPr>
        <w:tc>
          <w:tcPr>
            <w:tcW w:w="15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940" w:type="dxa"/>
            <w:vAlign w:val="bottom"/>
            <w:tcBorders>
              <w:top w:val="single" w:sz="8" w:color="0563C1"/>
            </w:tcBorders>
          </w:tcPr>
          <w:p>
            <w:pPr>
              <w:spacing w:after="0"/>
              <w:rPr>
                <w:sz w:val="19"/>
                <w:szCs w:val="19"/>
                <w:color w:val="auto"/>
              </w:rPr>
            </w:pPr>
          </w:p>
        </w:tc>
        <w:tc>
          <w:tcPr>
            <w:tcW w:w="548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r>
      <w:tr>
        <w:trPr>
          <w:trHeight w:val="208"/>
        </w:trPr>
        <w:tc>
          <w:tcPr>
            <w:tcW w:w="2160" w:type="dxa"/>
            <w:vAlign w:val="bottom"/>
            <w:gridSpan w:val="3"/>
            <w:shd w:val="clear" w:color="auto" w:fill="CCEEFF"/>
          </w:tcPr>
          <w:p>
            <w:pPr>
              <w:ind w:left="20"/>
              <w:spacing w:after="0" w:line="208" w:lineRule="exact"/>
              <w:rPr>
                <w:sz w:val="20"/>
                <w:szCs w:val="20"/>
                <w:color w:val="auto"/>
              </w:rPr>
            </w:pPr>
            <w:r>
              <w:rPr>
                <w:rFonts w:ascii="Arial" w:cs="Arial" w:eastAsia="Arial" w:hAnsi="Arial"/>
                <w:sz w:val="22"/>
                <w:szCs w:val="22"/>
                <w:color w:val="auto"/>
              </w:rPr>
              <w:t>101.INS</w:t>
            </w:r>
          </w:p>
        </w:tc>
        <w:tc>
          <w:tcPr>
            <w:tcW w:w="9080" w:type="dxa"/>
            <w:vAlign w:val="bottom"/>
            <w:gridSpan w:val="6"/>
            <w:shd w:val="clear" w:color="auto" w:fill="CCEEFF"/>
          </w:tcPr>
          <w:p>
            <w:pPr>
              <w:spacing w:after="0" w:line="208" w:lineRule="exact"/>
              <w:rPr>
                <w:sz w:val="20"/>
                <w:szCs w:val="20"/>
                <w:color w:val="auto"/>
              </w:rPr>
            </w:pPr>
            <w:r>
              <w:rPr>
                <w:rFonts w:ascii="Arial" w:cs="Arial" w:eastAsia="Arial" w:hAnsi="Arial"/>
                <w:sz w:val="22"/>
                <w:szCs w:val="22"/>
                <w:color w:val="auto"/>
                <w:w w:val="91"/>
              </w:rPr>
              <w:t>Inline XBRL Instance Document – The instance document does not appear in the Interactive Data File</w:t>
            </w:r>
          </w:p>
        </w:tc>
      </w:tr>
      <w:tr>
        <w:trPr>
          <w:trHeight w:val="251"/>
        </w:trPr>
        <w:tc>
          <w:tcPr>
            <w:tcW w:w="1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80" w:type="dxa"/>
            <w:vAlign w:val="bottom"/>
            <w:gridSpan w:val="6"/>
            <w:shd w:val="clear" w:color="auto" w:fill="CCEEFF"/>
          </w:tcPr>
          <w:p>
            <w:pPr>
              <w:spacing w:after="0" w:line="251" w:lineRule="exact"/>
              <w:rPr>
                <w:sz w:val="20"/>
                <w:szCs w:val="20"/>
                <w:color w:val="auto"/>
              </w:rPr>
            </w:pPr>
            <w:r>
              <w:rPr>
                <w:rFonts w:ascii="Arial" w:cs="Arial" w:eastAsia="Arial" w:hAnsi="Arial"/>
                <w:sz w:val="22"/>
                <w:szCs w:val="22"/>
                <w:color w:val="auto"/>
              </w:rPr>
              <w:t>because its XBRL tags are embedded within the Inline XBRL document.</w:t>
            </w:r>
          </w:p>
        </w:tc>
      </w:tr>
      <w:tr>
        <w:trPr>
          <w:trHeight w:val="230"/>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21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101.SCH</w:t>
            </w:r>
          </w:p>
        </w:tc>
        <w:tc>
          <w:tcPr>
            <w:tcW w:w="9080" w:type="dxa"/>
            <w:vAlign w:val="bottom"/>
            <w:gridSpan w:val="6"/>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Schema Document</w:t>
            </w:r>
          </w:p>
        </w:tc>
      </w:tr>
      <w:tr>
        <w:trPr>
          <w:trHeight w:val="230"/>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21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101.CAL</w:t>
            </w:r>
          </w:p>
        </w:tc>
        <w:tc>
          <w:tcPr>
            <w:tcW w:w="9080" w:type="dxa"/>
            <w:vAlign w:val="bottom"/>
            <w:gridSpan w:val="6"/>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Calculation Linkbase Document</w:t>
            </w:r>
          </w:p>
        </w:tc>
      </w:tr>
      <w:tr>
        <w:trPr>
          <w:trHeight w:val="229"/>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21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101.DEF</w:t>
            </w:r>
          </w:p>
        </w:tc>
        <w:tc>
          <w:tcPr>
            <w:tcW w:w="9080" w:type="dxa"/>
            <w:vAlign w:val="bottom"/>
            <w:gridSpan w:val="6"/>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Definition Linkbase Document</w:t>
            </w:r>
          </w:p>
        </w:tc>
      </w:tr>
      <w:tr>
        <w:trPr>
          <w:trHeight w:val="229"/>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21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101.LAB</w:t>
            </w:r>
          </w:p>
        </w:tc>
        <w:tc>
          <w:tcPr>
            <w:tcW w:w="9080" w:type="dxa"/>
            <w:vAlign w:val="bottom"/>
            <w:gridSpan w:val="6"/>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Label Linkbase Document</w:t>
            </w:r>
          </w:p>
        </w:tc>
      </w:tr>
      <w:tr>
        <w:trPr>
          <w:trHeight w:val="230"/>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21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22"/>
                <w:szCs w:val="22"/>
                <w:color w:val="auto"/>
              </w:rPr>
              <w:t>101.PRES</w:t>
            </w:r>
          </w:p>
        </w:tc>
        <w:tc>
          <w:tcPr>
            <w:tcW w:w="9080" w:type="dxa"/>
            <w:vAlign w:val="bottom"/>
            <w:gridSpan w:val="6"/>
            <w:shd w:val="clear" w:color="auto" w:fill="CCEEFF"/>
          </w:tcPr>
          <w:p>
            <w:pPr>
              <w:spacing w:after="0" w:line="229" w:lineRule="exact"/>
              <w:rPr>
                <w:sz w:val="20"/>
                <w:szCs w:val="20"/>
                <w:color w:val="auto"/>
              </w:rPr>
            </w:pPr>
            <w:r>
              <w:rPr>
                <w:rFonts w:ascii="Arial" w:cs="Arial" w:eastAsia="Arial" w:hAnsi="Arial"/>
                <w:sz w:val="22"/>
                <w:szCs w:val="22"/>
                <w:color w:val="auto"/>
              </w:rPr>
              <w:t>Inline XBRL Taxonomy Extension Presentation Linkbase Document</w:t>
            </w:r>
          </w:p>
        </w:tc>
      </w:tr>
      <w:tr>
        <w:trPr>
          <w:trHeight w:val="456"/>
        </w:trPr>
        <w:tc>
          <w:tcPr>
            <w:tcW w:w="1540" w:type="dxa"/>
            <w:vAlign w:val="bottom"/>
          </w:tcPr>
          <w:p>
            <w:pPr>
              <w:ind w:left="20"/>
              <w:spacing w:after="0"/>
              <w:rPr>
                <w:sz w:val="20"/>
                <w:szCs w:val="20"/>
                <w:color w:val="auto"/>
              </w:rPr>
            </w:pPr>
            <w:r>
              <w:rPr>
                <w:rFonts w:ascii="Arial" w:cs="Arial" w:eastAsia="Arial" w:hAnsi="Arial"/>
                <w:sz w:val="22"/>
                <w:szCs w:val="22"/>
                <w:color w:val="auto"/>
              </w:rPr>
              <w:t>104</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80" w:type="dxa"/>
            <w:vAlign w:val="bottom"/>
            <w:gridSpan w:val="6"/>
          </w:tcPr>
          <w:p>
            <w:pPr>
              <w:spacing w:after="0"/>
              <w:rPr>
                <w:sz w:val="20"/>
                <w:szCs w:val="20"/>
                <w:color w:val="auto"/>
              </w:rPr>
            </w:pPr>
            <w:r>
              <w:rPr>
                <w:rFonts w:ascii="Arial" w:cs="Arial" w:eastAsia="Arial" w:hAnsi="Arial"/>
                <w:sz w:val="22"/>
                <w:szCs w:val="22"/>
                <w:color w:val="auto"/>
                <w:w w:val="91"/>
              </w:rPr>
              <w:t>The cover page from the Company’s Quarterly Report on Form 10-Q for the quarter ended September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160"/>
        <w:spacing w:after="0"/>
        <w:rPr>
          <w:sz w:val="20"/>
          <w:szCs w:val="20"/>
          <w:color w:val="auto"/>
        </w:rPr>
      </w:pPr>
      <w:r>
        <w:rPr>
          <w:rFonts w:ascii="Arial" w:cs="Arial" w:eastAsia="Arial" w:hAnsi="Arial"/>
          <w:sz w:val="22"/>
          <w:szCs w:val="22"/>
          <w:color w:val="auto"/>
        </w:rPr>
        <w:t>30, 2021, formatted in Inline XBRL (included in Exhibit 101)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54" w:name="page55"/>
    <w:bookmarkEnd w:id="5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SIGNATURES</w:t>
      </w:r>
    </w:p>
    <w:p>
      <w:pPr>
        <w:spacing w:after="0" w:line="71" w:lineRule="exact"/>
        <w:rPr>
          <w:sz w:val="20"/>
          <w:szCs w:val="20"/>
          <w:color w:val="auto"/>
        </w:rPr>
      </w:pPr>
    </w:p>
    <w:p>
      <w:pPr>
        <w:spacing w:after="0" w:line="207"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executed on its behalf by the undersigned thereunto duly authorized.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November 5, 2021</w:t>
      </w:r>
    </w:p>
    <w:p>
      <w:pPr>
        <w:spacing w:after="0" w:line="152"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wp:posOffset>
            </wp:positionV>
            <wp:extent cx="31375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366"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wp:posOffset>
            </wp:positionV>
            <wp:extent cx="31375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300"/>
        <w:spacing w:after="0" w:line="225" w:lineRule="auto"/>
        <w:rPr>
          <w:sz w:val="20"/>
          <w:szCs w:val="20"/>
          <w:color w:val="auto"/>
        </w:rPr>
      </w:pPr>
      <w:r>
        <w:rPr>
          <w:rFonts w:ascii="Arial" w:cs="Arial" w:eastAsia="Arial" w:hAnsi="Arial"/>
          <w:sz w:val="22"/>
          <w:szCs w:val="22"/>
          <w:color w:val="auto"/>
        </w:rPr>
        <w:t>Christopher H. Franklin</w:t>
      </w:r>
    </w:p>
    <w:p>
      <w:pPr>
        <w:ind w:left="6300"/>
        <w:spacing w:after="0" w:line="218" w:lineRule="auto"/>
        <w:rPr>
          <w:sz w:val="20"/>
          <w:szCs w:val="20"/>
          <w:color w:val="auto"/>
        </w:rPr>
      </w:pPr>
      <w:r>
        <w:rPr>
          <w:rFonts w:ascii="Arial" w:cs="Arial" w:eastAsia="Arial" w:hAnsi="Arial"/>
          <w:sz w:val="22"/>
          <w:szCs w:val="22"/>
          <w:color w:val="auto"/>
        </w:rPr>
        <w:t>Chairman, President and</w:t>
      </w:r>
    </w:p>
    <w:p>
      <w:pPr>
        <w:ind w:left="63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66"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wp:posOffset>
            </wp:positionV>
            <wp:extent cx="31375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line="225" w:lineRule="auto"/>
        <w:rPr>
          <w:sz w:val="20"/>
          <w:szCs w:val="20"/>
          <w:color w:val="auto"/>
        </w:rPr>
      </w:pPr>
      <w:r>
        <w:rPr>
          <w:rFonts w:ascii="Arial" w:cs="Arial" w:eastAsia="Arial" w:hAnsi="Arial"/>
          <w:sz w:val="22"/>
          <w:szCs w:val="22"/>
          <w:color w:val="auto"/>
        </w:rPr>
        <w:t>Daniel J. Schuller</w:t>
      </w:r>
    </w:p>
    <w:p>
      <w:pPr>
        <w:ind w:left="6300"/>
        <w:spacing w:after="0" w:line="218" w:lineRule="auto"/>
        <w:rPr>
          <w:sz w:val="20"/>
          <w:szCs w:val="20"/>
          <w:color w:val="auto"/>
        </w:rPr>
      </w:pPr>
      <w:r>
        <w:rPr>
          <w:rFonts w:ascii="Arial" w:cs="Arial" w:eastAsia="Arial" w:hAnsi="Arial"/>
          <w:sz w:val="22"/>
          <w:szCs w:val="22"/>
          <w:color w:val="auto"/>
        </w:rPr>
        <w:t>Executive Vice President and</w:t>
      </w:r>
    </w:p>
    <w:p>
      <w:pPr>
        <w:ind w:left="630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55" w:name="page56"/>
    <w:bookmarkEnd w:id="5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398"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0139"/>
          </w:cols>
          <w:pgMar w:left="320" w:top="118" w:right="1440" w:bottom="1440" w:gutter="0" w:footer="0" w:header="0"/>
        </w:sectPr>
      </w:pPr>
    </w:p>
    <w:bookmarkStart w:id="56" w:name="page57"/>
    <w:bookmarkEnd w:id="56"/>
    <w:p>
      <w:pPr>
        <w:ind w:left="8904"/>
        <w:spacing w:after="0"/>
        <w:rPr>
          <w:sz w:val="20"/>
          <w:szCs w:val="20"/>
          <w:color w:val="auto"/>
        </w:rPr>
      </w:pPr>
      <w:r>
        <w:rPr>
          <w:rFonts w:ascii="Arial" w:cs="Arial" w:eastAsia="Arial" w:hAnsi="Arial"/>
          <w:sz w:val="19"/>
          <w:szCs w:val="19"/>
          <w:color w:val="auto"/>
        </w:rPr>
        <w:t>Exhibit 31.1</w:t>
      </w:r>
    </w:p>
    <w:p>
      <w:pPr>
        <w:spacing w:after="0" w:line="133" w:lineRule="exact"/>
        <w:rPr>
          <w:sz w:val="20"/>
          <w:szCs w:val="20"/>
          <w:color w:val="auto"/>
        </w:rPr>
      </w:pPr>
    </w:p>
    <w:p>
      <w:pPr>
        <w:ind w:left="124"/>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3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Christopher H. Franklin, certify that:</w:t>
      </w:r>
    </w:p>
    <w:p>
      <w:pPr>
        <w:spacing w:after="0" w:line="123" w:lineRule="exact"/>
        <w:rPr>
          <w:sz w:val="20"/>
          <w:szCs w:val="20"/>
          <w:color w:val="auto"/>
        </w:rPr>
      </w:pPr>
    </w:p>
    <w:p>
      <w:pPr>
        <w:ind w:left="324" w:hanging="324"/>
        <w:spacing w:after="0"/>
        <w:tabs>
          <w:tab w:leader="none" w:pos="324" w:val="left"/>
        </w:tabs>
        <w:numPr>
          <w:ilvl w:val="0"/>
          <w:numId w:val="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20" w:hanging="324"/>
        <w:spacing w:after="0" w:line="197" w:lineRule="auto"/>
        <w:tabs>
          <w:tab w:leader="none" w:pos="324" w:val="left"/>
        </w:tabs>
        <w:numPr>
          <w:ilvl w:val="0"/>
          <w:numId w:val="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180" w:hanging="324"/>
        <w:spacing w:after="0" w:line="197" w:lineRule="auto"/>
        <w:tabs>
          <w:tab w:leader="none" w:pos="324" w:val="left"/>
        </w:tabs>
        <w:numPr>
          <w:ilvl w:val="0"/>
          <w:numId w:val="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100" w:hanging="324"/>
        <w:spacing w:after="0" w:line="207" w:lineRule="auto"/>
        <w:tabs>
          <w:tab w:leader="none" w:pos="324"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4" w:right="60"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4" w:right="100"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40"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24" w:right="40" w:hanging="324"/>
        <w:spacing w:after="0" w:line="197" w:lineRule="auto"/>
        <w:tabs>
          <w:tab w:leader="none" w:pos="324"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300"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80" w:hanging="320"/>
        <w:spacing w:after="0" w:line="220"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30861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124"/>
        <w:spacing w:after="0" w:line="187"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334645</wp:posOffset>
            </wp:positionV>
            <wp:extent cx="635190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4"/>
          </w:cols>
          <w:pgMar w:left="976" w:top="82" w:right="99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144"/>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9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Daniel J. Schuller, certify that:</w:t>
      </w:r>
    </w:p>
    <w:p>
      <w:pPr>
        <w:spacing w:after="0" w:line="123" w:lineRule="exact"/>
        <w:rPr>
          <w:sz w:val="20"/>
          <w:szCs w:val="20"/>
          <w:color w:val="auto"/>
        </w:rPr>
      </w:pPr>
    </w:p>
    <w:p>
      <w:pPr>
        <w:ind w:left="324" w:hanging="324"/>
        <w:spacing w:after="0"/>
        <w:tabs>
          <w:tab w:leader="none" w:pos="324" w:val="left"/>
        </w:tabs>
        <w:numPr>
          <w:ilvl w:val="0"/>
          <w:numId w:val="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40" w:hanging="324"/>
        <w:spacing w:after="0" w:line="197" w:lineRule="auto"/>
        <w:tabs>
          <w:tab w:leader="none" w:pos="324" w:val="left"/>
        </w:tabs>
        <w:numPr>
          <w:ilvl w:val="0"/>
          <w:numId w:val="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200" w:hanging="324"/>
        <w:spacing w:after="0" w:line="197" w:lineRule="auto"/>
        <w:tabs>
          <w:tab w:leader="none" w:pos="324" w:val="left"/>
        </w:tabs>
        <w:numPr>
          <w:ilvl w:val="0"/>
          <w:numId w:val="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120" w:hanging="324"/>
        <w:spacing w:after="0" w:line="207" w:lineRule="auto"/>
        <w:tabs>
          <w:tab w:leader="none" w:pos="324"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20" w:hanging="320"/>
        <w:spacing w:after="0" w:line="197" w:lineRule="auto"/>
        <w:tabs>
          <w:tab w:leader="none" w:pos="644" w:val="left"/>
        </w:tabs>
        <w:numPr>
          <w:ilvl w:val="1"/>
          <w:numId w:val="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4" w:right="80" w:hanging="320"/>
        <w:spacing w:after="0" w:line="197" w:lineRule="auto"/>
        <w:tabs>
          <w:tab w:leader="none" w:pos="644" w:val="left"/>
        </w:tabs>
        <w:numPr>
          <w:ilvl w:val="1"/>
          <w:numId w:val="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4" w:right="120" w:hanging="320"/>
        <w:spacing w:after="0" w:line="197" w:lineRule="auto"/>
        <w:tabs>
          <w:tab w:leader="none" w:pos="644" w:val="left"/>
        </w:tabs>
        <w:numPr>
          <w:ilvl w:val="1"/>
          <w:numId w:val="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60" w:hanging="320"/>
        <w:spacing w:after="0" w:line="197" w:lineRule="auto"/>
        <w:tabs>
          <w:tab w:leader="none" w:pos="644" w:val="left"/>
        </w:tabs>
        <w:numPr>
          <w:ilvl w:val="1"/>
          <w:numId w:val="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24" w:right="60" w:hanging="324"/>
        <w:spacing w:after="0" w:line="197" w:lineRule="auto"/>
        <w:tabs>
          <w:tab w:leader="none" w:pos="324"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320" w:hanging="320"/>
        <w:spacing w:after="0" w:line="197" w:lineRule="auto"/>
        <w:tabs>
          <w:tab w:leader="none" w:pos="644" w:val="left"/>
        </w:tabs>
        <w:numPr>
          <w:ilvl w:val="1"/>
          <w:numId w:val="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100" w:hanging="320"/>
        <w:spacing w:after="0" w:line="220" w:lineRule="auto"/>
        <w:tabs>
          <w:tab w:leader="none" w:pos="644" w:val="left"/>
        </w:tabs>
        <w:numPr>
          <w:ilvl w:val="1"/>
          <w:numId w:val="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4"/>
        <w:spacing w:after="0"/>
        <w:rPr>
          <w:sz w:val="20"/>
          <w:szCs w:val="20"/>
          <w:color w:val="auto"/>
        </w:rPr>
      </w:pPr>
      <w:r>
        <w:rPr>
          <w:rFonts w:ascii="Arial" w:cs="Arial" w:eastAsia="Arial" w:hAnsi="Arial"/>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33089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124"/>
        <w:spacing w:after="0" w:line="204"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08" w:right="97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color w:val="auto"/>
        </w:rPr>
        <w:t>Exhibit 32.1</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EXECUTIVE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60"/>
        <w:spacing w:after="0" w:line="183" w:lineRule="auto"/>
        <w:rPr>
          <w:sz w:val="20"/>
          <w:szCs w:val="20"/>
          <w:color w:val="auto"/>
        </w:rPr>
      </w:pPr>
      <w:r>
        <w:rPr>
          <w:rFonts w:ascii="Arial" w:cs="Arial" w:eastAsia="Arial" w:hAnsi="Arial"/>
          <w:sz w:val="21"/>
          <w:szCs w:val="21"/>
          <w:color w:val="auto"/>
        </w:rPr>
        <w:t>In connection with the Quarterly Report on Form 10-Q for the period ended September 30, 2021 of Essential Utilities,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13" w:lineRule="exact"/>
        <w:rPr>
          <w:sz w:val="20"/>
          <w:szCs w:val="20"/>
          <w:color w:val="auto"/>
        </w:rPr>
      </w:pPr>
    </w:p>
    <w:p>
      <w:pPr>
        <w:ind w:left="324" w:right="220" w:hanging="324"/>
        <w:spacing w:after="0" w:line="207" w:lineRule="auto"/>
        <w:tabs>
          <w:tab w:leader="none" w:pos="32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320" w:hanging="324"/>
        <w:spacing w:after="0" w:line="207" w:lineRule="auto"/>
        <w:tabs>
          <w:tab w:leader="none" w:pos="32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4"/>
        <w:spacing w:after="0"/>
        <w:rPr>
          <w:sz w:val="20"/>
          <w:szCs w:val="20"/>
          <w:color w:val="auto"/>
        </w:rPr>
      </w:pPr>
      <w:r>
        <w:rPr>
          <w:rFonts w:ascii="Arial" w:cs="Arial" w:eastAsia="Arial" w:hAnsi="Arial"/>
          <w:sz w:val="22"/>
          <w:szCs w:val="22"/>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29571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ind w:left="124"/>
        <w:spacing w:after="0" w:line="187"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35190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84"/>
          </w:cols>
          <w:pgMar w:left="976" w:top="78" w:right="10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color w:val="auto"/>
        </w:rPr>
        <w:t>Exhibit 32.2</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FINANCIAL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32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September 30, 2021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220" w:hanging="324"/>
        <w:spacing w:after="0" w:line="207" w:lineRule="auto"/>
        <w:tabs>
          <w:tab w:leader="none" w:pos="324"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320" w:hanging="324"/>
        <w:spacing w:after="0" w:line="207" w:lineRule="auto"/>
        <w:tabs>
          <w:tab w:leader="none" w:pos="324"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34029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124"/>
        <w:spacing w:after="0" w:line="204"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sectPr>
      <w:pgSz w:w="11900" w:h="16838" w:orient="portrait"/>
      <w:cols w:equalWidth="0" w:num="1">
        <w:col w:w="9884"/>
      </w:cols>
      <w:pgMar w:left="976" w:top="78"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2021-11-05T16:20:42Z</dcterms:created>
  <dcterms:modified xsi:type="dcterms:W3CDTF">2021-11-05T16:20:42Z</dcterms:modified>
</cp:coreProperties>
</file>