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2"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860" w:right="1980" w:hanging="3841"/>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March 31, 2021</w:t>
      </w:r>
    </w:p>
    <w:p>
      <w:pPr>
        <w:spacing w:after="0" w:line="71" w:lineRule="exact"/>
        <w:rPr>
          <w:sz w:val="24"/>
          <w:szCs w:val="24"/>
          <w:color w:val="auto"/>
        </w:rPr>
      </w:pPr>
    </w:p>
    <w:p>
      <w:pPr>
        <w:ind w:left="2960" w:right="1920" w:hanging="2952"/>
        <w:spacing w:after="0" w:line="273" w:lineRule="auto"/>
        <w:tabs>
          <w:tab w:leader="none" w:pos="144"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42" w:lineRule="exact"/>
        <w:rPr>
          <w:sz w:val="24"/>
          <w:szCs w:val="24"/>
          <w:color w:val="auto"/>
        </w:rPr>
      </w:pPr>
    </w:p>
    <w:p>
      <w:pPr>
        <w:ind w:left="4320"/>
        <w:spacing w:after="0"/>
        <w:rPr>
          <w:sz w:val="20"/>
          <w:szCs w:val="20"/>
          <w:color w:val="auto"/>
        </w:rPr>
      </w:pPr>
      <w:r>
        <w:rPr>
          <w:rFonts w:ascii="Arial" w:cs="Arial" w:eastAsia="Arial" w:hAnsi="Arial"/>
          <w:sz w:val="19"/>
          <w:szCs w:val="19"/>
          <w:color w:val="auto"/>
        </w:rPr>
        <w:t>Commission File Number 1-6659</w:t>
      </w:r>
    </w:p>
    <w:p>
      <w:pPr>
        <w:spacing w:after="0" w:line="167" w:lineRule="exact"/>
        <w:rPr>
          <w:sz w:val="24"/>
          <w:szCs w:val="24"/>
          <w:color w:val="auto"/>
        </w:rPr>
      </w:pPr>
    </w:p>
    <w:p>
      <w:pPr>
        <w:ind w:left="4320"/>
        <w:spacing w:after="0"/>
        <w:rPr>
          <w:sz w:val="20"/>
          <w:szCs w:val="20"/>
          <w:color w:val="auto"/>
        </w:rPr>
      </w:pPr>
      <w:r>
        <w:rPr>
          <w:rFonts w:ascii="Arial" w:cs="Arial" w:eastAsia="Arial" w:hAnsi="Arial"/>
          <w:sz w:val="19"/>
          <w:szCs w:val="19"/>
          <w:b w:val="1"/>
          <w:bCs w:val="1"/>
          <w:u w:val="single" w:color="auto"/>
          <w:color w:val="auto"/>
        </w:rPr>
        <w:t>ESSENTIAL UTILITIES,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8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480" w:type="dxa"/>
            <w:vAlign w:val="bottom"/>
            <w:gridSpan w:val="4"/>
          </w:tcPr>
          <w:p>
            <w:pPr>
              <w:jc w:val="center"/>
              <w:ind w:right="1440"/>
              <w:spacing w:after="0" w:line="187" w:lineRule="exact"/>
              <w:rPr>
                <w:sz w:val="20"/>
                <w:szCs w:val="20"/>
                <w:color w:val="auto"/>
              </w:rPr>
            </w:pPr>
            <w:r>
              <w:rPr>
                <w:rFonts w:ascii="Arial" w:cs="Arial" w:eastAsia="Arial" w:hAnsi="Arial"/>
                <w:sz w:val="19"/>
                <w:szCs w:val="19"/>
                <w:color w:val="auto"/>
                <w:w w:val="92"/>
              </w:rPr>
              <w:t>(State or other jurisdiction of</w:t>
            </w:r>
          </w:p>
        </w:tc>
        <w:tc>
          <w:tcPr>
            <w:tcW w:w="2860" w:type="dxa"/>
            <w:vAlign w:val="bottom"/>
            <w:gridSpan w:val="5"/>
          </w:tcPr>
          <w:p>
            <w:pPr>
              <w:jc w:val="center"/>
              <w:ind w:left="1346"/>
              <w:spacing w:after="0" w:line="187" w:lineRule="exact"/>
              <w:rPr>
                <w:sz w:val="20"/>
                <w:szCs w:val="20"/>
                <w:color w:val="auto"/>
              </w:rPr>
            </w:pPr>
            <w:r>
              <w:rPr>
                <w:rFonts w:ascii="Arial" w:cs="Arial" w:eastAsia="Arial" w:hAnsi="Arial"/>
                <w:sz w:val="19"/>
                <w:szCs w:val="19"/>
                <w:color w:val="auto"/>
                <w:w w:val="93"/>
              </w:rPr>
              <w:t>(I.R.S. Employer</w:t>
            </w:r>
          </w:p>
        </w:tc>
      </w:tr>
      <w:tr>
        <w:trPr>
          <w:trHeight w:val="240"/>
        </w:trPr>
        <w:tc>
          <w:tcPr>
            <w:tcW w:w="5480" w:type="dxa"/>
            <w:vAlign w:val="bottom"/>
            <w:gridSpan w:val="4"/>
          </w:tcPr>
          <w:p>
            <w:pPr>
              <w:jc w:val="center"/>
              <w:ind w:right="1440"/>
              <w:spacing w:after="0"/>
              <w:rPr>
                <w:sz w:val="20"/>
                <w:szCs w:val="20"/>
                <w:color w:val="auto"/>
              </w:rPr>
            </w:pPr>
            <w:r>
              <w:rPr>
                <w:rFonts w:ascii="Arial" w:cs="Arial" w:eastAsia="Arial" w:hAnsi="Arial"/>
                <w:sz w:val="19"/>
                <w:szCs w:val="19"/>
                <w:color w:val="auto"/>
                <w:w w:val="92"/>
              </w:rPr>
              <w:t>incorporation or organization)</w:t>
            </w:r>
          </w:p>
        </w:tc>
        <w:tc>
          <w:tcPr>
            <w:tcW w:w="2860" w:type="dxa"/>
            <w:vAlign w:val="bottom"/>
            <w:gridSpan w:val="5"/>
          </w:tcPr>
          <w:p>
            <w:pPr>
              <w:jc w:val="center"/>
              <w:ind w:left="1346"/>
              <w:spacing w:after="0"/>
              <w:rPr>
                <w:sz w:val="20"/>
                <w:szCs w:val="20"/>
                <w:color w:val="auto"/>
              </w:rPr>
            </w:pPr>
            <w:r>
              <w:rPr>
                <w:rFonts w:ascii="Arial" w:cs="Arial" w:eastAsia="Arial" w:hAnsi="Arial"/>
                <w:sz w:val="19"/>
                <w:szCs w:val="19"/>
                <w:color w:val="auto"/>
                <w:w w:val="96"/>
              </w:rPr>
              <w:t>Identification No.)</w:t>
            </w:r>
          </w:p>
        </w:tc>
      </w:tr>
      <w:tr>
        <w:trPr>
          <w:trHeight w:val="362"/>
        </w:trPr>
        <w:tc>
          <w:tcPr>
            <w:tcW w:w="5480" w:type="dxa"/>
            <w:vAlign w:val="bottom"/>
            <w:gridSpan w:val="4"/>
          </w:tcPr>
          <w:p>
            <w:pPr>
              <w:jc w:val="center"/>
              <w:ind w:right="1460"/>
              <w:spacing w:after="0"/>
              <w:rPr>
                <w:sz w:val="20"/>
                <w:szCs w:val="20"/>
                <w:color w:val="auto"/>
              </w:rPr>
            </w:pPr>
            <w:r>
              <w:rPr>
                <w:rFonts w:ascii="Arial" w:cs="Arial" w:eastAsia="Arial" w:hAnsi="Arial"/>
                <w:sz w:val="19"/>
                <w:szCs w:val="19"/>
                <w:color w:val="auto"/>
                <w:w w:val="90"/>
              </w:rPr>
              <w:t>762 W. Lancaster Avenue, Bryn Mawr, Pennsylvania</w:t>
            </w:r>
          </w:p>
        </w:tc>
        <w:tc>
          <w:tcPr>
            <w:tcW w:w="286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34"/>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w w:val="92"/>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9"/>
                <w:szCs w:val="19"/>
                <w:color w:val="auto"/>
                <w:w w:val="91"/>
              </w:rPr>
              <w:t>(Zip Code)</w:t>
            </w:r>
          </w:p>
        </w:tc>
        <w:tc>
          <w:tcPr>
            <w:tcW w:w="220" w:type="dxa"/>
            <w:vAlign w:val="bottom"/>
          </w:tcPr>
          <w:p>
            <w:pPr>
              <w:spacing w:after="0"/>
              <w:rPr>
                <w:sz w:val="20"/>
                <w:szCs w:val="20"/>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line="222" w:lineRule="auto"/>
        <w:rPr>
          <w:sz w:val="20"/>
          <w:szCs w:val="20"/>
          <w:color w:val="auto"/>
        </w:rPr>
      </w:pPr>
      <w:r>
        <w:rPr>
          <w:rFonts w:ascii="Arial" w:cs="Arial" w:eastAsia="Arial" w:hAnsi="Arial"/>
          <w:sz w:val="19"/>
          <w:szCs w:val="19"/>
          <w:color w:val="auto"/>
        </w:rPr>
        <w:t>(Registrant’s telephone number, including area code)</w:t>
      </w:r>
    </w:p>
    <w:p>
      <w:pPr>
        <w:jc w:val="center"/>
        <w:spacing w:after="0" w:line="222" w:lineRule="auto"/>
        <w:rPr>
          <w:sz w:val="20"/>
          <w:szCs w:val="20"/>
          <w:color w:val="auto"/>
        </w:rPr>
      </w:pPr>
      <w:r>
        <w:rPr>
          <w:rFonts w:ascii="Arial" w:cs="Arial" w:eastAsia="Arial" w:hAnsi="Arial"/>
          <w:sz w:val="19"/>
          <w:szCs w:val="19"/>
          <w:u w:val="single" w:color="auto"/>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71" w:lineRule="exact"/>
        <w:rPr>
          <w:sz w:val="24"/>
          <w:szCs w:val="24"/>
          <w:color w:val="auto"/>
        </w:rPr>
      </w:pPr>
    </w:p>
    <w:p>
      <w:pPr>
        <w:ind w:right="16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jc w:val="both"/>
        <w:ind w:right="20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9"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6"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9"/>
                <w:szCs w:val="19"/>
                <w:color w:val="auto"/>
              </w:rPr>
            </w:pPr>
          </w:p>
        </w:tc>
        <w:tc>
          <w:tcPr>
            <w:tcW w:w="7860" w:type="dxa"/>
            <w:vAlign w:val="bottom"/>
            <w:gridSpan w:val="5"/>
          </w:tcPr>
          <w:p>
            <w:pPr>
              <w:ind w:left="6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5"/>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89"/>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Trading Symbol(s)</w:t>
            </w:r>
          </w:p>
        </w:tc>
        <w:tc>
          <w:tcPr>
            <w:tcW w:w="4520" w:type="dxa"/>
            <w:vAlign w:val="bottom"/>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174"/>
        </w:trPr>
        <w:tc>
          <w:tcPr>
            <w:tcW w:w="3380" w:type="dxa"/>
            <w:vAlign w:val="bottom"/>
            <w:tcBorders>
              <w:top w:val="single" w:sz="8" w:color="auto"/>
            </w:tcBorders>
          </w:tcPr>
          <w:p>
            <w:pPr>
              <w:jc w:val="center"/>
              <w:ind w:left="706"/>
              <w:spacing w:after="0" w:line="173" w:lineRule="exact"/>
              <w:rPr>
                <w:sz w:val="20"/>
                <w:szCs w:val="20"/>
                <w:color w:val="auto"/>
              </w:rPr>
            </w:pPr>
            <w:r>
              <w:rPr>
                <w:rFonts w:ascii="Arial" w:cs="Arial" w:eastAsia="Arial" w:hAnsi="Arial"/>
                <w:sz w:val="19"/>
                <w:szCs w:val="19"/>
                <w:color w:val="auto"/>
                <w:w w:val="90"/>
              </w:rPr>
              <w:t>Common stock, $0.50 par value</w:t>
            </w: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6"/>
              </w:rPr>
              <w:t>WTRG</w:t>
            </w:r>
          </w:p>
        </w:tc>
        <w:tc>
          <w:tcPr>
            <w:tcW w:w="240" w:type="dxa"/>
            <w:vAlign w:val="bottom"/>
          </w:tcPr>
          <w:p>
            <w:pPr>
              <w:spacing w:after="0"/>
              <w:rPr>
                <w:sz w:val="15"/>
                <w:szCs w:val="15"/>
                <w:color w:val="auto"/>
              </w:rPr>
            </w:pPr>
          </w:p>
        </w:tc>
        <w:tc>
          <w:tcPr>
            <w:tcW w:w="45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0"/>
              </w:rPr>
              <w:t>New York Stock Exchange</w:t>
            </w:r>
          </w:p>
        </w:tc>
      </w:tr>
      <w:tr>
        <w:trPr>
          <w:trHeight w:val="240"/>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92"/>
              </w:rPr>
              <w:t>6.00% Tangible Equity Units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8"/>
              </w:rPr>
              <w:t>WTRU</w:t>
            </w:r>
          </w:p>
        </w:tc>
        <w:tc>
          <w:tcPr>
            <w:tcW w:w="4520" w:type="dxa"/>
            <w:vAlign w:val="bottom"/>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165"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April 22, 2021: 245,643,343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bl>
      <w:tblPr>
        <w:tblLayout w:type="fixed"/>
        <w:tblInd w:w="0" w:type="dxa"/>
        <w:tblCellMar>
          <w:top w:w="0" w:type="dxa"/>
          <w:left w:w="0" w:type="dxa"/>
          <w:bottom w:w="0" w:type="dxa"/>
          <w:right w:w="0" w:type="dxa"/>
        </w:tblCellMar>
      </w:tblPr>
      <w:tr>
        <w:trPr>
          <w:trHeight w:val="294"/>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20"/>
          </w:tcPr>
          <w:p>
            <w:pPr>
              <w:jc w:val="center"/>
              <w:ind w:right="1040"/>
              <w:spacing w:after="0"/>
              <w:rPr>
                <w:sz w:val="20"/>
                <w:szCs w:val="20"/>
                <w:color w:val="auto"/>
              </w:rPr>
            </w:pPr>
            <w:r>
              <w:rPr>
                <w:rFonts w:ascii="Arial" w:cs="Arial" w:eastAsia="Arial" w:hAnsi="Arial"/>
                <w:sz w:val="22"/>
                <w:szCs w:val="22"/>
                <w:color w:val="auto"/>
                <w:w w:val="96"/>
              </w:rPr>
              <w:t>ESSENTIAL UTILITIES, INC. AND SUBSIDIARIES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4"/>
          </w:tcPr>
          <w:p>
            <w:pPr>
              <w:jc w:val="center"/>
              <w:ind w:right="2660"/>
              <w:spacing w:after="0"/>
              <w:rPr>
                <w:sz w:val="20"/>
                <w:szCs w:val="20"/>
                <w:color w:val="auto"/>
              </w:rPr>
            </w:pPr>
            <w:r>
              <w:rPr>
                <w:rFonts w:ascii="Arial" w:cs="Arial" w:eastAsia="Arial" w:hAnsi="Arial"/>
                <w:sz w:val="22"/>
                <w:szCs w:val="22"/>
                <w:color w:val="auto"/>
                <w:w w:val="94"/>
              </w:rPr>
              <w:t>TABLE OF CONTENTS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40" w:type="dxa"/>
            <w:vAlign w:val="bottom"/>
            <w:gridSpan w:val="3"/>
          </w:tcPr>
          <w:p>
            <w:pPr>
              <w:ind w:left="1400"/>
              <w:spacing w:after="0"/>
              <w:rPr>
                <w:sz w:val="20"/>
                <w:szCs w:val="20"/>
                <w:color w:val="auto"/>
              </w:rPr>
            </w:pPr>
            <w:r>
              <w:rPr>
                <w:rFonts w:ascii="Arial" w:cs="Arial" w:eastAsia="Arial" w:hAnsi="Arial"/>
                <w:sz w:val="22"/>
                <w:szCs w:val="22"/>
                <w:color w:val="auto"/>
                <w:w w:val="81"/>
              </w:rPr>
              <w:t>Page</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80" w:type="dxa"/>
            <w:vAlign w:val="bottom"/>
            <w:gridSpan w:val="16"/>
            <w:shd w:val="clear" w:color="auto" w:fill="CCEEFF"/>
          </w:tcPr>
          <w:p>
            <w:pPr>
              <w:jc w:val="center"/>
              <w:ind w:right="2500"/>
              <w:spacing w:after="0" w:line="203" w:lineRule="exact"/>
              <w:rPr>
                <w:rFonts w:ascii="Arial" w:cs="Arial" w:eastAsia="Arial" w:hAnsi="Arial"/>
                <w:sz w:val="22"/>
                <w:szCs w:val="22"/>
                <w:color w:val="0563C1"/>
                <w:w w:val="91"/>
              </w:rPr>
            </w:pPr>
            <w:hyperlink w:anchor="page3">
              <w:r>
                <w:rPr>
                  <w:rFonts w:ascii="Arial" w:cs="Arial" w:eastAsia="Arial" w:hAnsi="Arial"/>
                  <w:sz w:val="22"/>
                  <w:szCs w:val="22"/>
                  <w:color w:val="0563C1"/>
                  <w:w w:val="91"/>
                </w:rPr>
                <w:t>Part I – Financial Information</w:t>
              </w:r>
            </w:hyperlink>
          </w:p>
        </w:tc>
        <w:tc>
          <w:tcPr>
            <w:tcW w:w="14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3">
              <w:r>
                <w:rPr>
                  <w:rFonts w:ascii="Arial" w:cs="Arial" w:eastAsia="Arial" w:hAnsi="Arial"/>
                  <w:sz w:val="22"/>
                  <w:szCs w:val="22"/>
                  <w:color w:val="0563C1"/>
                  <w:w w:val="95"/>
                </w:rPr>
                <w:t>Item 1.</w:t>
              </w:r>
            </w:hyperlink>
          </w:p>
        </w:tc>
        <w:tc>
          <w:tcPr>
            <w:tcW w:w="876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3">
              <w:r>
                <w:rPr>
                  <w:rFonts w:ascii="Arial" w:cs="Arial" w:eastAsia="Arial" w:hAnsi="Arial"/>
                  <w:sz w:val="22"/>
                  <w:szCs w:val="22"/>
                  <w:color w:val="0563C1"/>
                </w:rPr>
                <w:t>Financial Statements:</w:t>
              </w:r>
            </w:hyperlink>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760" w:type="dxa"/>
            <w:vAlign w:val="bottom"/>
            <w:gridSpan w:val="29"/>
            <w:shd w:val="clear" w:color="auto" w:fill="CCEEFF"/>
          </w:tcPr>
          <w:p>
            <w:pPr>
              <w:spacing w:after="0" w:line="203" w:lineRule="exact"/>
              <w:rPr>
                <w:rFonts w:ascii="Arial" w:cs="Arial" w:eastAsia="Arial" w:hAnsi="Arial"/>
                <w:sz w:val="22"/>
                <w:szCs w:val="22"/>
                <w:color w:val="0563C1"/>
              </w:rPr>
            </w:pPr>
            <w:hyperlink w:anchor="page3">
              <w:r>
                <w:rPr>
                  <w:rFonts w:ascii="Arial" w:cs="Arial" w:eastAsia="Arial" w:hAnsi="Arial"/>
                  <w:sz w:val="22"/>
                  <w:szCs w:val="22"/>
                  <w:color w:val="0563C1"/>
                </w:rPr>
                <w:t>Consolidated Balance Sheets (unaudited) – March 31, 2021 and December 31, 2020</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rFonts w:ascii="Arial" w:cs="Arial" w:eastAsia="Arial" w:hAnsi="Arial"/>
                <w:sz w:val="22"/>
                <w:szCs w:val="22"/>
                <w:color w:val="0563C1"/>
              </w:rPr>
            </w:pPr>
            <w:hyperlink w:anchor="page5">
              <w:r>
                <w:rPr>
                  <w:rFonts w:ascii="Arial" w:cs="Arial" w:eastAsia="Arial" w:hAnsi="Arial"/>
                  <w:sz w:val="22"/>
                  <w:szCs w:val="22"/>
                  <w:color w:val="0563C1"/>
                </w:rPr>
                <w:t>Consolidated Statements of Operations and Comprehensive Income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25"/>
            <w:shd w:val="clear" w:color="auto" w:fill="CCEEFF"/>
          </w:tcPr>
          <w:p>
            <w:pPr>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Three Months Ended March 31, 2021 and 2020</w:t>
              </w:r>
            </w:hyperlink>
          </w:p>
        </w:tc>
        <w:tc>
          <w:tcPr>
            <w:tcW w:w="1700" w:type="dxa"/>
            <w:vAlign w:val="bottom"/>
            <w:tcBorders>
              <w:top w:val="single" w:sz="8" w:color="CCEEFF"/>
            </w:tcBorders>
            <w:gridSpan w:val="2"/>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rFonts w:ascii="Arial" w:cs="Arial" w:eastAsia="Arial" w:hAnsi="Arial"/>
                <w:sz w:val="22"/>
                <w:szCs w:val="22"/>
                <w:color w:val="0563C1"/>
              </w:rPr>
            </w:pPr>
            <w:hyperlink w:anchor="page6">
              <w:r>
                <w:rPr>
                  <w:rFonts w:ascii="Arial" w:cs="Arial" w:eastAsia="Arial" w:hAnsi="Arial"/>
                  <w:sz w:val="22"/>
                  <w:szCs w:val="22"/>
                  <w:color w:val="0563C1"/>
                </w:rPr>
                <w:t>Consolidated Statements of Capitalization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4520" w:type="dxa"/>
            <w:vAlign w:val="bottom"/>
            <w:tcBorders>
              <w:top w:val="single" w:sz="8" w:color="0563C1"/>
            </w:tcBorders>
            <w:gridSpan w:val="20"/>
            <w:shd w:val="clear" w:color="auto" w:fill="CCEEFF"/>
          </w:tcPr>
          <w:p>
            <w:pPr>
              <w:spacing w:after="0" w:line="209" w:lineRule="exact"/>
              <w:rPr>
                <w:rFonts w:ascii="Arial" w:cs="Arial" w:eastAsia="Arial" w:hAnsi="Arial"/>
                <w:sz w:val="22"/>
                <w:szCs w:val="22"/>
                <w:color w:val="0563C1"/>
              </w:rPr>
            </w:pPr>
            <w:hyperlink w:anchor="page6">
              <w:r>
                <w:rPr>
                  <w:rFonts w:ascii="Arial" w:cs="Arial" w:eastAsia="Arial" w:hAnsi="Arial"/>
                  <w:sz w:val="22"/>
                  <w:szCs w:val="22"/>
                  <w:color w:val="0563C1"/>
                </w:rPr>
                <w:t>March 31, 2021 and December 31, 2020</w:t>
              </w:r>
            </w:hyperlink>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rFonts w:ascii="Arial" w:cs="Arial" w:eastAsia="Arial" w:hAnsi="Arial"/>
                <w:sz w:val="22"/>
                <w:szCs w:val="22"/>
                <w:color w:val="0563C1"/>
              </w:rPr>
            </w:pPr>
            <w:hyperlink w:anchor="page7">
              <w:r>
                <w:rPr>
                  <w:rFonts w:ascii="Arial" w:cs="Arial" w:eastAsia="Arial" w:hAnsi="Arial"/>
                  <w:sz w:val="22"/>
                  <w:szCs w:val="22"/>
                  <w:color w:val="0563C1"/>
                </w:rPr>
                <w:t>Consolidated Statements of Equity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900" w:type="dxa"/>
            <w:vAlign w:val="bottom"/>
            <w:tcBorders>
              <w:top w:val="single" w:sz="8" w:color="0563C1"/>
            </w:tcBorders>
            <w:gridSpan w:val="14"/>
            <w:shd w:val="clear" w:color="auto" w:fill="CCEEFF"/>
          </w:tcPr>
          <w:p>
            <w:pPr>
              <w:spacing w:after="0" w:line="209" w:lineRule="exact"/>
              <w:rPr>
                <w:rFonts w:ascii="Arial" w:cs="Arial" w:eastAsia="Arial" w:hAnsi="Arial"/>
                <w:sz w:val="22"/>
                <w:szCs w:val="22"/>
                <w:color w:val="0563C1"/>
              </w:rPr>
            </w:pPr>
            <w:hyperlink w:anchor="page7">
              <w:r>
                <w:rPr>
                  <w:rFonts w:ascii="Arial" w:cs="Arial" w:eastAsia="Arial" w:hAnsi="Arial"/>
                  <w:sz w:val="22"/>
                  <w:szCs w:val="22"/>
                  <w:color w:val="0563C1"/>
                </w:rPr>
                <w:t>Three Months Ended March 31, 2021</w:t>
              </w:r>
            </w:hyperlink>
          </w:p>
        </w:tc>
        <w:tc>
          <w:tcPr>
            <w:tcW w:w="2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rFonts w:ascii="Arial" w:cs="Arial" w:eastAsia="Arial" w:hAnsi="Arial"/>
                <w:sz w:val="22"/>
                <w:szCs w:val="22"/>
                <w:color w:val="0563C1"/>
              </w:rPr>
            </w:pPr>
            <w:hyperlink w:anchor="page7">
              <w:r>
                <w:rPr>
                  <w:rFonts w:ascii="Arial" w:cs="Arial" w:eastAsia="Arial" w:hAnsi="Arial"/>
                  <w:sz w:val="22"/>
                  <w:szCs w:val="22"/>
                  <w:color w:val="0563C1"/>
                </w:rPr>
                <w:t>Consolidated Statements of Equity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840" w:type="dxa"/>
            <w:vAlign w:val="bottom"/>
            <w:tcBorders>
              <w:top w:val="single" w:sz="8" w:color="0563C1"/>
            </w:tcBorders>
            <w:gridSpan w:val="13"/>
            <w:shd w:val="clear" w:color="auto" w:fill="CCEEFF"/>
          </w:tcPr>
          <w:p>
            <w:pPr>
              <w:spacing w:after="0" w:line="209" w:lineRule="exact"/>
              <w:rPr>
                <w:rFonts w:ascii="Arial" w:cs="Arial" w:eastAsia="Arial" w:hAnsi="Arial"/>
                <w:sz w:val="22"/>
                <w:szCs w:val="22"/>
                <w:color w:val="0563C1"/>
              </w:rPr>
            </w:pPr>
            <w:hyperlink w:anchor="page7">
              <w:r>
                <w:rPr>
                  <w:rFonts w:ascii="Arial" w:cs="Arial" w:eastAsia="Arial" w:hAnsi="Arial"/>
                  <w:sz w:val="22"/>
                  <w:szCs w:val="22"/>
                  <w:color w:val="0563C1"/>
                </w:rPr>
                <w:t>Three Months Ended March 31, 2020</w:t>
              </w:r>
            </w:hyperlink>
          </w:p>
        </w:tc>
        <w:tc>
          <w:tcPr>
            <w:tcW w:w="2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29"/>
            <w:shd w:val="clear" w:color="auto" w:fill="CCEEFF"/>
          </w:tcPr>
          <w:p>
            <w:pPr>
              <w:spacing w:after="0" w:line="203" w:lineRule="exact"/>
              <w:rPr>
                <w:rFonts w:ascii="Arial" w:cs="Arial" w:eastAsia="Arial" w:hAnsi="Arial"/>
                <w:sz w:val="22"/>
                <w:szCs w:val="22"/>
                <w:color w:val="0563C1"/>
              </w:rPr>
            </w:pPr>
            <w:hyperlink w:anchor="page9">
              <w:r>
                <w:rPr>
                  <w:rFonts w:ascii="Arial" w:cs="Arial" w:eastAsia="Arial" w:hAnsi="Arial"/>
                  <w:sz w:val="22"/>
                  <w:szCs w:val="22"/>
                  <w:color w:val="0563C1"/>
                </w:rPr>
                <w:t>Consolidated Statements of Cash Flow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4240" w:type="dxa"/>
            <w:vAlign w:val="bottom"/>
            <w:tcBorders>
              <w:top w:val="single" w:sz="8" w:color="0563C1"/>
            </w:tcBorders>
            <w:gridSpan w:val="17"/>
            <w:shd w:val="clear" w:color="auto" w:fill="CCEEFF"/>
          </w:tcPr>
          <w:p>
            <w:pPr>
              <w:spacing w:after="0" w:line="209" w:lineRule="exact"/>
              <w:rPr>
                <w:rFonts w:ascii="Arial" w:cs="Arial" w:eastAsia="Arial" w:hAnsi="Arial"/>
                <w:sz w:val="22"/>
                <w:szCs w:val="22"/>
                <w:color w:val="0563C1"/>
                <w:w w:val="90"/>
              </w:rPr>
            </w:pPr>
            <w:hyperlink w:anchor="page9">
              <w:r>
                <w:rPr>
                  <w:rFonts w:ascii="Arial" w:cs="Arial" w:eastAsia="Arial" w:hAnsi="Arial"/>
                  <w:sz w:val="22"/>
                  <w:szCs w:val="22"/>
                  <w:color w:val="0563C1"/>
                  <w:w w:val="90"/>
                </w:rPr>
                <w:t>Three Months Ended March 31, 2021 and 2020,</w:t>
              </w:r>
            </w:hyperlink>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760" w:type="dxa"/>
            <w:vAlign w:val="bottom"/>
            <w:gridSpan w:val="29"/>
            <w:shd w:val="clear" w:color="auto" w:fill="CCEEFF"/>
          </w:tcPr>
          <w:p>
            <w:pPr>
              <w:spacing w:after="0" w:line="203" w:lineRule="exact"/>
              <w:rPr>
                <w:rFonts w:ascii="Arial" w:cs="Arial" w:eastAsia="Arial" w:hAnsi="Arial"/>
                <w:sz w:val="22"/>
                <w:szCs w:val="22"/>
                <w:color w:val="0563C1"/>
              </w:rPr>
            </w:pPr>
            <w:hyperlink w:anchor="page10">
              <w:r>
                <w:rPr>
                  <w:rFonts w:ascii="Arial" w:cs="Arial" w:eastAsia="Arial" w:hAnsi="Arial"/>
                  <w:sz w:val="22"/>
                  <w:szCs w:val="22"/>
                  <w:color w:val="0563C1"/>
                </w:rPr>
                <w:t>Notes to Consolidated Financial Statements (unaudited)</w:t>
              </w:r>
            </w:hyperlink>
          </w:p>
        </w:tc>
        <w:tc>
          <w:tcPr>
            <w:tcW w:w="1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420" w:type="dxa"/>
            <w:vAlign w:val="bottom"/>
            <w:gridSpan w:val="30"/>
            <w:shd w:val="clear" w:color="auto" w:fill="CCEEFF"/>
          </w:tcPr>
          <w:p>
            <w:pPr>
              <w:spacing w:after="0" w:line="203" w:lineRule="exact"/>
              <w:rPr>
                <w:rFonts w:ascii="Arial" w:cs="Arial" w:eastAsia="Arial" w:hAnsi="Arial"/>
                <w:sz w:val="22"/>
                <w:szCs w:val="22"/>
                <w:color w:val="0563C1"/>
              </w:rPr>
            </w:pPr>
            <w:hyperlink w:anchor="page37">
              <w:r>
                <w:rPr>
                  <w:rFonts w:ascii="Arial" w:cs="Arial" w:eastAsia="Arial" w:hAnsi="Arial"/>
                  <w:sz w:val="22"/>
                  <w:szCs w:val="22"/>
                  <w:color w:val="0563C1"/>
                </w:rPr>
                <w:t>Item 2. Management’s Discussion and Analysis of Financial</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0563C1"/>
            </w:tcBorders>
            <w:shd w:val="clear" w:color="auto" w:fill="CCEEFF"/>
          </w:tcPr>
          <w:p>
            <w:pPr>
              <w:spacing w:after="0"/>
              <w:rPr>
                <w:sz w:val="18"/>
                <w:szCs w:val="18"/>
                <w:color w:val="auto"/>
              </w:rPr>
            </w:pPr>
          </w:p>
        </w:tc>
        <w:tc>
          <w:tcPr>
            <w:tcW w:w="4600" w:type="dxa"/>
            <w:vAlign w:val="bottom"/>
            <w:tcBorders>
              <w:top w:val="single" w:sz="8" w:color="0563C1"/>
            </w:tcBorders>
            <w:gridSpan w:val="20"/>
            <w:shd w:val="clear" w:color="auto" w:fill="CCEEFF"/>
          </w:tcPr>
          <w:p>
            <w:pPr>
              <w:spacing w:after="0" w:line="209" w:lineRule="exact"/>
              <w:rPr>
                <w:rFonts w:ascii="Arial" w:cs="Arial" w:eastAsia="Arial" w:hAnsi="Arial"/>
                <w:sz w:val="22"/>
                <w:szCs w:val="22"/>
                <w:color w:val="0563C1"/>
              </w:rPr>
            </w:pPr>
            <w:hyperlink w:anchor="page37">
              <w:r>
                <w:rPr>
                  <w:rFonts w:ascii="Arial" w:cs="Arial" w:eastAsia="Arial" w:hAnsi="Arial"/>
                  <w:sz w:val="22"/>
                  <w:szCs w:val="22"/>
                  <w:color w:val="0563C1"/>
                </w:rPr>
                <w:t>Condition and Results of Operations</w:t>
              </w:r>
            </w:hyperlink>
          </w:p>
        </w:tc>
        <w:tc>
          <w:tcPr>
            <w:tcW w:w="6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gridSpan w:val="4"/>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45">
              <w:r>
                <w:rPr>
                  <w:rFonts w:ascii="Arial" w:cs="Arial" w:eastAsia="Arial" w:hAnsi="Arial"/>
                  <w:sz w:val="22"/>
                  <w:szCs w:val="22"/>
                  <w:color w:val="0563C1"/>
                  <w:w w:val="95"/>
                </w:rPr>
                <w:t>Item 3.</w:t>
              </w:r>
            </w:hyperlink>
          </w:p>
        </w:tc>
        <w:tc>
          <w:tcPr>
            <w:tcW w:w="8760" w:type="dxa"/>
            <w:vAlign w:val="bottom"/>
            <w:gridSpan w:val="29"/>
            <w:shd w:val="clear" w:color="auto" w:fill="CCEEFF"/>
          </w:tcPr>
          <w:p>
            <w:pPr>
              <w:ind w:left="60"/>
              <w:spacing w:after="0" w:line="216" w:lineRule="exact"/>
              <w:rPr>
                <w:rFonts w:ascii="Arial" w:cs="Arial" w:eastAsia="Arial" w:hAnsi="Arial"/>
                <w:sz w:val="22"/>
                <w:szCs w:val="22"/>
                <w:color w:val="0563C1"/>
              </w:rPr>
            </w:pPr>
            <w:hyperlink w:anchor="page45">
              <w:r>
                <w:rPr>
                  <w:rFonts w:ascii="Arial" w:cs="Arial" w:eastAsia="Arial" w:hAnsi="Arial"/>
                  <w:sz w:val="22"/>
                  <w:szCs w:val="22"/>
                  <w:color w:val="0563C1"/>
                </w:rPr>
                <w:t>Quantitative and Qualitative Disclosures About Market Risk</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45">
              <w:r>
                <w:rPr>
                  <w:rFonts w:ascii="Arial" w:cs="Arial" w:eastAsia="Arial" w:hAnsi="Arial"/>
                  <w:sz w:val="22"/>
                  <w:szCs w:val="22"/>
                  <w:color w:val="0563C1"/>
                  <w:w w:val="95"/>
                </w:rPr>
                <w:t>Item 4.</w:t>
              </w:r>
            </w:hyperlink>
          </w:p>
        </w:tc>
        <w:tc>
          <w:tcPr>
            <w:tcW w:w="8760" w:type="dxa"/>
            <w:vAlign w:val="bottom"/>
            <w:gridSpan w:val="29"/>
            <w:shd w:val="clear" w:color="auto" w:fill="CCEEFF"/>
          </w:tcPr>
          <w:p>
            <w:pPr>
              <w:ind w:left="60"/>
              <w:spacing w:after="0" w:line="216" w:lineRule="exact"/>
              <w:rPr>
                <w:rFonts w:ascii="Arial" w:cs="Arial" w:eastAsia="Arial" w:hAnsi="Arial"/>
                <w:sz w:val="22"/>
                <w:szCs w:val="22"/>
                <w:color w:val="0563C1"/>
              </w:rPr>
            </w:pPr>
            <w:hyperlink w:anchor="page45">
              <w:r>
                <w:rPr>
                  <w:rFonts w:ascii="Arial" w:cs="Arial" w:eastAsia="Arial" w:hAnsi="Arial"/>
                  <w:sz w:val="22"/>
                  <w:szCs w:val="22"/>
                  <w:color w:val="0563C1"/>
                </w:rPr>
                <w:t>Controls and Procedures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60" w:type="dxa"/>
            <w:vAlign w:val="bottom"/>
            <w:gridSpan w:val="15"/>
            <w:shd w:val="clear" w:color="auto" w:fill="CCEEFF"/>
          </w:tcPr>
          <w:p>
            <w:pPr>
              <w:jc w:val="center"/>
              <w:ind w:right="2620"/>
              <w:spacing w:after="0" w:line="203" w:lineRule="exact"/>
              <w:rPr>
                <w:rFonts w:ascii="Arial" w:cs="Arial" w:eastAsia="Arial" w:hAnsi="Arial"/>
                <w:sz w:val="22"/>
                <w:szCs w:val="22"/>
                <w:color w:val="0563C1"/>
                <w:w w:val="91"/>
              </w:rPr>
            </w:pPr>
            <w:hyperlink w:anchor="page45">
              <w:r>
                <w:rPr>
                  <w:rFonts w:ascii="Arial" w:cs="Arial" w:eastAsia="Arial" w:hAnsi="Arial"/>
                  <w:sz w:val="22"/>
                  <w:szCs w:val="22"/>
                  <w:color w:val="0563C1"/>
                  <w:w w:val="91"/>
                </w:rPr>
                <w:t>Part II – Other Information</w:t>
              </w:r>
            </w:hyperlink>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45">
              <w:r>
                <w:rPr>
                  <w:rFonts w:ascii="Arial" w:cs="Arial" w:eastAsia="Arial" w:hAnsi="Arial"/>
                  <w:sz w:val="22"/>
                  <w:szCs w:val="22"/>
                  <w:color w:val="0563C1"/>
                  <w:w w:val="95"/>
                </w:rPr>
                <w:t>Item 1.</w:t>
              </w:r>
            </w:hyperlink>
          </w:p>
        </w:tc>
        <w:tc>
          <w:tcPr>
            <w:tcW w:w="8760" w:type="dxa"/>
            <w:vAlign w:val="bottom"/>
            <w:gridSpan w:val="29"/>
            <w:shd w:val="clear" w:color="auto" w:fill="CCEEFF"/>
          </w:tcPr>
          <w:p>
            <w:pPr>
              <w:ind w:left="60"/>
              <w:spacing w:after="0" w:line="216" w:lineRule="exact"/>
              <w:rPr>
                <w:rFonts w:ascii="Arial" w:cs="Arial" w:eastAsia="Arial" w:hAnsi="Arial"/>
                <w:sz w:val="22"/>
                <w:szCs w:val="22"/>
                <w:color w:val="0563C1"/>
              </w:rPr>
            </w:pPr>
            <w:hyperlink w:anchor="page45">
              <w:r>
                <w:rPr>
                  <w:rFonts w:ascii="Arial" w:cs="Arial" w:eastAsia="Arial" w:hAnsi="Arial"/>
                  <w:sz w:val="22"/>
                  <w:szCs w:val="22"/>
                  <w:color w:val="0563C1"/>
                </w:rPr>
                <w:t>Legal Proceedings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20" w:type="dxa"/>
            <w:vAlign w:val="bottom"/>
            <w:gridSpan w:val="30"/>
            <w:shd w:val="clear" w:color="auto" w:fill="CCEEFF"/>
          </w:tcPr>
          <w:p>
            <w:pPr>
              <w:spacing w:after="0" w:line="216" w:lineRule="exact"/>
              <w:rPr>
                <w:rFonts w:ascii="Arial" w:cs="Arial" w:eastAsia="Arial" w:hAnsi="Arial"/>
                <w:sz w:val="22"/>
                <w:szCs w:val="22"/>
                <w:color w:val="0563C1"/>
              </w:rPr>
            </w:pPr>
            <w:hyperlink w:anchor="page45">
              <w:r>
                <w:rPr>
                  <w:rFonts w:ascii="Arial" w:cs="Arial" w:eastAsia="Arial" w:hAnsi="Arial"/>
                  <w:sz w:val="22"/>
                  <w:szCs w:val="22"/>
                  <w:color w:val="0563C1"/>
                </w:rPr>
                <w:t>Item 1A. Risk Factors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46">
              <w:r>
                <w:rPr>
                  <w:rFonts w:ascii="Arial" w:cs="Arial" w:eastAsia="Arial" w:hAnsi="Arial"/>
                  <w:sz w:val="22"/>
                  <w:szCs w:val="22"/>
                  <w:color w:val="0563C1"/>
                  <w:w w:val="95"/>
                </w:rPr>
                <w:t>Item 2.</w:t>
              </w:r>
            </w:hyperlink>
          </w:p>
        </w:tc>
        <w:tc>
          <w:tcPr>
            <w:tcW w:w="8760" w:type="dxa"/>
            <w:vAlign w:val="bottom"/>
            <w:gridSpan w:val="29"/>
            <w:shd w:val="clear" w:color="auto" w:fill="CCEEFF"/>
          </w:tcPr>
          <w:p>
            <w:pPr>
              <w:ind w:left="60"/>
              <w:spacing w:after="0" w:line="216" w:lineRule="exact"/>
              <w:rPr>
                <w:rFonts w:ascii="Arial" w:cs="Arial" w:eastAsia="Arial" w:hAnsi="Arial"/>
                <w:sz w:val="22"/>
                <w:szCs w:val="22"/>
                <w:color w:val="0563C1"/>
              </w:rPr>
            </w:pPr>
            <w:hyperlink w:anchor="page46">
              <w:r>
                <w:rPr>
                  <w:rFonts w:ascii="Arial" w:cs="Arial" w:eastAsia="Arial" w:hAnsi="Arial"/>
                  <w:sz w:val="22"/>
                  <w:szCs w:val="22"/>
                  <w:color w:val="0563C1"/>
                </w:rPr>
                <w:t>Unregistered Sales of Equity Securities and Use of Proceeds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46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16" w:lineRule="exact"/>
              <w:rPr>
                <w:rFonts w:ascii="Arial" w:cs="Arial" w:eastAsia="Arial" w:hAnsi="Arial"/>
                <w:sz w:val="22"/>
                <w:szCs w:val="22"/>
                <w:color w:val="0563C1"/>
                <w:w w:val="95"/>
              </w:rPr>
            </w:pPr>
            <w:hyperlink w:anchor="page47">
              <w:r>
                <w:rPr>
                  <w:rFonts w:ascii="Arial" w:cs="Arial" w:eastAsia="Arial" w:hAnsi="Arial"/>
                  <w:sz w:val="22"/>
                  <w:szCs w:val="22"/>
                  <w:color w:val="0563C1"/>
                  <w:w w:val="95"/>
                </w:rPr>
                <w:t>Item 6.</w:t>
              </w:r>
            </w:hyperlink>
          </w:p>
        </w:tc>
        <w:tc>
          <w:tcPr>
            <w:tcW w:w="8760" w:type="dxa"/>
            <w:vAlign w:val="bottom"/>
            <w:gridSpan w:val="29"/>
            <w:shd w:val="clear" w:color="auto" w:fill="CCEEFF"/>
          </w:tcPr>
          <w:p>
            <w:pPr>
              <w:ind w:left="60"/>
              <w:spacing w:after="0" w:line="216" w:lineRule="exact"/>
              <w:rPr>
                <w:rFonts w:ascii="Arial" w:cs="Arial" w:eastAsia="Arial" w:hAnsi="Arial"/>
                <w:sz w:val="22"/>
                <w:szCs w:val="22"/>
                <w:color w:val="0563C1"/>
              </w:rPr>
            </w:pPr>
            <w:hyperlink w:anchor="page47">
              <w:r>
                <w:rPr>
                  <w:rFonts w:ascii="Arial" w:cs="Arial" w:eastAsia="Arial" w:hAnsi="Arial"/>
                  <w:sz w:val="22"/>
                  <w:szCs w:val="22"/>
                  <w:color w:val="0563C1"/>
                </w:rPr>
                <w:t>Exhibits</w:t>
              </w:r>
            </w:hyperlink>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0563C1"/>
            </w:tcBorders>
            <w:gridSpan w:val="2"/>
            <w:shd w:val="clear" w:color="auto" w:fill="CCEEFF"/>
          </w:tcPr>
          <w:p>
            <w:pPr>
              <w:spacing w:after="0" w:line="216" w:lineRule="exact"/>
              <w:rPr>
                <w:rFonts w:ascii="Arial" w:cs="Arial" w:eastAsia="Arial" w:hAnsi="Arial"/>
                <w:sz w:val="22"/>
                <w:szCs w:val="22"/>
                <w:color w:val="0563C1"/>
                <w:w w:val="85"/>
              </w:rPr>
            </w:pPr>
            <w:hyperlink w:anchor="page48">
              <w:r>
                <w:rPr>
                  <w:rFonts w:ascii="Arial" w:cs="Arial" w:eastAsia="Arial" w:hAnsi="Arial"/>
                  <w:sz w:val="22"/>
                  <w:szCs w:val="22"/>
                  <w:color w:val="0563C1"/>
                  <w:w w:val="85"/>
                </w:rPr>
                <w:t>Signatures</w:t>
              </w:r>
            </w:hyperlink>
          </w:p>
        </w:tc>
        <w:tc>
          <w:tcPr>
            <w:tcW w:w="8500" w:type="dxa"/>
            <w:vAlign w:val="bottom"/>
            <w:tcBorders>
              <w:bottom w:val="single" w:sz="8" w:color="CCEEFF"/>
            </w:tcBorders>
            <w:gridSpan w:val="28"/>
            <w:shd w:val="clear" w:color="auto" w:fill="CCEEFF"/>
          </w:tcPr>
          <w:p>
            <w:pPr>
              <w:spacing w:after="0"/>
              <w:rPr>
                <w:sz w:val="19"/>
                <w:szCs w:val="19"/>
                <w:color w:val="auto"/>
              </w:rPr>
            </w:pPr>
          </w:p>
        </w:tc>
        <w:tc>
          <w:tcPr>
            <w:tcW w:w="1820" w:type="dxa"/>
            <w:vAlign w:val="bottom"/>
            <w:tcBorders>
              <w:bottom w:val="single" w:sz="8" w:color="CCEEFF"/>
            </w:tcBorders>
            <w:gridSpan w:val="2"/>
            <w:shd w:val="clear" w:color="auto" w:fill="CCEEFF"/>
          </w:tcPr>
          <w:p>
            <w:pPr>
              <w:jc w:val="right"/>
              <w:spacing w:after="0" w:line="216" w:lineRule="exact"/>
              <w:rPr>
                <w:sz w:val="20"/>
                <w:szCs w:val="20"/>
                <w:color w:val="auto"/>
              </w:rPr>
            </w:pPr>
            <w:r>
              <w:rPr>
                <w:rFonts w:ascii="Arial" w:cs="Arial" w:eastAsia="Arial" w:hAnsi="Arial"/>
                <w:sz w:val="22"/>
                <w:szCs w:val="22"/>
                <w:color w:val="auto"/>
              </w:rPr>
              <w:t>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06"/>
        </w:trPr>
        <w:tc>
          <w:tcPr>
            <w:tcW w:w="660" w:type="dxa"/>
            <w:vAlign w:val="bottom"/>
          </w:tcPr>
          <w:p>
            <w:pPr>
              <w:spacing w:after="0"/>
              <w:rPr>
                <w:sz w:val="24"/>
                <w:szCs w:val="24"/>
                <w:color w:val="auto"/>
              </w:rPr>
            </w:pPr>
          </w:p>
        </w:tc>
        <w:tc>
          <w:tcPr>
            <w:tcW w:w="5280" w:type="dxa"/>
            <w:vAlign w:val="bottom"/>
            <w:gridSpan w:val="23"/>
          </w:tcPr>
          <w:p>
            <w:pPr>
              <w:jc w:val="center"/>
              <w:ind w:left="4552"/>
              <w:spacing w:after="0"/>
              <w:rPr>
                <w:sz w:val="20"/>
                <w:szCs w:val="20"/>
                <w:color w:val="auto"/>
              </w:rPr>
            </w:pPr>
            <w:r>
              <w:rPr>
                <w:rFonts w:ascii="Arial" w:cs="Arial" w:eastAsia="Arial" w:hAnsi="Arial"/>
                <w:sz w:val="22"/>
                <w:szCs w:val="22"/>
                <w:color w:val="auto"/>
                <w:w w:val="81"/>
              </w:rPr>
              <w:t>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vMerge w:val="restart"/>
          </w:tcPr>
          <w:p>
            <w:pPr>
              <w:ind w:left="394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6"/>
                <w:szCs w:val="16"/>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March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5"/>
        </w:trPr>
        <w:tc>
          <w:tcPr>
            <w:tcW w:w="84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Property, plant and equipment, at cost</w:t>
            </w:r>
          </w:p>
        </w:tc>
        <w:tc>
          <w:tcPr>
            <w:tcW w:w="220" w:type="dxa"/>
            <w:vAlign w:val="bottom"/>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11,771,225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11,620,019</w:t>
            </w:r>
          </w:p>
        </w:tc>
        <w:tc>
          <w:tcPr>
            <w:tcW w:w="0" w:type="dxa"/>
            <w:vAlign w:val="bottom"/>
          </w:tcPr>
          <w:p>
            <w:pPr>
              <w:spacing w:after="0"/>
              <w:rPr>
                <w:sz w:val="1"/>
                <w:szCs w:val="1"/>
                <w:color w:val="auto"/>
              </w:rPr>
            </w:pPr>
          </w:p>
        </w:tc>
      </w:tr>
      <w:tr>
        <w:trPr>
          <w:trHeight w:val="162"/>
        </w:trPr>
        <w:tc>
          <w:tcPr>
            <w:tcW w:w="84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2,201,890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2,107,142</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9,569,335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9,512,877</w:t>
            </w: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18,046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168,464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154,775</w:t>
            </w: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Unbilled revenues</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84,700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118,538</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Inventory - materials and supplies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24,092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21,669</w:t>
            </w: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Inventory - gas stored</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10,730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36,732</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Prepayments and other current assets</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33,547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38,594</w:t>
            </w:r>
          </w:p>
        </w:tc>
        <w:tc>
          <w:tcPr>
            <w:tcW w:w="0" w:type="dxa"/>
            <w:vAlign w:val="bottom"/>
          </w:tcPr>
          <w:p>
            <w:pPr>
              <w:spacing w:after="0"/>
              <w:rPr>
                <w:sz w:val="1"/>
                <w:szCs w:val="1"/>
                <w:color w:val="auto"/>
              </w:rPr>
            </w:pPr>
          </w:p>
        </w:tc>
      </w:tr>
      <w:tr>
        <w:trPr>
          <w:trHeight w:val="162"/>
        </w:trPr>
        <w:tc>
          <w:tcPr>
            <w:tcW w:w="848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Regulatory assets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8,530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5,085</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348,109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380,220</w:t>
            </w: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Regulatory assets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1,409,022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1,362,788</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Deferred charges and other assets, net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87,777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56,002</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Funds restricted for construction activity</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2,340,905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2,324,547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58,513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60,334</w:t>
            </w:r>
          </w:p>
        </w:tc>
        <w:tc>
          <w:tcPr>
            <w:tcW w:w="0" w:type="dxa"/>
            <w:vAlign w:val="bottom"/>
          </w:tcPr>
          <w:p>
            <w:pPr>
              <w:spacing w:after="0"/>
              <w:rPr>
                <w:sz w:val="1"/>
                <w:szCs w:val="1"/>
                <w:color w:val="auto"/>
              </w:rPr>
            </w:pPr>
          </w:p>
        </w:tc>
      </w:tr>
      <w:tr>
        <w:trPr>
          <w:trHeight w:val="162"/>
        </w:trPr>
        <w:tc>
          <w:tcPr>
            <w:tcW w:w="84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Intangible assets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6,986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7,241</w:t>
            </w:r>
          </w:p>
        </w:tc>
        <w:tc>
          <w:tcPr>
            <w:tcW w:w="0" w:type="dxa"/>
            <w:vAlign w:val="bottom"/>
          </w:tcPr>
          <w:p>
            <w:pPr>
              <w:spacing w:after="0"/>
              <w:rPr>
                <w:sz w:val="1"/>
                <w:szCs w:val="1"/>
                <w:color w:val="auto"/>
              </w:rPr>
            </w:pPr>
          </w:p>
        </w:tc>
      </w:tr>
      <w:tr>
        <w:trPr>
          <w:trHeight w:val="156"/>
        </w:trPr>
        <w:tc>
          <w:tcPr>
            <w:tcW w:w="84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13,821,915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13,705,277</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CONSOLIDATED BALANCE SHEETS (continued)</w:t>
      </w:r>
    </w:p>
    <w:p>
      <w:pPr>
        <w:ind w:left="338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vMerge w:val="restart"/>
          </w:tcPr>
          <w:p>
            <w:pPr>
              <w:ind w:left="3500"/>
              <w:spacing w:after="0"/>
              <w:rPr>
                <w:sz w:val="20"/>
                <w:szCs w:val="20"/>
                <w:color w:val="auto"/>
              </w:rPr>
            </w:pPr>
            <w:r>
              <w:rPr>
                <w:rFonts w:ascii="Arial" w:cs="Arial" w:eastAsia="Arial" w:hAnsi="Arial"/>
                <w:sz w:val="16"/>
                <w:szCs w:val="16"/>
                <w:color w:val="auto"/>
              </w:rPr>
              <w:t>Liabilities and Equity</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6"/>
                <w:szCs w:val="16"/>
                <w:color w:val="auto"/>
              </w:rPr>
              <w:t>March 31,</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85"/>
        </w:trPr>
        <w:tc>
          <w:tcPr>
            <w:tcW w:w="8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420" w:type="dxa"/>
            <w:vAlign w:val="bottom"/>
          </w:tcPr>
          <w:p>
            <w:pPr>
              <w:spacing w:after="0" w:line="155" w:lineRule="exact"/>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42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2"/>
              </w:rPr>
              <w:t>Common stock at $0.50 par value, authorized 600,000,000 shares, issued 248,882,867 and 248,571,355 as of March 31, 2021</w:t>
            </w:r>
          </w:p>
        </w:tc>
        <w:tc>
          <w:tcPr>
            <w:tcW w:w="380" w:type="dxa"/>
            <w:vAlign w:val="bottom"/>
            <w:gridSpan w:val="2"/>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124,441</w:t>
            </w:r>
          </w:p>
        </w:tc>
        <w:tc>
          <w:tcPr>
            <w:tcW w:w="1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124,285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December 31, 2020</w:t>
            </w:r>
          </w:p>
        </w:tc>
        <w:tc>
          <w:tcPr>
            <w:tcW w:w="38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3,386,376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3,379,057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1,383,857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1,261,862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Treasury stock, at cost, 3,251,478 and 3,180,887 shares as of March 31, 2021 and December 31, 2020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(84,333)</w:t>
            </w: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(81,327)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4,810,341</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4,683,877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debt, excluding current portion</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5,585,245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5,545,890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debt issuance costs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37,309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38,146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Long-term debt, excluding current portion, net of debt issuance costs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5,547,936</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5,507,744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420" w:type="dxa"/>
            <w:vAlign w:val="bottom"/>
          </w:tcPr>
          <w:p>
            <w:pPr>
              <w:spacing w:after="0"/>
              <w:rPr>
                <w:sz w:val="20"/>
                <w:szCs w:val="20"/>
                <w:color w:val="auto"/>
              </w:rPr>
            </w:pPr>
            <w:r>
              <w:rPr>
                <w:rFonts w:ascii="Arial" w:cs="Arial" w:eastAsia="Arial" w:hAnsi="Arial"/>
                <w:sz w:val="16"/>
                <w:szCs w:val="16"/>
                <w:color w:val="auto"/>
              </w:rPr>
              <w:t>Commitments and contingencies (See Note 14)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8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80,351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84,353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Loans payable</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74,893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121,593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177,489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Book overdraft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44,003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65,286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39,408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Accrued taxes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38,365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37,172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14,662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19,866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accrued liabilities</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108,244</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123,384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20" w:type="dxa"/>
            <w:vAlign w:val="bottom"/>
          </w:tcPr>
          <w:p>
            <w:pPr>
              <w:spacing w:after="0" w:line="155" w:lineRule="exact"/>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503,394</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603,873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credits and other liabilities: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Deferred income taxes and investment tax credits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1,310,000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1,258,098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Customers' advances for construction</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102,830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99,014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784,151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773,310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Asset retirement obligations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1,348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120"/>
              <w:spacing w:after="0" w:line="162" w:lineRule="exact"/>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53,542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55,642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Pension and other postretirement benefit liabilities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83,306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91,896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46,310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56,713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deferred credits and other liabilities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2,381,487</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2,336,009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Contributions in aid of construction</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578,757</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573,774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20" w:type="dxa"/>
            <w:vAlign w:val="bottom"/>
          </w:tcPr>
          <w:p>
            <w:pPr>
              <w:spacing w:after="0" w:line="155" w:lineRule="exact"/>
              <w:rPr>
                <w:sz w:val="20"/>
                <w:szCs w:val="20"/>
                <w:color w:val="auto"/>
              </w:rPr>
            </w:pPr>
            <w:r>
              <w:rPr>
                <w:rFonts w:ascii="Arial" w:cs="Arial" w:eastAsia="Arial" w:hAnsi="Arial"/>
                <w:sz w:val="16"/>
                <w:szCs w:val="16"/>
                <w:color w:val="auto"/>
              </w:rPr>
              <w:t>Total liabilities and equity</w:t>
            </w: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13,821,915</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13,705,277</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CONSOLIDATED STATEMENTS OF OPERATIONS AND COMPREHENSIVE INCOME</w:t>
      </w:r>
    </w:p>
    <w:p>
      <w:pPr>
        <w:ind w:left="398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5"/>
          </w:tcPr>
          <w:p>
            <w:pPr>
              <w:jc w:val="right"/>
              <w:ind w:right="792"/>
              <w:spacing w:after="0"/>
              <w:rPr>
                <w:sz w:val="20"/>
                <w:szCs w:val="20"/>
                <w:color w:val="auto"/>
              </w:rPr>
            </w:pPr>
            <w:r>
              <w:rPr>
                <w:rFonts w:ascii="Arial" w:cs="Arial" w:eastAsia="Arial" w:hAnsi="Arial"/>
                <w:sz w:val="22"/>
                <w:szCs w:val="22"/>
                <w:color w:val="auto"/>
              </w:rPr>
              <w:t>Three Months Ended</w:t>
            </w:r>
          </w:p>
        </w:tc>
        <w:tc>
          <w:tcPr>
            <w:tcW w:w="0" w:type="dxa"/>
            <w:vAlign w:val="bottom"/>
          </w:tcPr>
          <w:p>
            <w:pPr>
              <w:spacing w:after="0"/>
              <w:rPr>
                <w:sz w:val="1"/>
                <w:szCs w:val="1"/>
                <w:color w:val="auto"/>
              </w:rPr>
            </w:pPr>
          </w:p>
        </w:tc>
      </w:tr>
      <w:tr>
        <w:trPr>
          <w:trHeight w:val="251"/>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84"/>
              <w:spacing w:after="0" w:line="251" w:lineRule="exact"/>
              <w:rPr>
                <w:sz w:val="20"/>
                <w:szCs w:val="20"/>
                <w:color w:val="auto"/>
              </w:rPr>
            </w:pPr>
            <w:r>
              <w:rPr>
                <w:rFonts w:ascii="Arial" w:cs="Arial" w:eastAsia="Arial" w:hAnsi="Arial"/>
                <w:sz w:val="22"/>
                <w:szCs w:val="22"/>
                <w:color w:val="auto"/>
              </w:rPr>
              <w:t>March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583,565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255,585</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125,075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106,637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132,153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12,770</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71,637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45,566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1,307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679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21,041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16,436</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20"/>
              <w:spacing w:after="0" w:line="223" w:lineRule="exact"/>
              <w:rPr>
                <w:sz w:val="20"/>
                <w:szCs w:val="20"/>
                <w:color w:val="auto"/>
              </w:rPr>
            </w:pPr>
            <w:r>
              <w:rPr>
                <w:rFonts w:ascii="Arial" w:cs="Arial" w:eastAsia="Arial" w:hAnsi="Arial"/>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351,213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182,088</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232,352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73,497</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50,769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35,122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(387)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(5,035)</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(2,934)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(2,948)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Equity loss in joint venture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(3,471)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1,679</w:t>
            </w:r>
          </w:p>
        </w:tc>
        <w:tc>
          <w:tcPr>
            <w:tcW w:w="0" w:type="dxa"/>
            <w:vAlign w:val="bottom"/>
          </w:tcPr>
          <w:p>
            <w:pPr>
              <w:spacing w:after="0"/>
              <w:rPr>
                <w:sz w:val="1"/>
                <w:szCs w:val="1"/>
                <w:color w:val="auto"/>
              </w:rPr>
            </w:pPr>
          </w:p>
        </w:tc>
      </w:tr>
      <w:tr>
        <w:trPr>
          <w:trHeight w:val="223"/>
        </w:trPr>
        <w:tc>
          <w:tcPr>
            <w:tcW w:w="5860" w:type="dxa"/>
            <w:vAlign w:val="bottom"/>
          </w:tcPr>
          <w:p>
            <w:pPr>
              <w:spacing w:after="0" w:line="223" w:lineRule="exact"/>
              <w:rPr>
                <w:sz w:val="20"/>
                <w:szCs w:val="20"/>
                <w:color w:val="auto"/>
              </w:rPr>
            </w:pPr>
            <w:r>
              <w:rPr>
                <w:rFonts w:ascii="Arial" w:cs="Arial" w:eastAsia="Arial" w:hAnsi="Arial"/>
                <w:sz w:val="22"/>
                <w:szCs w:val="22"/>
                <w:color w:val="auto"/>
              </w:rPr>
              <w:t>Income before income taxes</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188,455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Arial" w:cs="Arial" w:eastAsia="Arial" w:hAnsi="Arial"/>
                <w:sz w:val="22"/>
                <w:szCs w:val="22"/>
                <w:color w:val="auto"/>
              </w:rPr>
              <w:t>44,657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Provision for income taxes (benefit)</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4,766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(7,124)</w:t>
            </w:r>
          </w:p>
        </w:tc>
        <w:tc>
          <w:tcPr>
            <w:tcW w:w="0" w:type="dxa"/>
            <w:vAlign w:val="bottom"/>
          </w:tcPr>
          <w:p>
            <w:pPr>
              <w:spacing w:after="0"/>
              <w:rPr>
                <w:sz w:val="1"/>
                <w:szCs w:val="1"/>
                <w:color w:val="auto"/>
              </w:rPr>
            </w:pPr>
          </w:p>
        </w:tc>
      </w:tr>
      <w:tr>
        <w:trPr>
          <w:trHeight w:val="223"/>
        </w:trPr>
        <w:tc>
          <w:tcPr>
            <w:tcW w:w="5860" w:type="dxa"/>
            <w:vAlign w:val="bottom"/>
          </w:tcPr>
          <w:p>
            <w:pPr>
              <w:spacing w:after="0" w:line="223" w:lineRule="exact"/>
              <w:rPr>
                <w:sz w:val="20"/>
                <w:szCs w:val="20"/>
                <w:color w:val="auto"/>
              </w:rPr>
            </w:pPr>
            <w:r>
              <w:rPr>
                <w:rFonts w:ascii="Arial" w:cs="Arial" w:eastAsia="Arial" w:hAnsi="Arial"/>
                <w:sz w:val="22"/>
                <w:szCs w:val="22"/>
                <w:color w:val="auto"/>
              </w:rPr>
              <w:t>Net income</w:t>
            </w:r>
          </w:p>
        </w:tc>
        <w:tc>
          <w:tcPr>
            <w:tcW w:w="1780" w:type="dxa"/>
            <w:vAlign w:val="bottom"/>
          </w:tcPr>
          <w:p>
            <w:pPr>
              <w:spacing w:after="0"/>
              <w:rPr>
                <w:sz w:val="19"/>
                <w:szCs w:val="19"/>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183,689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51,781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Comprehensive income</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183,689</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84"/>
              <w:spacing w:after="0"/>
              <w:rPr>
                <w:sz w:val="20"/>
                <w:szCs w:val="20"/>
                <w:color w:val="auto"/>
              </w:rPr>
            </w:pPr>
            <w:r>
              <w:rPr>
                <w:rFonts w:ascii="Arial" w:cs="Arial" w:eastAsia="Arial" w:hAnsi="Arial"/>
                <w:sz w:val="19"/>
                <w:szCs w:val="19"/>
                <w:color w:val="auto"/>
                <w:w w:val="75"/>
              </w:rPr>
              <w:t>$</w:t>
            </w: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51,781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0.72</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84"/>
              <w:spacing w:after="0"/>
              <w:rPr>
                <w:sz w:val="20"/>
                <w:szCs w:val="20"/>
                <w:color w:val="auto"/>
              </w:rPr>
            </w:pPr>
            <w:r>
              <w:rPr>
                <w:rFonts w:ascii="Arial" w:cs="Arial" w:eastAsia="Arial" w:hAnsi="Arial"/>
                <w:sz w:val="19"/>
                <w:szCs w:val="19"/>
                <w:color w:val="auto"/>
                <w:w w:val="75"/>
              </w:rPr>
              <w:t>$</w:t>
            </w: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0.22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83"/>
              <w:spacing w:after="0" w:line="210" w:lineRule="exact"/>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0.72</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0.20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172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254,565</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236,122</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254,969</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255,054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color w:val="auto"/>
                <w:w w:val="95"/>
              </w:rPr>
              <w:t>December 31,</w:t>
            </w:r>
          </w:p>
        </w:tc>
        <w:tc>
          <w:tcPr>
            <w:tcW w:w="0" w:type="dxa"/>
            <w:vAlign w:val="bottom"/>
          </w:tcPr>
          <w:p>
            <w:pPr>
              <w:spacing w:after="0"/>
              <w:rPr>
                <w:sz w:val="1"/>
                <w:szCs w:val="1"/>
                <w:color w:val="auto"/>
              </w:rPr>
            </w:pPr>
          </w:p>
        </w:tc>
      </w:tr>
      <w:tr>
        <w:trPr>
          <w:trHeight w:val="216"/>
        </w:trPr>
        <w:tc>
          <w:tcPr>
            <w:tcW w:w="528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528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$0.50 par value</w:t>
            </w:r>
          </w:p>
        </w:tc>
        <w:tc>
          <w:tcPr>
            <w:tcW w:w="3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124,441</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124,285</w:t>
            </w:r>
          </w:p>
        </w:tc>
        <w:tc>
          <w:tcPr>
            <w:tcW w:w="0" w:type="dxa"/>
            <w:vAlign w:val="bottom"/>
          </w:tcPr>
          <w:p>
            <w:pPr>
              <w:spacing w:after="0"/>
              <w:rPr>
                <w:sz w:val="1"/>
                <w:szCs w:val="1"/>
                <w:color w:val="auto"/>
              </w:rPr>
            </w:pPr>
          </w:p>
        </w:tc>
      </w:tr>
      <w:tr>
        <w:trPr>
          <w:trHeight w:val="189"/>
        </w:trPr>
        <w:tc>
          <w:tcPr>
            <w:tcW w:w="5280" w:type="dxa"/>
            <w:vAlign w:val="bottom"/>
          </w:tcPr>
          <w:p>
            <w:pPr>
              <w:ind w:left="240"/>
              <w:spacing w:after="0" w:line="189" w:lineRule="exact"/>
              <w:rPr>
                <w:sz w:val="20"/>
                <w:szCs w:val="20"/>
                <w:color w:val="auto"/>
              </w:rPr>
            </w:pPr>
            <w:r>
              <w:rPr>
                <w:rFonts w:ascii="Arial" w:cs="Arial" w:eastAsia="Arial" w:hAnsi="Arial"/>
                <w:sz w:val="18"/>
                <w:szCs w:val="18"/>
                <w:color w:val="auto"/>
              </w:rPr>
              <w:t>Capital in excess of par value</w:t>
            </w: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3,386,376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3,379,057</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Retained earnings</w:t>
            </w:r>
          </w:p>
        </w:tc>
        <w:tc>
          <w:tcPr>
            <w:tcW w:w="2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1,383,857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1,261,862</w:t>
            </w:r>
          </w:p>
        </w:tc>
        <w:tc>
          <w:tcPr>
            <w:tcW w:w="0" w:type="dxa"/>
            <w:vAlign w:val="bottom"/>
          </w:tcPr>
          <w:p>
            <w:pPr>
              <w:spacing w:after="0"/>
              <w:rPr>
                <w:sz w:val="1"/>
                <w:szCs w:val="1"/>
                <w:color w:val="auto"/>
              </w:rPr>
            </w:pPr>
          </w:p>
        </w:tc>
      </w:tr>
      <w:tr>
        <w:trPr>
          <w:trHeight w:val="189"/>
        </w:trPr>
        <w:tc>
          <w:tcPr>
            <w:tcW w:w="5280" w:type="dxa"/>
            <w:vAlign w:val="bottom"/>
          </w:tcPr>
          <w:p>
            <w:pPr>
              <w:ind w:left="240"/>
              <w:spacing w:after="0" w:line="189" w:lineRule="exact"/>
              <w:rPr>
                <w:sz w:val="20"/>
                <w:szCs w:val="20"/>
                <w:color w:val="auto"/>
              </w:rPr>
            </w:pPr>
            <w:r>
              <w:rPr>
                <w:rFonts w:ascii="Arial" w:cs="Arial" w:eastAsia="Arial" w:hAnsi="Arial"/>
                <w:sz w:val="18"/>
                <w:szCs w:val="18"/>
                <w:color w:val="auto"/>
              </w:rPr>
              <w:t>Treasury stock, at cost</w:t>
            </w: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(84,333)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(81,327)</w:t>
            </w:r>
          </w:p>
        </w:tc>
        <w:tc>
          <w:tcPr>
            <w:tcW w:w="0" w:type="dxa"/>
            <w:vAlign w:val="bottom"/>
          </w:tcPr>
          <w:p>
            <w:pPr>
              <w:spacing w:after="0"/>
              <w:rPr>
                <w:sz w:val="1"/>
                <w:szCs w:val="1"/>
                <w:color w:val="auto"/>
              </w:rPr>
            </w:pPr>
          </w:p>
        </w:tc>
      </w:tr>
      <w:tr>
        <w:trPr>
          <w:trHeight w:val="183"/>
        </w:trPr>
        <w:tc>
          <w:tcPr>
            <w:tcW w:w="5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stockholders' equity</w:t>
            </w:r>
          </w:p>
        </w:tc>
        <w:tc>
          <w:tcPr>
            <w:tcW w:w="27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4,810,341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4,683,877</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3640" w:type="dxa"/>
            <w:vAlign w:val="bottom"/>
            <w:gridSpan w:val="2"/>
          </w:tcPr>
          <w:p>
            <w:pPr>
              <w:jc w:val="center"/>
              <w:ind w:right="2220"/>
              <w:spacing w:after="0" w:line="185" w:lineRule="exact"/>
              <w:rPr>
                <w:sz w:val="20"/>
                <w:szCs w:val="20"/>
                <w:color w:val="auto"/>
              </w:rPr>
            </w:pPr>
            <w:r>
              <w:rPr>
                <w:rFonts w:ascii="Arial" w:cs="Arial" w:eastAsia="Arial" w:hAnsi="Arial"/>
                <w:sz w:val="18"/>
                <w:szCs w:val="18"/>
                <w:color w:val="auto"/>
                <w:w w:val="88"/>
              </w:rPr>
              <w:t>Interest Rate Range</w:t>
            </w:r>
          </w:p>
        </w:tc>
        <w:tc>
          <w:tcPr>
            <w:tcW w:w="2300" w:type="dxa"/>
            <w:vAlign w:val="bottom"/>
            <w:gridSpan w:val="3"/>
          </w:tcPr>
          <w:p>
            <w:pPr>
              <w:jc w:val="center"/>
              <w:ind w:right="420"/>
              <w:spacing w:after="0" w:line="185" w:lineRule="exact"/>
              <w:rPr>
                <w:sz w:val="20"/>
                <w:szCs w:val="20"/>
                <w:color w:val="auto"/>
              </w:rPr>
            </w:pPr>
            <w:r>
              <w:rPr>
                <w:rFonts w:ascii="Arial" w:cs="Arial" w:eastAsia="Arial" w:hAnsi="Arial"/>
                <w:sz w:val="18"/>
                <w:szCs w:val="18"/>
                <w:color w:val="auto"/>
                <w:w w:val="92"/>
              </w:rPr>
              <w:t>Maturity Date Range</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0.00% to 0.99%</w:t>
            </w:r>
          </w:p>
        </w:tc>
        <w:tc>
          <w:tcPr>
            <w:tcW w:w="2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2023 to 2033</w:t>
            </w: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2,764</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640" w:type="dxa"/>
            <w:vAlign w:val="bottom"/>
            <w:gridSpan w:val="2"/>
          </w:tcPr>
          <w:p>
            <w:pPr>
              <w:jc w:val="center"/>
              <w:ind w:right="2200"/>
              <w:spacing w:after="0" w:line="189" w:lineRule="exact"/>
              <w:rPr>
                <w:sz w:val="20"/>
                <w:szCs w:val="20"/>
                <w:color w:val="auto"/>
              </w:rPr>
            </w:pPr>
            <w:r>
              <w:rPr>
                <w:rFonts w:ascii="Arial" w:cs="Arial" w:eastAsia="Arial" w:hAnsi="Arial"/>
                <w:sz w:val="18"/>
                <w:szCs w:val="18"/>
                <w:color w:val="auto"/>
                <w:w w:val="91"/>
              </w:rPr>
              <w:t>1.00% to 1.99%</w:t>
            </w:r>
          </w:p>
        </w:tc>
        <w:tc>
          <w:tcPr>
            <w:tcW w:w="180" w:type="dxa"/>
            <w:vAlign w:val="bottom"/>
          </w:tcPr>
          <w:p>
            <w:pPr>
              <w:spacing w:after="0"/>
              <w:rPr>
                <w:sz w:val="16"/>
                <w:szCs w:val="16"/>
                <w:color w:val="auto"/>
              </w:rPr>
            </w:pPr>
          </w:p>
        </w:tc>
        <w:tc>
          <w:tcPr>
            <w:tcW w:w="2120" w:type="dxa"/>
            <w:vAlign w:val="bottom"/>
            <w:gridSpan w:val="2"/>
          </w:tcPr>
          <w:p>
            <w:pPr>
              <w:jc w:val="center"/>
              <w:ind w:right="600"/>
              <w:spacing w:after="0" w:line="189" w:lineRule="exact"/>
              <w:rPr>
                <w:sz w:val="20"/>
                <w:szCs w:val="20"/>
                <w:color w:val="auto"/>
              </w:rPr>
            </w:pPr>
            <w:r>
              <w:rPr>
                <w:rFonts w:ascii="Arial" w:cs="Arial" w:eastAsia="Arial" w:hAnsi="Arial"/>
                <w:sz w:val="18"/>
                <w:szCs w:val="18"/>
                <w:color w:val="auto"/>
                <w:w w:val="91"/>
              </w:rPr>
              <w:t>2021 to 2039</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10,061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jc w:val="center"/>
              <w:ind w:right="2200"/>
              <w:spacing w:after="0" w:line="189" w:lineRule="exact"/>
              <w:rPr>
                <w:sz w:val="20"/>
                <w:szCs w:val="20"/>
                <w:color w:val="auto"/>
              </w:rPr>
            </w:pPr>
            <w:r>
              <w:rPr>
                <w:rFonts w:ascii="Arial" w:cs="Arial" w:eastAsia="Arial" w:hAnsi="Arial"/>
                <w:sz w:val="18"/>
                <w:szCs w:val="18"/>
                <w:color w:val="auto"/>
                <w:w w:val="91"/>
              </w:rPr>
              <w:t>2.00% to 2.99%</w:t>
            </w:r>
          </w:p>
        </w:tc>
        <w:tc>
          <w:tcPr>
            <w:tcW w:w="18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center"/>
              <w:ind w:right="600"/>
              <w:spacing w:after="0" w:line="189" w:lineRule="exact"/>
              <w:rPr>
                <w:sz w:val="20"/>
                <w:szCs w:val="20"/>
                <w:color w:val="auto"/>
              </w:rPr>
            </w:pPr>
            <w:r>
              <w:rPr>
                <w:rFonts w:ascii="Arial" w:cs="Arial" w:eastAsia="Arial" w:hAnsi="Arial"/>
                <w:sz w:val="18"/>
                <w:szCs w:val="18"/>
                <w:color w:val="auto"/>
                <w:w w:val="91"/>
              </w:rPr>
              <w:t>2022 to 2033</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264,861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265,557</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640" w:type="dxa"/>
            <w:vAlign w:val="bottom"/>
            <w:gridSpan w:val="2"/>
          </w:tcPr>
          <w:p>
            <w:pPr>
              <w:jc w:val="center"/>
              <w:ind w:right="2200"/>
              <w:spacing w:after="0" w:line="189" w:lineRule="exact"/>
              <w:rPr>
                <w:sz w:val="20"/>
                <w:szCs w:val="20"/>
                <w:color w:val="auto"/>
              </w:rPr>
            </w:pPr>
            <w:r>
              <w:rPr>
                <w:rFonts w:ascii="Arial" w:cs="Arial" w:eastAsia="Arial" w:hAnsi="Arial"/>
                <w:sz w:val="18"/>
                <w:szCs w:val="18"/>
                <w:color w:val="auto"/>
                <w:w w:val="91"/>
              </w:rPr>
              <w:t>3.00% to 3.99%</w:t>
            </w:r>
          </w:p>
        </w:tc>
        <w:tc>
          <w:tcPr>
            <w:tcW w:w="180" w:type="dxa"/>
            <w:vAlign w:val="bottom"/>
          </w:tcPr>
          <w:p>
            <w:pPr>
              <w:spacing w:after="0"/>
              <w:rPr>
                <w:sz w:val="16"/>
                <w:szCs w:val="16"/>
                <w:color w:val="auto"/>
              </w:rPr>
            </w:pPr>
          </w:p>
        </w:tc>
        <w:tc>
          <w:tcPr>
            <w:tcW w:w="2120" w:type="dxa"/>
            <w:vAlign w:val="bottom"/>
            <w:gridSpan w:val="2"/>
          </w:tcPr>
          <w:p>
            <w:pPr>
              <w:jc w:val="center"/>
              <w:ind w:right="600"/>
              <w:spacing w:after="0" w:line="189" w:lineRule="exact"/>
              <w:rPr>
                <w:sz w:val="20"/>
                <w:szCs w:val="20"/>
                <w:color w:val="auto"/>
              </w:rPr>
            </w:pPr>
            <w:r>
              <w:rPr>
                <w:rFonts w:ascii="Arial" w:cs="Arial" w:eastAsia="Arial" w:hAnsi="Arial"/>
                <w:sz w:val="18"/>
                <w:szCs w:val="18"/>
                <w:color w:val="auto"/>
                <w:w w:val="91"/>
              </w:rPr>
              <w:t>2021 to 2056</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1,314,846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1,316,872</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jc w:val="center"/>
              <w:ind w:right="2200"/>
              <w:spacing w:after="0" w:line="189" w:lineRule="exact"/>
              <w:rPr>
                <w:sz w:val="20"/>
                <w:szCs w:val="20"/>
                <w:color w:val="auto"/>
              </w:rPr>
            </w:pPr>
            <w:r>
              <w:rPr>
                <w:rFonts w:ascii="Arial" w:cs="Arial" w:eastAsia="Arial" w:hAnsi="Arial"/>
                <w:sz w:val="18"/>
                <w:szCs w:val="18"/>
                <w:color w:val="auto"/>
                <w:w w:val="91"/>
              </w:rPr>
              <w:t>4.00% to 4.99%</w:t>
            </w:r>
          </w:p>
        </w:tc>
        <w:tc>
          <w:tcPr>
            <w:tcW w:w="18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center"/>
              <w:ind w:right="600"/>
              <w:spacing w:after="0" w:line="189" w:lineRule="exact"/>
              <w:rPr>
                <w:sz w:val="20"/>
                <w:szCs w:val="20"/>
                <w:color w:val="auto"/>
              </w:rPr>
            </w:pPr>
            <w:r>
              <w:rPr>
                <w:rFonts w:ascii="Arial" w:cs="Arial" w:eastAsia="Arial" w:hAnsi="Arial"/>
                <w:sz w:val="18"/>
                <w:szCs w:val="18"/>
                <w:color w:val="auto"/>
                <w:w w:val="91"/>
              </w:rPr>
              <w:t>2021 to 2059</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1,314,127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1,315,812</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640" w:type="dxa"/>
            <w:vAlign w:val="bottom"/>
            <w:gridSpan w:val="2"/>
          </w:tcPr>
          <w:p>
            <w:pPr>
              <w:jc w:val="center"/>
              <w:ind w:right="2200"/>
              <w:spacing w:after="0" w:line="189" w:lineRule="exact"/>
              <w:rPr>
                <w:sz w:val="20"/>
                <w:szCs w:val="20"/>
                <w:color w:val="auto"/>
              </w:rPr>
            </w:pPr>
            <w:r>
              <w:rPr>
                <w:rFonts w:ascii="Arial" w:cs="Arial" w:eastAsia="Arial" w:hAnsi="Arial"/>
                <w:sz w:val="18"/>
                <w:szCs w:val="18"/>
                <w:color w:val="auto"/>
                <w:w w:val="91"/>
              </w:rPr>
              <w:t>5.00% to 5.99%</w:t>
            </w:r>
          </w:p>
        </w:tc>
        <w:tc>
          <w:tcPr>
            <w:tcW w:w="180" w:type="dxa"/>
            <w:vAlign w:val="bottom"/>
          </w:tcPr>
          <w:p>
            <w:pPr>
              <w:spacing w:after="0"/>
              <w:rPr>
                <w:sz w:val="16"/>
                <w:szCs w:val="16"/>
                <w:color w:val="auto"/>
              </w:rPr>
            </w:pPr>
          </w:p>
        </w:tc>
        <w:tc>
          <w:tcPr>
            <w:tcW w:w="2120" w:type="dxa"/>
            <w:vAlign w:val="bottom"/>
            <w:gridSpan w:val="2"/>
          </w:tcPr>
          <w:p>
            <w:pPr>
              <w:jc w:val="center"/>
              <w:ind w:right="600"/>
              <w:spacing w:after="0" w:line="189" w:lineRule="exact"/>
              <w:rPr>
                <w:sz w:val="20"/>
                <w:szCs w:val="20"/>
                <w:color w:val="auto"/>
              </w:rPr>
            </w:pPr>
            <w:r>
              <w:rPr>
                <w:rFonts w:ascii="Arial" w:cs="Arial" w:eastAsia="Arial" w:hAnsi="Arial"/>
                <w:sz w:val="18"/>
                <w:szCs w:val="18"/>
                <w:color w:val="auto"/>
                <w:w w:val="91"/>
              </w:rPr>
              <w:t>2021 to 2043</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17,610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jc w:val="center"/>
              <w:ind w:right="2200"/>
              <w:spacing w:after="0" w:line="189" w:lineRule="exact"/>
              <w:rPr>
                <w:sz w:val="20"/>
                <w:szCs w:val="20"/>
                <w:color w:val="auto"/>
              </w:rPr>
            </w:pPr>
            <w:r>
              <w:rPr>
                <w:rFonts w:ascii="Arial" w:cs="Arial" w:eastAsia="Arial" w:hAnsi="Arial"/>
                <w:sz w:val="18"/>
                <w:szCs w:val="18"/>
                <w:color w:val="auto"/>
                <w:w w:val="91"/>
              </w:rPr>
              <w:t>6.00% to 6.99%</w:t>
            </w:r>
          </w:p>
        </w:tc>
        <w:tc>
          <w:tcPr>
            <w:tcW w:w="18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center"/>
              <w:ind w:right="600"/>
              <w:spacing w:after="0" w:line="189" w:lineRule="exact"/>
              <w:rPr>
                <w:sz w:val="20"/>
                <w:szCs w:val="20"/>
                <w:color w:val="auto"/>
              </w:rPr>
            </w:pPr>
            <w:r>
              <w:rPr>
                <w:rFonts w:ascii="Arial" w:cs="Arial" w:eastAsia="Arial" w:hAnsi="Arial"/>
                <w:sz w:val="18"/>
                <w:szCs w:val="18"/>
                <w:color w:val="auto"/>
                <w:w w:val="91"/>
              </w:rPr>
              <w:t>2022 to 2036</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33,926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33,955</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640" w:type="dxa"/>
            <w:vAlign w:val="bottom"/>
            <w:gridSpan w:val="2"/>
          </w:tcPr>
          <w:p>
            <w:pPr>
              <w:jc w:val="center"/>
              <w:ind w:right="2200"/>
              <w:spacing w:after="0" w:line="189" w:lineRule="exact"/>
              <w:rPr>
                <w:sz w:val="20"/>
                <w:szCs w:val="20"/>
                <w:color w:val="auto"/>
              </w:rPr>
            </w:pPr>
            <w:r>
              <w:rPr>
                <w:rFonts w:ascii="Arial" w:cs="Arial" w:eastAsia="Arial" w:hAnsi="Arial"/>
                <w:sz w:val="18"/>
                <w:szCs w:val="18"/>
                <w:color w:val="auto"/>
                <w:w w:val="91"/>
              </w:rPr>
              <w:t>7.00% to 7.99%</w:t>
            </w:r>
          </w:p>
        </w:tc>
        <w:tc>
          <w:tcPr>
            <w:tcW w:w="180" w:type="dxa"/>
            <w:vAlign w:val="bottom"/>
          </w:tcPr>
          <w:p>
            <w:pPr>
              <w:spacing w:after="0"/>
              <w:rPr>
                <w:sz w:val="16"/>
                <w:szCs w:val="16"/>
                <w:color w:val="auto"/>
              </w:rPr>
            </w:pPr>
          </w:p>
        </w:tc>
        <w:tc>
          <w:tcPr>
            <w:tcW w:w="2120" w:type="dxa"/>
            <w:vAlign w:val="bottom"/>
            <w:gridSpan w:val="2"/>
          </w:tcPr>
          <w:p>
            <w:pPr>
              <w:jc w:val="center"/>
              <w:ind w:right="600"/>
              <w:spacing w:after="0" w:line="189" w:lineRule="exact"/>
              <w:rPr>
                <w:sz w:val="20"/>
                <w:szCs w:val="20"/>
                <w:color w:val="auto"/>
              </w:rPr>
            </w:pPr>
            <w:r>
              <w:rPr>
                <w:rFonts w:ascii="Arial" w:cs="Arial" w:eastAsia="Arial" w:hAnsi="Arial"/>
                <w:sz w:val="18"/>
                <w:szCs w:val="18"/>
                <w:color w:val="auto"/>
                <w:w w:val="91"/>
              </w:rPr>
              <w:t>2022 to 2027</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29,668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29,890</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jc w:val="center"/>
              <w:ind w:right="2200"/>
              <w:spacing w:after="0" w:line="189" w:lineRule="exact"/>
              <w:rPr>
                <w:sz w:val="20"/>
                <w:szCs w:val="20"/>
                <w:color w:val="auto"/>
              </w:rPr>
            </w:pPr>
            <w:r>
              <w:rPr>
                <w:rFonts w:ascii="Arial" w:cs="Arial" w:eastAsia="Arial" w:hAnsi="Arial"/>
                <w:sz w:val="18"/>
                <w:szCs w:val="18"/>
                <w:color w:val="auto"/>
                <w:w w:val="91"/>
              </w:rPr>
              <w:t>8.00% to 8.99%</w:t>
            </w:r>
          </w:p>
        </w:tc>
        <w:tc>
          <w:tcPr>
            <w:tcW w:w="18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center"/>
              <w:ind w:right="600"/>
              <w:spacing w:after="0" w:line="189" w:lineRule="exact"/>
              <w:rPr>
                <w:sz w:val="20"/>
                <w:szCs w:val="20"/>
                <w:color w:val="auto"/>
              </w:rPr>
            </w:pPr>
            <w:r>
              <w:rPr>
                <w:rFonts w:ascii="Arial" w:cs="Arial" w:eastAsia="Arial" w:hAnsi="Arial"/>
                <w:sz w:val="18"/>
                <w:szCs w:val="18"/>
                <w:color w:val="auto"/>
                <w:w w:val="91"/>
              </w:rPr>
              <w:t>2021 to 2025</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4,267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640" w:type="dxa"/>
            <w:vAlign w:val="bottom"/>
            <w:gridSpan w:val="2"/>
          </w:tcPr>
          <w:p>
            <w:pPr>
              <w:jc w:val="center"/>
              <w:ind w:right="2200"/>
              <w:spacing w:after="0" w:line="189" w:lineRule="exact"/>
              <w:rPr>
                <w:sz w:val="20"/>
                <w:szCs w:val="20"/>
                <w:color w:val="auto"/>
              </w:rPr>
            </w:pPr>
            <w:r>
              <w:rPr>
                <w:rFonts w:ascii="Arial" w:cs="Arial" w:eastAsia="Arial" w:hAnsi="Arial"/>
                <w:sz w:val="18"/>
                <w:szCs w:val="18"/>
                <w:color w:val="auto"/>
                <w:w w:val="91"/>
              </w:rPr>
              <w:t>9.00% to 9.99%</w:t>
            </w:r>
          </w:p>
        </w:tc>
        <w:tc>
          <w:tcPr>
            <w:tcW w:w="180" w:type="dxa"/>
            <w:vAlign w:val="bottom"/>
          </w:tcPr>
          <w:p>
            <w:pPr>
              <w:spacing w:after="0"/>
              <w:rPr>
                <w:sz w:val="16"/>
                <w:szCs w:val="16"/>
                <w:color w:val="auto"/>
              </w:rPr>
            </w:pPr>
          </w:p>
        </w:tc>
        <w:tc>
          <w:tcPr>
            <w:tcW w:w="2120" w:type="dxa"/>
            <w:vAlign w:val="bottom"/>
            <w:gridSpan w:val="2"/>
          </w:tcPr>
          <w:p>
            <w:pPr>
              <w:jc w:val="center"/>
              <w:ind w:right="600"/>
              <w:spacing w:after="0" w:line="189" w:lineRule="exact"/>
              <w:rPr>
                <w:sz w:val="20"/>
                <w:szCs w:val="20"/>
                <w:color w:val="auto"/>
              </w:rPr>
            </w:pPr>
            <w:r>
              <w:rPr>
                <w:rFonts w:ascii="Arial" w:cs="Arial" w:eastAsia="Arial" w:hAnsi="Arial"/>
                <w:sz w:val="18"/>
                <w:szCs w:val="18"/>
                <w:color w:val="auto"/>
                <w:w w:val="91"/>
              </w:rPr>
              <w:t>2021 to 2026</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12,400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182"/>
        </w:trPr>
        <w:tc>
          <w:tcPr>
            <w:tcW w:w="15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3,004,530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3,014,280</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auto"/>
              </w:rPr>
              <w:t>Notes payable to bank under revolving credit agreement, variable rate, due 2023</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440,000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189"/>
        </w:trPr>
        <w:tc>
          <w:tcPr>
            <w:tcW w:w="5140" w:type="dxa"/>
            <w:vAlign w:val="bottom"/>
            <w:gridSpan w:val="3"/>
          </w:tcPr>
          <w:p>
            <w:pPr>
              <w:spacing w:after="0" w:line="189" w:lineRule="exact"/>
              <w:rPr>
                <w:sz w:val="20"/>
                <w:szCs w:val="20"/>
                <w:color w:val="auto"/>
              </w:rPr>
            </w:pPr>
            <w:r>
              <w:rPr>
                <w:rFonts w:ascii="Arial" w:cs="Arial" w:eastAsia="Arial" w:hAnsi="Arial"/>
                <w:sz w:val="18"/>
                <w:szCs w:val="18"/>
                <w:color w:val="auto"/>
              </w:rPr>
              <w:t>Unsecured notes payable:</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Amortizing notes at 3.00% due 2022</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50,605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60,502</w:t>
            </w:r>
          </w:p>
        </w:tc>
        <w:tc>
          <w:tcPr>
            <w:tcW w:w="0" w:type="dxa"/>
            <w:vAlign w:val="bottom"/>
          </w:tcPr>
          <w:p>
            <w:pPr>
              <w:spacing w:after="0"/>
              <w:rPr>
                <w:sz w:val="1"/>
                <w:szCs w:val="1"/>
                <w:color w:val="auto"/>
              </w:rPr>
            </w:pPr>
          </w:p>
        </w:tc>
      </w:tr>
      <w:tr>
        <w:trPr>
          <w:trHeight w:val="189"/>
        </w:trPr>
        <w:tc>
          <w:tcPr>
            <w:tcW w:w="514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Notes at 2.704% due 2030</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51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Notes ranging from 3.01% to 3.59% due 2029 through 2050</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1,125,000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189"/>
        </w:trPr>
        <w:tc>
          <w:tcPr>
            <w:tcW w:w="514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Notes at 4.28%, due 2049</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51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Notes ranging from 5.64% to 5.95%, due 2021 through 2034</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45,461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45,461</w:t>
            </w: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5,665,596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5,630,243</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80,351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84,353</w:t>
            </w:r>
          </w:p>
        </w:tc>
        <w:tc>
          <w:tcPr>
            <w:tcW w:w="0" w:type="dxa"/>
            <w:vAlign w:val="bottom"/>
          </w:tcPr>
          <w:p>
            <w:pPr>
              <w:spacing w:after="0"/>
              <w:rPr>
                <w:sz w:val="1"/>
                <w:szCs w:val="1"/>
                <w:color w:val="auto"/>
              </w:rPr>
            </w:pPr>
          </w:p>
        </w:tc>
      </w:tr>
      <w:tr>
        <w:trPr>
          <w:trHeight w:val="183"/>
        </w:trPr>
        <w:tc>
          <w:tcPr>
            <w:tcW w:w="51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Long-term debt, excluding current portion</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5,585,245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5,545,890</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Less: debt issuance costs</w:t>
            </w:r>
          </w:p>
        </w:tc>
        <w:tc>
          <w:tcPr>
            <w:tcW w:w="1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37,309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38,146</w:t>
            </w:r>
          </w:p>
        </w:tc>
        <w:tc>
          <w:tcPr>
            <w:tcW w:w="0" w:type="dxa"/>
            <w:vAlign w:val="bottom"/>
          </w:tcPr>
          <w:p>
            <w:pPr>
              <w:spacing w:after="0"/>
              <w:rPr>
                <w:sz w:val="1"/>
                <w:szCs w:val="1"/>
                <w:color w:val="auto"/>
              </w:rPr>
            </w:pPr>
          </w:p>
        </w:tc>
      </w:tr>
      <w:tr>
        <w:trPr>
          <w:trHeight w:val="183"/>
        </w:trPr>
        <w:tc>
          <w:tcPr>
            <w:tcW w:w="51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w w:val="93"/>
              </w:rPr>
              <w:t>Long-term debt, excluding current portion, net of debt issuance costs</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5,547,936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5,507,744</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capitalization</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10,358,277</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10,191,621</w:t>
            </w:r>
          </w:p>
        </w:tc>
        <w:tc>
          <w:tcPr>
            <w:tcW w:w="0" w:type="dxa"/>
            <w:vAlign w:val="bottom"/>
          </w:tcPr>
          <w:p>
            <w:pPr>
              <w:spacing w:after="0"/>
              <w:rPr>
                <w:sz w:val="1"/>
                <w:szCs w:val="1"/>
                <w:color w:val="auto"/>
              </w:rPr>
            </w:pPr>
          </w:p>
        </w:tc>
      </w:tr>
      <w:tr>
        <w:trPr>
          <w:trHeight w:val="20"/>
        </w:trPr>
        <w:tc>
          <w:tcPr>
            <w:tcW w:w="7440" w:type="dxa"/>
            <w:vAlign w:val="bottom"/>
            <w:gridSpan w:val="6"/>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40" w:type="dxa"/>
            <w:vAlign w:val="bottom"/>
            <w:gridSpan w:val="6"/>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6" w:name="page7"/>
    <w:bookmarkEnd w:id="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3"/>
              </w:rPr>
              <w:t>Retained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2020</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124,285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3,379,057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1,261,862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(81,327)</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4,683,877</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183,689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183,689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($0.2507 per share)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(61,520)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(61,520)</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(98,904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49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4,112</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(76,105 shares)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(3,262)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Equity compensation plan (192,407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97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(97)</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(20,201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704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2,631</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(174)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2,457</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56"/>
        </w:trPr>
        <w:tc>
          <w:tcPr>
            <w:tcW w:w="6420" w:type="dxa"/>
            <w:vAlign w:val="bottom"/>
          </w:tcPr>
          <w:p>
            <w:pPr>
              <w:spacing w:after="0" w:line="155" w:lineRule="exact"/>
              <w:rPr>
                <w:sz w:val="20"/>
                <w:szCs w:val="20"/>
                <w:color w:val="auto"/>
              </w:rPr>
            </w:pPr>
            <w:r>
              <w:rPr>
                <w:rFonts w:ascii="Arial" w:cs="Arial" w:eastAsia="Arial" w:hAnsi="Arial"/>
                <w:sz w:val="16"/>
                <w:szCs w:val="16"/>
                <w:color w:val="auto"/>
              </w:rPr>
              <w:t>Balance at March 31, 2021</w:t>
            </w: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124,441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3,386,376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1,383,857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(84,333)</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4,810,341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7" w:name="page8"/>
    <w:bookmarkEnd w:id="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3"/>
              </w:rPr>
              <w:t>Retained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2019</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111,935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2,636,555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1,210,072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(77,702)</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51,781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51,781</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($0.2343 per share)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(52,205)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(52,205)</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from private placement (21,661,095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10,831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719,304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730,135</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from stock purchase contracts (2,335,654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1,168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(1,168)</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(86,969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4,019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(81,722 shares)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(4,339)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Equity compensation plan (223,495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(112)</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(56,106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2,072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56"/>
        </w:trPr>
        <w:tc>
          <w:tcPr>
            <w:tcW w:w="6420" w:type="dxa"/>
            <w:vAlign w:val="bottom"/>
          </w:tcPr>
          <w:p>
            <w:pPr>
              <w:spacing w:after="0" w:line="155" w:lineRule="exact"/>
              <w:rPr>
                <w:sz w:val="20"/>
                <w:szCs w:val="20"/>
                <w:color w:val="auto"/>
              </w:rPr>
            </w:pPr>
            <w:r>
              <w:rPr>
                <w:rFonts w:ascii="Arial" w:cs="Arial" w:eastAsia="Arial" w:hAnsi="Arial"/>
                <w:sz w:val="16"/>
                <w:szCs w:val="16"/>
                <w:color w:val="auto"/>
              </w:rPr>
              <w:t>Balance at March 31, 2020</w:t>
            </w: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124,117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3,361,586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1,209,501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(82,041)</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4,613,163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CONSOLIDATED STATEMENTS OF CASH FLOW</w:t>
      </w:r>
    </w:p>
    <w:p>
      <w:pPr>
        <w:ind w:left="454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9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95"/>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color w:val="auto"/>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183,689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72,944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46,245</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(18,701)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of utility systems and other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6"/>
                <w:szCs w:val="16"/>
                <w:color w:val="auto"/>
              </w:rPr>
              <w:t>Net change in receivables, inventory and prepayments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(53,756)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6"/>
                <w:szCs w:val="16"/>
                <w:color w:val="auto"/>
              </w:rPr>
              <w:t>Pension and other postretirement benefits contributions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(6,363)</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(2,183)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flows from operating activities</w:t>
            </w:r>
          </w:p>
        </w:tc>
        <w:tc>
          <w:tcPr>
            <w:tcW w:w="2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255,481</w:t>
            </w:r>
          </w:p>
        </w:tc>
        <w:tc>
          <w:tcPr>
            <w:tcW w:w="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95,521</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280" w:type="dxa"/>
            <w:vAlign w:val="bottom"/>
          </w:tcPr>
          <w:p>
            <w:pPr>
              <w:ind w:left="120"/>
              <w:spacing w:after="0"/>
              <w:rPr>
                <w:sz w:val="20"/>
                <w:szCs w:val="20"/>
                <w:color w:val="auto"/>
              </w:rPr>
            </w:pPr>
            <w:r>
              <w:rPr>
                <w:rFonts w:ascii="Arial" w:cs="Arial" w:eastAsia="Arial" w:hAnsi="Arial"/>
                <w:sz w:val="16"/>
                <w:szCs w:val="16"/>
                <w:color w:val="auto"/>
                <w:w w:val="94"/>
              </w:rPr>
              <w:t>Property, plant and equipment additions, including the debt component of allowance for funds used during construction of</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(178,009)</w:t>
            </w:r>
          </w:p>
        </w:tc>
        <w:tc>
          <w:tcPr>
            <w:tcW w:w="3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(118,734)</w:t>
            </w:r>
          </w:p>
        </w:tc>
        <w:tc>
          <w:tcPr>
            <w:tcW w:w="0" w:type="dxa"/>
            <w:vAlign w:val="bottom"/>
          </w:tcPr>
          <w:p>
            <w:pPr>
              <w:spacing w:after="0"/>
              <w:rPr>
                <w:sz w:val="1"/>
                <w:szCs w:val="1"/>
                <w:color w:val="auto"/>
              </w:rPr>
            </w:pPr>
          </w:p>
        </w:tc>
      </w:tr>
      <w:tr>
        <w:trPr>
          <w:trHeight w:val="185"/>
        </w:trPr>
        <w:tc>
          <w:tcPr>
            <w:tcW w:w="8280" w:type="dxa"/>
            <w:vAlign w:val="bottom"/>
          </w:tcPr>
          <w:p>
            <w:pPr>
              <w:ind w:left="120"/>
              <w:spacing w:after="0"/>
              <w:rPr>
                <w:sz w:val="20"/>
                <w:szCs w:val="20"/>
                <w:color w:val="auto"/>
              </w:rPr>
            </w:pPr>
            <w:r>
              <w:rPr>
                <w:rFonts w:ascii="Arial" w:cs="Arial" w:eastAsia="Arial" w:hAnsi="Arial"/>
                <w:sz w:val="16"/>
                <w:szCs w:val="16"/>
                <w:color w:val="auto"/>
              </w:rPr>
              <w:t>$170 and $873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Acquisitions of utility systems, net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(3,446,056)</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6"/>
                <w:szCs w:val="16"/>
                <w:color w:val="auto"/>
              </w:rPr>
              <w:t>Net proceeds from the sale of other assets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(177,712)</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(3,564,602)</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6"/>
                <w:szCs w:val="16"/>
                <w:color w:val="auto"/>
              </w:rPr>
              <w:t>Customers' advances and contributions in aid of construction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customers' advances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6"/>
                <w:szCs w:val="16"/>
                <w:color w:val="auto"/>
              </w:rPr>
              <w:t>Net proceeds of short-term debt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(3,305)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174,281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801,184</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(46,305)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cash overdraft position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(44,003)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(10,943)</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6"/>
                <w:szCs w:val="16"/>
                <w:color w:val="auto"/>
              </w:rPr>
              <w:t>Proceeds from issuance of common stock under dividend reinvestment plan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common stock from private placement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730,135</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6"/>
                <w:szCs w:val="16"/>
                <w:color w:val="auto"/>
              </w:rPr>
              <w:t>Proceeds from exercised stock options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of common stock</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(3,262)</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6"/>
                <w:szCs w:val="16"/>
                <w:color w:val="auto"/>
              </w:rPr>
              <w:t>Dividends paid on common stock</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(61,520)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(52,205)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Arial" w:cs="Arial" w:eastAsia="Arial" w:hAnsi="Arial"/>
                <w:sz w:val="16"/>
                <w:szCs w:val="16"/>
                <w:color w:val="auto"/>
              </w:rPr>
              <w:t>Net cash flows (used in) from financing activities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(64,550)</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1,632,007</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13,219</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(1,837,074)</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1,868,922</w:t>
            </w: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52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18,046</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31,848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Non-cash investing activities:</w:t>
            </w: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73,014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55,881</w:t>
            </w:r>
          </w:p>
        </w:tc>
        <w:tc>
          <w:tcPr>
            <w:tcW w:w="0" w:type="dxa"/>
            <w:vAlign w:val="bottom"/>
          </w:tcPr>
          <w:p>
            <w:pPr>
              <w:spacing w:after="0"/>
              <w:rPr>
                <w:sz w:val="1"/>
                <w:szCs w:val="1"/>
                <w:color w:val="auto"/>
              </w:rPr>
            </w:pPr>
          </w:p>
        </w:tc>
      </w:tr>
      <w:tr>
        <w:trPr>
          <w:trHeight w:val="237"/>
        </w:trPr>
        <w:tc>
          <w:tcPr>
            <w:tcW w:w="8280" w:type="dxa"/>
            <w:vAlign w:val="bottom"/>
          </w:tcPr>
          <w:p>
            <w:pPr>
              <w:ind w:left="12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8,997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8,637</w:t>
            </w:r>
          </w:p>
        </w:tc>
        <w:tc>
          <w:tcPr>
            <w:tcW w:w="0" w:type="dxa"/>
            <w:vAlign w:val="bottom"/>
          </w:tcPr>
          <w:p>
            <w:pPr>
              <w:spacing w:after="0"/>
              <w:rPr>
                <w:sz w:val="1"/>
                <w:szCs w:val="1"/>
                <w:color w:val="auto"/>
              </w:rPr>
            </w:pPr>
          </w:p>
        </w:tc>
      </w:tr>
      <w:tr>
        <w:trPr>
          <w:trHeight w:val="432"/>
        </w:trPr>
        <w:tc>
          <w:tcPr>
            <w:tcW w:w="8280" w:type="dxa"/>
            <w:vAlign w:val="bottom"/>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 w:name="page10"/>
    <w:bookmarkEnd w:id="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39"/>
        <w:spacing w:after="0" w:line="217" w:lineRule="auto"/>
        <w:rPr>
          <w:sz w:val="20"/>
          <w:szCs w:val="20"/>
          <w:color w:val="auto"/>
        </w:rPr>
      </w:pPr>
      <w:r>
        <w:rPr>
          <w:rFonts w:ascii="Arial" w:cs="Arial" w:eastAsia="Arial" w:hAnsi="Arial"/>
          <w:sz w:val="22"/>
          <w:szCs w:val="22"/>
          <w:color w:val="auto"/>
        </w:rPr>
        <w:t>ESSENTIAL UTILITIES, INC. AND SUBSIDIARIES</w:t>
      </w:r>
    </w:p>
    <w:p>
      <w:pPr>
        <w:jc w:val="center"/>
        <w:ind w:right="-99"/>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ind w:right="-9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99"/>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85"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The accompanying consolidated balance sheets and statements of capitalization of Essential Utilities, Inc. and subsidiaries (collectively, the “Company”, “we”, “us” or “our”) at March 31, 2021, and the consolidated statements of operations and comprehensive income, of cash flows, and of equity for the three months ended March 31, 2021 and 2020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2020. The results of operations for interim periods may not be indicative of the results that may be expected for the entire year. The December 31, 2020 consolidated balance sheet data presented herein was derived from the Company’s December 31, 2020 audited consolidated financial statements but does not include all disclosures and notes normally provided in annual financial statements.</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72"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In the preparation of these financial statements and related disclosures, we have assessed the impact that the COVID-19 pandemic has had on our estimates, assumptions, forecasts, and accounting policies. Because of the essential nature of our business, we do not believe the COVID-19 pandemic had a material impact on our estimates, assumptions and forecasts used in the preparation of our financial statements, although we continue to monitor this closely. As the COVID-19 pandemic is continuing to evolve, future events and effects related to the COVID-19 pandemic cannot be determined with precision, and actual results could significantly differ from our estimates or forecasts.</w:t>
      </w:r>
    </w:p>
    <w:p>
      <w:pPr>
        <w:spacing w:after="0" w:line="164"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There have been no changes to the summary of significant accounting policies previously identified in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 w:right="419" w:bottom="1440" w:gutter="0" w:footer="0" w:header="0"/>
        </w:sectPr>
      </w:pPr>
    </w:p>
    <w:bookmarkStart w:id="10" w:name="page11"/>
    <w:bookmarkEnd w:id="1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tbl>
      <w:tblPr>
        <w:tblLayout w:type="fixed"/>
        <w:tblInd w:w="0" w:type="dxa"/>
        <w:tblCellMar>
          <w:top w:w="0" w:type="dxa"/>
          <w:left w:w="0" w:type="dxa"/>
          <w:bottom w:w="0" w:type="dxa"/>
          <w:right w:w="0" w:type="dxa"/>
        </w:tblCellMar>
      </w:tblPr>
      <w:tr>
        <w:trPr>
          <w:trHeight w:val="155"/>
        </w:trPr>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gridSpan w:val="6"/>
          </w:tcPr>
          <w:p>
            <w:pPr>
              <w:jc w:val="center"/>
              <w:ind w:right="60"/>
              <w:spacing w:after="0" w:line="155" w:lineRule="exact"/>
              <w:rPr>
                <w:sz w:val="20"/>
                <w:szCs w:val="20"/>
                <w:color w:val="auto"/>
              </w:rPr>
            </w:pPr>
            <w:r>
              <w:rPr>
                <w:rFonts w:ascii="Arial" w:cs="Arial" w:eastAsia="Arial" w:hAnsi="Arial"/>
                <w:sz w:val="14"/>
                <w:szCs w:val="14"/>
                <w:color w:val="auto"/>
                <w:w w:val="93"/>
              </w:rPr>
              <w:t>Three Months Ended</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gridSpan w:val="6"/>
          </w:tcPr>
          <w:p>
            <w:pPr>
              <w:jc w:val="right"/>
              <w:ind w:right="420"/>
              <w:spacing w:after="0" w:line="155" w:lineRule="exact"/>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color w:val="auto"/>
                <w:w w:val="92"/>
              </w:rPr>
              <w:t>March 31, 2021</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color w:val="auto"/>
              </w:rPr>
              <w:t>March 31, 2020</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0"/>
              </w:rPr>
              <w:t>Water</w:t>
            </w:r>
          </w:p>
        </w:tc>
        <w:tc>
          <w:tcPr>
            <w:tcW w:w="60" w:type="dxa"/>
            <w:vAlign w:val="bottom"/>
          </w:tcPr>
          <w:p>
            <w:pPr>
              <w:spacing w:after="0"/>
              <w:rPr>
                <w:sz w:val="10"/>
                <w:szCs w:val="10"/>
                <w:color w:val="auto"/>
              </w:rPr>
            </w:pPr>
          </w:p>
        </w:tc>
        <w:tc>
          <w:tcPr>
            <w:tcW w:w="880" w:type="dxa"/>
            <w:vAlign w:val="bottom"/>
            <w:gridSpan w:val="2"/>
          </w:tcPr>
          <w:p>
            <w:pPr>
              <w:jc w:val="center"/>
              <w:ind w:right="180"/>
              <w:spacing w:after="0" w:line="123" w:lineRule="exact"/>
              <w:rPr>
                <w:sz w:val="20"/>
                <w:szCs w:val="20"/>
                <w:color w:val="auto"/>
              </w:rPr>
            </w:pPr>
            <w:r>
              <w:rPr>
                <w:rFonts w:ascii="Arial" w:cs="Arial" w:eastAsia="Arial" w:hAnsi="Arial"/>
                <w:sz w:val="14"/>
                <w:szCs w:val="14"/>
                <w:color w:val="auto"/>
                <w:w w:val="89"/>
              </w:rPr>
              <w:t>Wastewater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3"/>
              </w:rPr>
              <w:t>Natural Gas</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0"/>
              </w:rPr>
              <w:t>Water</w:t>
            </w:r>
          </w:p>
        </w:tc>
        <w:tc>
          <w:tcPr>
            <w:tcW w:w="60" w:type="dxa"/>
            <w:vAlign w:val="bottom"/>
          </w:tcPr>
          <w:p>
            <w:pPr>
              <w:spacing w:after="0"/>
              <w:rPr>
                <w:sz w:val="10"/>
                <w:szCs w:val="10"/>
                <w:color w:val="auto"/>
              </w:rPr>
            </w:pPr>
          </w:p>
        </w:tc>
        <w:tc>
          <w:tcPr>
            <w:tcW w:w="86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89"/>
              </w:rPr>
              <w:t>Wastewater</w:t>
            </w:r>
          </w:p>
        </w:tc>
        <w:tc>
          <w:tcPr>
            <w:tcW w:w="80" w:type="dxa"/>
            <w:vAlign w:val="bottom"/>
          </w:tcPr>
          <w:p>
            <w:pPr>
              <w:spacing w:after="0"/>
              <w:rPr>
                <w:sz w:val="10"/>
                <w:szCs w:val="10"/>
                <w:color w:val="auto"/>
              </w:rPr>
            </w:pPr>
          </w:p>
        </w:tc>
        <w:tc>
          <w:tcPr>
            <w:tcW w:w="980" w:type="dxa"/>
            <w:vAlign w:val="bottom"/>
            <w:gridSpan w:val="3"/>
          </w:tcPr>
          <w:p>
            <w:pPr>
              <w:jc w:val="right"/>
              <w:ind w:right="240"/>
              <w:spacing w:after="0" w:line="123" w:lineRule="exact"/>
              <w:rPr>
                <w:sz w:val="20"/>
                <w:szCs w:val="20"/>
                <w:color w:val="auto"/>
              </w:rPr>
            </w:pPr>
            <w:r>
              <w:rPr>
                <w:rFonts w:ascii="Arial" w:cs="Arial" w:eastAsia="Arial" w:hAnsi="Arial"/>
                <w:sz w:val="14"/>
                <w:szCs w:val="14"/>
                <w:color w:val="auto"/>
                <w:w w:val="96"/>
              </w:rPr>
              <w:t>Natural Gas</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Revenues</w:t>
            </w:r>
          </w:p>
        </w:tc>
        <w:tc>
          <w:tcPr>
            <w:tcW w:w="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Revenues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Revenues</w:t>
            </w:r>
          </w:p>
        </w:tc>
        <w:tc>
          <w:tcPr>
            <w:tcW w:w="6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Revenues</w:t>
            </w:r>
          </w:p>
        </w:tc>
        <w:tc>
          <w:tcPr>
            <w:tcW w:w="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91"/>
              </w:rPr>
              <w:t>Revenues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w w:val="94"/>
              </w:rPr>
              <w:t>Other Revenues</w:t>
            </w: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132,856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214,194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127,014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22,614</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22,900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Commercial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33,188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35,300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3,929</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Fire protection</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Industrial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6,989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957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6,942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Gas transportation &amp; storage</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77,803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9,469</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Other water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10,443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7,159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wastewater</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Other utility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9,179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1,731</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2"/>
        </w:trPr>
        <w:tc>
          <w:tcPr>
            <w:tcW w:w="2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from contracts with customers</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192,521</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31,551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343,154</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3,826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185,061</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28,235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38,462</w:t>
            </w: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Alternative revenue program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(281)</w:t>
            </w:r>
          </w:p>
        </w:tc>
        <w:tc>
          <w:tcPr>
            <w:tcW w:w="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and eliminations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42"/>
        </w:trPr>
        <w:tc>
          <w:tcPr>
            <w:tcW w:w="2680" w:type="dxa"/>
            <w:vAlign w:val="bottom"/>
          </w:tcPr>
          <w:p>
            <w:pPr>
              <w:spacing w:after="0" w:line="142" w:lineRule="exact"/>
              <w:rPr>
                <w:sz w:val="20"/>
                <w:szCs w:val="20"/>
                <w:color w:val="auto"/>
              </w:rPr>
            </w:pPr>
            <w:r>
              <w:rPr>
                <w:rFonts w:ascii="Arial" w:cs="Arial" w:eastAsia="Arial" w:hAnsi="Arial"/>
                <w:sz w:val="14"/>
                <w:szCs w:val="14"/>
                <w:color w:val="auto"/>
              </w:rPr>
              <w:t>Consolidated</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192,930</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31,597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343,365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15,673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184,780</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28,213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38,544</w:t>
            </w: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right="240"/>
        <w:spacing w:after="0" w:line="231" w:lineRule="auto"/>
        <w:rPr>
          <w:sz w:val="20"/>
          <w:szCs w:val="20"/>
          <w:color w:val="auto"/>
        </w:rPr>
      </w:pPr>
      <w:r>
        <w:rPr>
          <w:rFonts w:ascii="Arial" w:cs="Arial" w:eastAsia="Arial" w:hAnsi="Arial"/>
          <w:sz w:val="22"/>
          <w:szCs w:val="22"/>
          <w:color w:val="auto"/>
        </w:rPr>
        <w:t>On March 16, 2020, the Company completed the Peoples Gas Acquisition, which expanded the Company’s regulated utility business, to include natural gas distribution. The natural gas revenues of Peoples are included for the period since the date of the acquisition.</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b w:val="1"/>
          <w:bCs w:val="1"/>
          <w:i w:val="1"/>
          <w:iCs w:val="1"/>
          <w:color w:val="auto"/>
        </w:rPr>
        <w:t xml:space="preserve">Revenues from Contracts with Customers – </w:t>
      </w:r>
      <w:r>
        <w:rPr>
          <w:rFonts w:ascii="Arial" w:cs="Arial" w:eastAsia="Arial" w:hAnsi="Arial"/>
          <w:sz w:val="19"/>
          <w:szCs w:val="19"/>
          <w:color w:val="auto"/>
        </w:rPr>
        <w:t>These revenues are composed of four main categories: water, wastewater, natural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gas, and other. Water revenues represent revenues earned for supplying customers with water service. Wastewater revenues represent revenues earned for 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64" w:lineRule="exact"/>
        <w:rPr>
          <w:sz w:val="20"/>
          <w:szCs w:val="20"/>
          <w:color w:val="auto"/>
        </w:rPr>
      </w:pPr>
    </w:p>
    <w:p>
      <w:pPr>
        <w:ind w:right="240"/>
        <w:spacing w:after="0" w:line="258" w:lineRule="auto"/>
        <w:rPr>
          <w:sz w:val="20"/>
          <w:szCs w:val="20"/>
          <w:color w:val="auto"/>
        </w:rPr>
      </w:pPr>
      <w:r>
        <w:rPr>
          <w:rFonts w:ascii="Arial" w:cs="Arial" w:eastAsia="Arial" w:hAnsi="Arial"/>
          <w:sz w:val="19"/>
          <w:szCs w:val="19"/>
          <w:b w:val="1"/>
          <w:bCs w:val="1"/>
          <w:i w:val="1"/>
          <w:iCs w:val="1"/>
          <w:color w:val="auto"/>
        </w:rPr>
        <w:t xml:space="preserve">Tariff Revenues – </w:t>
      </w:r>
      <w:r>
        <w:rPr>
          <w:rFonts w:ascii="Arial" w:cs="Arial" w:eastAsia="Arial" w:hAnsi="Arial"/>
          <w:sz w:val="19"/>
          <w:szCs w:val="19"/>
          <w:color w:val="auto"/>
        </w:rPr>
        <w:t>These revenues are categorized by customer class: residential, commercial, fire protection, industrial, gas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76" w:lineRule="exact"/>
        <w:rPr>
          <w:sz w:val="20"/>
          <w:szCs w:val="20"/>
          <w:color w:val="auto"/>
        </w:rPr>
      </w:pPr>
    </w:p>
    <w:p>
      <w:pPr>
        <w:ind w:right="260"/>
        <w:spacing w:after="0" w:line="257"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 which represent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fees earned from developers for accessing our water mains; miscellaneous</w:t>
      </w:r>
    </w:p>
    <w:p>
      <w:pPr>
        <w:jc w:val="center"/>
        <w:ind w:right="1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3" w:right="239" w:bottom="1440" w:gutter="0" w:footer="0" w:header="0"/>
        </w:sectPr>
      </w:pPr>
    </w:p>
    <w:bookmarkStart w:id="11" w:name="page12"/>
    <w:bookmarkEnd w:id="1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Alternative Revenue Program:</w:t>
      </w:r>
    </w:p>
    <w:p>
      <w:pPr>
        <w:spacing w:after="0" w:line="206" w:lineRule="exact"/>
        <w:rPr>
          <w:sz w:val="20"/>
          <w:szCs w:val="20"/>
          <w:color w:val="auto"/>
        </w:rPr>
      </w:pPr>
    </w:p>
    <w:p>
      <w:pPr>
        <w:ind w:left="660" w:right="100"/>
        <w:spacing w:after="0" w:line="255" w:lineRule="auto"/>
        <w:rPr>
          <w:sz w:val="20"/>
          <w:szCs w:val="20"/>
          <w:color w:val="auto"/>
        </w:rPr>
      </w:pPr>
      <w:r>
        <w:rPr>
          <w:rFonts w:ascii="Arial" w:cs="Arial" w:eastAsia="Arial" w:hAnsi="Arial"/>
          <w:sz w:val="19"/>
          <w:szCs w:val="19"/>
          <w:color w:val="auto"/>
        </w:rPr>
        <w:t>Water / Wastewater Revenues: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which results in either a payment from customers or a refund due to customers. The cumulative annual difference is either refunded to customers or collected from customers over a nine-month period.</w:t>
      </w:r>
    </w:p>
    <w:p>
      <w:pPr>
        <w:spacing w:after="0" w:line="2" w:lineRule="exact"/>
        <w:rPr>
          <w:sz w:val="20"/>
          <w:szCs w:val="20"/>
          <w:color w:val="auto"/>
        </w:rPr>
      </w:pPr>
    </w:p>
    <w:p>
      <w:pPr>
        <w:ind w:left="660" w:right="40"/>
        <w:spacing w:after="0" w:line="221" w:lineRule="auto"/>
        <w:rPr>
          <w:sz w:val="20"/>
          <w:szCs w:val="20"/>
          <w:color w:val="auto"/>
        </w:rPr>
      </w:pPr>
      <w:r>
        <w:rPr>
          <w:rFonts w:ascii="Arial" w:cs="Arial" w:eastAsia="Arial" w:hAnsi="Arial"/>
          <w:sz w:val="22"/>
          <w:szCs w:val="22"/>
          <w:color w:val="auto"/>
        </w:rPr>
        <w:t>Natural Gas Revenues: These revenues represent the weather-normalization adjustment (“WNA”) mechanism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87"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These revenue programs represent a contract between the utility and its regulators, not customers, and therefore are not within the scope of the Financial Accounting Standards Board’s (“FASB”) accounting guidance for recognizing revenue from contracts with customers.</w:t>
      </w:r>
    </w:p>
    <w:p>
      <w:pPr>
        <w:spacing w:after="0" w:line="188" w:lineRule="exact"/>
        <w:rPr>
          <w:sz w:val="20"/>
          <w:szCs w:val="20"/>
          <w:color w:val="auto"/>
        </w:rPr>
      </w:pPr>
    </w:p>
    <w:p>
      <w:pPr>
        <w:ind w:right="200"/>
        <w:spacing w:after="0" w:line="237" w:lineRule="auto"/>
        <w:rPr>
          <w:sz w:val="20"/>
          <w:szCs w:val="20"/>
          <w:color w:val="auto"/>
        </w:rPr>
      </w:pPr>
      <w:r>
        <w:rPr>
          <w:rFonts w:ascii="Arial" w:cs="Arial" w:eastAsia="Arial" w:hAnsi="Arial"/>
          <w:sz w:val="21"/>
          <w:szCs w:val="21"/>
          <w:b w:val="1"/>
          <w:bCs w:val="1"/>
          <w:i w:val="1"/>
          <w:iCs w:val="1"/>
          <w:color w:val="auto"/>
        </w:rPr>
        <w:t xml:space="preserve">Other and Eliminations – </w:t>
      </w:r>
      <w:r>
        <w:rPr>
          <w:rFonts w:ascii="Arial" w:cs="Arial" w:eastAsia="Arial" w:hAnsi="Arial"/>
          <w:sz w:val="21"/>
          <w:szCs w:val="21"/>
          <w:color w:val="auto"/>
        </w:rPr>
        <w:t>Other and eliminations consist of our market-based revenues, which comprises: our non-regulated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natural gas operations, Aqua Infrastructure and Aqua Resources (described below) and intercompany eliminations for revenue billed between our subsidiaries. Our non-regulated natural gas operations consist of utility service line protection solutions and repair services to households and the operations of gas marketing and production entities. Revenue is recognized and the performance obligation is satisfied over time as the service is delivered.</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Aqua Infrastructure is the holding company for our former 49% investment in a joint venture that operated a private pipeline system to supply raw water to natural gas well drilling operations in the Marcellus Shale of north central Pennsylvania. Prior to our October 30, 2020 sale of our investment in joint venture, the joint venture earned revenues through providing non-utility raw water supply services to natural gas drilling companies which enter into water supply contracts. The performance obligation was to deliver non-potable water to the joint venture’s customers. Aqua Infrastructure’s share of the revenues recognized by the joint venture was reflected, net, in equity earnings in joint venture on our consolidated statements of operations and comprehensive income. Aqua Resources earned revenues by providing non-regulated water and wastewater services through an operating and maintenance contract which concluded in 2020, and continues to earn revenue through third party water and sewer service line protection and repair services. The performance obligations were performing agreed upon contract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2" w:name="page13"/>
    <w:bookmarkEnd w:id="1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auto"/>
        </w:rPr>
        <w:t>services to operate the water and wastewater system or allowing the use of our logo to a third-party water and sewer service line repair. Revenues are primarily recognized over time as service is delivered.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Peoples Gas Acquisition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On March 16, 2020 (the “Closing Date”), the Company completed the acquisition of Peoples Natural Gas (the “Peoples Gas Acquisition”), which expanded the Company’s regulated utility business to include natural gas distribution, serving approximately 750,000 natural gas utility customers in western Pennsylvania, West Virginia and Kentucky. The Company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closing. There is a dispute between the parties regarding this adjustment for utility capital expenditures. It is expected the matter will be resolved in accordance with the provisions of the purchase agreement or by the competent court of law with jurisdiction over the matter. The estimated purchase price paid by the Company was determined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20"/>
                <w:szCs w:val="20"/>
                <w:color w:val="auto"/>
              </w:rPr>
              <w:t>Base purchase price</w:t>
            </w:r>
          </w:p>
        </w:tc>
        <w:tc>
          <w:tcPr>
            <w:tcW w:w="1140" w:type="dxa"/>
            <w:vAlign w:val="bottom"/>
            <w:gridSpan w:val="2"/>
            <w:shd w:val="clear" w:color="auto" w:fill="CCEEFF"/>
          </w:tcPr>
          <w:p>
            <w:pPr>
              <w:jc w:val="right"/>
              <w:ind w:right="963"/>
              <w:spacing w:after="0"/>
              <w:rPr>
                <w:sz w:val="20"/>
                <w:szCs w:val="20"/>
                <w:color w:val="auto"/>
              </w:rPr>
            </w:pPr>
            <w:r>
              <w:rPr>
                <w:rFonts w:ascii="Arial" w:cs="Arial" w:eastAsia="Arial" w:hAnsi="Arial"/>
                <w:sz w:val="20"/>
                <w:szCs w:val="20"/>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4,275,000</w:t>
            </w:r>
          </w:p>
        </w:tc>
      </w:tr>
      <w:tr>
        <w:trPr>
          <w:trHeight w:val="203"/>
        </w:trPr>
        <w:tc>
          <w:tcPr>
            <w:tcW w:w="8120" w:type="dxa"/>
            <w:vAlign w:val="bottom"/>
          </w:tcPr>
          <w:p>
            <w:pPr>
              <w:spacing w:after="0" w:line="203" w:lineRule="exact"/>
              <w:rPr>
                <w:sz w:val="20"/>
                <w:szCs w:val="20"/>
                <w:color w:val="auto"/>
              </w:rPr>
            </w:pPr>
            <w:r>
              <w:rPr>
                <w:rFonts w:ascii="Arial" w:cs="Arial" w:eastAsia="Arial" w:hAnsi="Arial"/>
                <w:sz w:val="20"/>
                <w:szCs w:val="20"/>
                <w:color w:val="auto"/>
              </w:rPr>
              <w:t>Adjustments: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3"/>
        </w:trPr>
        <w:tc>
          <w:tcPr>
            <w:tcW w:w="81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Estimated change in working capital</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43,935</w:t>
            </w:r>
          </w:p>
        </w:tc>
      </w:tr>
      <w:tr>
        <w:trPr>
          <w:trHeight w:val="203"/>
        </w:trPr>
        <w:tc>
          <w:tcPr>
            <w:tcW w:w="8120" w:type="dxa"/>
            <w:vAlign w:val="bottom"/>
          </w:tcPr>
          <w:p>
            <w:pPr>
              <w:ind w:left="120"/>
              <w:spacing w:after="0" w:line="203" w:lineRule="exact"/>
              <w:rPr>
                <w:sz w:val="20"/>
                <w:szCs w:val="20"/>
                <w:color w:val="auto"/>
              </w:rPr>
            </w:pPr>
            <w:r>
              <w:rPr>
                <w:rFonts w:ascii="Arial" w:cs="Arial" w:eastAsia="Arial" w:hAnsi="Arial"/>
                <w:sz w:val="20"/>
                <w:szCs w:val="20"/>
                <w:color w:val="auto"/>
              </w:rPr>
              <w:t>Certain estimated capital expenditures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80" w:type="dxa"/>
            <w:vAlign w:val="bottom"/>
          </w:tcPr>
          <w:p>
            <w:pPr>
              <w:jc w:val="right"/>
              <w:spacing w:after="0" w:line="203" w:lineRule="exact"/>
              <w:rPr>
                <w:sz w:val="20"/>
                <w:szCs w:val="20"/>
                <w:color w:val="auto"/>
              </w:rPr>
            </w:pPr>
            <w:r>
              <w:rPr>
                <w:rFonts w:ascii="Arial" w:cs="Arial" w:eastAsia="Arial" w:hAnsi="Arial"/>
                <w:sz w:val="20"/>
                <w:szCs w:val="20"/>
                <w:color w:val="auto"/>
              </w:rPr>
              <w:t>247,500</w:t>
            </w:r>
          </w:p>
        </w:tc>
      </w:tr>
      <w:tr>
        <w:trPr>
          <w:trHeight w:val="203"/>
        </w:trPr>
        <w:tc>
          <w:tcPr>
            <w:tcW w:w="81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Assumption of indebtedness</w:t>
            </w:r>
          </w:p>
        </w:tc>
        <w:tc>
          <w:tcPr>
            <w:tcW w:w="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(1,101,091)</w:t>
            </w:r>
          </w:p>
        </w:tc>
      </w:tr>
      <w:tr>
        <w:trPr>
          <w:trHeight w:val="196"/>
        </w:trPr>
        <w:tc>
          <w:tcPr>
            <w:tcW w:w="8120" w:type="dxa"/>
            <w:vAlign w:val="bottom"/>
          </w:tcPr>
          <w:p>
            <w:pPr>
              <w:spacing w:after="0" w:line="196" w:lineRule="exact"/>
              <w:rPr>
                <w:sz w:val="20"/>
                <w:szCs w:val="20"/>
                <w:color w:val="auto"/>
              </w:rPr>
            </w:pPr>
            <w:r>
              <w:rPr>
                <w:rFonts w:ascii="Arial" w:cs="Arial" w:eastAsia="Arial" w:hAnsi="Arial"/>
                <w:sz w:val="20"/>
                <w:szCs w:val="20"/>
                <w:color w:val="auto"/>
              </w:rPr>
              <w:t>Cash consideration</w:t>
            </w: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63"/>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20"/>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assumption of $1,101,091 of indebtedness as of the Closing Date, consisted of $920,091 of senior notes and $181,000 of short-term debt. The acquisition was financed through a series of financing transactions which included the issuance of common stock from a public offering and a private placement, a tangible equity unit offering, and short and long-term debt.</w:t>
      </w:r>
    </w:p>
    <w:p>
      <w:pPr>
        <w:spacing w:after="0" w:line="148"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The Company accounted for the Peoples Gas Acquisition as a business combination using the acquisition method of accounting. The estimated purchase price was allocated to the net tangible and intangible assets based upon their estimated fair values at the date of the acquisition. The purchase price allocation was preliminary and was subject to revision through the end of the measurement period on March 15, 2021. During the first quarter of 2021, the Company recorded an adjustment to increase goodwill by $16,400 primarily reflecting an adjustment to deferred income taxes and the valuation of accounts receivable. Goodwill recorded for the Peoples Gas Acquisition is not expected to be deductible for tax purposes. The following table summarizes the purchase price allocation as of the acquisition date and measurement period adjustments as of March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91"/>
              </w:rPr>
              <w:t>Amounts</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91"/>
              </w:rPr>
              <w:t>Amounts</w:t>
            </w:r>
          </w:p>
        </w:tc>
      </w:tr>
      <w:tr>
        <w:trPr>
          <w:trHeight w:val="203"/>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jc w:val="center"/>
              <w:spacing w:after="0" w:line="203" w:lineRule="exact"/>
              <w:rPr>
                <w:sz w:val="20"/>
                <w:szCs w:val="20"/>
                <w:color w:val="auto"/>
              </w:rPr>
            </w:pPr>
            <w:r>
              <w:rPr>
                <w:rFonts w:ascii="Arial" w:cs="Arial" w:eastAsia="Arial" w:hAnsi="Arial"/>
                <w:sz w:val="20"/>
                <w:szCs w:val="20"/>
                <w:color w:val="auto"/>
                <w:w w:val="93"/>
              </w:rPr>
              <w:t>Previously</w:t>
            </w:r>
          </w:p>
        </w:tc>
        <w:tc>
          <w:tcPr>
            <w:tcW w:w="340" w:type="dxa"/>
            <w:vAlign w:val="bottom"/>
          </w:tcPr>
          <w:p>
            <w:pPr>
              <w:spacing w:after="0"/>
              <w:rPr>
                <w:sz w:val="17"/>
                <w:szCs w:val="17"/>
                <w:color w:val="auto"/>
              </w:rPr>
            </w:pPr>
          </w:p>
        </w:tc>
        <w:tc>
          <w:tcPr>
            <w:tcW w:w="1720" w:type="dxa"/>
            <w:vAlign w:val="bottom"/>
          </w:tcPr>
          <w:p>
            <w:pPr>
              <w:jc w:val="center"/>
              <w:ind w:right="141"/>
              <w:spacing w:after="0" w:line="203" w:lineRule="exact"/>
              <w:rPr>
                <w:sz w:val="20"/>
                <w:szCs w:val="20"/>
                <w:color w:val="auto"/>
              </w:rPr>
            </w:pPr>
            <w:r>
              <w:rPr>
                <w:rFonts w:ascii="Arial" w:cs="Arial" w:eastAsia="Arial" w:hAnsi="Arial"/>
                <w:sz w:val="20"/>
                <w:szCs w:val="20"/>
                <w:color w:val="auto"/>
                <w:w w:val="88"/>
              </w:rPr>
              <w:t>Measurement</w:t>
            </w:r>
          </w:p>
        </w:tc>
        <w:tc>
          <w:tcPr>
            <w:tcW w:w="1740" w:type="dxa"/>
            <w:vAlign w:val="bottom"/>
          </w:tcPr>
          <w:p>
            <w:pPr>
              <w:jc w:val="center"/>
              <w:spacing w:after="0" w:line="203" w:lineRule="exact"/>
              <w:rPr>
                <w:sz w:val="20"/>
                <w:szCs w:val="20"/>
                <w:color w:val="auto"/>
              </w:rPr>
            </w:pPr>
            <w:r>
              <w:rPr>
                <w:rFonts w:ascii="Arial" w:cs="Arial" w:eastAsia="Arial" w:hAnsi="Arial"/>
                <w:sz w:val="20"/>
                <w:szCs w:val="20"/>
                <w:color w:val="auto"/>
                <w:w w:val="87"/>
              </w:rPr>
              <w:t>Recognized as of</w:t>
            </w:r>
          </w:p>
        </w:tc>
      </w:tr>
      <w:tr>
        <w:trPr>
          <w:trHeight w:val="203"/>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jc w:val="center"/>
              <w:spacing w:after="0" w:line="203" w:lineRule="exact"/>
              <w:rPr>
                <w:sz w:val="20"/>
                <w:szCs w:val="20"/>
                <w:color w:val="auto"/>
              </w:rPr>
            </w:pPr>
            <w:r>
              <w:rPr>
                <w:rFonts w:ascii="Arial" w:cs="Arial" w:eastAsia="Arial" w:hAnsi="Arial"/>
                <w:sz w:val="20"/>
                <w:szCs w:val="20"/>
                <w:color w:val="auto"/>
                <w:w w:val="87"/>
              </w:rPr>
              <w:t>Recognized as of</w:t>
            </w:r>
          </w:p>
        </w:tc>
        <w:tc>
          <w:tcPr>
            <w:tcW w:w="340" w:type="dxa"/>
            <w:vAlign w:val="bottom"/>
          </w:tcPr>
          <w:p>
            <w:pPr>
              <w:spacing w:after="0"/>
              <w:rPr>
                <w:sz w:val="17"/>
                <w:szCs w:val="17"/>
                <w:color w:val="auto"/>
              </w:rPr>
            </w:pPr>
          </w:p>
        </w:tc>
        <w:tc>
          <w:tcPr>
            <w:tcW w:w="1720" w:type="dxa"/>
            <w:vAlign w:val="bottom"/>
          </w:tcPr>
          <w:p>
            <w:pPr>
              <w:jc w:val="center"/>
              <w:ind w:right="141"/>
              <w:spacing w:after="0" w:line="203" w:lineRule="exact"/>
              <w:rPr>
                <w:sz w:val="20"/>
                <w:szCs w:val="20"/>
                <w:color w:val="auto"/>
              </w:rPr>
            </w:pPr>
            <w:r>
              <w:rPr>
                <w:rFonts w:ascii="Arial" w:cs="Arial" w:eastAsia="Arial" w:hAnsi="Arial"/>
                <w:sz w:val="20"/>
                <w:szCs w:val="20"/>
                <w:color w:val="auto"/>
                <w:w w:val="89"/>
              </w:rPr>
              <w:t>Period</w:t>
            </w:r>
          </w:p>
        </w:tc>
        <w:tc>
          <w:tcPr>
            <w:tcW w:w="1740" w:type="dxa"/>
            <w:vAlign w:val="bottom"/>
          </w:tcPr>
          <w:p>
            <w:pPr>
              <w:jc w:val="center"/>
              <w:spacing w:after="0" w:line="203" w:lineRule="exact"/>
              <w:rPr>
                <w:sz w:val="20"/>
                <w:szCs w:val="20"/>
                <w:color w:val="auto"/>
              </w:rPr>
            </w:pPr>
            <w:r>
              <w:rPr>
                <w:rFonts w:ascii="Arial" w:cs="Arial" w:eastAsia="Arial" w:hAnsi="Arial"/>
                <w:sz w:val="20"/>
                <w:szCs w:val="20"/>
                <w:color w:val="auto"/>
                <w:w w:val="94"/>
              </w:rPr>
              <w:t>Acquisition Date</w:t>
            </w:r>
          </w:p>
        </w:tc>
      </w:tr>
      <w:tr>
        <w:trPr>
          <w:trHeight w:val="233"/>
        </w:trPr>
        <w:tc>
          <w:tcPr>
            <w:tcW w:w="48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Acquisition Date (a)</w:t>
            </w: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90"/>
              </w:rPr>
              <w:t>Adjustments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(as Adjusted)</w:t>
            </w: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Property, plant and equipment, net</w:t>
            </w:r>
          </w:p>
        </w:tc>
        <w:tc>
          <w:tcPr>
            <w:tcW w:w="420" w:type="dxa"/>
            <w:vAlign w:val="bottom"/>
            <w:shd w:val="clear" w:color="auto" w:fill="CCEEFF"/>
          </w:tcPr>
          <w:p>
            <w:pPr>
              <w:jc w:val="right"/>
              <w:ind w:right="221"/>
              <w:spacing w:after="0" w:line="196" w:lineRule="exact"/>
              <w:rPr>
                <w:sz w:val="20"/>
                <w:szCs w:val="20"/>
                <w:color w:val="auto"/>
              </w:rPr>
            </w:pPr>
            <w:r>
              <w:rPr>
                <w:rFonts w:ascii="Arial" w:cs="Arial" w:eastAsia="Arial" w:hAnsi="Arial"/>
                <w:sz w:val="20"/>
                <w:szCs w:val="20"/>
                <w:color w:val="auto"/>
                <w:w w:val="71"/>
              </w:rPr>
              <w:t>$</w:t>
            </w:r>
          </w:p>
        </w:tc>
        <w:tc>
          <w:tcPr>
            <w:tcW w:w="21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2,476,551</w:t>
            </w:r>
          </w:p>
        </w:tc>
        <w:tc>
          <w:tcPr>
            <w:tcW w:w="34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w w:val="89"/>
              </w:rPr>
              <w:t>$</w:t>
            </w:r>
          </w:p>
        </w:tc>
        <w:tc>
          <w:tcPr>
            <w:tcW w:w="172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2,476,551</w:t>
            </w:r>
          </w:p>
        </w:tc>
      </w:tr>
      <w:tr>
        <w:trPr>
          <w:trHeight w:val="199"/>
        </w:trPr>
        <w:tc>
          <w:tcPr>
            <w:tcW w:w="4860" w:type="dxa"/>
            <w:vAlign w:val="bottom"/>
          </w:tcPr>
          <w:p>
            <w:pPr>
              <w:spacing w:after="0" w:line="199" w:lineRule="exact"/>
              <w:rPr>
                <w:sz w:val="20"/>
                <w:szCs w:val="20"/>
                <w:color w:val="auto"/>
              </w:rPr>
            </w:pPr>
            <w:r>
              <w:rPr>
                <w:rFonts w:ascii="Arial" w:cs="Arial" w:eastAsia="Arial" w:hAnsi="Arial"/>
                <w:sz w:val="20"/>
                <w:szCs w:val="20"/>
                <w:color w:val="auto"/>
              </w:rPr>
              <w:t>Current assets</w:t>
            </w:r>
          </w:p>
        </w:tc>
        <w:tc>
          <w:tcPr>
            <w:tcW w:w="420" w:type="dxa"/>
            <w:vAlign w:val="bottom"/>
          </w:tcPr>
          <w:p>
            <w:pPr>
              <w:spacing w:after="0"/>
              <w:rPr>
                <w:sz w:val="17"/>
                <w:szCs w:val="17"/>
                <w:color w:val="auto"/>
              </w:rPr>
            </w:pPr>
          </w:p>
        </w:tc>
        <w:tc>
          <w:tcPr>
            <w:tcW w:w="2160" w:type="dxa"/>
            <w:vAlign w:val="bottom"/>
          </w:tcPr>
          <w:p>
            <w:pPr>
              <w:jc w:val="right"/>
              <w:spacing w:after="0" w:line="199" w:lineRule="exact"/>
              <w:rPr>
                <w:sz w:val="20"/>
                <w:szCs w:val="20"/>
                <w:color w:val="auto"/>
              </w:rPr>
            </w:pPr>
            <w:r>
              <w:rPr>
                <w:rFonts w:ascii="Arial" w:cs="Arial" w:eastAsia="Arial" w:hAnsi="Arial"/>
                <w:sz w:val="20"/>
                <w:szCs w:val="20"/>
                <w:color w:val="auto"/>
              </w:rPr>
              <w:t>242,531</w:t>
            </w:r>
          </w:p>
        </w:tc>
        <w:tc>
          <w:tcPr>
            <w:tcW w:w="340" w:type="dxa"/>
            <w:vAlign w:val="bottom"/>
          </w:tcPr>
          <w:p>
            <w:pPr>
              <w:spacing w:after="0"/>
              <w:rPr>
                <w:sz w:val="17"/>
                <w:szCs w:val="17"/>
                <w:color w:val="auto"/>
              </w:rPr>
            </w:pPr>
          </w:p>
        </w:tc>
        <w:tc>
          <w:tcPr>
            <w:tcW w:w="1720" w:type="dxa"/>
            <w:vAlign w:val="bottom"/>
          </w:tcPr>
          <w:p>
            <w:pPr>
              <w:jc w:val="right"/>
              <w:ind w:right="141"/>
              <w:spacing w:after="0" w:line="199" w:lineRule="exact"/>
              <w:rPr>
                <w:sz w:val="20"/>
                <w:szCs w:val="20"/>
                <w:color w:val="auto"/>
              </w:rPr>
            </w:pPr>
            <w:r>
              <w:rPr>
                <w:rFonts w:ascii="Arial" w:cs="Arial" w:eastAsia="Arial" w:hAnsi="Arial"/>
                <w:sz w:val="20"/>
                <w:szCs w:val="20"/>
                <w:color w:val="auto"/>
              </w:rPr>
              <w:t>(9,197)</w:t>
            </w:r>
          </w:p>
        </w:tc>
        <w:tc>
          <w:tcPr>
            <w:tcW w:w="1740" w:type="dxa"/>
            <w:vAlign w:val="bottom"/>
          </w:tcPr>
          <w:p>
            <w:pPr>
              <w:jc w:val="right"/>
              <w:spacing w:after="0" w:line="199" w:lineRule="exact"/>
              <w:rPr>
                <w:sz w:val="20"/>
                <w:szCs w:val="20"/>
                <w:color w:val="auto"/>
              </w:rPr>
            </w:pPr>
            <w:r>
              <w:rPr>
                <w:rFonts w:ascii="Arial" w:cs="Arial" w:eastAsia="Arial" w:hAnsi="Arial"/>
                <w:sz w:val="20"/>
                <w:szCs w:val="20"/>
                <w:color w:val="auto"/>
              </w:rPr>
              <w:t>233,334</w:t>
            </w:r>
          </w:p>
        </w:tc>
      </w:tr>
    </w:tbl>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 w:name="page14"/>
    <w:bookmarkEnd w:id="1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Regulatory assets</w:t>
            </w: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286,751</w:t>
            </w:r>
          </w:p>
        </w:tc>
        <w:tc>
          <w:tcPr>
            <w:tcW w:w="6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521"/>
              <w:spacing w:after="0"/>
              <w:rPr>
                <w:sz w:val="20"/>
                <w:szCs w:val="20"/>
                <w:color w:val="auto"/>
              </w:rPr>
            </w:pPr>
            <w:r>
              <w:rPr>
                <w:rFonts w:ascii="Arial" w:cs="Arial" w:eastAsia="Arial" w:hAnsi="Arial"/>
                <w:sz w:val="20"/>
                <w:szCs w:val="20"/>
                <w:color w:val="auto"/>
              </w:rPr>
              <w:t>(22,293)</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264,458</w:t>
            </w:r>
          </w:p>
        </w:tc>
      </w:tr>
      <w:tr>
        <w:trPr>
          <w:trHeight w:val="172"/>
        </w:trPr>
        <w:tc>
          <w:tcPr>
            <w:tcW w:w="4860" w:type="dxa"/>
            <w:vAlign w:val="bottom"/>
          </w:tcPr>
          <w:p>
            <w:pPr>
              <w:spacing w:after="0" w:line="173" w:lineRule="exact"/>
              <w:rPr>
                <w:sz w:val="20"/>
                <w:szCs w:val="20"/>
                <w:color w:val="auto"/>
              </w:rPr>
            </w:pPr>
            <w:r>
              <w:rPr>
                <w:rFonts w:ascii="Arial" w:cs="Arial" w:eastAsia="Arial" w:hAnsi="Arial"/>
                <w:sz w:val="19"/>
                <w:szCs w:val="19"/>
                <w:color w:val="auto"/>
              </w:rPr>
              <w:t>Goodwill</w:t>
            </w:r>
          </w:p>
        </w:tc>
        <w:tc>
          <w:tcPr>
            <w:tcW w:w="940" w:type="dxa"/>
            <w:vAlign w:val="bottom"/>
          </w:tcPr>
          <w:p>
            <w:pPr>
              <w:spacing w:after="0"/>
              <w:rPr>
                <w:sz w:val="14"/>
                <w:szCs w:val="14"/>
                <w:color w:val="auto"/>
              </w:rPr>
            </w:pPr>
          </w:p>
        </w:tc>
        <w:tc>
          <w:tcPr>
            <w:tcW w:w="1640" w:type="dxa"/>
            <w:vAlign w:val="bottom"/>
          </w:tcPr>
          <w:p>
            <w:pPr>
              <w:jc w:val="right"/>
              <w:spacing w:after="0" w:line="173" w:lineRule="exact"/>
              <w:rPr>
                <w:sz w:val="20"/>
                <w:szCs w:val="20"/>
                <w:color w:val="auto"/>
              </w:rPr>
            </w:pPr>
            <w:r>
              <w:rPr>
                <w:rFonts w:ascii="Arial" w:cs="Arial" w:eastAsia="Arial" w:hAnsi="Arial"/>
                <w:sz w:val="19"/>
                <w:szCs w:val="19"/>
                <w:color w:val="auto"/>
              </w:rPr>
              <w:t>2,261,047</w:t>
            </w:r>
          </w:p>
        </w:tc>
        <w:tc>
          <w:tcPr>
            <w:tcW w:w="620" w:type="dxa"/>
            <w:vAlign w:val="bottom"/>
          </w:tcPr>
          <w:p>
            <w:pPr>
              <w:spacing w:after="0"/>
              <w:rPr>
                <w:sz w:val="14"/>
                <w:szCs w:val="14"/>
                <w:color w:val="auto"/>
              </w:rPr>
            </w:pPr>
          </w:p>
        </w:tc>
        <w:tc>
          <w:tcPr>
            <w:tcW w:w="1820" w:type="dxa"/>
            <w:vAlign w:val="bottom"/>
          </w:tcPr>
          <w:p>
            <w:pPr>
              <w:jc w:val="right"/>
              <w:ind w:right="581"/>
              <w:spacing w:after="0" w:line="173" w:lineRule="exact"/>
              <w:rPr>
                <w:sz w:val="20"/>
                <w:szCs w:val="20"/>
                <w:color w:val="auto"/>
              </w:rPr>
            </w:pPr>
            <w:r>
              <w:rPr>
                <w:rFonts w:ascii="Arial" w:cs="Arial" w:eastAsia="Arial" w:hAnsi="Arial"/>
                <w:sz w:val="19"/>
                <w:szCs w:val="19"/>
                <w:color w:val="auto"/>
              </w:rPr>
              <w:t>16,400</w:t>
            </w:r>
          </w:p>
        </w:tc>
        <w:tc>
          <w:tcPr>
            <w:tcW w:w="1360" w:type="dxa"/>
            <w:vAlign w:val="bottom"/>
          </w:tcPr>
          <w:p>
            <w:pPr>
              <w:jc w:val="right"/>
              <w:spacing w:after="0" w:line="173" w:lineRule="exact"/>
              <w:rPr>
                <w:sz w:val="20"/>
                <w:szCs w:val="20"/>
                <w:color w:val="auto"/>
              </w:rPr>
            </w:pPr>
            <w:r>
              <w:rPr>
                <w:rFonts w:ascii="Arial" w:cs="Arial" w:eastAsia="Arial" w:hAnsi="Arial"/>
                <w:sz w:val="19"/>
                <w:szCs w:val="19"/>
                <w:color w:val="auto"/>
              </w:rPr>
              <w:t>2,277,447</w:t>
            </w:r>
          </w:p>
        </w:tc>
      </w:tr>
      <w:tr>
        <w:trPr>
          <w:trHeight w:val="233"/>
        </w:trPr>
        <w:tc>
          <w:tcPr>
            <w:tcW w:w="48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long-term assets</w:t>
            </w: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75,071</w:t>
            </w:r>
          </w:p>
        </w:tc>
        <w:tc>
          <w:tcPr>
            <w:tcW w:w="6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75,071</w:t>
            </w: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Total assets acquired</w:t>
            </w:r>
          </w:p>
        </w:tc>
        <w:tc>
          <w:tcPr>
            <w:tcW w:w="9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5,341,951</w:t>
            </w:r>
          </w:p>
        </w:tc>
        <w:tc>
          <w:tcPr>
            <w:tcW w:w="6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521"/>
              <w:spacing w:after="0" w:line="196" w:lineRule="exact"/>
              <w:rPr>
                <w:sz w:val="20"/>
                <w:szCs w:val="20"/>
                <w:color w:val="auto"/>
              </w:rPr>
            </w:pPr>
            <w:r>
              <w:rPr>
                <w:rFonts w:ascii="Arial" w:cs="Arial" w:eastAsia="Arial" w:hAnsi="Arial"/>
                <w:sz w:val="20"/>
                <w:szCs w:val="20"/>
                <w:color w:val="auto"/>
              </w:rPr>
              <w:t>(15,090)</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5,326,861</w:t>
            </w:r>
          </w:p>
        </w:tc>
      </w:tr>
      <w:tr>
        <w:trPr>
          <w:trHeight w:val="196"/>
        </w:trPr>
        <w:tc>
          <w:tcPr>
            <w:tcW w:w="4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8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Current portion of long-term debt</w:t>
            </w:r>
          </w:p>
        </w:tc>
        <w:tc>
          <w:tcPr>
            <w:tcW w:w="9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5,136</w:t>
            </w:r>
          </w:p>
        </w:tc>
        <w:tc>
          <w:tcPr>
            <w:tcW w:w="6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521"/>
              <w:spacing w:after="0" w:line="203" w:lineRule="exact"/>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5,136</w:t>
            </w:r>
          </w:p>
        </w:tc>
      </w:tr>
      <w:tr>
        <w:trPr>
          <w:trHeight w:val="203"/>
        </w:trPr>
        <w:tc>
          <w:tcPr>
            <w:tcW w:w="4860" w:type="dxa"/>
            <w:vAlign w:val="bottom"/>
          </w:tcPr>
          <w:p>
            <w:pPr>
              <w:spacing w:after="0" w:line="203" w:lineRule="exact"/>
              <w:rPr>
                <w:sz w:val="20"/>
                <w:szCs w:val="20"/>
                <w:color w:val="auto"/>
              </w:rPr>
            </w:pPr>
            <w:r>
              <w:rPr>
                <w:rFonts w:ascii="Arial" w:cs="Arial" w:eastAsia="Arial" w:hAnsi="Arial"/>
                <w:sz w:val="20"/>
                <w:szCs w:val="20"/>
                <w:color w:val="auto"/>
              </w:rPr>
              <w:t>Loans payable</w:t>
            </w:r>
          </w:p>
        </w:tc>
        <w:tc>
          <w:tcPr>
            <w:tcW w:w="94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20"/>
                <w:szCs w:val="20"/>
                <w:color w:val="auto"/>
              </w:rPr>
              <w:t>181,000</w:t>
            </w:r>
          </w:p>
        </w:tc>
        <w:tc>
          <w:tcPr>
            <w:tcW w:w="620" w:type="dxa"/>
            <w:vAlign w:val="bottom"/>
          </w:tcPr>
          <w:p>
            <w:pPr>
              <w:spacing w:after="0"/>
              <w:rPr>
                <w:sz w:val="17"/>
                <w:szCs w:val="17"/>
                <w:color w:val="auto"/>
              </w:rPr>
            </w:pPr>
          </w:p>
        </w:tc>
        <w:tc>
          <w:tcPr>
            <w:tcW w:w="1820" w:type="dxa"/>
            <w:vAlign w:val="bottom"/>
          </w:tcPr>
          <w:p>
            <w:pPr>
              <w:jc w:val="right"/>
              <w:ind w:right="521"/>
              <w:spacing w:after="0" w:line="203" w:lineRule="exact"/>
              <w:rPr>
                <w:sz w:val="20"/>
                <w:szCs w:val="20"/>
                <w:color w:val="auto"/>
              </w:rPr>
            </w:pPr>
            <w:r>
              <w:rPr>
                <w:rFonts w:ascii="Arial" w:cs="Arial" w:eastAsia="Arial" w:hAnsi="Arial"/>
                <w:sz w:val="20"/>
                <w:szCs w:val="20"/>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20"/>
                <w:szCs w:val="20"/>
                <w:color w:val="auto"/>
              </w:rPr>
              <w:t>181,000</w:t>
            </w:r>
          </w:p>
        </w:tc>
      </w:tr>
      <w:tr>
        <w:trPr>
          <w:trHeight w:val="203"/>
        </w:trPr>
        <w:tc>
          <w:tcPr>
            <w:tcW w:w="48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current liabilities</w:t>
            </w:r>
          </w:p>
        </w:tc>
        <w:tc>
          <w:tcPr>
            <w:tcW w:w="9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186,120</w:t>
            </w:r>
          </w:p>
        </w:tc>
        <w:tc>
          <w:tcPr>
            <w:tcW w:w="6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521"/>
              <w:spacing w:after="0" w:line="203" w:lineRule="exact"/>
              <w:rPr>
                <w:sz w:val="20"/>
                <w:szCs w:val="20"/>
                <w:color w:val="auto"/>
              </w:rPr>
            </w:pPr>
            <w:r>
              <w:rPr>
                <w:rFonts w:ascii="Arial" w:cs="Arial" w:eastAsia="Arial" w:hAnsi="Arial"/>
                <w:sz w:val="20"/>
                <w:szCs w:val="20"/>
                <w:color w:val="auto"/>
              </w:rPr>
              <w:t>(200)</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185,920</w:t>
            </w:r>
          </w:p>
        </w:tc>
      </w:tr>
      <w:tr>
        <w:trPr>
          <w:trHeight w:val="203"/>
        </w:trPr>
        <w:tc>
          <w:tcPr>
            <w:tcW w:w="4860" w:type="dxa"/>
            <w:vAlign w:val="bottom"/>
          </w:tcPr>
          <w:p>
            <w:pPr>
              <w:spacing w:after="0" w:line="203" w:lineRule="exact"/>
              <w:rPr>
                <w:sz w:val="20"/>
                <w:szCs w:val="20"/>
                <w:color w:val="auto"/>
              </w:rPr>
            </w:pPr>
            <w:r>
              <w:rPr>
                <w:rFonts w:ascii="Arial" w:cs="Arial" w:eastAsia="Arial" w:hAnsi="Arial"/>
                <w:sz w:val="20"/>
                <w:szCs w:val="20"/>
                <w:color w:val="auto"/>
              </w:rPr>
              <w:t>Long-term debt</w:t>
            </w:r>
          </w:p>
        </w:tc>
        <w:tc>
          <w:tcPr>
            <w:tcW w:w="94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20"/>
                <w:szCs w:val="20"/>
                <w:color w:val="auto"/>
              </w:rPr>
              <w:t>999,460</w:t>
            </w:r>
          </w:p>
        </w:tc>
        <w:tc>
          <w:tcPr>
            <w:tcW w:w="620" w:type="dxa"/>
            <w:vAlign w:val="bottom"/>
          </w:tcPr>
          <w:p>
            <w:pPr>
              <w:spacing w:after="0"/>
              <w:rPr>
                <w:sz w:val="17"/>
                <w:szCs w:val="17"/>
                <w:color w:val="auto"/>
              </w:rPr>
            </w:pPr>
          </w:p>
        </w:tc>
        <w:tc>
          <w:tcPr>
            <w:tcW w:w="1820" w:type="dxa"/>
            <w:vAlign w:val="bottom"/>
          </w:tcPr>
          <w:p>
            <w:pPr>
              <w:jc w:val="right"/>
              <w:ind w:right="521"/>
              <w:spacing w:after="0" w:line="203" w:lineRule="exact"/>
              <w:rPr>
                <w:sz w:val="20"/>
                <w:szCs w:val="20"/>
                <w:color w:val="auto"/>
              </w:rPr>
            </w:pPr>
            <w:r>
              <w:rPr>
                <w:rFonts w:ascii="Arial" w:cs="Arial" w:eastAsia="Arial" w:hAnsi="Arial"/>
                <w:sz w:val="20"/>
                <w:szCs w:val="20"/>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20"/>
                <w:szCs w:val="20"/>
                <w:color w:val="auto"/>
              </w:rPr>
              <w:t>999,460</w:t>
            </w:r>
          </w:p>
        </w:tc>
      </w:tr>
      <w:tr>
        <w:trPr>
          <w:trHeight w:val="203"/>
        </w:trPr>
        <w:tc>
          <w:tcPr>
            <w:tcW w:w="48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Deferred income taxes</w:t>
            </w:r>
          </w:p>
        </w:tc>
        <w:tc>
          <w:tcPr>
            <w:tcW w:w="9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213,647</w:t>
            </w:r>
          </w:p>
        </w:tc>
        <w:tc>
          <w:tcPr>
            <w:tcW w:w="6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521"/>
              <w:spacing w:after="0" w:line="203" w:lineRule="exact"/>
              <w:rPr>
                <w:sz w:val="20"/>
                <w:szCs w:val="20"/>
                <w:color w:val="auto"/>
              </w:rPr>
            </w:pPr>
            <w:r>
              <w:rPr>
                <w:rFonts w:ascii="Arial" w:cs="Arial" w:eastAsia="Arial" w:hAnsi="Arial"/>
                <w:sz w:val="20"/>
                <w:szCs w:val="20"/>
                <w:color w:val="auto"/>
              </w:rPr>
              <w:t>(20,522)</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193,125</w:t>
            </w:r>
          </w:p>
        </w:tc>
      </w:tr>
      <w:tr>
        <w:trPr>
          <w:trHeight w:val="203"/>
        </w:trPr>
        <w:tc>
          <w:tcPr>
            <w:tcW w:w="4860" w:type="dxa"/>
            <w:vAlign w:val="bottom"/>
          </w:tcPr>
          <w:p>
            <w:pPr>
              <w:spacing w:after="0" w:line="203" w:lineRule="exact"/>
              <w:rPr>
                <w:sz w:val="20"/>
                <w:szCs w:val="20"/>
                <w:color w:val="auto"/>
              </w:rPr>
            </w:pPr>
            <w:r>
              <w:rPr>
                <w:rFonts w:ascii="Arial" w:cs="Arial" w:eastAsia="Arial" w:hAnsi="Arial"/>
                <w:sz w:val="20"/>
                <w:szCs w:val="20"/>
                <w:color w:val="auto"/>
              </w:rPr>
              <w:t>Regulatory liabilities</w:t>
            </w:r>
          </w:p>
        </w:tc>
        <w:tc>
          <w:tcPr>
            <w:tcW w:w="94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20"/>
                <w:szCs w:val="20"/>
                <w:color w:val="auto"/>
              </w:rPr>
              <w:t>123,029</w:t>
            </w:r>
          </w:p>
        </w:tc>
        <w:tc>
          <w:tcPr>
            <w:tcW w:w="620" w:type="dxa"/>
            <w:vAlign w:val="bottom"/>
          </w:tcPr>
          <w:p>
            <w:pPr>
              <w:spacing w:after="0"/>
              <w:rPr>
                <w:sz w:val="17"/>
                <w:szCs w:val="17"/>
                <w:color w:val="auto"/>
              </w:rPr>
            </w:pPr>
          </w:p>
        </w:tc>
        <w:tc>
          <w:tcPr>
            <w:tcW w:w="1820" w:type="dxa"/>
            <w:vAlign w:val="bottom"/>
          </w:tcPr>
          <w:p>
            <w:pPr>
              <w:jc w:val="right"/>
              <w:ind w:right="581"/>
              <w:spacing w:after="0" w:line="203" w:lineRule="exact"/>
              <w:rPr>
                <w:sz w:val="20"/>
                <w:szCs w:val="20"/>
                <w:color w:val="auto"/>
              </w:rPr>
            </w:pPr>
            <w:r>
              <w:rPr>
                <w:rFonts w:ascii="Arial" w:cs="Arial" w:eastAsia="Arial" w:hAnsi="Arial"/>
                <w:sz w:val="20"/>
                <w:szCs w:val="20"/>
                <w:color w:val="auto"/>
              </w:rPr>
              <w:t>6,389</w:t>
            </w:r>
          </w:p>
        </w:tc>
        <w:tc>
          <w:tcPr>
            <w:tcW w:w="1360" w:type="dxa"/>
            <w:vAlign w:val="bottom"/>
          </w:tcPr>
          <w:p>
            <w:pPr>
              <w:jc w:val="right"/>
              <w:spacing w:after="0" w:line="203" w:lineRule="exact"/>
              <w:rPr>
                <w:sz w:val="20"/>
                <w:szCs w:val="20"/>
                <w:color w:val="auto"/>
              </w:rPr>
            </w:pPr>
            <w:r>
              <w:rPr>
                <w:rFonts w:ascii="Arial" w:cs="Arial" w:eastAsia="Arial" w:hAnsi="Arial"/>
                <w:sz w:val="20"/>
                <w:szCs w:val="20"/>
                <w:color w:val="auto"/>
              </w:rPr>
              <w:t>129,418</w:t>
            </w:r>
          </w:p>
        </w:tc>
      </w:tr>
      <w:tr>
        <w:trPr>
          <w:trHeight w:val="203"/>
        </w:trPr>
        <w:tc>
          <w:tcPr>
            <w:tcW w:w="48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long-term liabilities</w:t>
            </w:r>
          </w:p>
        </w:tc>
        <w:tc>
          <w:tcPr>
            <w:tcW w:w="9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168,215</w:t>
            </w:r>
          </w:p>
        </w:tc>
        <w:tc>
          <w:tcPr>
            <w:tcW w:w="6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521"/>
              <w:spacing w:after="0" w:line="203" w:lineRule="exact"/>
              <w:rPr>
                <w:sz w:val="20"/>
                <w:szCs w:val="20"/>
                <w:color w:val="auto"/>
              </w:rPr>
            </w:pPr>
            <w:r>
              <w:rPr>
                <w:rFonts w:ascii="Arial" w:cs="Arial" w:eastAsia="Arial" w:hAnsi="Arial"/>
                <w:sz w:val="20"/>
                <w:szCs w:val="20"/>
                <w:color w:val="auto"/>
              </w:rPr>
              <w:t>(757)</w:t>
            </w:r>
          </w:p>
        </w:tc>
        <w:tc>
          <w:tcPr>
            <w:tcW w:w="13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167,458</w:t>
            </w:r>
          </w:p>
        </w:tc>
      </w:tr>
      <w:tr>
        <w:trPr>
          <w:trHeight w:val="196"/>
        </w:trPr>
        <w:tc>
          <w:tcPr>
            <w:tcW w:w="486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Total liabilities assumed</w:t>
            </w:r>
          </w:p>
        </w:tc>
        <w:tc>
          <w:tcPr>
            <w:tcW w:w="9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1,876,607</w:t>
            </w:r>
          </w:p>
        </w:tc>
        <w:tc>
          <w:tcPr>
            <w:tcW w:w="6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21"/>
              <w:spacing w:after="0" w:line="196" w:lineRule="exact"/>
              <w:rPr>
                <w:sz w:val="20"/>
                <w:szCs w:val="20"/>
                <w:color w:val="auto"/>
              </w:rPr>
            </w:pPr>
            <w:r>
              <w:rPr>
                <w:rFonts w:ascii="Arial" w:cs="Arial" w:eastAsia="Arial" w:hAnsi="Arial"/>
                <w:sz w:val="20"/>
                <w:szCs w:val="20"/>
                <w:color w:val="auto"/>
              </w:rPr>
              <w:t>(15,090)</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1,861,517</w:t>
            </w:r>
          </w:p>
        </w:tc>
      </w:tr>
      <w:tr>
        <w:trPr>
          <w:trHeight w:val="196"/>
        </w:trPr>
        <w:tc>
          <w:tcPr>
            <w:tcW w:w="4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Net assets acquired</w:t>
            </w:r>
          </w:p>
        </w:tc>
        <w:tc>
          <w:tcPr>
            <w:tcW w:w="940" w:type="dxa"/>
            <w:vAlign w:val="bottom"/>
            <w:tcBorders>
              <w:bottom w:val="single" w:sz="8" w:color="auto"/>
            </w:tcBorders>
            <w:shd w:val="clear" w:color="auto" w:fill="CCEEFF"/>
          </w:tcPr>
          <w:p>
            <w:pPr>
              <w:jc w:val="right"/>
              <w:ind w:right="741"/>
              <w:spacing w:after="0" w:line="196" w:lineRule="exact"/>
              <w:rPr>
                <w:sz w:val="20"/>
                <w:szCs w:val="20"/>
                <w:color w:val="auto"/>
              </w:rPr>
            </w:pPr>
            <w:r>
              <w:rPr>
                <w:rFonts w:ascii="Arial" w:cs="Arial" w:eastAsia="Arial" w:hAnsi="Arial"/>
                <w:sz w:val="20"/>
                <w:szCs w:val="20"/>
                <w:color w:val="auto"/>
                <w:w w:val="71"/>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3,465,344</w:t>
            </w:r>
          </w:p>
        </w:tc>
        <w:tc>
          <w:tcPr>
            <w:tcW w:w="620" w:type="dxa"/>
            <w:vAlign w:val="bottom"/>
            <w:tcBorders>
              <w:bottom w:val="single" w:sz="8" w:color="auto"/>
            </w:tcBorders>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w w:val="89"/>
              </w:rPr>
              <w:t>$</w:t>
            </w:r>
          </w:p>
        </w:tc>
        <w:tc>
          <w:tcPr>
            <w:tcW w:w="1820" w:type="dxa"/>
            <w:vAlign w:val="bottom"/>
            <w:tcBorders>
              <w:bottom w:val="single" w:sz="8" w:color="auto"/>
            </w:tcBorders>
            <w:shd w:val="clear" w:color="auto" w:fill="CCEEFF"/>
          </w:tcPr>
          <w:p>
            <w:pPr>
              <w:jc w:val="right"/>
              <w:ind w:right="421"/>
              <w:spacing w:after="0" w:line="196"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20"/>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(a) As reported, the Essential Utilities, Inc. 10-K for the period ended December 31, 2020.</w:t>
      </w:r>
    </w:p>
    <w:p>
      <w:pPr>
        <w:spacing w:after="0" w:line="206"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color w:val="auto"/>
        </w:rPr>
        <w:t>The Company incurred transaction-related expenses for the Peoples Gas Acquisition, which consisted of costs recorded as operations and maintenance expenses in the first quarter of 2020 of $25,397 primarily representing expenses associated with investment banking fees, including bridge financing, employee related costs, obtaining regulatory approvals, legal expenses, and integration planning. There were no further transaction-related expenses for the Peoples Gas Acquisition after the first quarter of 2020.</w:t>
      </w:r>
    </w:p>
    <w:p>
      <w:pPr>
        <w:spacing w:after="0" w:line="186" w:lineRule="exact"/>
        <w:rPr>
          <w:sz w:val="20"/>
          <w:szCs w:val="20"/>
          <w:color w:val="auto"/>
        </w:rPr>
      </w:pPr>
    </w:p>
    <w:p>
      <w:pPr>
        <w:jc w:val="both"/>
        <w:ind w:right="160"/>
        <w:spacing w:after="0" w:line="282" w:lineRule="auto"/>
        <w:rPr>
          <w:sz w:val="20"/>
          <w:szCs w:val="20"/>
          <w:color w:val="auto"/>
        </w:rPr>
      </w:pPr>
      <w:r>
        <w:rPr>
          <w:rFonts w:ascii="Arial" w:cs="Arial" w:eastAsia="Arial" w:hAnsi="Arial"/>
          <w:sz w:val="19"/>
          <w:szCs w:val="19"/>
          <w:color w:val="auto"/>
        </w:rPr>
        <w:t>The results of Peoples have been included in our consolidated financial statements as of the Closing Date. Peoples contributed revenues of $38,544 and earnings of $13,398 for the period from the Closing Date to March 31, 2020. The following pro forma summary presents consolidated unaudited information as if the Peoples Gas Acquisition had occurred on January 1, 2019:</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0" w:type="dxa"/>
            <w:vAlign w:val="bottom"/>
          </w:tcPr>
          <w:p>
            <w:pPr>
              <w:jc w:val="right"/>
              <w:ind w:right="1052"/>
              <w:spacing w:after="0"/>
              <w:rPr>
                <w:sz w:val="20"/>
                <w:szCs w:val="20"/>
                <w:color w:val="auto"/>
              </w:rPr>
            </w:pPr>
            <w:r>
              <w:rPr>
                <w:rFonts w:ascii="Arial" w:cs="Arial" w:eastAsia="Arial" w:hAnsi="Arial"/>
                <w:sz w:val="22"/>
                <w:szCs w:val="22"/>
                <w:color w:val="auto"/>
              </w:rPr>
              <w:t>Three Months Ended</w:t>
            </w:r>
          </w:p>
        </w:tc>
      </w:tr>
      <w:tr>
        <w:trPr>
          <w:trHeight w:val="251"/>
        </w:trPr>
        <w:tc>
          <w:tcPr>
            <w:tcW w:w="65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jc w:val="right"/>
              <w:ind w:right="1272"/>
              <w:spacing w:after="0" w:line="251" w:lineRule="exact"/>
              <w:rPr>
                <w:sz w:val="20"/>
                <w:szCs w:val="20"/>
                <w:color w:val="auto"/>
              </w:rPr>
            </w:pPr>
            <w:r>
              <w:rPr>
                <w:rFonts w:ascii="Arial" w:cs="Arial" w:eastAsia="Arial" w:hAnsi="Arial"/>
                <w:sz w:val="22"/>
                <w:szCs w:val="22"/>
                <w:color w:val="auto"/>
              </w:rPr>
              <w:t>March 31, 2020</w:t>
            </w:r>
          </w:p>
        </w:tc>
      </w:tr>
      <w:tr>
        <w:trPr>
          <w:trHeight w:val="223"/>
        </w:trPr>
        <w:tc>
          <w:tcPr>
            <w:tcW w:w="65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920" w:type="dxa"/>
            <w:vAlign w:val="bottom"/>
            <w:shd w:val="clear" w:color="auto" w:fill="CCEEFF"/>
          </w:tcPr>
          <w:p>
            <w:pPr>
              <w:jc w:val="right"/>
              <w:ind w:right="692"/>
              <w:spacing w:after="0" w:line="223" w:lineRule="exact"/>
              <w:rPr>
                <w:sz w:val="20"/>
                <w:szCs w:val="20"/>
                <w:color w:val="auto"/>
              </w:rPr>
            </w:pPr>
            <w:r>
              <w:rPr>
                <w:rFonts w:ascii="Arial" w:cs="Arial" w:eastAsia="Arial" w:hAnsi="Arial"/>
                <w:sz w:val="22"/>
                <w:szCs w:val="22"/>
                <w:color w:val="auto"/>
                <w:w w:val="81"/>
              </w:rPr>
              <w:t>$</w:t>
            </w:r>
          </w:p>
        </w:tc>
        <w:tc>
          <w:tcPr>
            <w:tcW w:w="3800" w:type="dxa"/>
            <w:vAlign w:val="bottom"/>
            <w:shd w:val="clear" w:color="auto" w:fill="CCEEFF"/>
          </w:tcPr>
          <w:p>
            <w:pPr>
              <w:jc w:val="right"/>
              <w:ind w:right="652"/>
              <w:spacing w:after="0" w:line="223" w:lineRule="exact"/>
              <w:rPr>
                <w:sz w:val="20"/>
                <w:szCs w:val="20"/>
                <w:color w:val="auto"/>
              </w:rPr>
            </w:pPr>
            <w:r>
              <w:rPr>
                <w:rFonts w:ascii="Arial" w:cs="Arial" w:eastAsia="Arial" w:hAnsi="Arial"/>
                <w:sz w:val="22"/>
                <w:szCs w:val="22"/>
                <w:color w:val="auto"/>
              </w:rPr>
              <w:t>536,653</w:t>
            </w:r>
          </w:p>
        </w:tc>
      </w:tr>
      <w:tr>
        <w:trPr>
          <w:trHeight w:val="274"/>
        </w:trPr>
        <w:tc>
          <w:tcPr>
            <w:tcW w:w="6520" w:type="dxa"/>
            <w:vAlign w:val="bottom"/>
          </w:tcPr>
          <w:p>
            <w:pPr>
              <w:spacing w:after="0"/>
              <w:rPr>
                <w:sz w:val="20"/>
                <w:szCs w:val="20"/>
                <w:color w:val="auto"/>
              </w:rPr>
            </w:pPr>
            <w:r>
              <w:rPr>
                <w:rFonts w:ascii="Arial" w:cs="Arial" w:eastAsia="Arial" w:hAnsi="Arial"/>
                <w:sz w:val="22"/>
                <w:szCs w:val="22"/>
                <w:color w:val="auto"/>
              </w:rPr>
              <w:t>Net income</w:t>
            </w:r>
          </w:p>
        </w:tc>
        <w:tc>
          <w:tcPr>
            <w:tcW w:w="920" w:type="dxa"/>
            <w:vAlign w:val="bottom"/>
          </w:tcPr>
          <w:p>
            <w:pPr>
              <w:spacing w:after="0"/>
              <w:rPr>
                <w:sz w:val="23"/>
                <w:szCs w:val="23"/>
                <w:color w:val="auto"/>
              </w:rPr>
            </w:pPr>
          </w:p>
        </w:tc>
        <w:tc>
          <w:tcPr>
            <w:tcW w:w="3800" w:type="dxa"/>
            <w:vAlign w:val="bottom"/>
          </w:tcPr>
          <w:p>
            <w:pPr>
              <w:jc w:val="right"/>
              <w:ind w:right="652"/>
              <w:spacing w:after="0"/>
              <w:rPr>
                <w:sz w:val="20"/>
                <w:szCs w:val="20"/>
                <w:color w:val="auto"/>
              </w:rPr>
            </w:pPr>
            <w:r>
              <w:rPr>
                <w:rFonts w:ascii="Arial" w:cs="Arial" w:eastAsia="Arial" w:hAnsi="Arial"/>
                <w:sz w:val="22"/>
                <w:szCs w:val="22"/>
                <w:color w:val="auto"/>
              </w:rPr>
              <w:t>137,292</w:t>
            </w:r>
          </w:p>
        </w:tc>
      </w:tr>
    </w:tbl>
    <w:p>
      <w:pPr>
        <w:spacing w:after="0" w:line="163" w:lineRule="exact"/>
        <w:rPr>
          <w:sz w:val="20"/>
          <w:szCs w:val="20"/>
          <w:color w:val="auto"/>
        </w:rPr>
      </w:pPr>
    </w:p>
    <w:p>
      <w:pPr>
        <w:ind w:right="180"/>
        <w:spacing w:after="0" w:line="230" w:lineRule="auto"/>
        <w:rPr>
          <w:sz w:val="20"/>
          <w:szCs w:val="20"/>
          <w:color w:val="auto"/>
        </w:rPr>
      </w:pPr>
      <w:r>
        <w:rPr>
          <w:rFonts w:ascii="Arial" w:cs="Arial" w:eastAsia="Arial" w:hAnsi="Arial"/>
          <w:sz w:val="21"/>
          <w:szCs w:val="21"/>
          <w:color w:val="auto"/>
        </w:rPr>
        <w:t>The supplemental pro forma information is not necessarily representative of the actual results that may have occurred for the period or of the results that may occur in the future. This supplemental pro forma information is based upon the historical operating results of Peoples for the period prior to the Closing Date and is adjusted to reflect the effect of non-recurring acquisition-related costs, incurred in 2020 as if they occurred on January 1, 2019. The adjustments include $20,628 ($25,197 pre-tax) of expenses incurred in 2020, primarily associated with investment banking fees, obtaining regulatory approvals, legal expenses and other direct costs of the Peoples Gas Acquisition, adjustments to reflect net acquisition financing as of January 1, 2019 of $10,700 ($14,342 pre-tax), the elimination of interest on debt that was not assumed in the acquisition of $2,448 ($3,442 pre-tax), and the elimination of a management fee charged quarterly to Peoples by its former parent company of $885 ($1,245 pre-tax).</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4" w:name="page15"/>
    <w:bookmarkEnd w:id="1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20" w:right="232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Associated with the approval of the Peoples Gas Acquisition from the Pennsylvania Public Utility Commission, the Company committed to addressing the replacement of gathering pipe over a seven year timeframe for an estimated cost of $120,000, which will be recoverable through customer rates. Additionally, the Company has committed to provide $23,004 of one-time customer rate credits to its Pennsylvania natural gas utility customers and water and wastewater customers served by Aqua Pennsylvania, Inc. (“Aqua Pennsylvania”). In 2020, the Company granted $4,080 of customer rate credits to its water and wastewater customers during the third quarter of 2020, and $18,924 to its natural gas utility customers in the fourth quarter of 2020 to satisfy the $23,004 commitment.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Completed</w:t>
      </w:r>
    </w:p>
    <w:p>
      <w:pPr>
        <w:spacing w:after="0" w:line="206"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In December 2020, the Company acquired the wastewater utility system assets of New Garden Township, Pennsylvania, which serves 1,965 customers. The total cash purchase price for the utility system was $29,944.</w:t>
      </w:r>
    </w:p>
    <w:p>
      <w:pPr>
        <w:spacing w:after="0" w:line="185" w:lineRule="exact"/>
        <w:rPr>
          <w:sz w:val="20"/>
          <w:szCs w:val="20"/>
          <w:color w:val="auto"/>
        </w:rPr>
      </w:pPr>
    </w:p>
    <w:p>
      <w:pPr>
        <w:ind w:right="160"/>
        <w:spacing w:after="0" w:line="313" w:lineRule="auto"/>
        <w:rPr>
          <w:sz w:val="20"/>
          <w:szCs w:val="20"/>
          <w:color w:val="auto"/>
        </w:rPr>
      </w:pPr>
      <w:r>
        <w:rPr>
          <w:rFonts w:ascii="Arial" w:cs="Arial" w:eastAsia="Arial" w:hAnsi="Arial"/>
          <w:sz w:val="19"/>
          <w:szCs w:val="19"/>
          <w:color w:val="auto"/>
        </w:rPr>
        <w:t>In October 2020, the Company acquired the water and wastewater utility system of Rockwell Utilities, which serves 514 customers in the Village of Lakemoor in Lake County, Illinois. The total cash purchase price for the utility system was $4,859.</w:t>
      </w:r>
    </w:p>
    <w:p>
      <w:pPr>
        <w:spacing w:after="0" w:line="119"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In June 2020, the Company acquired the wastewater utility system assets of East Norriton Township, Pennsylvania, which serves 4,947 customers. The total cash purchase price for the utility system was $21,000.</w:t>
      </w:r>
    </w:p>
    <w:p>
      <w:pPr>
        <w:spacing w:after="0" w:line="185" w:lineRule="exact"/>
        <w:rPr>
          <w:sz w:val="20"/>
          <w:szCs w:val="20"/>
          <w:color w:val="auto"/>
        </w:rPr>
      </w:pPr>
    </w:p>
    <w:p>
      <w:pPr>
        <w:ind w:right="640"/>
        <w:spacing w:after="0" w:line="239" w:lineRule="auto"/>
        <w:rPr>
          <w:sz w:val="20"/>
          <w:szCs w:val="20"/>
          <w:color w:val="auto"/>
        </w:rPr>
      </w:pPr>
      <w:r>
        <w:rPr>
          <w:rFonts w:ascii="Arial" w:cs="Arial" w:eastAsia="Arial" w:hAnsi="Arial"/>
          <w:sz w:val="22"/>
          <w:szCs w:val="22"/>
          <w:color w:val="auto"/>
        </w:rPr>
        <w:t>In January 2020, the Company acquired the water utility system assets of the City of Campbell, Ohio, which serves 3,126 customers. The total cash purchase price for the utility system was $7,472.</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purchase price allocation for these acquisitions consisted primarily of acquired property, plant and equipment.</w:t>
      </w:r>
    </w:p>
    <w:p>
      <w:pPr>
        <w:spacing w:after="0" w:line="206"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The pro forma effect of the utility systems acquired is not material either individually or collectively to the Company’s results of operations.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 w:right="419" w:bottom="1440" w:gutter="0" w:footer="0" w:header="0"/>
        </w:sectPr>
      </w:pPr>
    </w:p>
    <w:bookmarkStart w:id="15" w:name="page16"/>
    <w:bookmarkEnd w:id="1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80" w:right="236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Pending Completion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 January 2021, the Company entered into purchase agreements to acquire, in separate transactions, the wastewater utility</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system assets of East Whiteland Township, Pennsylvania and Willistown Township, Pennsylvania which consist of</w:t>
      </w:r>
    </w:p>
    <w:p>
      <w:pPr>
        <w:spacing w:after="0"/>
        <w:rPr>
          <w:sz w:val="20"/>
          <w:szCs w:val="20"/>
          <w:color w:val="auto"/>
        </w:rPr>
      </w:pPr>
      <w:r>
        <w:rPr>
          <w:rFonts w:ascii="Arial" w:cs="Arial" w:eastAsia="Arial" w:hAnsi="Arial"/>
          <w:sz w:val="19"/>
          <w:szCs w:val="19"/>
          <w:color w:val="auto"/>
        </w:rPr>
        <w:t>approximately 10,500 customers for $72,400. In December 2020, the Company entered into a purchase agreement to acquire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wastewater utility system assets of the Village of Bourbonnais, Illinois, which consists of approximately 6,500 customers for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$32,100. In September 2020, the Company entered into a purchase agreement to acquire the wastewater utility system assets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Lower Makefield Township, Pennsylvania, which consists of approximately 11,000 customers for $53,000. In July 2020,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Company entered into a purchase agreement to acquire the water utility system assets of Commons Water, Texas, which consists</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of approximately 980 customers for $4,000.</w:t>
      </w:r>
    </w:p>
    <w:p>
      <w:pPr>
        <w:spacing w:after="0" w:line="188" w:lineRule="exact"/>
        <w:rPr>
          <w:sz w:val="20"/>
          <w:szCs w:val="20"/>
          <w:color w:val="auto"/>
        </w:rPr>
      </w:pPr>
    </w:p>
    <w:p>
      <w:pPr>
        <w:ind w:right="40"/>
        <w:spacing w:after="0" w:line="234" w:lineRule="auto"/>
        <w:rPr>
          <w:sz w:val="20"/>
          <w:szCs w:val="20"/>
          <w:color w:val="auto"/>
        </w:rPr>
      </w:pPr>
      <w:r>
        <w:rPr>
          <w:rFonts w:ascii="Arial" w:cs="Arial" w:eastAsia="Arial" w:hAnsi="Arial"/>
          <w:sz w:val="21"/>
          <w:szCs w:val="21"/>
          <w:color w:val="auto"/>
        </w:rPr>
        <w:t>The purchase price for these pending acquisitions are subject to certain adjustments at closing, and are subject to regulatory approval, including the final determination of the fair value of the rate based acquired. We plan to finance the purchase price of these acquisitions by utilizing our revolving credit facility until permanent debt and common equity are secured. The closings of our acquisitions of East Whiteland Township and Willistown Township are expected to occur in the first quarter of 2022, closing for the Village of Bourbonnais is expected to occur before the end of 2021, and closing for the wastewater assets of Lower Makefield Township is expected to occur in the second half of 2021. Closing for our utility acquisitions are subject to the timing of the regulatory approval process.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 xml:space="preserve">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that the establishment of the customer trust was valid. Delaware County appealed this decision to Commonwealth Court of Pennsylvania, where this case is continuing. The administrative law judges in the regulatory approval process recommended that the Company’s application be denied, and subsequently, the Company provided exceptions to the recommended decision. On March 25, 2021, the Pennsylvania Public Utility Commission ruled that the case be remanded back to the Office of Administrative Law Judge and vacated the original administrative law judges’ decision. On April 16, 2021, the administrative law judge issued an order staying the proceeding until the Delaware County Court lawsuit is final and unappealable. 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upon settlement of our forward equity sale agreement (refer to Note 6 – </w:t>
      </w:r>
      <w:r>
        <w:rPr>
          <w:rFonts w:ascii="Arial" w:cs="Arial" w:eastAsia="Arial" w:hAnsi="Arial"/>
          <w:sz w:val="19"/>
          <w:szCs w:val="19"/>
          <w:i w:val="1"/>
          <w:iCs w:val="1"/>
          <w:color w:val="auto"/>
        </w:rPr>
        <w:t>Capitalization</w:t>
      </w:r>
      <w:r>
        <w:rPr>
          <w:rFonts w:ascii="Arial" w:cs="Arial" w:eastAsia="Arial" w:hAnsi="Arial"/>
          <w:sz w:val="19"/>
          <w:szCs w:val="19"/>
          <w:color w:val="auto"/>
        </w:rPr>
        <w:t xml:space="preserve"> for further info) and by utilizing our revolving credit facility until permanent debt is secured. Closing of our acquisition of DELCORA is expected to occur in the fourth quarter of 2021, subject to the timing of the regulatory approval process and DELCORA’s above-referenced litigation with Delaware County.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16" w:name="page17"/>
    <w:bookmarkEnd w:id="1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Regulated</w:t>
            </w:r>
          </w:p>
        </w:tc>
        <w:tc>
          <w:tcPr>
            <w:tcW w:w="100" w:type="dxa"/>
            <w:vAlign w:val="bottom"/>
          </w:tcPr>
          <w:p>
            <w:pPr>
              <w:spacing w:after="0"/>
              <w:rPr>
                <w:sz w:val="17"/>
                <w:szCs w:val="17"/>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Regulated Natural</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Gas</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5"/>
              </w:rPr>
              <w:t>Consolidated</w:t>
            </w:r>
          </w:p>
        </w:tc>
      </w:tr>
      <w:tr>
        <w:trPr>
          <w:trHeight w:val="183"/>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58,659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2,261,047</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2,324,547</w:t>
            </w:r>
          </w:p>
        </w:tc>
      </w:tr>
      <w:tr>
        <w:trPr>
          <w:trHeight w:val="189"/>
        </w:trPr>
        <w:tc>
          <w:tcPr>
            <w:tcW w:w="5620" w:type="dxa"/>
            <w:vAlign w:val="bottom"/>
          </w:tcPr>
          <w:p>
            <w:pPr>
              <w:ind w:left="120"/>
              <w:spacing w:after="0" w:line="189" w:lineRule="exact"/>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Measurement period purchase price allocation adjustments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16,400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16,400</w:t>
            </w:r>
          </w:p>
        </w:tc>
      </w:tr>
      <w:tr>
        <w:trPr>
          <w:trHeight w:val="189"/>
        </w:trPr>
        <w:tc>
          <w:tcPr>
            <w:tcW w:w="562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to utility plant acquisition adjustment</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r>
      <w:tr>
        <w:trPr>
          <w:trHeight w:val="183"/>
        </w:trPr>
        <w:tc>
          <w:tcPr>
            <w:tcW w:w="56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58,617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2,277,447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2,340,905</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20"/>
        <w:spacing w:after="0" w:line="228" w:lineRule="auto"/>
        <w:rPr>
          <w:sz w:val="20"/>
          <w:szCs w:val="20"/>
          <w:color w:val="auto"/>
        </w:rPr>
      </w:pPr>
      <w:r>
        <w:rPr>
          <w:rFonts w:ascii="Arial" w:cs="Arial" w:eastAsia="Arial" w:hAnsi="Arial"/>
          <w:sz w:val="22"/>
          <w:szCs w:val="22"/>
          <w:color w:val="auto"/>
        </w:rPr>
        <w:t xml:space="preserve">The measurement period purchase price allocation adjustments resulted from the completion of the Peoples Gas Acquisition on March 16, 2020, which resulted in goodwill of $2,277,447 which was subject to adjustment over the one year measurement period that ended on March 15, 2021. Refer to Note 3 – </w:t>
      </w:r>
      <w:r>
        <w:rPr>
          <w:rFonts w:ascii="Arial" w:cs="Arial" w:eastAsia="Arial" w:hAnsi="Arial"/>
          <w:sz w:val="22"/>
          <w:szCs w:val="22"/>
          <w:i w:val="1"/>
          <w:iCs w:val="1"/>
          <w:color w:val="auto"/>
        </w:rPr>
        <w:t>Acquisitions</w:t>
      </w:r>
      <w:r>
        <w:rPr>
          <w:rFonts w:ascii="Arial" w:cs="Arial" w:eastAsia="Arial" w:hAnsi="Arial"/>
          <w:sz w:val="22"/>
          <w:szCs w:val="22"/>
          <w:color w:val="auto"/>
        </w:rPr>
        <w:t xml:space="preserve"> for information about the goodwill attributed to our Regulated Natural Gas segment.</w:t>
      </w:r>
    </w:p>
    <w:p>
      <w:pPr>
        <w:spacing w:after="0" w:line="186" w:lineRule="exact"/>
        <w:rPr>
          <w:sz w:val="20"/>
          <w:szCs w:val="20"/>
          <w:color w:val="auto"/>
        </w:rPr>
      </w:pPr>
    </w:p>
    <w:p>
      <w:pPr>
        <w:ind w:right="380"/>
        <w:spacing w:after="0" w:line="231"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 upon achieving specific objectives.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w:t>
      </w:r>
      <w:r>
        <w:rPr>
          <w:rFonts w:ascii="Arial" w:cs="Arial" w:eastAsia="Arial" w:hAnsi="Arial"/>
          <w:sz w:val="22"/>
          <w:szCs w:val="22"/>
          <w:b w:val="1"/>
          <w:bCs w:val="1"/>
          <w:i w:val="1"/>
          <w:iCs w:val="1"/>
          <w:color w:val="auto"/>
        </w:rPr>
        <w:t>Disposition</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In October 2020, the Company sold its investment in a joint venture. Its investment represented its 49% investment in a joint venture that operates a private pipeline system to supply raw water to natural gas well drilling operations in the Marcellus Shale of north central Pennsylvania. This investment was an unconsolidated affiliate and was accounted for under the equity method of accounting within our Aqua Infrastructure subsidiary. In the third quarter of 2020, we recorded a charge of $3,700 for the write-down of the Company’s investment associated with the sale, which was reported in equity loss in joint venture.</w:t>
      </w: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7" w:name="page18"/>
    <w:bookmarkEnd w:id="1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12" w:lineRule="exact"/>
        <w:rPr>
          <w:sz w:val="20"/>
          <w:szCs w:val="20"/>
          <w:color w:val="auto"/>
        </w:rPr>
      </w:pPr>
    </w:p>
    <w:p>
      <w:pPr>
        <w:ind w:right="80"/>
        <w:spacing w:after="0" w:line="228" w:lineRule="auto"/>
        <w:rPr>
          <w:sz w:val="20"/>
          <w:szCs w:val="20"/>
          <w:color w:val="auto"/>
        </w:rPr>
      </w:pPr>
      <w:r>
        <w:rPr>
          <w:rFonts w:ascii="Arial" w:cs="Arial" w:eastAsia="Arial" w:hAnsi="Arial"/>
          <w:sz w:val="22"/>
          <w:szCs w:val="22"/>
          <w:color w:val="auto"/>
        </w:rPr>
        <w:t>In April 2021, the Company filed a new universal shelf registration through a filing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Stockholders’ Equity</w:t>
      </w: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will not receive any proceeds from the sale of its common stock by the forward purchaser until settlement of the shares underlying the forward equity sale agreement. The actual proceeds to be received by the Company will vary depending upon the settlement date, the number of shares designated for settlement on that settlement date and the method of settlement. The Company intends to use any proceeds received upon settlement of the forward equity sale agreement to fund general corporate purposes, including for water and wastewater utility acquisitions, working capital and capital expenditures. The forward equity sale agreement is accounted for as an equity instrument and was recorded at a fair value of $0 at inception. The fair value will not be adjusted so long as the Company continues to meet the accounting requirements for equity instruments.</w:t>
      </w:r>
    </w:p>
    <w:p>
      <w:pPr>
        <w:spacing w:after="0" w:line="176"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The Company may elect to settle the forward equity sale agreement by means of a physical share settlement, net cash settlement, or net share settlement, on a settlement date or dates, no later than August 10, 2021. The forward equity sale agreement provides that the forward price will be computed based upon the initial forward price of $46.00 per share, and is subsequently adjusted for a floating interest rate factor equal to a specified daily rate less a spread and scheduled dividends during the term of the agreement. As of March 31, 2021, the forward price was $45.08 per share. Under limited circumstances or certain unanticipated events, the forward purchaser also has the ability to require the Company to physically settle the forward equity sale agreement in shares prior to the maturity date. As of March 31, 2021, the Company has not settled any portion of the forward equity sale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w:t>
      </w:r>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$20,606. The Investor has agreed to certain transfer restrictions for a period of 15 months from the March 16, 2020 closing date of the Peoples Gas Acquisition.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8" w:name="page19"/>
    <w:bookmarkEnd w:id="1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160"/>
        <w:spacing w:after="0" w:line="239" w:lineRule="auto"/>
        <w:rPr>
          <w:sz w:val="20"/>
          <w:szCs w:val="20"/>
          <w:color w:val="auto"/>
        </w:rPr>
      </w:pPr>
      <w:r>
        <w:rPr>
          <w:rFonts w:ascii="Arial" w:cs="Arial" w:eastAsia="Arial" w:hAnsi="Arial"/>
          <w:sz w:val="21"/>
          <w:szCs w:val="21"/>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w:t>
      </w:r>
    </w:p>
    <w:p>
      <w:pPr>
        <w:spacing w:after="0" w:line="186"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The Stock Purchase Agreement contains customary representations, warranties and covenants of the Company and the Investor, and the parties have agreed to indemnify each other for losses related to breaches of their respective representations and warranties. At the closing of the Private Placement, the Company reimbursed the Investor for reasonable out-of-pocket diligence expenses of $4,000.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Tangible Equity Unit Issuances</w:t>
      </w:r>
    </w:p>
    <w:p>
      <w:pPr>
        <w:spacing w:after="0" w:line="206" w:lineRule="exact"/>
        <w:rPr>
          <w:sz w:val="20"/>
          <w:szCs w:val="20"/>
          <w:color w:val="auto"/>
        </w:rPr>
      </w:pPr>
    </w:p>
    <w:p>
      <w:pPr>
        <w:ind w:right="420"/>
        <w:spacing w:after="0" w:line="313" w:lineRule="auto"/>
        <w:rPr>
          <w:sz w:val="20"/>
          <w:szCs w:val="20"/>
          <w:color w:val="auto"/>
        </w:rPr>
      </w:pPr>
      <w:r>
        <w:rPr>
          <w:rFonts w:ascii="Arial" w:cs="Arial" w:eastAsia="Arial" w:hAnsi="Arial"/>
          <w:sz w:val="19"/>
          <w:szCs w:val="19"/>
          <w:color w:val="auto"/>
        </w:rPr>
        <w:t>On April 23, 2019, the Company issued $690,000, less expenses of $16,358, of its tangible equity units (the “Units”), with a stated amount of $50 per unit. This issuance was part of the permanent financing to close the Peoples Gas Acquisition.</w:t>
      </w:r>
    </w:p>
    <w:p>
      <w:pPr>
        <w:spacing w:after="0" w:line="119"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During the first three months of 2021, there were no stock purchase contracts early settled by the holders of the contracts. As of March 31, 2021, 6,088,862 stock purchase contracts have been early settled by the holders of the contracts, resulting in the issuance of 7,182,255 shares of the Company’s common stock. The balance of stock purchase contracts is 7,711,138.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19" w:name="page20"/>
    <w:bookmarkEnd w:id="1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 and Loans Payable</w:t>
      </w:r>
    </w:p>
    <w:p>
      <w:pPr>
        <w:spacing w:after="0" w:line="206" w:lineRule="exact"/>
        <w:rPr>
          <w:sz w:val="20"/>
          <w:szCs w:val="20"/>
          <w:color w:val="auto"/>
        </w:rPr>
      </w:pPr>
    </w:p>
    <w:p>
      <w:pPr>
        <w:ind w:right="200"/>
        <w:spacing w:after="0" w:line="223" w:lineRule="auto"/>
        <w:rPr>
          <w:sz w:val="20"/>
          <w:szCs w:val="20"/>
          <w:color w:val="auto"/>
        </w:rPr>
      </w:pPr>
      <w:r>
        <w:rPr>
          <w:rFonts w:ascii="Arial" w:cs="Arial" w:eastAsia="Arial" w:hAnsi="Arial"/>
          <w:sz w:val="22"/>
          <w:szCs w:val="22"/>
          <w:color w:val="auto"/>
        </w:rPr>
        <w:t>On April 15, 2021, the Company’s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our Aqua Pennsylvania revolving credit facility, and the balance was used to repay in full the borrowings under its existing five-year unsecured revolving credit agreement.</w:t>
      </w:r>
    </w:p>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The Company completed the Peoples Gas Acquisition on March 16, 2020, which resulted in the assumption of $1,101,091 of indebtedness, which includes $920,091 of senior notes and $181,000 of short-term debt. The senior notes have maturities ranging from 2020 to 2032 and interest rates that range from 2.90% to 6.42%. The short-term debt assumed at closing was repaid with the proceeds from the Company’s subsequent April 2020 long-term debt issuance.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0" w:name="page21"/>
    <w:bookmarkEnd w:id="2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Financial Instruments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85" w:lineRule="exact"/>
        <w:rPr>
          <w:sz w:val="20"/>
          <w:szCs w:val="20"/>
          <w:color w:val="auto"/>
        </w:rPr>
      </w:pPr>
    </w:p>
    <w:p>
      <w:pPr>
        <w:ind w:left="660" w:right="240"/>
        <w:spacing w:after="0" w:line="239" w:lineRule="auto"/>
        <w:rPr>
          <w:sz w:val="20"/>
          <w:szCs w:val="20"/>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50" w:lineRule="exact"/>
        <w:rPr>
          <w:sz w:val="20"/>
          <w:szCs w:val="20"/>
          <w:color w:val="auto"/>
        </w:rPr>
      </w:pPr>
    </w:p>
    <w:p>
      <w:pPr>
        <w:ind w:left="660" w:right="80"/>
        <w:spacing w:after="0" w:line="228" w:lineRule="auto"/>
        <w:rPr>
          <w:sz w:val="20"/>
          <w:szCs w:val="20"/>
          <w:color w:val="auto"/>
        </w:rPr>
      </w:pPr>
      <w:r>
        <w:rPr>
          <w:rFonts w:ascii="Arial" w:cs="Arial" w:eastAsia="Arial" w:hAnsi="Arial"/>
          <w:sz w:val="22"/>
          <w:szCs w:val="22"/>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Level 3: inputs that are unobservable and significant to the fair value measurement.</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March 31, 2021.</w:t>
      </w:r>
    </w:p>
    <w:p>
      <w:pPr>
        <w:spacing w:after="0" w:line="157" w:lineRule="exact"/>
        <w:rPr>
          <w:sz w:val="20"/>
          <w:szCs w:val="20"/>
          <w:color w:val="auto"/>
        </w:rPr>
      </w:pPr>
    </w:p>
    <w:p>
      <w:pPr>
        <w:ind w:right="540"/>
        <w:spacing w:after="0" w:line="231" w:lineRule="auto"/>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March 31, 2021 and December 31, 2020, the carrying amount of the Company’s loans payable was $74,893 and $78,198, respectively, which equates to their estimated fair value. The fair value of cash and cash equivalents, is determined based on Level 1 methods and assumptions. As of March 31, 2021, and December 31, 2020, the carrying amounts of the Company's cash and cash equivalents was $18,046 and $4,827,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March 31, 2021, and December 31, 2020, the carrying amount of these securities was $26,783, and $25,780, respectively, which equates to their fair value, and is reported in the consolidated balance sheet in deferred charges and other assets.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21" w:name="page22"/>
    <w:bookmarkEnd w:id="2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tcPr>
          <w:p>
            <w:pPr>
              <w:spacing w:after="0"/>
              <w:rPr>
                <w:sz w:val="17"/>
                <w:szCs w:val="17"/>
                <w:color w:val="auto"/>
              </w:rPr>
            </w:pPr>
          </w:p>
        </w:tc>
        <w:tc>
          <w:tcPr>
            <w:tcW w:w="2380" w:type="dxa"/>
            <w:vAlign w:val="bottom"/>
            <w:gridSpan w:val="5"/>
          </w:tcPr>
          <w:p>
            <w:pPr>
              <w:jc w:val="right"/>
              <w:ind w:right="207"/>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r>
      <w:tr>
        <w:trPr>
          <w:trHeight w:val="217"/>
        </w:trPr>
        <w:tc>
          <w:tcPr>
            <w:tcW w:w="85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587"/>
              <w:spacing w:after="0"/>
              <w:rPr>
                <w:sz w:val="20"/>
                <w:szCs w:val="20"/>
                <w:color w:val="auto"/>
              </w:rPr>
            </w:pPr>
            <w:r>
              <w:rPr>
                <w:rFonts w:ascii="Arial" w:cs="Arial" w:eastAsia="Arial" w:hAnsi="Arial"/>
                <w:sz w:val="18"/>
                <w:szCs w:val="18"/>
                <w:color w:val="auto"/>
                <w:w w:val="97"/>
              </w:rPr>
              <w:t>March 31,</w:t>
            </w:r>
          </w:p>
        </w:tc>
        <w:tc>
          <w:tcPr>
            <w:tcW w:w="320" w:type="dxa"/>
            <w:vAlign w:val="bottom"/>
            <w:tcBorders>
              <w:bottom w:val="single" w:sz="8" w:color="auto"/>
            </w:tcBorders>
          </w:tcPr>
          <w:p>
            <w:pPr>
              <w:spacing w:after="0"/>
              <w:rPr>
                <w:sz w:val="18"/>
                <w:szCs w:val="18"/>
                <w:color w:val="auto"/>
              </w:rPr>
            </w:pPr>
          </w:p>
        </w:tc>
      </w:tr>
      <w:tr>
        <w:trPr>
          <w:trHeight w:val="183"/>
        </w:trPr>
        <w:tc>
          <w:tcPr>
            <w:tcW w:w="85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2021</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2020</w:t>
            </w:r>
          </w:p>
        </w:tc>
        <w:tc>
          <w:tcPr>
            <w:tcW w:w="320" w:type="dxa"/>
            <w:vAlign w:val="bottom"/>
          </w:tcPr>
          <w:p>
            <w:pPr>
              <w:spacing w:after="0"/>
              <w:rPr>
                <w:sz w:val="15"/>
                <w:szCs w:val="15"/>
                <w:color w:val="auto"/>
              </w:rPr>
            </w:pPr>
          </w:p>
        </w:tc>
      </w:tr>
      <w:tr>
        <w:trPr>
          <w:trHeight w:val="183"/>
        </w:trPr>
        <w:tc>
          <w:tcPr>
            <w:tcW w:w="8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gain (loss) recognized during the period on equity securities</w:t>
            </w: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248</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(54)</w:t>
            </w:r>
          </w:p>
        </w:tc>
      </w:tr>
      <w:tr>
        <w:trPr>
          <w:trHeight w:val="189"/>
        </w:trPr>
        <w:tc>
          <w:tcPr>
            <w:tcW w:w="85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net gain / loss recognized during the period on equity securities sold during the period</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85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Unrealized gain (loss) recognized during the reporting period on equity securities still held at the reporting date</w:t>
            </w:r>
          </w:p>
        </w:tc>
        <w:tc>
          <w:tcPr>
            <w:tcW w:w="920" w:type="dxa"/>
            <w:vAlign w:val="bottom"/>
            <w:tcBorders>
              <w:bottom w:val="single" w:sz="8" w:color="auto"/>
            </w:tcBorders>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248</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(54)</w:t>
            </w:r>
          </w:p>
        </w:tc>
      </w:tr>
      <w:tr>
        <w:trPr>
          <w:trHeight w:val="20"/>
        </w:trPr>
        <w:tc>
          <w:tcPr>
            <w:tcW w:w="8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The net gain (loss) recognized on equity securities is presented on the consolidated statements of operations and comprehensive income on the line item “Other.”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2060" w:type="dxa"/>
            <w:vAlign w:val="bottom"/>
          </w:tcPr>
          <w:p>
            <w:pPr>
              <w:jc w:val="center"/>
              <w:ind w:left="892"/>
              <w:spacing w:after="0"/>
              <w:rPr>
                <w:sz w:val="20"/>
                <w:szCs w:val="20"/>
                <w:color w:val="auto"/>
              </w:rPr>
            </w:pPr>
            <w:r>
              <w:rPr>
                <w:rFonts w:ascii="Arial" w:cs="Arial" w:eastAsia="Arial" w:hAnsi="Arial"/>
                <w:sz w:val="22"/>
                <w:szCs w:val="22"/>
                <w:color w:val="auto"/>
                <w:w w:val="91"/>
              </w:rPr>
              <w:t>March 31,</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Arial" w:cs="Arial" w:eastAsia="Arial" w:hAnsi="Arial"/>
                <w:sz w:val="22"/>
                <w:szCs w:val="22"/>
                <w:color w:val="auto"/>
              </w:rPr>
              <w:t>December 31,</w:t>
            </w:r>
          </w:p>
        </w:tc>
      </w:tr>
      <w:tr>
        <w:trPr>
          <w:trHeight w:val="251"/>
        </w:trPr>
        <w:tc>
          <w:tcPr>
            <w:tcW w:w="478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right"/>
              <w:ind w:right="212"/>
              <w:spacing w:after="0" w:line="251" w:lineRule="exact"/>
              <w:rPr>
                <w:sz w:val="20"/>
                <w:szCs w:val="20"/>
                <w:color w:val="auto"/>
              </w:rPr>
            </w:pPr>
            <w:r>
              <w:rPr>
                <w:rFonts w:ascii="Arial" w:cs="Arial" w:eastAsia="Arial" w:hAnsi="Arial"/>
                <w:sz w:val="22"/>
                <w:szCs w:val="22"/>
                <w:color w:val="auto"/>
              </w:rPr>
              <w:t>2021</w:t>
            </w:r>
          </w:p>
        </w:tc>
        <w:tc>
          <w:tcPr>
            <w:tcW w:w="100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right"/>
              <w:ind w:right="1172"/>
              <w:spacing w:after="0" w:line="251" w:lineRule="exact"/>
              <w:rPr>
                <w:sz w:val="20"/>
                <w:szCs w:val="20"/>
                <w:color w:val="auto"/>
              </w:rPr>
            </w:pPr>
            <w:r>
              <w:rPr>
                <w:rFonts w:ascii="Arial" w:cs="Arial" w:eastAsia="Arial" w:hAnsi="Arial"/>
                <w:sz w:val="22"/>
                <w:szCs w:val="22"/>
                <w:color w:val="auto"/>
              </w:rPr>
              <w:t>2020</w:t>
            </w:r>
          </w:p>
        </w:tc>
      </w:tr>
      <w:tr>
        <w:trPr>
          <w:trHeight w:val="223"/>
        </w:trPr>
        <w:tc>
          <w:tcPr>
            <w:tcW w:w="47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Carrying amount</w:t>
            </w:r>
          </w:p>
        </w:tc>
        <w:tc>
          <w:tcPr>
            <w:tcW w:w="2060" w:type="dxa"/>
            <w:vAlign w:val="bottom"/>
            <w:shd w:val="clear" w:color="auto" w:fill="CCEEFF"/>
          </w:tcPr>
          <w:p>
            <w:pPr>
              <w:jc w:val="right"/>
              <w:ind w:right="1832"/>
              <w:spacing w:after="0" w:line="223" w:lineRule="exact"/>
              <w:rPr>
                <w:sz w:val="20"/>
                <w:szCs w:val="20"/>
                <w:color w:val="auto"/>
              </w:rPr>
            </w:pPr>
            <w:r>
              <w:rPr>
                <w:rFonts w:ascii="Arial" w:cs="Arial" w:eastAsia="Arial" w:hAnsi="Arial"/>
                <w:sz w:val="22"/>
                <w:szCs w:val="22"/>
                <w:color w:val="auto"/>
                <w:w w:val="81"/>
              </w:rPr>
              <w:t>$</w:t>
            </w: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93"/>
              </w:rPr>
              <w:t>5,665,596</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5,630,243</w:t>
            </w:r>
          </w:p>
        </w:tc>
      </w:tr>
      <w:tr>
        <w:trPr>
          <w:trHeight w:val="274"/>
        </w:trPr>
        <w:tc>
          <w:tcPr>
            <w:tcW w:w="4780" w:type="dxa"/>
            <w:vAlign w:val="bottom"/>
          </w:tcPr>
          <w:p>
            <w:pPr>
              <w:spacing w:after="0"/>
              <w:rPr>
                <w:sz w:val="20"/>
                <w:szCs w:val="20"/>
                <w:color w:val="auto"/>
              </w:rPr>
            </w:pPr>
            <w:r>
              <w:rPr>
                <w:rFonts w:ascii="Arial" w:cs="Arial" w:eastAsia="Arial" w:hAnsi="Arial"/>
                <w:sz w:val="22"/>
                <w:szCs w:val="22"/>
                <w:color w:val="auto"/>
              </w:rPr>
              <w:t>Estimated fair value</w:t>
            </w:r>
          </w:p>
        </w:tc>
        <w:tc>
          <w:tcPr>
            <w:tcW w:w="20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3"/>
              </w:rPr>
              <w:t>5,908,503</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6,366,030</w:t>
            </w:r>
          </w:p>
        </w:tc>
      </w:tr>
    </w:tbl>
    <w:p>
      <w:pPr>
        <w:spacing w:after="0" w:line="177"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5"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The Company’s customers’ advances for construction have a carrying value of $102,830 as of March 31, 2021, and $99,014 as of December 31, 2020. Their relative fair values cannot be accurately estimated because future refund payments depend on several variables, including new customer connections, customer consumption levels, and future rates. Portions of these non-interest-bearing instruments are payable annually through 2031 and amounts not paid by the respective contract expiration dates become non-refundable. The fair value of these amounts would, however, be less than their carrying value due to the non-interest-bearing feature.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 based on the applicable market value of our common stock.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00" w:type="dxa"/>
            <w:vAlign w:val="bottom"/>
          </w:tcPr>
          <w:p>
            <w:pPr>
              <w:spacing w:after="0"/>
              <w:rPr>
                <w:sz w:val="21"/>
                <w:szCs w:val="21"/>
                <w:color w:val="auto"/>
              </w:rPr>
            </w:pPr>
          </w:p>
        </w:tc>
        <w:tc>
          <w:tcPr>
            <w:tcW w:w="3340" w:type="dxa"/>
            <w:vAlign w:val="bottom"/>
            <w:gridSpan w:val="4"/>
          </w:tcPr>
          <w:p>
            <w:pPr>
              <w:jc w:val="center"/>
              <w:spacing w:after="0"/>
              <w:rPr>
                <w:sz w:val="20"/>
                <w:szCs w:val="20"/>
                <w:color w:val="auto"/>
              </w:rPr>
            </w:pPr>
            <w:r>
              <w:rPr>
                <w:rFonts w:ascii="Arial" w:cs="Arial" w:eastAsia="Arial" w:hAnsi="Arial"/>
                <w:sz w:val="22"/>
                <w:szCs w:val="22"/>
                <w:color w:val="auto"/>
                <w:w w:val="88"/>
              </w:rPr>
              <w:t>Three Months Ended</w:t>
            </w:r>
          </w:p>
        </w:tc>
      </w:tr>
      <w:tr>
        <w:trPr>
          <w:trHeight w:val="251"/>
        </w:trPr>
        <w:tc>
          <w:tcPr>
            <w:tcW w:w="7900" w:type="dxa"/>
            <w:vAlign w:val="bottom"/>
          </w:tcPr>
          <w:p>
            <w:pPr>
              <w:spacing w:after="0"/>
              <w:rPr>
                <w:sz w:val="21"/>
                <w:szCs w:val="21"/>
                <w:color w:val="auto"/>
              </w:rPr>
            </w:pPr>
          </w:p>
        </w:tc>
        <w:tc>
          <w:tcPr>
            <w:tcW w:w="2200" w:type="dxa"/>
            <w:vAlign w:val="bottom"/>
            <w:tcBorders>
              <w:bottom w:val="single" w:sz="8" w:color="auto"/>
            </w:tcBorders>
            <w:gridSpan w:val="3"/>
          </w:tcPr>
          <w:p>
            <w:pPr>
              <w:jc w:val="center"/>
              <w:ind w:left="1032"/>
              <w:spacing w:after="0" w:line="251" w:lineRule="exact"/>
              <w:rPr>
                <w:sz w:val="20"/>
                <w:szCs w:val="20"/>
                <w:color w:val="auto"/>
              </w:rPr>
            </w:pPr>
            <w:r>
              <w:rPr>
                <w:rFonts w:ascii="Arial" w:cs="Arial" w:eastAsia="Arial" w:hAnsi="Arial"/>
                <w:sz w:val="22"/>
                <w:szCs w:val="22"/>
                <w:color w:val="auto"/>
                <w:w w:val="91"/>
              </w:rPr>
              <w:t>March 31,</w:t>
            </w:r>
          </w:p>
        </w:tc>
        <w:tc>
          <w:tcPr>
            <w:tcW w:w="1140" w:type="dxa"/>
            <w:vAlign w:val="bottom"/>
            <w:tcBorders>
              <w:bottom w:val="single" w:sz="8" w:color="auto"/>
            </w:tcBorders>
          </w:tcPr>
          <w:p>
            <w:pPr>
              <w:spacing w:after="0"/>
              <w:rPr>
                <w:sz w:val="21"/>
                <w:szCs w:val="21"/>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2021</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rPr>
              <w:t>2020</w:t>
            </w:r>
          </w:p>
        </w:tc>
      </w:tr>
      <w:tr>
        <w:trPr>
          <w:trHeight w:val="223"/>
        </w:trPr>
        <w:tc>
          <w:tcPr>
            <w:tcW w:w="79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Average common shares outstanding during the period for basic computation</w:t>
            </w:r>
          </w:p>
        </w:tc>
        <w:tc>
          <w:tcPr>
            <w:tcW w:w="14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254,565</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236,122</w:t>
            </w:r>
          </w:p>
        </w:tc>
      </w:tr>
      <w:tr>
        <w:trPr>
          <w:trHeight w:val="229"/>
        </w:trPr>
        <w:tc>
          <w:tcPr>
            <w:tcW w:w="7900" w:type="dxa"/>
            <w:vAlign w:val="bottom"/>
          </w:tcPr>
          <w:p>
            <w:pPr>
              <w:spacing w:after="0" w:line="229" w:lineRule="exact"/>
              <w:rPr>
                <w:sz w:val="20"/>
                <w:szCs w:val="20"/>
                <w:color w:val="auto"/>
              </w:rPr>
            </w:pPr>
            <w:r>
              <w:rPr>
                <w:rFonts w:ascii="Arial" w:cs="Arial" w:eastAsia="Arial" w:hAnsi="Arial"/>
                <w:sz w:val="22"/>
                <w:szCs w:val="22"/>
                <w:color w:val="auto"/>
              </w:rPr>
              <w:t>Effect of dilutive securities: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9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Forward equity sale agreement</w:t>
            </w:r>
          </w:p>
        </w:tc>
        <w:tc>
          <w:tcPr>
            <w:tcW w:w="14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r>
      <w:tr>
        <w:trPr>
          <w:trHeight w:val="230"/>
        </w:trPr>
        <w:tc>
          <w:tcPr>
            <w:tcW w:w="7900" w:type="dxa"/>
            <w:vAlign w:val="bottom"/>
          </w:tcPr>
          <w:p>
            <w:pPr>
              <w:ind w:left="120"/>
              <w:spacing w:after="0" w:line="229" w:lineRule="exact"/>
              <w:rPr>
                <w:sz w:val="20"/>
                <w:szCs w:val="20"/>
                <w:color w:val="auto"/>
              </w:rPr>
            </w:pPr>
            <w:r>
              <w:rPr>
                <w:rFonts w:ascii="Arial" w:cs="Arial" w:eastAsia="Arial" w:hAnsi="Arial"/>
                <w:sz w:val="22"/>
                <w:szCs w:val="22"/>
                <w:color w:val="auto"/>
              </w:rPr>
              <w:t>Issuance of common stock from private placement</w:t>
            </w:r>
          </w:p>
        </w:tc>
        <w:tc>
          <w:tcPr>
            <w:tcW w:w="144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17,853</w:t>
            </w:r>
          </w:p>
        </w:tc>
      </w:tr>
      <w:tr>
        <w:trPr>
          <w:trHeight w:val="230"/>
        </w:trPr>
        <w:tc>
          <w:tcPr>
            <w:tcW w:w="79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Tangible equity units</w:t>
            </w:r>
          </w:p>
        </w:tc>
        <w:tc>
          <w:tcPr>
            <w:tcW w:w="14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607</w:t>
            </w:r>
          </w:p>
        </w:tc>
      </w:tr>
      <w:tr>
        <w:trPr>
          <w:trHeight w:val="229"/>
        </w:trPr>
        <w:tc>
          <w:tcPr>
            <w:tcW w:w="790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Employee stock-based compensation</w:t>
            </w:r>
          </w:p>
        </w:tc>
        <w:tc>
          <w:tcPr>
            <w:tcW w:w="14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401</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472</w:t>
            </w:r>
          </w:p>
        </w:tc>
      </w:tr>
      <w:tr>
        <w:trPr>
          <w:trHeight w:val="223"/>
        </w:trPr>
        <w:tc>
          <w:tcPr>
            <w:tcW w:w="79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Average common shares outstanding during the period for diluted computation</w:t>
            </w:r>
          </w:p>
        </w:tc>
        <w:tc>
          <w:tcPr>
            <w:tcW w:w="14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254,969</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255,054</w:t>
            </w:r>
          </w:p>
        </w:tc>
      </w:tr>
      <w:tr>
        <w:trPr>
          <w:trHeight w:val="20"/>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240"/>
        <w:spacing w:after="0" w:line="231" w:lineRule="auto"/>
        <w:rPr>
          <w:sz w:val="20"/>
          <w:szCs w:val="20"/>
          <w:color w:val="auto"/>
        </w:rPr>
      </w:pPr>
      <w:r>
        <w:rPr>
          <w:rFonts w:ascii="Arial" w:cs="Arial" w:eastAsia="Arial" w:hAnsi="Arial"/>
          <w:sz w:val="22"/>
          <w:szCs w:val="22"/>
          <w:color w:val="auto"/>
        </w:rPr>
        <w:t>For the three months ended March 31, 2020, the average common shares outstanding during the period for diluted computation reflects the impact of the issuance of common stock from the March 16, 2020 private placement as if the shares were issued on January 1, 2020.</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For the three months ended March 31, 2021 and 2020, the average common shares outstanding during the period for basic computation includes the weighted-average impact of 9,091,179 and 10,215,189 shares, respectively, based on the minimum number of shares of 9,091,179 to be issued in April 2022 upon settlement of the stock purchase contracts issued in April 2019 under the tangible equity units. Further, for the three months ended March 31, 2020, average common shares outstanding during the period for diluted computation includes the impact of the additional shares to be issued in April 2022 upon settlement of the stock purchase contracts based on the threshold appreciation price of $42.41.</w:t>
      </w:r>
    </w:p>
    <w:p>
      <w:pPr>
        <w:spacing w:after="0" w:line="164" w:lineRule="exact"/>
        <w:rPr>
          <w:sz w:val="20"/>
          <w:szCs w:val="20"/>
          <w:color w:val="auto"/>
        </w:rPr>
      </w:pPr>
    </w:p>
    <w:p>
      <w:pPr>
        <w:ind w:right="760"/>
        <w:spacing w:after="0" w:line="226" w:lineRule="auto"/>
        <w:rPr>
          <w:sz w:val="20"/>
          <w:szCs w:val="20"/>
          <w:color w:val="auto"/>
        </w:rPr>
      </w:pPr>
      <w:r>
        <w:rPr>
          <w:rFonts w:ascii="Arial" w:cs="Arial" w:eastAsia="Arial" w:hAnsi="Arial"/>
          <w:sz w:val="22"/>
          <w:szCs w:val="22"/>
          <w:color w:val="auto"/>
        </w:rPr>
        <w:t>For the three months ended March 31, 2021 and 2020, all of the Company’s employee stock options were included in the calculations of diluted net income per share as the calculated cost to exercise employee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3" w:name="page24"/>
    <w:bookmarkEnd w:id="2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180"/>
        <w:spacing w:after="0" w:line="231" w:lineRule="auto"/>
        <w:rPr>
          <w:sz w:val="20"/>
          <w:szCs w:val="20"/>
          <w:color w:val="auto"/>
        </w:rPr>
      </w:pPr>
      <w:r>
        <w:rPr>
          <w:rFonts w:ascii="Arial" w:cs="Arial" w:eastAsia="Arial" w:hAnsi="Arial"/>
          <w:sz w:val="22"/>
          <w:szCs w:val="22"/>
          <w:color w:val="auto"/>
        </w:rPr>
        <w:t>stock options was less than the average market price of the Company’s common stock during these periods. Additionally, the dilutive effect of performance share units and restricted share units granted are included in the Company’s calculation of diluted net income per share.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March 31, 2021, 2,130,087 shares were still available for issuance under the Plan. No further grants may be made under the Company’s 2004 Equity Compensation Plan.</w:t>
      </w:r>
    </w:p>
    <w:p>
      <w:pPr>
        <w:spacing w:after="0" w:line="171"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 Company’s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80" w:type="dxa"/>
            <w:vAlign w:val="bottom"/>
            <w:gridSpan w:val="3"/>
          </w:tcPr>
          <w:p>
            <w:pPr>
              <w:jc w:val="center"/>
              <w:spacing w:after="0"/>
              <w:rPr>
                <w:sz w:val="20"/>
                <w:szCs w:val="20"/>
                <w:color w:val="auto"/>
              </w:rPr>
            </w:pPr>
            <w:r>
              <w:rPr>
                <w:rFonts w:ascii="Arial" w:cs="Arial" w:eastAsia="Arial" w:hAnsi="Arial"/>
                <w:sz w:val="22"/>
                <w:szCs w:val="22"/>
                <w:color w:val="auto"/>
                <w:w w:val="88"/>
              </w:rPr>
              <w:t>Three Months Ended</w:t>
            </w:r>
          </w:p>
        </w:tc>
        <w:tc>
          <w:tcPr>
            <w:tcW w:w="1300" w:type="dxa"/>
            <w:vAlign w:val="bottom"/>
          </w:tcPr>
          <w:p>
            <w:pPr>
              <w:spacing w:after="0"/>
              <w:rPr>
                <w:sz w:val="23"/>
                <w:szCs w:val="23"/>
                <w:color w:val="auto"/>
              </w:rPr>
            </w:pPr>
          </w:p>
        </w:tc>
      </w:tr>
      <w:tr>
        <w:trPr>
          <w:trHeight w:val="260"/>
        </w:trPr>
        <w:tc>
          <w:tcPr>
            <w:tcW w:w="678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1"/>
              </w:rPr>
              <w:t>March 31,</w:t>
            </w:r>
          </w:p>
        </w:tc>
        <w:tc>
          <w:tcPr>
            <w:tcW w:w="1300" w:type="dxa"/>
            <w:vAlign w:val="bottom"/>
            <w:tcBorders>
              <w:bottom w:val="single" w:sz="8" w:color="auto"/>
            </w:tcBorders>
          </w:tcPr>
          <w:p>
            <w:pPr>
              <w:spacing w:after="0"/>
              <w:rPr>
                <w:sz w:val="22"/>
                <w:szCs w:val="22"/>
                <w:color w:val="auto"/>
              </w:rPr>
            </w:pPr>
          </w:p>
        </w:tc>
      </w:tr>
      <w:tr>
        <w:trPr>
          <w:trHeight w:val="263"/>
        </w:trPr>
        <w:tc>
          <w:tcPr>
            <w:tcW w:w="67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2"/>
              <w:spacing w:after="0"/>
              <w:rPr>
                <w:sz w:val="20"/>
                <w:szCs w:val="20"/>
                <w:color w:val="auto"/>
              </w:rPr>
            </w:pPr>
            <w:r>
              <w:rPr>
                <w:rFonts w:ascii="Arial" w:cs="Arial" w:eastAsia="Arial" w:hAnsi="Arial"/>
                <w:sz w:val="22"/>
                <w:szCs w:val="22"/>
                <w:color w:val="auto"/>
                <w:w w:val="89"/>
              </w:rPr>
              <w:t>2020</w:t>
            </w:r>
          </w:p>
        </w:tc>
      </w:tr>
      <w:tr>
        <w:trPr>
          <w:trHeight w:val="547"/>
        </w:trPr>
        <w:tc>
          <w:tcPr>
            <w:tcW w:w="6780" w:type="dxa"/>
            <w:vAlign w:val="bottom"/>
            <w:shd w:val="clear" w:color="auto" w:fill="CCEEFF"/>
          </w:tcPr>
          <w:p>
            <w:pPr>
              <w:spacing w:after="0"/>
              <w:rPr>
                <w:sz w:val="20"/>
                <w:szCs w:val="20"/>
                <w:color w:val="auto"/>
              </w:rPr>
            </w:pPr>
            <w:r>
              <w:rPr>
                <w:rFonts w:ascii="Arial" w:cs="Arial" w:eastAsia="Arial" w:hAnsi="Arial"/>
                <w:sz w:val="22"/>
                <w:szCs w:val="22"/>
                <w:color w:val="auto"/>
                <w:w w:val="94"/>
              </w:rPr>
              <w:t>Stock-based compensation within operations and maintenance expenses</w:t>
            </w:r>
          </w:p>
        </w:tc>
        <w:tc>
          <w:tcPr>
            <w:tcW w:w="1280" w:type="dxa"/>
            <w:vAlign w:val="bottom"/>
            <w:shd w:val="clear" w:color="auto" w:fill="CCEEFF"/>
          </w:tcPr>
          <w:p>
            <w:pPr>
              <w:jc w:val="right"/>
              <w:ind w:right="1052"/>
              <w:spacing w:after="0"/>
              <w:rPr>
                <w:sz w:val="20"/>
                <w:szCs w:val="20"/>
                <w:color w:val="auto"/>
              </w:rPr>
            </w:pPr>
            <w:r>
              <w:rPr>
                <w:rFonts w:ascii="Arial" w:cs="Arial" w:eastAsia="Arial" w:hAnsi="Arial"/>
                <w:sz w:val="22"/>
                <w:szCs w:val="22"/>
                <w:color w:val="auto"/>
                <w:w w:val="8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1,641</w:t>
            </w: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510</w:t>
            </w:r>
          </w:p>
        </w:tc>
      </w:tr>
      <w:tr>
        <w:trPr>
          <w:trHeight w:val="307"/>
        </w:trPr>
        <w:tc>
          <w:tcPr>
            <w:tcW w:w="6780" w:type="dxa"/>
            <w:vAlign w:val="bottom"/>
          </w:tcPr>
          <w:p>
            <w:pPr>
              <w:spacing w:after="0"/>
              <w:rPr>
                <w:sz w:val="20"/>
                <w:szCs w:val="20"/>
                <w:color w:val="auto"/>
              </w:rPr>
            </w:pPr>
            <w:r>
              <w:rPr>
                <w:rFonts w:ascii="Arial" w:cs="Arial" w:eastAsia="Arial" w:hAnsi="Arial"/>
                <w:sz w:val="22"/>
                <w:szCs w:val="22"/>
                <w:color w:val="auto"/>
              </w:rPr>
              <w:t>Income tax benefit</w:t>
            </w:r>
          </w:p>
        </w:tc>
        <w:tc>
          <w:tcPr>
            <w:tcW w:w="1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462</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459"/>
        </w:trPr>
        <w:tc>
          <w:tcPr>
            <w:tcW w:w="6780" w:type="dxa"/>
            <w:vAlign w:val="bottom"/>
          </w:tcPr>
          <w:p>
            <w:pPr>
              <w:jc w:val="right"/>
              <w:ind w:right="932"/>
              <w:spacing w:after="0"/>
              <w:rPr>
                <w:sz w:val="20"/>
                <w:szCs w:val="20"/>
                <w:color w:val="auto"/>
              </w:rPr>
            </w:pPr>
            <w:r>
              <w:rPr>
                <w:rFonts w:ascii="Arial" w:cs="Arial" w:eastAsia="Arial" w:hAnsi="Arial"/>
                <w:sz w:val="22"/>
                <w:szCs w:val="22"/>
                <w:color w:val="auto"/>
              </w:rPr>
              <w:t>23</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8"/>
        </w:trPr>
        <w:tc>
          <w:tcPr>
            <w:tcW w:w="6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three months ended March 31, 2021:</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r>
      <w:tr>
        <w:trPr>
          <w:trHeight w:val="229"/>
        </w:trPr>
        <w:tc>
          <w:tcPr>
            <w:tcW w:w="806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80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8"/>
              </w:rPr>
              <w:t>Share Units</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80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15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283,007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34.57</w:t>
            </w:r>
          </w:p>
        </w:tc>
      </w:tr>
      <w:tr>
        <w:trPr>
          <w:trHeight w:val="230"/>
        </w:trPr>
        <w:tc>
          <w:tcPr>
            <w:tcW w:w="80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151,931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43.23</w:t>
            </w:r>
          </w:p>
        </w:tc>
      </w:tr>
      <w:tr>
        <w:trPr>
          <w:trHeight w:val="229"/>
        </w:trPr>
        <w:tc>
          <w:tcPr>
            <w:tcW w:w="80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Performance criteria adjustment</w:t>
            </w:r>
          </w:p>
        </w:tc>
        <w:tc>
          <w:tcPr>
            <w:tcW w:w="15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28,548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53.49</w:t>
            </w:r>
          </w:p>
        </w:tc>
      </w:tr>
      <w:tr>
        <w:trPr>
          <w:trHeight w:val="229"/>
        </w:trPr>
        <w:tc>
          <w:tcPr>
            <w:tcW w:w="806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(1,078)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46.31</w:t>
            </w:r>
          </w:p>
        </w:tc>
      </w:tr>
      <w:tr>
        <w:trPr>
          <w:trHeight w:val="230"/>
        </w:trPr>
        <w:tc>
          <w:tcPr>
            <w:tcW w:w="80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Share units issued</w:t>
            </w:r>
          </w:p>
        </w:tc>
        <w:tc>
          <w:tcPr>
            <w:tcW w:w="15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(141,329)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31.26</w:t>
            </w:r>
          </w:p>
        </w:tc>
      </w:tr>
      <w:tr>
        <w:trPr>
          <w:trHeight w:val="223"/>
        </w:trPr>
        <w:tc>
          <w:tcPr>
            <w:tcW w:w="8060" w:type="dxa"/>
            <w:vAlign w:val="bottom"/>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15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321,079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2"/>
                <w:szCs w:val="22"/>
                <w:color w:val="auto"/>
              </w:rPr>
              <w:t>41.61</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three months ended March 31, 2021 and 2020 was $43.23 and $52.09.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0" w:lineRule="exact"/>
        <w:rPr>
          <w:sz w:val="20"/>
          <w:szCs w:val="20"/>
          <w:color w:val="auto"/>
        </w:rPr>
      </w:pPr>
    </w:p>
    <w:p>
      <w:pPr>
        <w:ind w:right="60"/>
        <w:spacing w:after="0" w:line="235"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 Company’s common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20" w:type="dxa"/>
            <w:vAlign w:val="bottom"/>
            <w:gridSpan w:val="3"/>
          </w:tcPr>
          <w:p>
            <w:pPr>
              <w:jc w:val="center"/>
              <w:ind w:right="472"/>
              <w:spacing w:after="0"/>
              <w:rPr>
                <w:sz w:val="20"/>
                <w:szCs w:val="20"/>
                <w:color w:val="auto"/>
              </w:rPr>
            </w:pPr>
            <w:r>
              <w:rPr>
                <w:rFonts w:ascii="Arial" w:cs="Arial" w:eastAsia="Arial" w:hAnsi="Arial"/>
                <w:sz w:val="22"/>
                <w:szCs w:val="22"/>
                <w:color w:val="auto"/>
                <w:w w:val="89"/>
              </w:rPr>
              <w:t>Three Months Ended</w:t>
            </w:r>
          </w:p>
        </w:tc>
        <w:tc>
          <w:tcPr>
            <w:tcW w:w="580" w:type="dxa"/>
            <w:vAlign w:val="bottom"/>
          </w:tcPr>
          <w:p>
            <w:pPr>
              <w:spacing w:after="0"/>
              <w:rPr>
                <w:sz w:val="23"/>
                <w:szCs w:val="23"/>
                <w:color w:val="auto"/>
              </w:rPr>
            </w:pPr>
          </w:p>
        </w:tc>
      </w:tr>
      <w:tr>
        <w:trPr>
          <w:trHeight w:val="260"/>
        </w:trPr>
        <w:tc>
          <w:tcPr>
            <w:tcW w:w="708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center"/>
              <w:ind w:right="472"/>
              <w:spacing w:after="0"/>
              <w:rPr>
                <w:sz w:val="20"/>
                <w:szCs w:val="20"/>
                <w:color w:val="auto"/>
              </w:rPr>
            </w:pPr>
            <w:r>
              <w:rPr>
                <w:rFonts w:ascii="Arial" w:cs="Arial" w:eastAsia="Arial" w:hAnsi="Arial"/>
                <w:sz w:val="22"/>
                <w:szCs w:val="22"/>
                <w:color w:val="auto"/>
                <w:w w:val="89"/>
              </w:rPr>
              <w:t>March 31,</w:t>
            </w:r>
          </w:p>
        </w:tc>
        <w:tc>
          <w:tcPr>
            <w:tcW w:w="580" w:type="dxa"/>
            <w:vAlign w:val="bottom"/>
            <w:tcBorders>
              <w:bottom w:val="single" w:sz="8" w:color="auto"/>
            </w:tcBorders>
          </w:tcPr>
          <w:p>
            <w:pPr>
              <w:spacing w:after="0"/>
              <w:rPr>
                <w:sz w:val="22"/>
                <w:szCs w:val="22"/>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74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2020</w:t>
            </w:r>
          </w:p>
        </w:tc>
        <w:tc>
          <w:tcPr>
            <w:tcW w:w="580" w:type="dxa"/>
            <w:vAlign w:val="bottom"/>
            <w:tcBorders>
              <w:bottom w:val="single" w:sz="8" w:color="auto"/>
            </w:tcBorders>
          </w:tcPr>
          <w:p>
            <w:pPr>
              <w:spacing w:after="0"/>
              <w:rPr>
                <w:sz w:val="22"/>
                <w:szCs w:val="22"/>
                <w:color w:val="auto"/>
              </w:rPr>
            </w:pPr>
          </w:p>
        </w:tc>
      </w:tr>
      <w:tr>
        <w:trPr>
          <w:trHeight w:val="547"/>
        </w:trPr>
        <w:tc>
          <w:tcPr>
            <w:tcW w:w="7080" w:type="dxa"/>
            <w:vAlign w:val="bottom"/>
            <w:shd w:val="clear" w:color="auto" w:fill="CCEEFF"/>
          </w:tcPr>
          <w:p>
            <w:pPr>
              <w:spacing w:after="0"/>
              <w:rPr>
                <w:sz w:val="20"/>
                <w:szCs w:val="20"/>
                <w:color w:val="auto"/>
              </w:rPr>
            </w:pPr>
            <w:r>
              <w:rPr>
                <w:rFonts w:ascii="Arial" w:cs="Arial" w:eastAsia="Arial" w:hAnsi="Arial"/>
                <w:sz w:val="22"/>
                <w:szCs w:val="22"/>
                <w:color w:val="auto"/>
                <w:w w:val="99"/>
              </w:rPr>
              <w:t>Stock-based compensation within operations and maintenance expenses</w:t>
            </w:r>
          </w:p>
        </w:tc>
        <w:tc>
          <w:tcPr>
            <w:tcW w:w="1160" w:type="dxa"/>
            <w:vAlign w:val="bottom"/>
            <w:shd w:val="clear" w:color="auto" w:fill="CCEEFF"/>
          </w:tcPr>
          <w:p>
            <w:pPr>
              <w:jc w:val="right"/>
              <w:ind w:right="932"/>
              <w:spacing w:after="0"/>
              <w:rPr>
                <w:sz w:val="20"/>
                <w:szCs w:val="20"/>
                <w:color w:val="auto"/>
              </w:rPr>
            </w:pPr>
            <w:r>
              <w:rPr>
                <w:rFonts w:ascii="Arial" w:cs="Arial" w:eastAsia="Arial" w:hAnsi="Arial"/>
                <w:sz w:val="22"/>
                <w:szCs w:val="22"/>
                <w:color w:val="auto"/>
                <w:w w:val="8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604</w:t>
            </w:r>
          </w:p>
        </w:tc>
        <w:tc>
          <w:tcPr>
            <w:tcW w:w="1680" w:type="dxa"/>
            <w:vAlign w:val="bottom"/>
            <w:gridSpan w:val="2"/>
            <w:shd w:val="clear" w:color="auto" w:fill="CCEEFF"/>
          </w:tcPr>
          <w:p>
            <w:pPr>
              <w:jc w:val="right"/>
              <w:ind w:right="1152"/>
              <w:spacing w:after="0"/>
              <w:rPr>
                <w:sz w:val="20"/>
                <w:szCs w:val="20"/>
                <w:color w:val="auto"/>
              </w:rPr>
            </w:pPr>
            <w:r>
              <w:rPr>
                <w:rFonts w:ascii="Arial" w:cs="Arial" w:eastAsia="Arial" w:hAnsi="Arial"/>
                <w:sz w:val="22"/>
                <w:szCs w:val="2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486</w:t>
            </w:r>
          </w:p>
        </w:tc>
      </w:tr>
      <w:tr>
        <w:trPr>
          <w:trHeight w:val="307"/>
        </w:trPr>
        <w:tc>
          <w:tcPr>
            <w:tcW w:w="7080" w:type="dxa"/>
            <w:vAlign w:val="bottom"/>
          </w:tcPr>
          <w:p>
            <w:pPr>
              <w:spacing w:after="0"/>
              <w:rPr>
                <w:sz w:val="20"/>
                <w:szCs w:val="20"/>
                <w:color w:val="auto"/>
              </w:rPr>
            </w:pPr>
            <w:r>
              <w:rPr>
                <w:rFonts w:ascii="Arial" w:cs="Arial" w:eastAsia="Arial" w:hAnsi="Arial"/>
                <w:sz w:val="22"/>
                <w:szCs w:val="22"/>
                <w:color w:val="auto"/>
              </w:rPr>
              <w:t>Income tax benefit</w:t>
            </w:r>
          </w:p>
        </w:tc>
        <w:tc>
          <w:tcPr>
            <w:tcW w:w="1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169</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473"/>
        </w:trPr>
        <w:tc>
          <w:tcPr>
            <w:tcW w:w="7080" w:type="dxa"/>
            <w:vAlign w:val="bottom"/>
          </w:tcPr>
          <w:p>
            <w:pPr>
              <w:jc w:val="right"/>
              <w:ind w:right="1232"/>
              <w:spacing w:after="0"/>
              <w:rPr>
                <w:sz w:val="20"/>
                <w:szCs w:val="20"/>
                <w:color w:val="auto"/>
              </w:rPr>
            </w:pPr>
            <w:r>
              <w:rPr>
                <w:rFonts w:ascii="Arial" w:cs="Arial" w:eastAsia="Arial" w:hAnsi="Arial"/>
                <w:sz w:val="22"/>
                <w:szCs w:val="22"/>
                <w:color w:val="auto"/>
              </w:rPr>
              <w:t>24</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8"/>
        </w:trPr>
        <w:tc>
          <w:tcPr>
            <w:tcW w:w="7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three months ended March 31, 2021:</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Arial" w:cs="Arial" w:eastAsia="Arial" w:hAnsi="Arial"/>
                <w:sz w:val="22"/>
                <w:szCs w:val="22"/>
                <w:color w:val="auto"/>
                <w:w w:val="88"/>
              </w:rPr>
              <w:t>Weighted</w:t>
            </w:r>
          </w:p>
        </w:tc>
      </w:tr>
      <w:tr>
        <w:trPr>
          <w:trHeight w:val="229"/>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940" w:type="dxa"/>
            <w:vAlign w:val="bottom"/>
          </w:tcPr>
          <w:p>
            <w:pPr>
              <w:spacing w:after="0"/>
              <w:rPr>
                <w:sz w:val="21"/>
                <w:szCs w:val="21"/>
                <w:color w:val="auto"/>
              </w:rPr>
            </w:pPr>
          </w:p>
        </w:tc>
        <w:tc>
          <w:tcPr>
            <w:tcW w:w="1680" w:type="dxa"/>
            <w:vAlign w:val="bottom"/>
            <w:gridSpan w:val="2"/>
          </w:tcPr>
          <w:p>
            <w:pPr>
              <w:jc w:val="center"/>
              <w:ind w:right="220"/>
              <w:spacing w:after="0" w:line="251" w:lineRule="exact"/>
              <w:rPr>
                <w:sz w:val="20"/>
                <w:szCs w:val="20"/>
                <w:color w:val="auto"/>
              </w:rPr>
            </w:pPr>
            <w:r>
              <w:rPr>
                <w:rFonts w:ascii="Arial" w:cs="Arial" w:eastAsia="Arial" w:hAnsi="Arial"/>
                <w:sz w:val="22"/>
                <w:szCs w:val="22"/>
                <w:color w:val="auto"/>
                <w:w w:val="91"/>
              </w:rPr>
              <w:t>Stock Units</w:t>
            </w:r>
          </w:p>
        </w:tc>
        <w:tc>
          <w:tcPr>
            <w:tcW w:w="240" w:type="dxa"/>
            <w:vAlign w:val="bottom"/>
          </w:tcPr>
          <w:p>
            <w:pPr>
              <w:spacing w:after="0"/>
              <w:rPr>
                <w:sz w:val="21"/>
                <w:szCs w:val="21"/>
                <w:color w:val="auto"/>
              </w:rPr>
            </w:pPr>
          </w:p>
        </w:tc>
        <w:tc>
          <w:tcPr>
            <w:tcW w:w="1380" w:type="dxa"/>
            <w:vAlign w:val="bottom"/>
          </w:tcPr>
          <w:p>
            <w:pPr>
              <w:jc w:val="center"/>
              <w:ind w:right="13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163,906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40.80</w:t>
            </w:r>
          </w:p>
        </w:tc>
      </w:tr>
      <w:tr>
        <w:trPr>
          <w:trHeight w:val="230"/>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60" w:type="dxa"/>
            <w:vAlign w:val="bottom"/>
          </w:tcPr>
          <w:p>
            <w:pPr>
              <w:jc w:val="right"/>
              <w:spacing w:after="0" w:line="229" w:lineRule="exact"/>
              <w:rPr>
                <w:sz w:val="20"/>
                <w:szCs w:val="20"/>
                <w:color w:val="auto"/>
              </w:rPr>
            </w:pPr>
            <w:r>
              <w:rPr>
                <w:rFonts w:ascii="Arial" w:cs="Arial" w:eastAsia="Arial" w:hAnsi="Arial"/>
                <w:sz w:val="22"/>
                <w:szCs w:val="22"/>
                <w:color w:val="auto"/>
              </w:rPr>
              <w:t>85,717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44.44</w:t>
            </w:r>
          </w:p>
        </w:tc>
      </w:tr>
      <w:tr>
        <w:trPr>
          <w:trHeight w:val="229"/>
        </w:trPr>
        <w:tc>
          <w:tcPr>
            <w:tcW w:w="79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(47,735)</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35.03</w:t>
            </w:r>
          </w:p>
        </w:tc>
      </w:tr>
      <w:tr>
        <w:trPr>
          <w:trHeight w:val="229"/>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(746)</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40.10</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201,142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43.71</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three months ended March 31, 2021 and 2020 was $44.44 and $47.10, respectively.</w:t>
      </w:r>
    </w:p>
    <w:p>
      <w:pPr>
        <w:spacing w:after="0" w:line="185"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tcPr>
          <w:p>
            <w:pPr>
              <w:spacing w:after="0"/>
              <w:rPr>
                <w:sz w:val="21"/>
                <w:szCs w:val="21"/>
                <w:color w:val="auto"/>
              </w:rPr>
            </w:pPr>
          </w:p>
        </w:tc>
        <w:tc>
          <w:tcPr>
            <w:tcW w:w="3400" w:type="dxa"/>
            <w:vAlign w:val="bottom"/>
            <w:gridSpan w:val="4"/>
          </w:tcPr>
          <w:p>
            <w:pPr>
              <w:jc w:val="center"/>
              <w:ind w:left="436"/>
              <w:spacing w:after="0"/>
              <w:rPr>
                <w:sz w:val="20"/>
                <w:szCs w:val="20"/>
                <w:color w:val="auto"/>
              </w:rPr>
            </w:pPr>
            <w:r>
              <w:rPr>
                <w:rFonts w:ascii="Arial" w:cs="Arial" w:eastAsia="Arial" w:hAnsi="Arial"/>
                <w:sz w:val="22"/>
                <w:szCs w:val="22"/>
                <w:color w:val="auto"/>
                <w:w w:val="88"/>
              </w:rPr>
              <w:t>Three Months Ended</w:t>
            </w:r>
          </w:p>
        </w:tc>
        <w:tc>
          <w:tcPr>
            <w:tcW w:w="540" w:type="dxa"/>
            <w:vAlign w:val="bottom"/>
          </w:tcPr>
          <w:p>
            <w:pPr>
              <w:spacing w:after="0"/>
              <w:rPr>
                <w:sz w:val="21"/>
                <w:szCs w:val="21"/>
                <w:color w:val="auto"/>
              </w:rPr>
            </w:pPr>
          </w:p>
        </w:tc>
      </w:tr>
      <w:tr>
        <w:trPr>
          <w:trHeight w:val="251"/>
        </w:trPr>
        <w:tc>
          <w:tcPr>
            <w:tcW w:w="73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ind w:right="632"/>
              <w:spacing w:after="0" w:line="251" w:lineRule="exact"/>
              <w:rPr>
                <w:sz w:val="20"/>
                <w:szCs w:val="20"/>
                <w:color w:val="auto"/>
              </w:rPr>
            </w:pPr>
            <w:r>
              <w:rPr>
                <w:rFonts w:ascii="Arial" w:cs="Arial" w:eastAsia="Arial" w:hAnsi="Arial"/>
                <w:sz w:val="22"/>
                <w:szCs w:val="22"/>
                <w:color w:val="auto"/>
                <w:w w:val="91"/>
              </w:rPr>
              <w:t>March 31,</w:t>
            </w:r>
          </w:p>
        </w:tc>
        <w:tc>
          <w:tcPr>
            <w:tcW w:w="540" w:type="dxa"/>
            <w:vAlign w:val="bottom"/>
            <w:tcBorders>
              <w:bottom w:val="single" w:sz="8" w:color="auto"/>
            </w:tcBorders>
          </w:tcPr>
          <w:p>
            <w:pPr>
              <w:spacing w:after="0"/>
              <w:rPr>
                <w:sz w:val="21"/>
                <w:szCs w:val="21"/>
                <w:color w:val="auto"/>
              </w:rPr>
            </w:pPr>
          </w:p>
        </w:tc>
      </w:tr>
      <w:tr>
        <w:trPr>
          <w:trHeight w:val="223"/>
        </w:trPr>
        <w:tc>
          <w:tcPr>
            <w:tcW w:w="73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6"/>
              <w:spacing w:after="0" w:line="223" w:lineRule="exact"/>
              <w:rPr>
                <w:sz w:val="20"/>
                <w:szCs w:val="20"/>
                <w:color w:val="auto"/>
              </w:rPr>
            </w:pPr>
            <w:r>
              <w:rPr>
                <w:rFonts w:ascii="Arial" w:cs="Arial" w:eastAsia="Arial" w:hAnsi="Arial"/>
                <w:sz w:val="22"/>
                <w:szCs w:val="22"/>
                <w:color w:val="auto"/>
              </w:rPr>
              <w:t>2021</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2"/>
              <w:spacing w:after="0" w:line="223" w:lineRule="exact"/>
              <w:rPr>
                <w:sz w:val="20"/>
                <w:szCs w:val="20"/>
                <w:color w:val="auto"/>
              </w:rPr>
            </w:pPr>
            <w:r>
              <w:rPr>
                <w:rFonts w:ascii="Arial" w:cs="Arial" w:eastAsia="Arial" w:hAnsi="Arial"/>
                <w:sz w:val="22"/>
                <w:szCs w:val="22"/>
                <w:color w:val="auto"/>
              </w:rPr>
              <w:t>2020</w:t>
            </w:r>
          </w:p>
        </w:tc>
        <w:tc>
          <w:tcPr>
            <w:tcW w:w="54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Stock-based compensation within operations and maintenance expenses</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9"/>
                <w:szCs w:val="19"/>
                <w:color w:val="auto"/>
                <w:w w:val="75"/>
              </w:rPr>
              <w:t>$</w:t>
            </w:r>
          </w:p>
        </w:tc>
        <w:tc>
          <w:tcPr>
            <w:tcW w:w="5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211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72"/>
              <w:spacing w:after="0" w:line="223" w:lineRule="exact"/>
              <w:rPr>
                <w:sz w:val="20"/>
                <w:szCs w:val="20"/>
                <w:color w:val="auto"/>
              </w:rPr>
            </w:pPr>
            <w:r>
              <w:rPr>
                <w:rFonts w:ascii="Arial" w:cs="Arial" w:eastAsia="Arial" w:hAnsi="Arial"/>
                <w:sz w:val="22"/>
                <w:szCs w:val="22"/>
                <w:color w:val="auto"/>
                <w:w w:val="81"/>
              </w:rPr>
              <w:t>$</w:t>
            </w:r>
          </w:p>
        </w:tc>
        <w:tc>
          <w:tcPr>
            <w:tcW w:w="5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501</w:t>
            </w:r>
          </w:p>
        </w:tc>
      </w:tr>
      <w:tr>
        <w:trPr>
          <w:trHeight w:val="274"/>
        </w:trPr>
        <w:tc>
          <w:tcPr>
            <w:tcW w:w="7300" w:type="dxa"/>
            <w:vAlign w:val="bottom"/>
          </w:tcPr>
          <w:p>
            <w:pPr>
              <w:spacing w:after="0"/>
              <w:rPr>
                <w:sz w:val="20"/>
                <w:szCs w:val="20"/>
                <w:color w:val="auto"/>
              </w:rPr>
            </w:pPr>
            <w:r>
              <w:rPr>
                <w:rFonts w:ascii="Arial" w:cs="Arial" w:eastAsia="Arial" w:hAnsi="Arial"/>
                <w:sz w:val="22"/>
                <w:szCs w:val="22"/>
                <w:color w:val="auto"/>
              </w:rPr>
              <w:t>Income tax benefit</w:t>
            </w:r>
          </w:p>
        </w:tc>
        <w:tc>
          <w:tcPr>
            <w:tcW w:w="1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60</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142</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The Company did not grant stock options for the three months ended March 31, 2021.</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three months ended March 31, 2021:</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22"/>
                <w:szCs w:val="22"/>
                <w:color w:val="auto"/>
                <w:w w:val="88"/>
              </w:rPr>
              <w:t>Weighted</w:t>
            </w:r>
          </w:p>
        </w:tc>
        <w:tc>
          <w:tcPr>
            <w:tcW w:w="1280" w:type="dxa"/>
            <w:vAlign w:val="bottom"/>
          </w:tcPr>
          <w:p>
            <w:pPr>
              <w:jc w:val="center"/>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5"/>
              </w:rPr>
              <w:t>Average</w:t>
            </w:r>
          </w:p>
        </w:tc>
        <w:tc>
          <w:tcPr>
            <w:tcW w:w="1280" w:type="dxa"/>
            <w:vAlign w:val="bottom"/>
          </w:tcPr>
          <w:p>
            <w:pPr>
              <w:jc w:val="center"/>
              <w:spacing w:after="0" w:line="229" w:lineRule="exact"/>
              <w:rPr>
                <w:sz w:val="20"/>
                <w:szCs w:val="20"/>
                <w:color w:val="auto"/>
              </w:rPr>
            </w:pPr>
            <w:r>
              <w:rPr>
                <w:rFonts w:ascii="Arial" w:cs="Arial" w:eastAsia="Arial" w:hAnsi="Arial"/>
                <w:sz w:val="22"/>
                <w:szCs w:val="22"/>
                <w:color w:val="auto"/>
                <w:w w:val="87"/>
              </w:rPr>
              <w:t>Average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92"/>
              <w:spacing w:after="0" w:line="229" w:lineRule="exact"/>
              <w:rPr>
                <w:sz w:val="20"/>
                <w:szCs w:val="20"/>
                <w:color w:val="auto"/>
              </w:rPr>
            </w:pPr>
            <w:r>
              <w:rPr>
                <w:rFonts w:ascii="Arial" w:cs="Arial" w:eastAsia="Arial" w:hAnsi="Arial"/>
                <w:sz w:val="22"/>
                <w:szCs w:val="22"/>
                <w:color w:val="auto"/>
                <w:w w:val="88"/>
              </w:rPr>
              <w:t>Aggregate</w:t>
            </w:r>
          </w:p>
        </w:tc>
      </w:tr>
      <w:tr>
        <w:trPr>
          <w:trHeight w:val="230"/>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7"/>
              </w:rPr>
              <w:t>Exercise</w:t>
            </w:r>
          </w:p>
        </w:tc>
        <w:tc>
          <w:tcPr>
            <w:tcW w:w="1280" w:type="dxa"/>
            <w:vAlign w:val="bottom"/>
          </w:tcPr>
          <w:p>
            <w:pPr>
              <w:jc w:val="center"/>
              <w:spacing w:after="0" w:line="229" w:lineRule="exact"/>
              <w:rPr>
                <w:sz w:val="20"/>
                <w:szCs w:val="20"/>
                <w:color w:val="auto"/>
              </w:rPr>
            </w:pPr>
            <w:r>
              <w:rPr>
                <w:rFonts w:ascii="Arial" w:cs="Arial" w:eastAsia="Arial" w:hAnsi="Arial"/>
                <w:sz w:val="22"/>
                <w:szCs w:val="22"/>
                <w:color w:val="auto"/>
                <w:w w:val="89"/>
              </w:rPr>
              <w:t>Remaining</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12"/>
              <w:spacing w:after="0" w:line="229" w:lineRule="exact"/>
              <w:rPr>
                <w:sz w:val="20"/>
                <w:szCs w:val="20"/>
                <w:color w:val="auto"/>
              </w:rPr>
            </w:pPr>
            <w:r>
              <w:rPr>
                <w:rFonts w:ascii="Arial" w:cs="Arial" w:eastAsia="Arial" w:hAnsi="Arial"/>
                <w:sz w:val="22"/>
                <w:szCs w:val="22"/>
                <w:color w:val="auto"/>
                <w:w w:val="94"/>
              </w:rPr>
              <w:t>Intrinsic</w:t>
            </w:r>
          </w:p>
        </w:tc>
      </w:tr>
      <w:tr>
        <w:trPr>
          <w:trHeight w:val="251"/>
        </w:trPr>
        <w:tc>
          <w:tcPr>
            <w:tcW w:w="5100" w:type="dxa"/>
            <w:vAlign w:val="bottom"/>
          </w:tcPr>
          <w:p>
            <w:pPr>
              <w:spacing w:after="0"/>
              <w:rPr>
                <w:sz w:val="21"/>
                <w:szCs w:val="21"/>
                <w:color w:val="auto"/>
              </w:rPr>
            </w:pPr>
          </w:p>
        </w:tc>
        <w:tc>
          <w:tcPr>
            <w:tcW w:w="1580" w:type="dxa"/>
            <w:vAlign w:val="bottom"/>
            <w:gridSpan w:val="2"/>
          </w:tcPr>
          <w:p>
            <w:pPr>
              <w:ind w:left="400"/>
              <w:spacing w:after="0" w:line="251" w:lineRule="exact"/>
              <w:rPr>
                <w:sz w:val="20"/>
                <w:szCs w:val="20"/>
                <w:color w:val="auto"/>
              </w:rPr>
            </w:pPr>
            <w:r>
              <w:rPr>
                <w:rFonts w:ascii="Arial" w:cs="Arial" w:eastAsia="Arial" w:hAnsi="Arial"/>
                <w:sz w:val="22"/>
                <w:szCs w:val="22"/>
                <w:color w:val="auto"/>
              </w:rPr>
              <w:t>Shares</w:t>
            </w:r>
          </w:p>
        </w:tc>
        <w:tc>
          <w:tcPr>
            <w:tcW w:w="180" w:type="dxa"/>
            <w:vAlign w:val="bottom"/>
          </w:tcPr>
          <w:p>
            <w:pPr>
              <w:spacing w:after="0"/>
              <w:rPr>
                <w:sz w:val="21"/>
                <w:szCs w:val="21"/>
                <w:color w:val="auto"/>
              </w:rPr>
            </w:pPr>
          </w:p>
        </w:tc>
        <w:tc>
          <w:tcPr>
            <w:tcW w:w="1360" w:type="dxa"/>
            <w:vAlign w:val="bottom"/>
            <w:gridSpan w:val="2"/>
          </w:tcPr>
          <w:p>
            <w:pPr>
              <w:jc w:val="center"/>
              <w:ind w:right="360"/>
              <w:spacing w:after="0" w:line="251" w:lineRule="exact"/>
              <w:rPr>
                <w:sz w:val="20"/>
                <w:szCs w:val="20"/>
                <w:color w:val="auto"/>
              </w:rPr>
            </w:pPr>
            <w:r>
              <w:rPr>
                <w:rFonts w:ascii="Arial" w:cs="Arial" w:eastAsia="Arial" w:hAnsi="Arial"/>
                <w:sz w:val="22"/>
                <w:szCs w:val="22"/>
                <w:color w:val="auto"/>
                <w:w w:val="87"/>
              </w:rPr>
              <w:t>Price</w:t>
            </w:r>
          </w:p>
        </w:tc>
        <w:tc>
          <w:tcPr>
            <w:tcW w:w="1280" w:type="dxa"/>
            <w:vAlign w:val="bottom"/>
          </w:tcPr>
          <w:p>
            <w:pPr>
              <w:jc w:val="center"/>
              <w:spacing w:after="0" w:line="251" w:lineRule="exact"/>
              <w:rPr>
                <w:sz w:val="20"/>
                <w:szCs w:val="20"/>
                <w:color w:val="auto"/>
              </w:rPr>
            </w:pPr>
            <w:r>
              <w:rPr>
                <w:rFonts w:ascii="Arial" w:cs="Arial" w:eastAsia="Arial" w:hAnsi="Arial"/>
                <w:sz w:val="22"/>
                <w:szCs w:val="22"/>
                <w:color w:val="auto"/>
                <w:w w:val="92"/>
              </w:rPr>
              <w:t>Life (years)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center"/>
              <w:ind w:right="112"/>
              <w:spacing w:after="0" w:line="251" w:lineRule="exact"/>
              <w:rPr>
                <w:sz w:val="20"/>
                <w:szCs w:val="20"/>
                <w:color w:val="auto"/>
              </w:rPr>
            </w:pPr>
            <w:r>
              <w:rPr>
                <w:rFonts w:ascii="Arial" w:cs="Arial" w:eastAsia="Arial" w:hAnsi="Arial"/>
                <w:sz w:val="22"/>
                <w:szCs w:val="22"/>
                <w:color w:val="auto"/>
                <w:w w:val="85"/>
              </w:rPr>
              <w:t>Value</w:t>
            </w:r>
          </w:p>
        </w:tc>
      </w:tr>
      <w:tr>
        <w:trPr>
          <w:trHeight w:val="223"/>
        </w:trPr>
        <w:tc>
          <w:tcPr>
            <w:tcW w:w="51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Outstanding at beginning of period</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947,680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35.22</w:t>
            </w:r>
          </w:p>
        </w:tc>
        <w:tc>
          <w:tcPr>
            <w:tcW w:w="2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510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(1,427)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35.77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100" w:type="dxa"/>
            <w:vAlign w:val="bottom"/>
          </w:tcPr>
          <w:p>
            <w:pPr>
              <w:ind w:left="120"/>
              <w:spacing w:after="0" w:line="229" w:lineRule="exact"/>
              <w:rPr>
                <w:sz w:val="20"/>
                <w:szCs w:val="20"/>
                <w:color w:val="auto"/>
              </w:rPr>
            </w:pPr>
            <w:r>
              <w:rPr>
                <w:rFonts w:ascii="Arial" w:cs="Arial" w:eastAsia="Arial" w:hAnsi="Arial"/>
                <w:sz w:val="22"/>
                <w:szCs w:val="22"/>
                <w:color w:val="auto"/>
              </w:rPr>
              <w:t>Expired</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(773)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34.87</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Exercised</w:t>
            </w: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(20,201)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35.34</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5100" w:type="dxa"/>
            <w:vAlign w:val="bottom"/>
          </w:tcPr>
          <w:p>
            <w:pPr>
              <w:spacing w:after="0" w:line="223" w:lineRule="exact"/>
              <w:rPr>
                <w:sz w:val="20"/>
                <w:szCs w:val="20"/>
                <w:color w:val="auto"/>
              </w:rPr>
            </w:pPr>
            <w:r>
              <w:rPr>
                <w:rFonts w:ascii="Arial" w:cs="Arial" w:eastAsia="Arial" w:hAnsi="Arial"/>
                <w:sz w:val="22"/>
                <w:szCs w:val="22"/>
                <w:color w:val="auto"/>
              </w:rPr>
              <w:t>Outstanding at end of period</w:t>
            </w:r>
          </w:p>
        </w:tc>
        <w:tc>
          <w:tcPr>
            <w:tcW w:w="1380" w:type="dxa"/>
            <w:vAlign w:val="bottom"/>
          </w:tcPr>
          <w:p>
            <w:pPr>
              <w:jc w:val="right"/>
              <w:spacing w:after="0" w:line="223" w:lineRule="exact"/>
              <w:rPr>
                <w:sz w:val="20"/>
                <w:szCs w:val="20"/>
                <w:color w:val="auto"/>
              </w:rPr>
            </w:pPr>
            <w:r>
              <w:rPr>
                <w:rFonts w:ascii="Arial" w:cs="Arial" w:eastAsia="Arial" w:hAnsi="Arial"/>
                <w:sz w:val="22"/>
                <w:szCs w:val="22"/>
                <w:color w:val="auto"/>
              </w:rPr>
              <w:t>925,279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line="223" w:lineRule="exact"/>
              <w:rPr>
                <w:sz w:val="20"/>
                <w:szCs w:val="20"/>
                <w:color w:val="auto"/>
              </w:rPr>
            </w:pPr>
            <w:r>
              <w:rPr>
                <w:rFonts w:ascii="Arial" w:cs="Arial" w:eastAsia="Arial" w:hAnsi="Arial"/>
                <w:sz w:val="22"/>
                <w:szCs w:val="22"/>
                <w:color w:val="auto"/>
              </w:rPr>
              <w:t>35.21</w:t>
            </w:r>
          </w:p>
        </w:tc>
        <w:tc>
          <w:tcPr>
            <w:tcW w:w="20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Arial" w:cs="Arial" w:eastAsia="Arial" w:hAnsi="Arial"/>
                <w:sz w:val="22"/>
                <w:szCs w:val="22"/>
                <w:color w:val="auto"/>
              </w:rPr>
              <w:t>7.6</w:t>
            </w:r>
          </w:p>
        </w:tc>
        <w:tc>
          <w:tcPr>
            <w:tcW w:w="400" w:type="dxa"/>
            <w:vAlign w:val="bottom"/>
            <w:gridSpan w:val="2"/>
          </w:tcPr>
          <w:p>
            <w:pPr>
              <w:jc w:val="right"/>
              <w:ind w:right="100"/>
              <w:spacing w:after="0" w:line="223" w:lineRule="exact"/>
              <w:rPr>
                <w:sz w:val="20"/>
                <w:szCs w:val="20"/>
                <w:color w:val="auto"/>
              </w:rPr>
            </w:pPr>
            <w:r>
              <w:rPr>
                <w:rFonts w:ascii="Arial" w:cs="Arial" w:eastAsia="Arial" w:hAnsi="Arial"/>
                <w:sz w:val="22"/>
                <w:szCs w:val="22"/>
                <w:color w:val="auto"/>
              </w:rPr>
              <w:t>$</w:t>
            </w: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8,823,580</w:t>
            </w:r>
          </w:p>
        </w:tc>
      </w:tr>
      <w:tr>
        <w:trPr>
          <w:trHeight w:val="20"/>
        </w:trPr>
        <w:tc>
          <w:tcPr>
            <w:tcW w:w="5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1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Exercisable at end of period</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685,964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34.95</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7.4</w:t>
            </w:r>
          </w:p>
        </w:tc>
        <w:tc>
          <w:tcPr>
            <w:tcW w:w="400" w:type="dxa"/>
            <w:vAlign w:val="bottom"/>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6,719,789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i w:val="1"/>
          <w:iCs w:val="1"/>
          <w:color w:val="auto"/>
        </w:rPr>
        <w:t xml:space="preserve">Restricted Stock – </w:t>
      </w:r>
      <w:r>
        <w:rPr>
          <w:rFonts w:ascii="Arial" w:cs="Arial" w:eastAsia="Arial" w:hAnsi="Arial"/>
          <w:sz w:val="19"/>
          <w:szCs w:val="19"/>
          <w:color w:val="auto"/>
        </w:rPr>
        <w:t>Restricted stock awards provide the grantee with the rights of a shareholder, including the right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40" w:type="dxa"/>
            <w:vAlign w:val="bottom"/>
            <w:gridSpan w:val="3"/>
          </w:tcPr>
          <w:p>
            <w:pPr>
              <w:spacing w:after="0"/>
              <w:rPr>
                <w:sz w:val="20"/>
                <w:szCs w:val="20"/>
                <w:color w:val="auto"/>
              </w:rPr>
            </w:pPr>
            <w:r>
              <w:rPr>
                <w:rFonts w:ascii="Arial" w:cs="Arial" w:eastAsia="Arial" w:hAnsi="Arial"/>
                <w:sz w:val="22"/>
                <w:szCs w:val="22"/>
                <w:color w:val="auto"/>
                <w:w w:val="88"/>
              </w:rPr>
              <w:t>Three Months Ended</w:t>
            </w:r>
          </w:p>
        </w:tc>
        <w:tc>
          <w:tcPr>
            <w:tcW w:w="1240" w:type="dxa"/>
            <w:vAlign w:val="bottom"/>
          </w:tcPr>
          <w:p>
            <w:pPr>
              <w:spacing w:after="0"/>
              <w:rPr>
                <w:sz w:val="21"/>
                <w:szCs w:val="21"/>
                <w:color w:val="auto"/>
              </w:rPr>
            </w:pPr>
          </w:p>
        </w:tc>
      </w:tr>
      <w:tr>
        <w:trPr>
          <w:trHeight w:val="251"/>
        </w:trPr>
        <w:tc>
          <w:tcPr>
            <w:tcW w:w="69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ind w:left="480"/>
              <w:spacing w:after="0" w:line="251" w:lineRule="exact"/>
              <w:rPr>
                <w:sz w:val="20"/>
                <w:szCs w:val="20"/>
                <w:color w:val="auto"/>
              </w:rPr>
            </w:pPr>
            <w:r>
              <w:rPr>
                <w:rFonts w:ascii="Arial" w:cs="Arial" w:eastAsia="Arial" w:hAnsi="Arial"/>
                <w:sz w:val="22"/>
                <w:szCs w:val="22"/>
                <w:color w:val="auto"/>
              </w:rPr>
              <w:t>March 31,</w:t>
            </w:r>
          </w:p>
        </w:tc>
        <w:tc>
          <w:tcPr>
            <w:tcW w:w="1240" w:type="dxa"/>
            <w:vAlign w:val="bottom"/>
            <w:tcBorders>
              <w:bottom w:val="single" w:sz="8" w:color="auto"/>
            </w:tcBorders>
          </w:tcPr>
          <w:p>
            <w:pPr>
              <w:spacing w:after="0"/>
              <w:rPr>
                <w:sz w:val="21"/>
                <w:szCs w:val="21"/>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72"/>
              <w:spacing w:after="0" w:line="223" w:lineRule="exact"/>
              <w:rPr>
                <w:sz w:val="20"/>
                <w:szCs w:val="20"/>
                <w:color w:val="auto"/>
              </w:rPr>
            </w:pPr>
            <w:r>
              <w:rPr>
                <w:rFonts w:ascii="Arial" w:cs="Arial" w:eastAsia="Arial" w:hAnsi="Arial"/>
                <w:sz w:val="22"/>
                <w:szCs w:val="22"/>
                <w:color w:val="auto"/>
                <w:w w:val="89"/>
              </w:rPr>
              <w:t>2020</w:t>
            </w:r>
          </w:p>
        </w:tc>
      </w:tr>
      <w:tr>
        <w:trPr>
          <w:trHeight w:val="223"/>
        </w:trPr>
        <w:tc>
          <w:tcPr>
            <w:tcW w:w="69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w w:val="96"/>
              </w:rPr>
              <w:t>Stock-based compensation within operations and maintenance expenses</w:t>
            </w:r>
          </w:p>
        </w:tc>
        <w:tc>
          <w:tcPr>
            <w:tcW w:w="1240" w:type="dxa"/>
            <w:vAlign w:val="bottom"/>
            <w:shd w:val="clear" w:color="auto" w:fill="CCEEFF"/>
          </w:tcPr>
          <w:p>
            <w:pPr>
              <w:jc w:val="right"/>
              <w:ind w:right="1037"/>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CCEEFF"/>
          </w:tcPr>
          <w:p>
            <w:pPr>
              <w:ind w:left="480"/>
              <w:spacing w:after="0" w:line="223" w:lineRule="exact"/>
              <w:rPr>
                <w:sz w:val="20"/>
                <w:szCs w:val="20"/>
                <w:color w:val="auto"/>
              </w:rPr>
            </w:pPr>
            <w:r>
              <w:rPr>
                <w:rFonts w:ascii="Arial" w:cs="Arial" w:eastAsia="Arial" w:hAnsi="Arial"/>
                <w:sz w:val="22"/>
                <w:szCs w:val="22"/>
                <w:color w:val="auto"/>
              </w:rPr>
              <w:t>93</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2"/>
              <w:spacing w:after="0" w:line="223" w:lineRule="exact"/>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18</w:t>
            </w:r>
          </w:p>
        </w:tc>
      </w:tr>
      <w:tr>
        <w:trPr>
          <w:trHeight w:val="274"/>
        </w:trPr>
        <w:tc>
          <w:tcPr>
            <w:tcW w:w="6920" w:type="dxa"/>
            <w:vAlign w:val="bottom"/>
          </w:tcPr>
          <w:p>
            <w:pPr>
              <w:spacing w:after="0"/>
              <w:rPr>
                <w:sz w:val="20"/>
                <w:szCs w:val="20"/>
                <w:color w:val="auto"/>
              </w:rPr>
            </w:pPr>
            <w:r>
              <w:rPr>
                <w:rFonts w:ascii="Arial" w:cs="Arial" w:eastAsia="Arial" w:hAnsi="Arial"/>
                <w:sz w:val="22"/>
                <w:szCs w:val="22"/>
                <w:color w:val="auto"/>
              </w:rPr>
              <w:t>Income tax benefit</w:t>
            </w:r>
          </w:p>
        </w:tc>
        <w:tc>
          <w:tcPr>
            <w:tcW w:w="1240" w:type="dxa"/>
            <w:vAlign w:val="bottom"/>
          </w:tcPr>
          <w:p>
            <w:pPr>
              <w:spacing w:after="0"/>
              <w:rPr>
                <w:sz w:val="23"/>
                <w:szCs w:val="23"/>
                <w:color w:val="auto"/>
              </w:rPr>
            </w:pPr>
          </w:p>
        </w:tc>
        <w:tc>
          <w:tcPr>
            <w:tcW w:w="760" w:type="dxa"/>
            <w:vAlign w:val="bottom"/>
          </w:tcPr>
          <w:p>
            <w:pPr>
              <w:ind w:left="480"/>
              <w:spacing w:after="0"/>
              <w:rPr>
                <w:sz w:val="20"/>
                <w:szCs w:val="20"/>
                <w:color w:val="auto"/>
              </w:rPr>
            </w:pPr>
            <w:r>
              <w:rPr>
                <w:rFonts w:ascii="Arial" w:cs="Arial" w:eastAsia="Arial" w:hAnsi="Arial"/>
                <w:sz w:val="22"/>
                <w:szCs w:val="22"/>
                <w:color w:val="auto"/>
              </w:rPr>
              <w:t>27</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restricted stock transactions for the three months ended March 31,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center"/>
              <w:ind w:right="332"/>
              <w:spacing w:after="0"/>
              <w:rPr>
                <w:sz w:val="20"/>
                <w:szCs w:val="20"/>
                <w:color w:val="auto"/>
              </w:rPr>
            </w:pPr>
            <w:r>
              <w:rPr>
                <w:rFonts w:ascii="Arial" w:cs="Arial" w:eastAsia="Arial" w:hAnsi="Arial"/>
                <w:sz w:val="22"/>
                <w:szCs w:val="22"/>
                <w:color w:val="auto"/>
                <w:w w:val="91"/>
              </w:rPr>
              <w:t>Number</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29"/>
        </w:trPr>
        <w:tc>
          <w:tcPr>
            <w:tcW w:w="7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center"/>
              <w:ind w:right="312"/>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2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32"/>
              <w:spacing w:after="0" w:line="251" w:lineRule="exact"/>
              <w:rPr>
                <w:sz w:val="20"/>
                <w:szCs w:val="20"/>
                <w:color w:val="auto"/>
              </w:rPr>
            </w:pPr>
            <w:r>
              <w:rPr>
                <w:rFonts w:ascii="Arial" w:cs="Arial" w:eastAsia="Arial" w:hAnsi="Arial"/>
                <w:sz w:val="22"/>
                <w:szCs w:val="22"/>
                <w:color w:val="auto"/>
                <w:w w:val="80"/>
              </w:rPr>
              <w:t>Shares</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2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restricted stock at beginning of period</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13,228</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34.02</w:t>
            </w:r>
          </w:p>
        </w:tc>
      </w:tr>
      <w:tr>
        <w:trPr>
          <w:trHeight w:val="229"/>
        </w:trPr>
        <w:tc>
          <w:tcPr>
            <w:tcW w:w="7700" w:type="dxa"/>
            <w:vAlign w:val="bottom"/>
            <w:gridSpan w:val="2"/>
          </w:tcPr>
          <w:p>
            <w:pPr>
              <w:ind w:left="120"/>
              <w:spacing w:after="0" w:line="229" w:lineRule="exact"/>
              <w:rPr>
                <w:sz w:val="20"/>
                <w:szCs w:val="20"/>
                <w:color w:val="auto"/>
              </w:rPr>
            </w:pPr>
            <w:r>
              <w:rPr>
                <w:rFonts w:ascii="Arial" w:cs="Arial" w:eastAsia="Arial" w:hAnsi="Arial"/>
                <w:sz w:val="22"/>
                <w:szCs w:val="22"/>
                <w:color w:val="auto"/>
              </w:rPr>
              <w:t>Granted</w:t>
            </w: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r>
      <w:tr>
        <w:trPr>
          <w:trHeight w:val="230"/>
        </w:trPr>
        <w:tc>
          <w:tcPr>
            <w:tcW w:w="7700" w:type="dxa"/>
            <w:vAlign w:val="bottom"/>
            <w:gridSpan w:val="2"/>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(11,952)</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33.47</w:t>
            </w:r>
          </w:p>
        </w:tc>
      </w:tr>
      <w:tr>
        <w:trPr>
          <w:trHeight w:val="223"/>
        </w:trPr>
        <w:tc>
          <w:tcPr>
            <w:tcW w:w="7260" w:type="dxa"/>
            <w:vAlign w:val="bottom"/>
          </w:tcPr>
          <w:p>
            <w:pPr>
              <w:spacing w:after="0" w:line="223" w:lineRule="exact"/>
              <w:rPr>
                <w:sz w:val="20"/>
                <w:szCs w:val="20"/>
                <w:color w:val="auto"/>
              </w:rPr>
            </w:pPr>
            <w:r>
              <w:rPr>
                <w:rFonts w:ascii="Arial" w:cs="Arial" w:eastAsia="Arial" w:hAnsi="Arial"/>
                <w:sz w:val="22"/>
                <w:szCs w:val="22"/>
                <w:color w:val="auto"/>
              </w:rPr>
              <w:t>Nonvested restricted stock at end of period</w:t>
            </w:r>
          </w:p>
        </w:tc>
        <w:tc>
          <w:tcPr>
            <w:tcW w:w="4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2"/>
                <w:szCs w:val="22"/>
                <w:color w:val="auto"/>
              </w:rPr>
              <w:t>1,276</w:t>
            </w:r>
          </w:p>
        </w:tc>
        <w:tc>
          <w:tcPr>
            <w:tcW w:w="600" w:type="dxa"/>
            <w:vAlign w:val="bottom"/>
            <w:gridSpan w:val="2"/>
          </w:tcPr>
          <w:p>
            <w:pPr>
              <w:jc w:val="right"/>
              <w:ind w:right="123"/>
              <w:spacing w:after="0" w:line="223" w:lineRule="exact"/>
              <w:rPr>
                <w:sz w:val="20"/>
                <w:szCs w:val="20"/>
                <w:color w:val="auto"/>
              </w:rPr>
            </w:pPr>
            <w:r>
              <w:rPr>
                <w:rFonts w:ascii="Arial" w:cs="Arial" w:eastAsia="Arial" w:hAnsi="Arial"/>
                <w:sz w:val="22"/>
                <w:szCs w:val="22"/>
                <w:color w:val="auto"/>
              </w:rPr>
              <w:t>$</w:t>
            </w:r>
          </w:p>
        </w:tc>
        <w:tc>
          <w:tcPr>
            <w:tcW w:w="1660" w:type="dxa"/>
            <w:vAlign w:val="bottom"/>
          </w:tcPr>
          <w:p>
            <w:pPr>
              <w:jc w:val="right"/>
              <w:spacing w:after="0" w:line="223" w:lineRule="exact"/>
              <w:rPr>
                <w:sz w:val="20"/>
                <w:szCs w:val="20"/>
                <w:color w:val="auto"/>
              </w:rPr>
            </w:pPr>
            <w:r>
              <w:rPr>
                <w:rFonts w:ascii="Arial" w:cs="Arial" w:eastAsia="Arial" w:hAnsi="Arial"/>
                <w:sz w:val="22"/>
                <w:szCs w:val="22"/>
                <w:color w:val="auto"/>
              </w:rPr>
              <w:t>39.19</w:t>
            </w:r>
          </w:p>
        </w:tc>
      </w:tr>
      <w:tr>
        <w:trPr>
          <w:trHeight w:val="20"/>
        </w:trPr>
        <w:tc>
          <w:tcPr>
            <w:tcW w:w="7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463"/>
        </w:trPr>
        <w:tc>
          <w:tcPr>
            <w:tcW w:w="7700" w:type="dxa"/>
            <w:vAlign w:val="bottom"/>
            <w:gridSpan w:val="2"/>
          </w:tcPr>
          <w:p>
            <w:pPr>
              <w:spacing w:after="0"/>
              <w:rPr>
                <w:sz w:val="20"/>
                <w:szCs w:val="20"/>
                <w:color w:val="auto"/>
              </w:rPr>
            </w:pPr>
            <w:r>
              <w:rPr>
                <w:rFonts w:ascii="Arial" w:cs="Arial" w:eastAsia="Arial" w:hAnsi="Arial"/>
                <w:sz w:val="22"/>
                <w:szCs w:val="22"/>
                <w:color w:val="auto"/>
                <w:w w:val="89"/>
              </w:rPr>
              <w:t>The Company did not grant restricted stock for the three months ended March 31, 2021.</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9"/>
        </w:trPr>
        <w:tc>
          <w:tcPr>
            <w:tcW w:w="7260" w:type="dxa"/>
            <w:vAlign w:val="bottom"/>
          </w:tcPr>
          <w:p>
            <w:pPr>
              <w:ind w:left="5520"/>
              <w:spacing w:after="0"/>
              <w:rPr>
                <w:sz w:val="20"/>
                <w:szCs w:val="20"/>
                <w:color w:val="auto"/>
              </w:rPr>
            </w:pPr>
            <w:r>
              <w:rPr>
                <w:rFonts w:ascii="Arial" w:cs="Arial" w:eastAsia="Arial" w:hAnsi="Arial"/>
                <w:sz w:val="22"/>
                <w:szCs w:val="22"/>
                <w:color w:val="auto"/>
              </w:rPr>
              <w:t>26</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08"/>
        </w:trPr>
        <w:tc>
          <w:tcPr>
            <w:tcW w:w="7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60" w:type="dxa"/>
            <w:vAlign w:val="bottom"/>
            <w:gridSpan w:val="3"/>
          </w:tcPr>
          <w:p>
            <w:pPr>
              <w:jc w:val="center"/>
              <w:spacing w:after="0"/>
              <w:rPr>
                <w:sz w:val="20"/>
                <w:szCs w:val="20"/>
                <w:color w:val="auto"/>
              </w:rPr>
            </w:pPr>
            <w:r>
              <w:rPr>
                <w:rFonts w:ascii="Arial" w:cs="Arial" w:eastAsia="Arial" w:hAnsi="Arial"/>
                <w:sz w:val="22"/>
                <w:szCs w:val="22"/>
                <w:color w:val="auto"/>
                <w:w w:val="89"/>
              </w:rPr>
              <w:t>Three Months Ended</w:t>
            </w:r>
          </w:p>
        </w:tc>
        <w:tc>
          <w:tcPr>
            <w:tcW w:w="1240" w:type="dxa"/>
            <w:vAlign w:val="bottom"/>
          </w:tcPr>
          <w:p>
            <w:pPr>
              <w:spacing w:after="0"/>
              <w:rPr>
                <w:sz w:val="21"/>
                <w:szCs w:val="21"/>
                <w:color w:val="auto"/>
              </w:rPr>
            </w:pPr>
          </w:p>
        </w:tc>
      </w:tr>
      <w:tr>
        <w:trPr>
          <w:trHeight w:val="251"/>
        </w:trPr>
        <w:tc>
          <w:tcPr>
            <w:tcW w:w="692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spacing w:after="0" w:line="251" w:lineRule="exact"/>
              <w:rPr>
                <w:sz w:val="20"/>
                <w:szCs w:val="20"/>
                <w:color w:val="auto"/>
              </w:rPr>
            </w:pPr>
            <w:r>
              <w:rPr>
                <w:rFonts w:ascii="Arial" w:cs="Arial" w:eastAsia="Arial" w:hAnsi="Arial"/>
                <w:sz w:val="22"/>
                <w:szCs w:val="22"/>
                <w:color w:val="auto"/>
                <w:w w:val="89"/>
              </w:rPr>
              <w:t>March 31,</w:t>
            </w:r>
          </w:p>
        </w:tc>
        <w:tc>
          <w:tcPr>
            <w:tcW w:w="1240" w:type="dxa"/>
            <w:vAlign w:val="bottom"/>
            <w:tcBorders>
              <w:bottom w:val="single" w:sz="8" w:color="auto"/>
            </w:tcBorders>
          </w:tcPr>
          <w:p>
            <w:pPr>
              <w:spacing w:after="0"/>
              <w:rPr>
                <w:sz w:val="21"/>
                <w:szCs w:val="21"/>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2021</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2"/>
              <w:spacing w:after="0" w:line="223" w:lineRule="exact"/>
              <w:rPr>
                <w:sz w:val="20"/>
                <w:szCs w:val="20"/>
                <w:color w:val="auto"/>
              </w:rPr>
            </w:pPr>
            <w:r>
              <w:rPr>
                <w:rFonts w:ascii="Arial" w:cs="Arial" w:eastAsia="Arial" w:hAnsi="Arial"/>
                <w:sz w:val="22"/>
                <w:szCs w:val="22"/>
                <w:color w:val="auto"/>
                <w:w w:val="85"/>
              </w:rPr>
              <w:t>2020</w:t>
            </w:r>
          </w:p>
        </w:tc>
      </w:tr>
      <w:tr>
        <w:trPr>
          <w:trHeight w:val="223"/>
        </w:trPr>
        <w:tc>
          <w:tcPr>
            <w:tcW w:w="69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w w:val="96"/>
              </w:rPr>
              <w:t>Stock-based compensation within operations and maintenance expenses</w:t>
            </w:r>
          </w:p>
        </w:tc>
        <w:tc>
          <w:tcPr>
            <w:tcW w:w="1220" w:type="dxa"/>
            <w:vAlign w:val="bottom"/>
            <w:shd w:val="clear" w:color="auto" w:fill="CCEEFF"/>
          </w:tcPr>
          <w:p>
            <w:pPr>
              <w:jc w:val="right"/>
              <w:ind w:right="1017"/>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175</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2"/>
              <w:spacing w:after="0" w:line="223" w:lineRule="exact"/>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175</w:t>
            </w:r>
          </w:p>
        </w:tc>
      </w:tr>
      <w:tr>
        <w:trPr>
          <w:trHeight w:val="274"/>
        </w:trPr>
        <w:tc>
          <w:tcPr>
            <w:tcW w:w="6920" w:type="dxa"/>
            <w:vAlign w:val="bottom"/>
          </w:tcPr>
          <w:p>
            <w:pPr>
              <w:spacing w:after="0"/>
              <w:rPr>
                <w:sz w:val="20"/>
                <w:szCs w:val="20"/>
                <w:color w:val="auto"/>
              </w:rPr>
            </w:pPr>
            <w:r>
              <w:rPr>
                <w:rFonts w:ascii="Arial" w:cs="Arial" w:eastAsia="Arial" w:hAnsi="Arial"/>
                <w:sz w:val="22"/>
                <w:szCs w:val="22"/>
                <w:color w:val="auto"/>
              </w:rPr>
              <w:t>Income tax benefit</w:t>
            </w:r>
          </w:p>
        </w:tc>
        <w:tc>
          <w:tcPr>
            <w:tcW w:w="1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51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three months ended March 31, 2021:</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center"/>
              <w:ind w:right="232"/>
              <w:spacing w:after="0"/>
              <w:rPr>
                <w:sz w:val="20"/>
                <w:szCs w:val="20"/>
                <w:color w:val="auto"/>
              </w:rPr>
            </w:pPr>
            <w:r>
              <w:rPr>
                <w:rFonts w:ascii="Arial" w:cs="Arial" w:eastAsia="Arial" w:hAnsi="Arial"/>
                <w:sz w:val="22"/>
                <w:szCs w:val="22"/>
                <w:color w:val="auto"/>
                <w:w w:val="90"/>
              </w:rPr>
              <w:t>Weighted</w:t>
            </w:r>
          </w:p>
        </w:tc>
      </w:tr>
      <w:tr>
        <w:trPr>
          <w:trHeight w:val="229"/>
        </w:trPr>
        <w:tc>
          <w:tcPr>
            <w:tcW w:w="7180" w:type="dxa"/>
            <w:vAlign w:val="bottom"/>
          </w:tcPr>
          <w:p>
            <w:pPr>
              <w:spacing w:after="0"/>
              <w:rPr>
                <w:sz w:val="19"/>
                <w:szCs w:val="19"/>
                <w:color w:val="auto"/>
              </w:rPr>
            </w:pPr>
          </w:p>
        </w:tc>
        <w:tc>
          <w:tcPr>
            <w:tcW w:w="180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718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Stock Awards</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3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71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29"/>
        </w:trPr>
        <w:tc>
          <w:tcPr>
            <w:tcW w:w="718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3,927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44.54</w:t>
            </w:r>
          </w:p>
        </w:tc>
      </w:tr>
      <w:tr>
        <w:trPr>
          <w:trHeight w:val="230"/>
        </w:trPr>
        <w:tc>
          <w:tcPr>
            <w:tcW w:w="71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8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(3,927)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(44.54)</w:t>
            </w:r>
          </w:p>
        </w:tc>
      </w:tr>
      <w:tr>
        <w:trPr>
          <w:trHeight w:val="223"/>
        </w:trPr>
        <w:tc>
          <w:tcPr>
            <w:tcW w:w="718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spacing w:after="0" w:line="226" w:lineRule="auto"/>
        <w:rPr>
          <w:sz w:val="20"/>
          <w:szCs w:val="20"/>
          <w:color w:val="auto"/>
        </w:rPr>
      </w:pPr>
      <w:r>
        <w:rPr>
          <w:rFonts w:ascii="Arial" w:cs="Arial" w:eastAsia="Arial" w:hAnsi="Arial"/>
          <w:sz w:val="22"/>
          <w:szCs w:val="22"/>
          <w:color w:val="auto"/>
        </w:rPr>
        <w:t>The weighted-average fair value at the date of grant for stock awards granted during the three months ended March 31, 2021 and 2020 was $44.54 and $41.58,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Pension Plans and Other Postretirement Benefits</w:t>
      </w:r>
    </w:p>
    <w:p>
      <w:pPr>
        <w:spacing w:after="0" w:line="212"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 for the Company’s legacy pension and other postretirement benefit plans: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center"/>
              <w:ind w:right="564"/>
              <w:spacing w:after="0"/>
              <w:rPr>
                <w:sz w:val="20"/>
                <w:szCs w:val="20"/>
                <w:color w:val="auto"/>
              </w:rPr>
            </w:pPr>
            <w:r>
              <w:rPr>
                <w:rFonts w:ascii="Arial" w:cs="Arial" w:eastAsia="Arial" w:hAnsi="Arial"/>
                <w:sz w:val="22"/>
                <w:szCs w:val="22"/>
                <w:color w:val="auto"/>
                <w:w w:val="88"/>
              </w:rPr>
              <w:t>Pension Benefits</w:t>
            </w:r>
          </w:p>
        </w:tc>
        <w:tc>
          <w:tcPr>
            <w:tcW w:w="700" w:type="dxa"/>
            <w:vAlign w:val="bottom"/>
            <w:tcBorders>
              <w:bottom w:val="single" w:sz="8" w:color="auto"/>
            </w:tcBorders>
          </w:tcPr>
          <w:p>
            <w:pPr>
              <w:spacing w:after="0"/>
              <w:rPr>
                <w:sz w:val="21"/>
                <w:szCs w:val="21"/>
                <w:color w:val="auto"/>
              </w:rPr>
            </w:pPr>
          </w:p>
        </w:tc>
      </w:tr>
      <w:tr>
        <w:trPr>
          <w:trHeight w:val="202"/>
        </w:trPr>
        <w:tc>
          <w:tcPr>
            <w:tcW w:w="4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00" w:type="dxa"/>
            <w:vAlign w:val="bottom"/>
            <w:gridSpan w:val="4"/>
          </w:tcPr>
          <w:p>
            <w:pPr>
              <w:jc w:val="center"/>
              <w:ind w:right="564"/>
              <w:spacing w:after="0" w:line="202" w:lineRule="exact"/>
              <w:rPr>
                <w:sz w:val="20"/>
                <w:szCs w:val="20"/>
                <w:color w:val="auto"/>
              </w:rPr>
            </w:pPr>
            <w:r>
              <w:rPr>
                <w:rFonts w:ascii="Arial" w:cs="Arial" w:eastAsia="Arial" w:hAnsi="Arial"/>
                <w:sz w:val="22"/>
                <w:szCs w:val="22"/>
                <w:color w:val="auto"/>
                <w:w w:val="88"/>
              </w:rPr>
              <w:t>Three Months Ended</w:t>
            </w:r>
          </w:p>
        </w:tc>
        <w:tc>
          <w:tcPr>
            <w:tcW w:w="700" w:type="dxa"/>
            <w:vAlign w:val="bottom"/>
          </w:tcPr>
          <w:p>
            <w:pPr>
              <w:spacing w:after="0"/>
              <w:rPr>
                <w:sz w:val="17"/>
                <w:szCs w:val="17"/>
                <w:color w:val="auto"/>
              </w:rPr>
            </w:pPr>
          </w:p>
        </w:tc>
      </w:tr>
      <w:tr>
        <w:trPr>
          <w:trHeight w:val="251"/>
        </w:trPr>
        <w:tc>
          <w:tcPr>
            <w:tcW w:w="4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center"/>
              <w:ind w:right="584"/>
              <w:spacing w:after="0" w:line="251" w:lineRule="exact"/>
              <w:rPr>
                <w:sz w:val="20"/>
                <w:szCs w:val="20"/>
                <w:color w:val="auto"/>
              </w:rPr>
            </w:pPr>
            <w:r>
              <w:rPr>
                <w:rFonts w:ascii="Arial" w:cs="Arial" w:eastAsia="Arial" w:hAnsi="Arial"/>
                <w:sz w:val="22"/>
                <w:szCs w:val="22"/>
                <w:color w:val="auto"/>
                <w:w w:val="89"/>
              </w:rPr>
              <w:t>March 31,</w:t>
            </w:r>
          </w:p>
        </w:tc>
        <w:tc>
          <w:tcPr>
            <w:tcW w:w="700" w:type="dxa"/>
            <w:vAlign w:val="bottom"/>
            <w:tcBorders>
              <w:bottom w:val="single" w:sz="8" w:color="auto"/>
            </w:tcBorders>
          </w:tcPr>
          <w:p>
            <w:pPr>
              <w:spacing w:after="0"/>
              <w:rPr>
                <w:sz w:val="21"/>
                <w:szCs w:val="21"/>
                <w:color w:val="auto"/>
              </w:rPr>
            </w:pPr>
          </w:p>
        </w:tc>
      </w:tr>
      <w:tr>
        <w:trPr>
          <w:trHeight w:val="223"/>
        </w:trPr>
        <w:tc>
          <w:tcPr>
            <w:tcW w:w="4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2021</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
              <w:spacing w:after="0" w:line="223" w:lineRule="exact"/>
              <w:rPr>
                <w:sz w:val="20"/>
                <w:szCs w:val="20"/>
                <w:color w:val="auto"/>
              </w:rPr>
            </w:pPr>
            <w:r>
              <w:rPr>
                <w:rFonts w:ascii="Arial" w:cs="Arial" w:eastAsia="Arial" w:hAnsi="Arial"/>
                <w:sz w:val="22"/>
                <w:szCs w:val="22"/>
                <w:color w:val="auto"/>
              </w:rPr>
              <w:t>2020</w:t>
            </w:r>
          </w:p>
        </w:tc>
        <w:tc>
          <w:tcPr>
            <w:tcW w:w="700" w:type="dxa"/>
            <w:vAlign w:val="bottom"/>
          </w:tcPr>
          <w:p>
            <w:pPr>
              <w:spacing w:after="0"/>
              <w:rPr>
                <w:sz w:val="19"/>
                <w:szCs w:val="19"/>
                <w:color w:val="auto"/>
              </w:rPr>
            </w:pPr>
          </w:p>
        </w:tc>
      </w:tr>
      <w:tr>
        <w:trPr>
          <w:trHeight w:val="223"/>
        </w:trPr>
        <w:tc>
          <w:tcPr>
            <w:tcW w:w="48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18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8"/>
              <w:spacing w:after="0"/>
              <w:rPr>
                <w:sz w:val="20"/>
                <w:szCs w:val="20"/>
                <w:color w:val="auto"/>
              </w:rPr>
            </w:pPr>
            <w:r>
              <w:rPr>
                <w:rFonts w:ascii="Arial" w:cs="Arial" w:eastAsia="Arial" w:hAnsi="Arial"/>
                <w:sz w:val="19"/>
                <w:szCs w:val="19"/>
                <w:color w:val="auto"/>
                <w:w w:val="75"/>
              </w:rPr>
              <w:t>$</w:t>
            </w: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1,078</w:t>
            </w: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10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763</w:t>
            </w:r>
          </w:p>
        </w:tc>
      </w:tr>
      <w:tr>
        <w:trPr>
          <w:trHeight w:val="230"/>
        </w:trPr>
        <w:tc>
          <w:tcPr>
            <w:tcW w:w="488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Arial" w:cs="Arial" w:eastAsia="Arial" w:hAnsi="Arial"/>
                <w:sz w:val="22"/>
                <w:szCs w:val="22"/>
                <w:color w:val="auto"/>
              </w:rPr>
              <w:t>3,061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2"/>
                <w:szCs w:val="22"/>
                <w:color w:val="auto"/>
              </w:rPr>
              <w:t>2,540</w:t>
            </w:r>
          </w:p>
        </w:tc>
      </w:tr>
      <w:tr>
        <w:trPr>
          <w:trHeight w:val="229"/>
        </w:trPr>
        <w:tc>
          <w:tcPr>
            <w:tcW w:w="48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18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(5,907)</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w w:val="97"/>
              </w:rPr>
              <w:t>(3,938)</w:t>
            </w:r>
          </w:p>
        </w:tc>
      </w:tr>
      <w:tr>
        <w:trPr>
          <w:trHeight w:val="229"/>
        </w:trPr>
        <w:tc>
          <w:tcPr>
            <w:tcW w:w="488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cost</w:t>
            </w: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Arial" w:cs="Arial" w:eastAsia="Arial" w:hAnsi="Arial"/>
                <w:sz w:val="22"/>
                <w:szCs w:val="22"/>
                <w:color w:val="auto"/>
              </w:rPr>
              <w:t>140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2"/>
                <w:szCs w:val="22"/>
                <w:color w:val="auto"/>
              </w:rPr>
              <w:t>148</w:t>
            </w:r>
          </w:p>
        </w:tc>
      </w:tr>
      <w:tr>
        <w:trPr>
          <w:trHeight w:val="230"/>
        </w:trPr>
        <w:tc>
          <w:tcPr>
            <w:tcW w:w="48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18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1,071</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1,992</w:t>
            </w:r>
          </w:p>
        </w:tc>
      </w:tr>
      <w:tr>
        <w:trPr>
          <w:trHeight w:val="223"/>
        </w:trPr>
        <w:tc>
          <w:tcPr>
            <w:tcW w:w="488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1820" w:type="dxa"/>
            <w:vAlign w:val="bottom"/>
          </w:tcPr>
          <w:p>
            <w:pPr>
              <w:spacing w:after="0"/>
              <w:rPr>
                <w:sz w:val="19"/>
                <w:szCs w:val="19"/>
                <w:color w:val="auto"/>
              </w:rPr>
            </w:pPr>
          </w:p>
        </w:tc>
        <w:tc>
          <w:tcPr>
            <w:tcW w:w="1340" w:type="dxa"/>
            <w:vAlign w:val="bottom"/>
            <w:tcBorders>
              <w:bottom w:val="single" w:sz="8" w:color="auto"/>
            </w:tcBorders>
          </w:tcPr>
          <w:p>
            <w:pPr>
              <w:jc w:val="right"/>
              <w:ind w:right="1138"/>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(557)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10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1,505</w:t>
            </w:r>
          </w:p>
        </w:tc>
      </w:tr>
      <w:tr>
        <w:trPr>
          <w:trHeight w:val="20"/>
        </w:trPr>
        <w:tc>
          <w:tcPr>
            <w:tcW w:w="4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18"/>
        </w:trPr>
        <w:tc>
          <w:tcPr>
            <w:tcW w:w="4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gridSpan w:val="2"/>
          </w:tcPr>
          <w:p>
            <w:pPr>
              <w:jc w:val="center"/>
              <w:ind w:left="532"/>
              <w:spacing w:after="0"/>
              <w:rPr>
                <w:sz w:val="20"/>
                <w:szCs w:val="20"/>
                <w:color w:val="auto"/>
              </w:rPr>
            </w:pPr>
            <w:r>
              <w:rPr>
                <w:rFonts w:ascii="Arial" w:cs="Arial" w:eastAsia="Arial" w:hAnsi="Arial"/>
                <w:sz w:val="22"/>
                <w:szCs w:val="22"/>
                <w:color w:val="auto"/>
                <w:w w:val="90"/>
              </w:rPr>
              <w:t>Other</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1"/>
        </w:trPr>
        <w:tc>
          <w:tcPr>
            <w:tcW w:w="4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840" w:type="dxa"/>
            <w:vAlign w:val="bottom"/>
            <w:tcBorders>
              <w:bottom w:val="single" w:sz="8" w:color="auto"/>
            </w:tcBorders>
            <w:gridSpan w:val="5"/>
          </w:tcPr>
          <w:p>
            <w:pPr>
              <w:jc w:val="center"/>
              <w:ind w:left="578"/>
              <w:spacing w:after="0" w:line="251" w:lineRule="exact"/>
              <w:rPr>
                <w:sz w:val="20"/>
                <w:szCs w:val="20"/>
                <w:color w:val="auto"/>
              </w:rPr>
            </w:pPr>
            <w:r>
              <w:rPr>
                <w:rFonts w:ascii="Arial" w:cs="Arial" w:eastAsia="Arial" w:hAnsi="Arial"/>
                <w:sz w:val="22"/>
                <w:szCs w:val="22"/>
                <w:color w:val="auto"/>
                <w:w w:val="89"/>
              </w:rPr>
              <w:t>Postretirement Benefits</w:t>
            </w:r>
          </w:p>
        </w:tc>
        <w:tc>
          <w:tcPr>
            <w:tcW w:w="700" w:type="dxa"/>
            <w:vAlign w:val="bottom"/>
            <w:tcBorders>
              <w:bottom w:val="single" w:sz="8" w:color="auto"/>
            </w:tcBorders>
          </w:tcPr>
          <w:p>
            <w:pPr>
              <w:spacing w:after="0"/>
              <w:rPr>
                <w:sz w:val="21"/>
                <w:szCs w:val="21"/>
                <w:color w:val="auto"/>
              </w:rPr>
            </w:pPr>
          </w:p>
        </w:tc>
      </w:tr>
      <w:tr>
        <w:trPr>
          <w:trHeight w:val="202"/>
        </w:trPr>
        <w:tc>
          <w:tcPr>
            <w:tcW w:w="4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00" w:type="dxa"/>
            <w:vAlign w:val="bottom"/>
            <w:gridSpan w:val="4"/>
          </w:tcPr>
          <w:p>
            <w:pPr>
              <w:jc w:val="right"/>
              <w:ind w:right="404"/>
              <w:spacing w:after="0" w:line="202" w:lineRule="exact"/>
              <w:rPr>
                <w:sz w:val="20"/>
                <w:szCs w:val="20"/>
                <w:color w:val="auto"/>
              </w:rPr>
            </w:pPr>
            <w:r>
              <w:rPr>
                <w:rFonts w:ascii="Arial" w:cs="Arial" w:eastAsia="Arial" w:hAnsi="Arial"/>
                <w:sz w:val="22"/>
                <w:szCs w:val="22"/>
                <w:color w:val="auto"/>
                <w:w w:val="97"/>
              </w:rPr>
              <w:t>Three Months Ended</w:t>
            </w:r>
          </w:p>
        </w:tc>
        <w:tc>
          <w:tcPr>
            <w:tcW w:w="700" w:type="dxa"/>
            <w:vAlign w:val="bottom"/>
          </w:tcPr>
          <w:p>
            <w:pPr>
              <w:spacing w:after="0"/>
              <w:rPr>
                <w:sz w:val="17"/>
                <w:szCs w:val="17"/>
                <w:color w:val="auto"/>
              </w:rPr>
            </w:pPr>
          </w:p>
        </w:tc>
      </w:tr>
      <w:tr>
        <w:trPr>
          <w:trHeight w:val="251"/>
        </w:trPr>
        <w:tc>
          <w:tcPr>
            <w:tcW w:w="4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864"/>
              <w:spacing w:after="0" w:line="251" w:lineRule="exact"/>
              <w:rPr>
                <w:sz w:val="20"/>
                <w:szCs w:val="20"/>
                <w:color w:val="auto"/>
              </w:rPr>
            </w:pPr>
            <w:r>
              <w:rPr>
                <w:rFonts w:ascii="Arial" w:cs="Arial" w:eastAsia="Arial" w:hAnsi="Arial"/>
                <w:sz w:val="22"/>
                <w:szCs w:val="22"/>
                <w:color w:val="auto"/>
              </w:rPr>
              <w:t>March 31,</w:t>
            </w:r>
          </w:p>
        </w:tc>
        <w:tc>
          <w:tcPr>
            <w:tcW w:w="700" w:type="dxa"/>
            <w:vAlign w:val="bottom"/>
            <w:tcBorders>
              <w:bottom w:val="single" w:sz="8" w:color="auto"/>
            </w:tcBorders>
          </w:tcPr>
          <w:p>
            <w:pPr>
              <w:spacing w:after="0"/>
              <w:rPr>
                <w:sz w:val="21"/>
                <w:szCs w:val="21"/>
                <w:color w:val="auto"/>
              </w:rPr>
            </w:pPr>
          </w:p>
        </w:tc>
      </w:tr>
      <w:tr>
        <w:trPr>
          <w:trHeight w:val="223"/>
        </w:trPr>
        <w:tc>
          <w:tcPr>
            <w:tcW w:w="4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2021</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
              <w:spacing w:after="0" w:line="223" w:lineRule="exact"/>
              <w:rPr>
                <w:sz w:val="20"/>
                <w:szCs w:val="20"/>
                <w:color w:val="auto"/>
              </w:rPr>
            </w:pPr>
            <w:r>
              <w:rPr>
                <w:rFonts w:ascii="Arial" w:cs="Arial" w:eastAsia="Arial" w:hAnsi="Arial"/>
                <w:sz w:val="22"/>
                <w:szCs w:val="22"/>
                <w:color w:val="auto"/>
              </w:rPr>
              <w:t>2020</w:t>
            </w:r>
          </w:p>
        </w:tc>
        <w:tc>
          <w:tcPr>
            <w:tcW w:w="700" w:type="dxa"/>
            <w:vAlign w:val="bottom"/>
          </w:tcPr>
          <w:p>
            <w:pPr>
              <w:spacing w:after="0"/>
              <w:rPr>
                <w:sz w:val="19"/>
                <w:szCs w:val="19"/>
                <w:color w:val="auto"/>
              </w:rPr>
            </w:pPr>
          </w:p>
        </w:tc>
      </w:tr>
      <w:tr>
        <w:trPr>
          <w:trHeight w:val="223"/>
        </w:trPr>
        <w:tc>
          <w:tcPr>
            <w:tcW w:w="48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18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8"/>
              <w:spacing w:after="0"/>
              <w:rPr>
                <w:sz w:val="20"/>
                <w:szCs w:val="20"/>
                <w:color w:val="auto"/>
              </w:rPr>
            </w:pPr>
            <w:r>
              <w:rPr>
                <w:rFonts w:ascii="Arial" w:cs="Arial" w:eastAsia="Arial" w:hAnsi="Arial"/>
                <w:sz w:val="19"/>
                <w:szCs w:val="19"/>
                <w:color w:val="auto"/>
                <w:w w:val="75"/>
              </w:rPr>
              <w:t>$</w:t>
            </w: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203</w:t>
            </w: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10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217</w:t>
            </w:r>
          </w:p>
        </w:tc>
      </w:tr>
      <w:tr>
        <w:trPr>
          <w:trHeight w:val="229"/>
        </w:trPr>
        <w:tc>
          <w:tcPr>
            <w:tcW w:w="488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Arial" w:cs="Arial" w:eastAsia="Arial" w:hAnsi="Arial"/>
                <w:sz w:val="22"/>
                <w:szCs w:val="22"/>
                <w:color w:val="auto"/>
              </w:rPr>
              <w:t>561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2"/>
                <w:szCs w:val="22"/>
                <w:color w:val="auto"/>
              </w:rPr>
              <w:t>677</w:t>
            </w:r>
          </w:p>
        </w:tc>
      </w:tr>
      <w:tr>
        <w:trPr>
          <w:trHeight w:val="230"/>
        </w:trPr>
        <w:tc>
          <w:tcPr>
            <w:tcW w:w="48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18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(690)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(675)</w:t>
            </w:r>
          </w:p>
        </w:tc>
      </w:tr>
      <w:tr>
        <w:trPr>
          <w:trHeight w:val="230"/>
        </w:trPr>
        <w:tc>
          <w:tcPr>
            <w:tcW w:w="488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credit</w:t>
            </w: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Arial" w:cs="Arial" w:eastAsia="Arial" w:hAnsi="Arial"/>
                <w:sz w:val="22"/>
                <w:szCs w:val="22"/>
                <w:color w:val="auto"/>
              </w:rPr>
              <w:t>(108)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2"/>
                <w:szCs w:val="22"/>
                <w:color w:val="auto"/>
              </w:rPr>
              <w:t>(116)</w:t>
            </w:r>
          </w:p>
        </w:tc>
      </w:tr>
      <w:tr>
        <w:trPr>
          <w:trHeight w:val="230"/>
        </w:trPr>
        <w:tc>
          <w:tcPr>
            <w:tcW w:w="48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18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95</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156</w:t>
            </w:r>
          </w:p>
        </w:tc>
      </w:tr>
      <w:tr>
        <w:trPr>
          <w:trHeight w:val="223"/>
        </w:trPr>
        <w:tc>
          <w:tcPr>
            <w:tcW w:w="488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1820" w:type="dxa"/>
            <w:vAlign w:val="bottom"/>
          </w:tcPr>
          <w:p>
            <w:pPr>
              <w:spacing w:after="0"/>
              <w:rPr>
                <w:sz w:val="19"/>
                <w:szCs w:val="19"/>
                <w:color w:val="auto"/>
              </w:rPr>
            </w:pPr>
          </w:p>
        </w:tc>
        <w:tc>
          <w:tcPr>
            <w:tcW w:w="1340" w:type="dxa"/>
            <w:vAlign w:val="bottom"/>
            <w:tcBorders>
              <w:bottom w:val="single" w:sz="8" w:color="auto"/>
            </w:tcBorders>
          </w:tcPr>
          <w:p>
            <w:pPr>
              <w:jc w:val="right"/>
              <w:ind w:right="1138"/>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61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259</w:t>
            </w:r>
          </w:p>
        </w:tc>
      </w:tr>
      <w:tr>
        <w:trPr>
          <w:trHeight w:val="20"/>
        </w:trPr>
        <w:tc>
          <w:tcPr>
            <w:tcW w:w="4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580"/>
        <w:spacing w:after="0" w:line="239" w:lineRule="auto"/>
        <w:rPr>
          <w:sz w:val="20"/>
          <w:szCs w:val="20"/>
          <w:color w:val="auto"/>
        </w:rPr>
      </w:pPr>
      <w:r>
        <w:rPr>
          <w:rFonts w:ascii="Arial" w:cs="Arial" w:eastAsia="Arial" w:hAnsi="Arial"/>
          <w:sz w:val="22"/>
          <w:szCs w:val="22"/>
          <w:color w:val="auto"/>
        </w:rPr>
        <w:t>The Company presents the components of net periodic benefit cost other than service cost in the consolidated statements of operations and comprehensive income on the line item “Other.”</w:t>
      </w:r>
    </w:p>
    <w:p>
      <w:pPr>
        <w:spacing w:after="0" w:line="185" w:lineRule="exact"/>
        <w:rPr>
          <w:sz w:val="20"/>
          <w:szCs w:val="20"/>
          <w:color w:val="auto"/>
        </w:rPr>
      </w:pPr>
    </w:p>
    <w:p>
      <w:pPr>
        <w:ind w:right="240"/>
        <w:spacing w:after="0" w:line="239" w:lineRule="auto"/>
        <w:rPr>
          <w:sz w:val="20"/>
          <w:szCs w:val="20"/>
          <w:color w:val="auto"/>
        </w:rPr>
      </w:pPr>
      <w:r>
        <w:rPr>
          <w:rFonts w:ascii="Arial" w:cs="Arial" w:eastAsia="Arial" w:hAnsi="Arial"/>
          <w:sz w:val="22"/>
          <w:szCs w:val="22"/>
          <w:color w:val="auto"/>
        </w:rPr>
        <w:t>The Company made cash contributions of $6,332 to its Pension Plan during the first three months of 2021, and intends to make cash contributions of $8,443 to the Pension Plan during the remainder of 2021.</w:t>
      </w:r>
    </w:p>
    <w:p>
      <w:pPr>
        <w:spacing w:after="0" w:line="185"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On March 16, 2020, we completed the Peoples Gas Acquisition and assumed the pension and other postretirement benefit plans for its employees. The operating results of Peoples has been included in our consolidated financial statements since the date of acquisition. On April 1, 2020, the Company merged the pension plans acquired in the Peoples Gas Acquisition into the Company’s Pension Plan. As such, the following table presents the components of net periodic benefit costs for the period since March 16, 2020 that are related to the Peoples’ other postretirement benefit plans acquired: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gridSpan w:val="2"/>
          </w:tcPr>
          <w:p>
            <w:pPr>
              <w:jc w:val="center"/>
              <w:ind w:left="452"/>
              <w:spacing w:after="0"/>
              <w:rPr>
                <w:sz w:val="20"/>
                <w:szCs w:val="20"/>
                <w:color w:val="auto"/>
              </w:rPr>
            </w:pPr>
            <w:r>
              <w:rPr>
                <w:rFonts w:ascii="Arial" w:cs="Arial" w:eastAsia="Arial" w:hAnsi="Arial"/>
                <w:sz w:val="22"/>
                <w:szCs w:val="22"/>
                <w:color w:val="auto"/>
                <w:w w:val="90"/>
              </w:rPr>
              <w:t>Other</w:t>
            </w: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1"/>
        </w:trPr>
        <w:tc>
          <w:tcPr>
            <w:tcW w:w="4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980" w:type="dxa"/>
            <w:vAlign w:val="bottom"/>
            <w:tcBorders>
              <w:bottom w:val="single" w:sz="8" w:color="auto"/>
            </w:tcBorders>
            <w:gridSpan w:val="5"/>
          </w:tcPr>
          <w:p>
            <w:pPr>
              <w:jc w:val="center"/>
              <w:ind w:left="437"/>
              <w:spacing w:after="0" w:line="251" w:lineRule="exact"/>
              <w:rPr>
                <w:sz w:val="20"/>
                <w:szCs w:val="20"/>
                <w:color w:val="auto"/>
              </w:rPr>
            </w:pPr>
            <w:r>
              <w:rPr>
                <w:rFonts w:ascii="Arial" w:cs="Arial" w:eastAsia="Arial" w:hAnsi="Arial"/>
                <w:sz w:val="22"/>
                <w:szCs w:val="22"/>
                <w:color w:val="auto"/>
                <w:w w:val="89"/>
              </w:rPr>
              <w:t>Postretirement Benefits</w:t>
            </w:r>
          </w:p>
        </w:tc>
        <w:tc>
          <w:tcPr>
            <w:tcW w:w="560" w:type="dxa"/>
            <w:vAlign w:val="bottom"/>
            <w:tcBorders>
              <w:bottom w:val="single" w:sz="8" w:color="auto"/>
            </w:tcBorders>
          </w:tcPr>
          <w:p>
            <w:pPr>
              <w:spacing w:after="0"/>
              <w:rPr>
                <w:sz w:val="21"/>
                <w:szCs w:val="21"/>
                <w:color w:val="auto"/>
              </w:rPr>
            </w:pPr>
          </w:p>
        </w:tc>
      </w:tr>
      <w:tr>
        <w:trPr>
          <w:trHeight w:val="202"/>
        </w:trPr>
        <w:tc>
          <w:tcPr>
            <w:tcW w:w="4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40" w:type="dxa"/>
            <w:vAlign w:val="bottom"/>
            <w:gridSpan w:val="4"/>
          </w:tcPr>
          <w:p>
            <w:pPr>
              <w:jc w:val="right"/>
              <w:ind w:right="523"/>
              <w:spacing w:after="0" w:line="202" w:lineRule="exact"/>
              <w:rPr>
                <w:sz w:val="20"/>
                <w:szCs w:val="20"/>
                <w:color w:val="auto"/>
              </w:rPr>
            </w:pPr>
            <w:r>
              <w:rPr>
                <w:rFonts w:ascii="Arial" w:cs="Arial" w:eastAsia="Arial" w:hAnsi="Arial"/>
                <w:sz w:val="22"/>
                <w:szCs w:val="22"/>
                <w:color w:val="auto"/>
                <w:w w:val="92"/>
              </w:rPr>
              <w:t>Three Months Ended</w:t>
            </w:r>
          </w:p>
        </w:tc>
        <w:tc>
          <w:tcPr>
            <w:tcW w:w="560" w:type="dxa"/>
            <w:vAlign w:val="bottom"/>
          </w:tcPr>
          <w:p>
            <w:pPr>
              <w:spacing w:after="0"/>
              <w:rPr>
                <w:sz w:val="17"/>
                <w:szCs w:val="17"/>
                <w:color w:val="auto"/>
              </w:rPr>
            </w:pPr>
          </w:p>
        </w:tc>
      </w:tr>
      <w:tr>
        <w:trPr>
          <w:trHeight w:val="251"/>
        </w:trPr>
        <w:tc>
          <w:tcPr>
            <w:tcW w:w="4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983"/>
              <w:spacing w:after="0" w:line="251" w:lineRule="exact"/>
              <w:rPr>
                <w:sz w:val="20"/>
                <w:szCs w:val="20"/>
                <w:color w:val="auto"/>
              </w:rPr>
            </w:pPr>
            <w:r>
              <w:rPr>
                <w:rFonts w:ascii="Arial" w:cs="Arial" w:eastAsia="Arial" w:hAnsi="Arial"/>
                <w:sz w:val="22"/>
                <w:szCs w:val="22"/>
                <w:color w:val="auto"/>
              </w:rPr>
              <w:t>March 31,</w:t>
            </w:r>
          </w:p>
        </w:tc>
        <w:tc>
          <w:tcPr>
            <w:tcW w:w="560" w:type="dxa"/>
            <w:vAlign w:val="bottom"/>
            <w:tcBorders>
              <w:bottom w:val="single" w:sz="8" w:color="auto"/>
            </w:tcBorders>
          </w:tcPr>
          <w:p>
            <w:pPr>
              <w:spacing w:after="0"/>
              <w:rPr>
                <w:sz w:val="21"/>
                <w:szCs w:val="21"/>
                <w:color w:val="auto"/>
              </w:rPr>
            </w:pPr>
          </w:p>
        </w:tc>
      </w:tr>
      <w:tr>
        <w:trPr>
          <w:trHeight w:val="223"/>
        </w:trPr>
        <w:tc>
          <w:tcPr>
            <w:tcW w:w="46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40" w:type="dxa"/>
            <w:vAlign w:val="bottom"/>
          </w:tcPr>
          <w:p>
            <w:pPr>
              <w:jc w:val="right"/>
              <w:ind w:right="17"/>
              <w:spacing w:after="0" w:line="223" w:lineRule="exact"/>
              <w:rPr>
                <w:sz w:val="20"/>
                <w:szCs w:val="20"/>
                <w:color w:val="auto"/>
              </w:rPr>
            </w:pPr>
            <w:r>
              <w:rPr>
                <w:rFonts w:ascii="Arial" w:cs="Arial" w:eastAsia="Arial" w:hAnsi="Arial"/>
                <w:sz w:val="22"/>
                <w:szCs w:val="22"/>
                <w:color w:val="auto"/>
              </w:rPr>
              <w:t>2021</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23"/>
              <w:spacing w:after="0" w:line="223" w:lineRule="exact"/>
              <w:rPr>
                <w:sz w:val="20"/>
                <w:szCs w:val="20"/>
                <w:color w:val="auto"/>
              </w:rPr>
            </w:pPr>
            <w:r>
              <w:rPr>
                <w:rFonts w:ascii="Arial" w:cs="Arial" w:eastAsia="Arial" w:hAnsi="Arial"/>
                <w:sz w:val="22"/>
                <w:szCs w:val="22"/>
                <w:color w:val="auto"/>
              </w:rPr>
              <w:t>2020</w:t>
            </w:r>
          </w:p>
        </w:tc>
        <w:tc>
          <w:tcPr>
            <w:tcW w:w="560" w:type="dxa"/>
            <w:vAlign w:val="bottom"/>
          </w:tcPr>
          <w:p>
            <w:pPr>
              <w:spacing w:after="0"/>
              <w:rPr>
                <w:sz w:val="19"/>
                <w:szCs w:val="19"/>
                <w:color w:val="auto"/>
              </w:rPr>
            </w:pPr>
          </w:p>
        </w:tc>
      </w:tr>
      <w:tr>
        <w:trPr>
          <w:trHeight w:val="223"/>
        </w:trPr>
        <w:tc>
          <w:tcPr>
            <w:tcW w:w="46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20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7"/>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496</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23"/>
              <w:spacing w:after="0"/>
              <w:rPr>
                <w:sz w:val="20"/>
                <w:szCs w:val="20"/>
                <w:color w:val="auto"/>
              </w:rPr>
            </w:pPr>
            <w:r>
              <w:rPr>
                <w:rFonts w:ascii="Arial" w:cs="Arial" w:eastAsia="Arial" w:hAnsi="Arial"/>
                <w:sz w:val="19"/>
                <w:szCs w:val="19"/>
                <w:color w:val="auto"/>
                <w:w w:val="75"/>
              </w:rPr>
              <w:t>$</w:t>
            </w: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77</w:t>
            </w:r>
          </w:p>
        </w:tc>
      </w:tr>
      <w:tr>
        <w:trPr>
          <w:trHeight w:val="229"/>
        </w:trPr>
        <w:tc>
          <w:tcPr>
            <w:tcW w:w="466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2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Arial" w:cs="Arial" w:eastAsia="Arial" w:hAnsi="Arial"/>
                <w:sz w:val="22"/>
                <w:szCs w:val="22"/>
                <w:color w:val="auto"/>
              </w:rPr>
              <w:t>278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jc w:val="right"/>
              <w:spacing w:after="0" w:line="229" w:lineRule="exact"/>
              <w:rPr>
                <w:sz w:val="20"/>
                <w:szCs w:val="20"/>
                <w:color w:val="auto"/>
              </w:rPr>
            </w:pPr>
            <w:r>
              <w:rPr>
                <w:rFonts w:ascii="Arial" w:cs="Arial" w:eastAsia="Arial" w:hAnsi="Arial"/>
                <w:sz w:val="22"/>
                <w:szCs w:val="22"/>
                <w:color w:val="auto"/>
              </w:rPr>
              <w:t>54</w:t>
            </w:r>
          </w:p>
        </w:tc>
      </w:tr>
      <w:tr>
        <w:trPr>
          <w:trHeight w:val="229"/>
        </w:trPr>
        <w:tc>
          <w:tcPr>
            <w:tcW w:w="46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20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(349)</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(76)</w:t>
            </w:r>
          </w:p>
        </w:tc>
      </w:tr>
      <w:tr>
        <w:trPr>
          <w:trHeight w:val="230"/>
        </w:trPr>
        <w:tc>
          <w:tcPr>
            <w:tcW w:w="466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20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(40)</w:t>
            </w: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w:t>
            </w:r>
          </w:p>
        </w:tc>
      </w:tr>
      <w:tr>
        <w:trPr>
          <w:trHeight w:val="223"/>
        </w:trPr>
        <w:tc>
          <w:tcPr>
            <w:tcW w:w="466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Net periodic benefit cost</w:t>
            </w:r>
          </w:p>
        </w:tc>
        <w:tc>
          <w:tcPr>
            <w:tcW w:w="20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37"/>
              <w:spacing w:after="0"/>
              <w:rPr>
                <w:sz w:val="20"/>
                <w:szCs w:val="20"/>
                <w:color w:val="auto"/>
              </w:rPr>
            </w:pPr>
            <w:r>
              <w:rPr>
                <w:rFonts w:ascii="Arial" w:cs="Arial" w:eastAsia="Arial" w:hAnsi="Arial"/>
                <w:sz w:val="19"/>
                <w:szCs w:val="19"/>
                <w:color w:val="auto"/>
                <w:w w:val="75"/>
              </w:rPr>
              <w:t>$</w:t>
            </w:r>
          </w:p>
        </w:tc>
        <w:tc>
          <w:tcPr>
            <w:tcW w:w="8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385</w:t>
            </w: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23"/>
              <w:spacing w:after="0"/>
              <w:rPr>
                <w:sz w:val="20"/>
                <w:szCs w:val="20"/>
                <w:color w:val="auto"/>
              </w:rPr>
            </w:pPr>
            <w:r>
              <w:rPr>
                <w:rFonts w:ascii="Arial" w:cs="Arial" w:eastAsia="Arial" w:hAnsi="Arial"/>
                <w:sz w:val="19"/>
                <w:szCs w:val="19"/>
                <w:color w:val="auto"/>
                <w:w w:val="75"/>
              </w:rPr>
              <w:t>$</w:t>
            </w:r>
          </w:p>
        </w:tc>
        <w:tc>
          <w:tcPr>
            <w:tcW w:w="5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55</w:t>
            </w:r>
          </w:p>
        </w:tc>
      </w:tr>
      <w:tr>
        <w:trPr>
          <w:trHeight w:val="20"/>
        </w:trPr>
        <w:tc>
          <w:tcPr>
            <w:tcW w:w="4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Rate Activity</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During the first three months of 2021, the Company’s water and wastewater utility operating divisions in New Jersey, Ohio and Indiana were granted base rate increases designed to increase total operating revenues on an annual basis by $1,559 and one of its gas utility operating divisions in Kentucky was granted a base rate increase designed to increase annual revenues by $747. Further, during the first three months of 2021, the Company received approval to bill infrastructure rehabilitation surcharges designed to increase total operating revenues on an annual basis by $10,725 in its water and wastewater utility operating divisions in Pennsylvania and North Carolina, offset partially by a decrease of $277 in its gas utility operating divisions in Pennsylvania.</w:t>
      </w:r>
    </w:p>
    <w:p>
      <w:pPr>
        <w:spacing w:after="0" w:line="164" w:lineRule="exact"/>
        <w:rPr>
          <w:sz w:val="20"/>
          <w:szCs w:val="20"/>
          <w:color w:val="auto"/>
        </w:rPr>
      </w:pPr>
    </w:p>
    <w:p>
      <w:pPr>
        <w:ind w:right="280"/>
        <w:spacing w:after="0" w:line="228" w:lineRule="auto"/>
        <w:rPr>
          <w:sz w:val="20"/>
          <w:szCs w:val="20"/>
          <w:color w:val="auto"/>
        </w:rPr>
      </w:pPr>
      <w:r>
        <w:rPr>
          <w:rFonts w:ascii="Arial" w:cs="Arial" w:eastAsia="Arial" w:hAnsi="Arial"/>
          <w:sz w:val="22"/>
          <w:szCs w:val="22"/>
          <w:color w:val="auto"/>
        </w:rPr>
        <w:t>On February 1, 2021, the Company initiated billing interim rates in Virginia, which has a base rate case filing in progress. The interim rates are designed to increase annual revenues by $1,733. As of March 31, 2021, billings of $242 have been collected and remain subject to refund based on the outcome of the final base rate case order, which is expected to be received later in 2021.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22"/>
                <w:szCs w:val="22"/>
                <w:color w:val="auto"/>
                <w:w w:val="90"/>
              </w:rPr>
              <w:t>Three Months Ended</w:t>
            </w:r>
          </w:p>
        </w:tc>
        <w:tc>
          <w:tcPr>
            <w:tcW w:w="1320" w:type="dxa"/>
            <w:vAlign w:val="bottom"/>
          </w:tcPr>
          <w:p>
            <w:pPr>
              <w:spacing w:after="0"/>
              <w:rPr>
                <w:sz w:val="21"/>
                <w:szCs w:val="21"/>
                <w:color w:val="auto"/>
              </w:rPr>
            </w:pPr>
          </w:p>
        </w:tc>
      </w:tr>
      <w:tr>
        <w:trPr>
          <w:trHeight w:val="251"/>
        </w:trPr>
        <w:tc>
          <w:tcPr>
            <w:tcW w:w="67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92"/>
              <w:spacing w:after="0" w:line="251" w:lineRule="exact"/>
              <w:rPr>
                <w:sz w:val="20"/>
                <w:szCs w:val="20"/>
                <w:color w:val="auto"/>
              </w:rPr>
            </w:pPr>
            <w:r>
              <w:rPr>
                <w:rFonts w:ascii="Arial" w:cs="Arial" w:eastAsia="Arial" w:hAnsi="Arial"/>
                <w:sz w:val="22"/>
                <w:szCs w:val="22"/>
                <w:color w:val="auto"/>
              </w:rPr>
              <w:t>March 31,</w:t>
            </w:r>
          </w:p>
        </w:tc>
        <w:tc>
          <w:tcPr>
            <w:tcW w:w="1320" w:type="dxa"/>
            <w:vAlign w:val="bottom"/>
            <w:tcBorders>
              <w:bottom w:val="single" w:sz="8" w:color="auto"/>
            </w:tcBorders>
          </w:tcPr>
          <w:p>
            <w:pPr>
              <w:spacing w:after="0"/>
              <w:rPr>
                <w:sz w:val="21"/>
                <w:szCs w:val="2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2021</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52"/>
              <w:spacing w:after="0" w:line="223" w:lineRule="exact"/>
              <w:rPr>
                <w:sz w:val="20"/>
                <w:szCs w:val="20"/>
                <w:color w:val="auto"/>
              </w:rPr>
            </w:pPr>
            <w:r>
              <w:rPr>
                <w:rFonts w:ascii="Arial" w:cs="Arial" w:eastAsia="Arial" w:hAnsi="Arial"/>
                <w:sz w:val="22"/>
                <w:szCs w:val="22"/>
                <w:color w:val="auto"/>
                <w:w w:val="89"/>
              </w:rPr>
              <w:t>2020</w:t>
            </w:r>
          </w:p>
        </w:tc>
      </w:tr>
      <w:tr>
        <w:trPr>
          <w:trHeight w:val="223"/>
        </w:trPr>
        <w:tc>
          <w:tcPr>
            <w:tcW w:w="67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1300" w:type="dxa"/>
            <w:vAlign w:val="bottom"/>
            <w:shd w:val="clear" w:color="auto" w:fill="CCEEFF"/>
          </w:tcPr>
          <w:p>
            <w:pPr>
              <w:jc w:val="right"/>
              <w:ind w:right="1072"/>
              <w:spacing w:after="0" w:line="223" w:lineRule="exact"/>
              <w:rPr>
                <w:sz w:val="20"/>
                <w:szCs w:val="20"/>
                <w:color w:val="auto"/>
              </w:rPr>
            </w:pPr>
            <w:r>
              <w:rPr>
                <w:rFonts w:ascii="Arial" w:cs="Arial" w:eastAsia="Arial" w:hAnsi="Arial"/>
                <w:sz w:val="22"/>
                <w:szCs w:val="22"/>
                <w:color w:val="auto"/>
                <w:w w:val="81"/>
              </w:rPr>
              <w:t>$</w:t>
            </w:r>
          </w:p>
        </w:tc>
        <w:tc>
          <w:tcPr>
            <w:tcW w:w="7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7,714</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2"/>
              <w:spacing w:after="0" w:line="223" w:lineRule="exact"/>
              <w:rPr>
                <w:sz w:val="20"/>
                <w:szCs w:val="20"/>
                <w:color w:val="auto"/>
              </w:rPr>
            </w:pPr>
            <w:r>
              <w:rPr>
                <w:rFonts w:ascii="Arial" w:cs="Arial" w:eastAsia="Arial" w:hAnsi="Arial"/>
                <w:sz w:val="22"/>
                <w:szCs w:val="22"/>
                <w:color w:val="auto"/>
                <w:w w:val="81"/>
              </w:rPr>
              <w:t>$</w:t>
            </w:r>
          </w:p>
        </w:tc>
        <w:tc>
          <w:tcPr>
            <w:tcW w:w="13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7,033</w:t>
            </w:r>
          </w:p>
        </w:tc>
      </w:tr>
      <w:tr>
        <w:trPr>
          <w:trHeight w:val="229"/>
        </w:trPr>
        <w:tc>
          <w:tcPr>
            <w:tcW w:w="670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1300" w:type="dxa"/>
            <w:vAlign w:val="bottom"/>
          </w:tcPr>
          <w:p>
            <w:pPr>
              <w:spacing w:after="0"/>
              <w:rPr>
                <w:sz w:val="19"/>
                <w:szCs w:val="19"/>
                <w:color w:val="auto"/>
              </w:rPr>
            </w:pPr>
          </w:p>
        </w:tc>
        <w:tc>
          <w:tcPr>
            <w:tcW w:w="1100" w:type="dxa"/>
            <w:vAlign w:val="bottom"/>
            <w:gridSpan w:val="2"/>
          </w:tcPr>
          <w:p>
            <w:pPr>
              <w:jc w:val="right"/>
              <w:ind w:right="320"/>
              <w:spacing w:after="0" w:line="229" w:lineRule="exact"/>
              <w:rPr>
                <w:sz w:val="20"/>
                <w:szCs w:val="20"/>
                <w:color w:val="auto"/>
              </w:rPr>
            </w:pPr>
            <w:r>
              <w:rPr>
                <w:rFonts w:ascii="Arial" w:cs="Arial" w:eastAsia="Arial" w:hAnsi="Arial"/>
                <w:sz w:val="22"/>
                <w:szCs w:val="22"/>
                <w:color w:val="auto"/>
              </w:rPr>
              <w:t>3,684</w:t>
            </w: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2"/>
                <w:szCs w:val="22"/>
                <w:color w:val="auto"/>
              </w:rPr>
              <w:t>3,122</w:t>
            </w:r>
          </w:p>
        </w:tc>
      </w:tr>
      <w:tr>
        <w:trPr>
          <w:trHeight w:val="229"/>
        </w:trPr>
        <w:tc>
          <w:tcPr>
            <w:tcW w:w="67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Payroll</w:t>
            </w:r>
          </w:p>
        </w:tc>
        <w:tc>
          <w:tcPr>
            <w:tcW w:w="1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line="229" w:lineRule="exact"/>
              <w:rPr>
                <w:sz w:val="20"/>
                <w:szCs w:val="20"/>
                <w:color w:val="auto"/>
              </w:rPr>
            </w:pPr>
            <w:r>
              <w:rPr>
                <w:rFonts w:ascii="Arial" w:cs="Arial" w:eastAsia="Arial" w:hAnsi="Arial"/>
                <w:sz w:val="22"/>
                <w:szCs w:val="22"/>
                <w:color w:val="auto"/>
              </w:rPr>
              <w:t>6,756</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4,280</w:t>
            </w:r>
          </w:p>
        </w:tc>
      </w:tr>
      <w:tr>
        <w:trPr>
          <w:trHeight w:val="230"/>
        </w:trPr>
        <w:tc>
          <w:tcPr>
            <w:tcW w:w="670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1300" w:type="dxa"/>
            <w:vAlign w:val="bottom"/>
          </w:tcPr>
          <w:p>
            <w:pPr>
              <w:spacing w:after="0"/>
              <w:rPr>
                <w:sz w:val="19"/>
                <w:szCs w:val="19"/>
                <w:color w:val="auto"/>
              </w:rPr>
            </w:pPr>
          </w:p>
        </w:tc>
        <w:tc>
          <w:tcPr>
            <w:tcW w:w="1100" w:type="dxa"/>
            <w:vAlign w:val="bottom"/>
            <w:gridSpan w:val="2"/>
          </w:tcPr>
          <w:p>
            <w:pPr>
              <w:jc w:val="right"/>
              <w:ind w:right="320"/>
              <w:spacing w:after="0" w:line="229" w:lineRule="exact"/>
              <w:rPr>
                <w:sz w:val="20"/>
                <w:szCs w:val="20"/>
                <w:color w:val="auto"/>
              </w:rPr>
            </w:pPr>
            <w:r>
              <w:rPr>
                <w:rFonts w:ascii="Arial" w:cs="Arial" w:eastAsia="Arial" w:hAnsi="Arial"/>
                <w:sz w:val="22"/>
                <w:szCs w:val="22"/>
                <w:color w:val="auto"/>
              </w:rPr>
              <w:t>838</w:t>
            </w: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2"/>
                <w:szCs w:val="22"/>
                <w:color w:val="auto"/>
              </w:rPr>
              <w:t>700</w:t>
            </w:r>
          </w:p>
        </w:tc>
      </w:tr>
      <w:tr>
        <w:trPr>
          <w:trHeight w:val="229"/>
        </w:trPr>
        <w:tc>
          <w:tcPr>
            <w:tcW w:w="67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1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line="229" w:lineRule="exact"/>
              <w:rPr>
                <w:sz w:val="20"/>
                <w:szCs w:val="20"/>
                <w:color w:val="auto"/>
              </w:rPr>
            </w:pPr>
            <w:r>
              <w:rPr>
                <w:rFonts w:ascii="Arial" w:cs="Arial" w:eastAsia="Arial" w:hAnsi="Arial"/>
                <w:sz w:val="22"/>
                <w:szCs w:val="22"/>
                <w:color w:val="auto"/>
              </w:rPr>
              <w:t>1,126</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1,081</w:t>
            </w:r>
          </w:p>
        </w:tc>
      </w:tr>
      <w:tr>
        <w:trPr>
          <w:trHeight w:val="230"/>
        </w:trPr>
        <w:tc>
          <w:tcPr>
            <w:tcW w:w="6700" w:type="dxa"/>
            <w:vAlign w:val="bottom"/>
          </w:tcPr>
          <w:p>
            <w:pPr>
              <w:spacing w:after="0" w:line="229" w:lineRule="exact"/>
              <w:rPr>
                <w:sz w:val="20"/>
                <w:szCs w:val="20"/>
                <w:color w:val="auto"/>
              </w:rPr>
            </w:pPr>
            <w:r>
              <w:rPr>
                <w:rFonts w:ascii="Arial" w:cs="Arial" w:eastAsia="Arial" w:hAnsi="Arial"/>
                <w:sz w:val="22"/>
                <w:szCs w:val="22"/>
                <w:color w:val="auto"/>
              </w:rPr>
              <w:t>Other</w:t>
            </w:r>
          </w:p>
        </w:tc>
        <w:tc>
          <w:tcPr>
            <w:tcW w:w="1300" w:type="dxa"/>
            <w:vAlign w:val="bottom"/>
          </w:tcPr>
          <w:p>
            <w:pPr>
              <w:spacing w:after="0"/>
              <w:rPr>
                <w:sz w:val="19"/>
                <w:szCs w:val="19"/>
                <w:color w:val="auto"/>
              </w:rPr>
            </w:pPr>
          </w:p>
        </w:tc>
        <w:tc>
          <w:tcPr>
            <w:tcW w:w="1100" w:type="dxa"/>
            <w:vAlign w:val="bottom"/>
            <w:gridSpan w:val="2"/>
          </w:tcPr>
          <w:p>
            <w:pPr>
              <w:jc w:val="right"/>
              <w:ind w:right="320"/>
              <w:spacing w:after="0" w:line="229" w:lineRule="exact"/>
              <w:rPr>
                <w:sz w:val="20"/>
                <w:szCs w:val="20"/>
                <w:color w:val="auto"/>
              </w:rPr>
            </w:pPr>
            <w:r>
              <w:rPr>
                <w:rFonts w:ascii="Arial" w:cs="Arial" w:eastAsia="Arial" w:hAnsi="Arial"/>
                <w:sz w:val="22"/>
                <w:szCs w:val="22"/>
                <w:color w:val="auto"/>
              </w:rPr>
              <w:t>923</w:t>
            </w: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2"/>
                <w:szCs w:val="22"/>
                <w:color w:val="auto"/>
              </w:rPr>
              <w:t>220</w:t>
            </w:r>
          </w:p>
        </w:tc>
      </w:tr>
      <w:tr>
        <w:trPr>
          <w:trHeight w:val="223"/>
        </w:trPr>
        <w:tc>
          <w:tcPr>
            <w:tcW w:w="670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 taxes other than income</w:t>
            </w:r>
          </w:p>
        </w:tc>
        <w:tc>
          <w:tcPr>
            <w:tcW w:w="1300" w:type="dxa"/>
            <w:vAlign w:val="bottom"/>
            <w:tcBorders>
              <w:top w:val="single" w:sz="8" w:color="auto"/>
              <w:bottom w:val="single" w:sz="8" w:color="auto"/>
            </w:tcBorders>
            <w:shd w:val="clear" w:color="auto" w:fill="CCEEFF"/>
          </w:tcPr>
          <w:p>
            <w:pPr>
              <w:jc w:val="right"/>
              <w:ind w:right="1072"/>
              <w:spacing w:after="0" w:line="223" w:lineRule="exact"/>
              <w:rPr>
                <w:sz w:val="20"/>
                <w:szCs w:val="20"/>
                <w:color w:val="auto"/>
              </w:rPr>
            </w:pPr>
            <w:r>
              <w:rPr>
                <w:rFonts w:ascii="Arial" w:cs="Arial" w:eastAsia="Arial" w:hAnsi="Arial"/>
                <w:sz w:val="22"/>
                <w:szCs w:val="22"/>
                <w:color w:val="auto"/>
                <w:w w:val="81"/>
              </w:rPr>
              <w:t>$</w:t>
            </w:r>
          </w:p>
        </w:tc>
        <w:tc>
          <w:tcPr>
            <w:tcW w:w="7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21,041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592"/>
              <w:spacing w:after="0" w:line="223" w:lineRule="exact"/>
              <w:rPr>
                <w:sz w:val="20"/>
                <w:szCs w:val="20"/>
                <w:color w:val="auto"/>
              </w:rPr>
            </w:pPr>
            <w:r>
              <w:rPr>
                <w:rFonts w:ascii="Arial" w:cs="Arial" w:eastAsia="Arial" w:hAnsi="Arial"/>
                <w:sz w:val="22"/>
                <w:szCs w:val="22"/>
                <w:color w:val="auto"/>
                <w:w w:val="81"/>
              </w:rPr>
              <w:t>$</w:t>
            </w:r>
          </w:p>
        </w:tc>
        <w:tc>
          <w:tcPr>
            <w:tcW w:w="13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16,436</w:t>
            </w:r>
          </w:p>
        </w:tc>
      </w:tr>
      <w:tr>
        <w:trPr>
          <w:trHeight w:val="20"/>
        </w:trPr>
        <w:tc>
          <w:tcPr>
            <w:tcW w:w="6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On March 16, 2020, the Company completed the Peoples Gas Acquisition, marking the Company’s entrance into the regulated natural gas business. The operating results of Peoples are included in the consolidated financial statements for the period since the acquisition date. As a result, the Company now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49"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Prior to our October 30, 2020 sale of investment in joint venture, Aqua Infrastructure provided non-utility raw water supply services for firms in the natural gas drilling industry. Aqua Resources offers, through a third party, water and sewer service line protection solutions and repair services to households. In addition to these segments, Other is comprised of business activities not included in the reportable segments, including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The following table presents information about the Company’s reportable segments, including the operating results and capital expenditures of the Regulated Natural Gas segment for the period since the completion of the Peoples Gas Acquisition on March 16, 2020:</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center"/>
              <w:ind w:right="20"/>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color w:val="auto"/>
              </w:rPr>
              <w:t>March 31, 2021</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4"/>
              </w:rPr>
              <w:t>March 31, 2020</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3"/>
        </w:trPr>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Regulated</w:t>
            </w:r>
          </w:p>
        </w:tc>
        <w:tc>
          <w:tcPr>
            <w:tcW w:w="12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Regulated Natural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08"/>
              <w:spacing w:after="0" w:line="123" w:lineRule="exact"/>
              <w:rPr>
                <w:sz w:val="20"/>
                <w:szCs w:val="20"/>
                <w:color w:val="auto"/>
              </w:rPr>
            </w:pPr>
            <w:r>
              <w:rPr>
                <w:rFonts w:ascii="Arial" w:cs="Arial" w:eastAsia="Arial" w:hAnsi="Arial"/>
                <w:sz w:val="14"/>
                <w:szCs w:val="14"/>
                <w:color w:val="auto"/>
                <w:w w:val="87"/>
              </w:rPr>
              <w:t>Regulated</w:t>
            </w:r>
          </w:p>
        </w:tc>
        <w:tc>
          <w:tcPr>
            <w:tcW w:w="140" w:type="dxa"/>
            <w:vAlign w:val="bottom"/>
          </w:tcPr>
          <w:p>
            <w:pPr>
              <w:spacing w:after="0"/>
              <w:rPr>
                <w:sz w:val="10"/>
                <w:szCs w:val="10"/>
                <w:color w:val="auto"/>
              </w:rPr>
            </w:pPr>
          </w:p>
        </w:tc>
        <w:tc>
          <w:tcPr>
            <w:tcW w:w="94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Regulated</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7"/>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color w:val="auto"/>
              </w:rPr>
              <w:t>Water</w:t>
            </w:r>
          </w:p>
        </w:tc>
        <w:tc>
          <w:tcPr>
            <w:tcW w:w="26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Gas</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Consolidated</w:t>
            </w:r>
          </w:p>
        </w:tc>
        <w:tc>
          <w:tcPr>
            <w:tcW w:w="8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Water</w:t>
            </w: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w w:val="92"/>
              </w:rPr>
              <w:t>Consolidated</w:t>
            </w:r>
          </w:p>
        </w:tc>
      </w:tr>
      <w:tr>
        <w:trPr>
          <w:trHeight w:val="142"/>
        </w:trPr>
        <w:tc>
          <w:tcPr>
            <w:tcW w:w="2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228,353</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343,115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12,097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583,565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216,197</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38,544</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center"/>
              <w:ind w:right="2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255,585</w:t>
            </w: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Operations and maintenance expense</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78,347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51,326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(4,598)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125,075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73,694</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8,823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24,120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106,637</w:t>
            </w: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Purchased gas</w:t>
            </w:r>
          </w:p>
        </w:tc>
        <w:tc>
          <w:tcPr>
            <w:tcW w:w="11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122,888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12,770</w:t>
            </w: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45,138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27,590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72,944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41,511</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4,569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46,245</w:t>
            </w: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89,447</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136,864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86,506</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(24,724)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73,497</w:t>
            </w: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26,460</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17,296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6,626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50,382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25,495</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1,887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30,087</w:t>
            </w: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funds used during construction</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3,247</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2,912</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2,948</w:t>
            </w: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Equity (loss) earnings in joint venture</w:t>
            </w: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(benefit)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3,127</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(3,448)</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(6,803)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(7,124)</w:t>
            </w: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64,030</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119,251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183,689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59,934</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13,398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(21,551)</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51,781</w:t>
            </w: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1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113,793</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64,114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178,009</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110,606</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118,734</w:t>
            </w:r>
          </w:p>
        </w:tc>
      </w:tr>
    </w:tbl>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720" w:type="dxa"/>
            <w:vAlign w:val="bottom"/>
            <w:gridSpan w:val="2"/>
          </w:tcPr>
          <w:p>
            <w:pPr>
              <w:ind w:left="460"/>
              <w:spacing w:after="0"/>
              <w:rPr>
                <w:sz w:val="20"/>
                <w:szCs w:val="20"/>
                <w:color w:val="auto"/>
              </w:rPr>
            </w:pPr>
            <w:r>
              <w:rPr>
                <w:rFonts w:ascii="Arial" w:cs="Arial" w:eastAsia="Arial" w:hAnsi="Arial"/>
                <w:sz w:val="22"/>
                <w:szCs w:val="22"/>
                <w:color w:val="auto"/>
              </w:rPr>
              <w:t>March 31,</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60" w:type="dxa"/>
            <w:vAlign w:val="bottom"/>
          </w:tcPr>
          <w:p>
            <w:pPr>
              <w:jc w:val="right"/>
              <w:ind w:right="832"/>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51"/>
        </w:trPr>
        <w:tc>
          <w:tcPr>
            <w:tcW w:w="3420" w:type="dxa"/>
            <w:vAlign w:val="bottom"/>
            <w:vMerge w:val="restart"/>
          </w:tcPr>
          <w:p>
            <w:pPr>
              <w:spacing w:after="0"/>
              <w:rPr>
                <w:sz w:val="20"/>
                <w:szCs w:val="20"/>
                <w:color w:val="auto"/>
              </w:rPr>
            </w:pPr>
            <w:r>
              <w:rPr>
                <w:rFonts w:ascii="Arial" w:cs="Arial" w:eastAsia="Arial" w:hAnsi="Arial"/>
                <w:sz w:val="22"/>
                <w:szCs w:val="22"/>
                <w:color w:val="auto"/>
              </w:rPr>
              <w:t>Total assets:</w:t>
            </w:r>
          </w:p>
        </w:tc>
        <w:tc>
          <w:tcPr>
            <w:tcW w:w="14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1172"/>
              <w:spacing w:after="0" w:line="251" w:lineRule="exact"/>
              <w:rPr>
                <w:sz w:val="20"/>
                <w:szCs w:val="20"/>
                <w:color w:val="auto"/>
              </w:rPr>
            </w:pPr>
            <w:r>
              <w:rPr>
                <w:rFonts w:ascii="Arial" w:cs="Arial" w:eastAsia="Arial" w:hAnsi="Arial"/>
                <w:sz w:val="22"/>
                <w:szCs w:val="22"/>
                <w:color w:val="auto"/>
              </w:rPr>
              <w:t>2021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1212"/>
              <w:spacing w:after="0" w:line="251" w:lineRule="exact"/>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23"/>
        </w:trPr>
        <w:tc>
          <w:tcPr>
            <w:tcW w:w="342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Regulated water</w:t>
            </w:r>
          </w:p>
        </w:tc>
        <w:tc>
          <w:tcPr>
            <w:tcW w:w="2000" w:type="dxa"/>
            <w:vAlign w:val="bottom"/>
            <w:gridSpan w:val="2"/>
            <w:shd w:val="clear" w:color="auto" w:fill="CCEEFF"/>
          </w:tcPr>
          <w:p>
            <w:pPr>
              <w:jc w:val="right"/>
              <w:ind w:right="363"/>
              <w:spacing w:after="0" w:line="229" w:lineRule="exact"/>
              <w:rPr>
                <w:sz w:val="20"/>
                <w:szCs w:val="20"/>
                <w:color w:val="auto"/>
              </w:rPr>
            </w:pPr>
            <w:r>
              <w:rPr>
                <w:rFonts w:ascii="Arial" w:cs="Arial" w:eastAsia="Arial" w:hAnsi="Arial"/>
                <w:sz w:val="22"/>
                <w:szCs w:val="22"/>
                <w:color w:val="auto"/>
              </w:rPr>
              <w:t>$</w:t>
            </w:r>
          </w:p>
        </w:tc>
        <w:tc>
          <w:tcPr>
            <w:tcW w:w="2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7,957,080</w:t>
            </w:r>
          </w:p>
        </w:tc>
        <w:tc>
          <w:tcPr>
            <w:tcW w:w="3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23"/>
              <w:spacing w:after="0" w:line="229" w:lineRule="exact"/>
              <w:rPr>
                <w:sz w:val="20"/>
                <w:szCs w:val="20"/>
                <w:color w:val="auto"/>
              </w:rPr>
            </w:pPr>
            <w:r>
              <w:rPr>
                <w:rFonts w:ascii="Arial" w:cs="Arial" w:eastAsia="Arial" w:hAnsi="Arial"/>
                <w:sz w:val="22"/>
                <w:szCs w:val="22"/>
                <w:color w:val="auto"/>
                <w:w w:val="81"/>
              </w:rPr>
              <w:t>$</w:t>
            </w:r>
          </w:p>
        </w:tc>
        <w:tc>
          <w:tcPr>
            <w:tcW w:w="25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7,838,034</w:t>
            </w: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line="229" w:lineRule="exact"/>
              <w:rPr>
                <w:sz w:val="20"/>
                <w:szCs w:val="20"/>
                <w:color w:val="auto"/>
              </w:rPr>
            </w:pPr>
            <w:r>
              <w:rPr>
                <w:rFonts w:ascii="Arial" w:cs="Arial" w:eastAsia="Arial" w:hAnsi="Arial"/>
                <w:sz w:val="22"/>
                <w:szCs w:val="22"/>
                <w:color w:val="auto"/>
              </w:rPr>
              <w:t>Regulated natural gas</w:t>
            </w: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0" w:type="dxa"/>
            <w:vAlign w:val="bottom"/>
          </w:tcPr>
          <w:p>
            <w:pPr>
              <w:jc w:val="right"/>
              <w:spacing w:after="0" w:line="229" w:lineRule="exact"/>
              <w:rPr>
                <w:sz w:val="20"/>
                <w:szCs w:val="20"/>
                <w:color w:val="auto"/>
              </w:rPr>
            </w:pPr>
            <w:r>
              <w:rPr>
                <w:rFonts w:ascii="Arial" w:cs="Arial" w:eastAsia="Arial" w:hAnsi="Arial"/>
                <w:sz w:val="22"/>
                <w:szCs w:val="22"/>
                <w:color w:val="auto"/>
              </w:rPr>
              <w:t>5,374,760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jc w:val="right"/>
              <w:spacing w:after="0" w:line="229" w:lineRule="exact"/>
              <w:rPr>
                <w:sz w:val="20"/>
                <w:szCs w:val="20"/>
                <w:color w:val="auto"/>
              </w:rPr>
            </w:pPr>
            <w:r>
              <w:rPr>
                <w:rFonts w:ascii="Arial" w:cs="Arial" w:eastAsia="Arial" w:hAnsi="Arial"/>
                <w:sz w:val="22"/>
                <w:szCs w:val="22"/>
                <w:color w:val="auto"/>
              </w:rPr>
              <w:t>5,303,507</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14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490,075</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563,736</w:t>
            </w:r>
          </w:p>
        </w:tc>
        <w:tc>
          <w:tcPr>
            <w:tcW w:w="0" w:type="dxa"/>
            <w:vAlign w:val="bottom"/>
          </w:tcPr>
          <w:p>
            <w:pPr>
              <w:spacing w:after="0"/>
              <w:rPr>
                <w:sz w:val="1"/>
                <w:szCs w:val="1"/>
                <w:color w:val="auto"/>
              </w:rPr>
            </w:pPr>
          </w:p>
        </w:tc>
      </w:tr>
      <w:tr>
        <w:trPr>
          <w:trHeight w:val="223"/>
        </w:trPr>
        <w:tc>
          <w:tcPr>
            <w:tcW w:w="3420" w:type="dxa"/>
            <w:vAlign w:val="bottom"/>
          </w:tcPr>
          <w:p>
            <w:pPr>
              <w:ind w:left="120"/>
              <w:spacing w:after="0" w:line="223" w:lineRule="exact"/>
              <w:rPr>
                <w:sz w:val="20"/>
                <w:szCs w:val="20"/>
                <w:color w:val="auto"/>
              </w:rPr>
            </w:pPr>
            <w:r>
              <w:rPr>
                <w:rFonts w:ascii="Arial" w:cs="Arial" w:eastAsia="Arial" w:hAnsi="Arial"/>
                <w:sz w:val="22"/>
                <w:szCs w:val="22"/>
                <w:color w:val="auto"/>
              </w:rPr>
              <w:t>Consolidated</w:t>
            </w:r>
          </w:p>
        </w:tc>
        <w:tc>
          <w:tcPr>
            <w:tcW w:w="1440" w:type="dxa"/>
            <w:vAlign w:val="bottom"/>
          </w:tcPr>
          <w:p>
            <w:pPr>
              <w:spacing w:after="0"/>
              <w:rPr>
                <w:sz w:val="19"/>
                <w:szCs w:val="19"/>
                <w:color w:val="auto"/>
              </w:rPr>
            </w:pPr>
          </w:p>
        </w:tc>
        <w:tc>
          <w:tcPr>
            <w:tcW w:w="5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w w:val="75"/>
              </w:rPr>
              <w:t>$</w:t>
            </w:r>
          </w:p>
        </w:tc>
        <w:tc>
          <w:tcPr>
            <w:tcW w:w="24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13,821,915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color w:val="auto"/>
                <w:w w:val="75"/>
              </w:rPr>
              <w:t>$</w:t>
            </w:r>
          </w:p>
        </w:tc>
        <w:tc>
          <w:tcPr>
            <w:tcW w:w="25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13,705,277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March 31, 2021, the aggregate amount of $17,627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March 31, 2021, estimates that approximately $3,294 of the amount accrued for these matters are probable of recovery through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2" w:name="page33"/>
    <w:bookmarkEnd w:id="3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insurance, which amount is also reported in the Company’s consolidated balance sheet as deferred charges and other assets, net.</w:t>
      </w: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During a portion of 2019, the Company initiated a do not consume advisory for some of its water customers in one division served by the Company’s Illinois subsidiary. Although the Company has determined that it is reasonably possible that a fine or penalty may be incurred, it cannot estimate the possible range of loss at this time and no liability has been accrued for these future costs.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plans to vigorously defend against this claim. A claim for the expenses incurred has been submitted to the Company’s insurance carrier for potential recovery of a portion of these costs, and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76" w:lineRule="exact"/>
        <w:rPr>
          <w:sz w:val="20"/>
          <w:szCs w:val="20"/>
          <w:color w:val="auto"/>
        </w:rPr>
      </w:pPr>
    </w:p>
    <w:p>
      <w:pPr>
        <w:ind w:right="300"/>
        <w:spacing w:after="0" w:line="228" w:lineRule="auto"/>
        <w:rPr>
          <w:sz w:val="20"/>
          <w:szCs w:val="20"/>
          <w:color w:val="auto"/>
        </w:rPr>
      </w:pPr>
      <w:r>
        <w:rPr>
          <w:rFonts w:ascii="Arial" w:cs="Arial" w:eastAsia="Arial" w:hAnsi="Arial"/>
          <w:sz w:val="22"/>
          <w:szCs w:val="22"/>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6" w:lineRule="exact"/>
        <w:rPr>
          <w:sz w:val="20"/>
          <w:szCs w:val="20"/>
          <w:color w:val="auto"/>
        </w:rPr>
      </w:pPr>
    </w:p>
    <w:p>
      <w:pPr>
        <w:ind w:right="240"/>
        <w:spacing w:after="0" w:line="228" w:lineRule="auto"/>
        <w:rPr>
          <w:sz w:val="20"/>
          <w:szCs w:val="20"/>
          <w:color w:val="auto"/>
        </w:rPr>
      </w:pPr>
      <w:r>
        <w:rPr>
          <w:rFonts w:ascii="Arial" w:cs="Arial" w:eastAsia="Arial" w:hAnsi="Arial"/>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$1,535 at March 31, 2021 and represents a reserve for unpaid claim costs, including an estimate for the cost of incurred but not reported claims.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Inc.</w:t>
      </w:r>
    </w:p>
    <w:p>
      <w:pPr>
        <w:ind w:right="220"/>
        <w:spacing w:after="0" w:line="293" w:lineRule="auto"/>
        <w:rPr>
          <w:sz w:val="20"/>
          <w:szCs w:val="20"/>
          <w:color w:val="auto"/>
        </w:rPr>
      </w:pPr>
      <w:r>
        <w:rPr>
          <w:rFonts w:ascii="Arial" w:cs="Arial" w:eastAsia="Arial" w:hAnsi="Arial"/>
          <w:sz w:val="19"/>
          <w:szCs w:val="19"/>
          <w:color w:val="auto"/>
        </w:rPr>
        <w:t>In the third quarter of 2020, the Company granted $4,080 of customer rate credits to its water and wastewater customers served by Aqua Pennsylvania and $18,924 was granted to its Pennsylvania natural gas utility customers in the fourth quarter of 2020.</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ind w:right="20"/>
        <w:spacing w:after="0" w:line="223" w:lineRule="auto"/>
        <w:rPr>
          <w:sz w:val="20"/>
          <w:szCs w:val="20"/>
          <w:color w:val="auto"/>
        </w:rPr>
      </w:pPr>
      <w:r>
        <w:rPr>
          <w:rFonts w:ascii="Arial" w:cs="Arial" w:eastAsia="Arial" w:hAnsi="Arial"/>
          <w:sz w:val="22"/>
          <w:szCs w:val="22"/>
          <w:color w:val="auto"/>
        </w:rPr>
        <w:t>On March 16, 2020, the Company completed the Peoples Gas Acquisition. On March 31, 2020, the Company changed the method of tax accounting for certain qualifying infrastructure investments at its Peoples Natural Gas subsidiary, its largest natural gas subsidiary in Pennsylvania. This change allows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3" w:name="page34"/>
    <w:bookmarkEnd w:id="3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tax deduction for qualifying utility asset improvement costs that were formerly capitalized for tax purposes. The Company is performing an analysis to determine the ultimate amount of qualifying utility asset improvement costs eligible to be deducted under the IRS’s final tangible property regulations that will be reflected on its 2021 and 2020 Federal Tax Return. As a result, the Company has estimated a portion of its infrastructure investment at Peoples Natural Gas since the acquisition date that will qualify as a utility system repairs deduction for 2021 and 2020. Consistent with the Company’s accounting for differences between book and tax expenditures in Pennsylvania, the Company is utilizing the flow-through method to account for this timing difference. The Company completed its analysis of the income tax benefits for qualifying capital expenditures made prior to March 16, 2020 (“catch-up adjustment”) and recorded a regulatory liability of $160,655 for these tax benefits which will remain on the consolidated balance sheet pending regulatory guidance. In August 2020, the Company filed a petition with the Pennsylvania Public Utility Commission proposing treatment of the catch-up adjustment. On March 11, 2021, the Company and the statutory advocates filed a Joint Petition of Settlement (“Settlement”) representing a Settlement of the parties and on May 6, 2021 it was approved by the Pennsylvania Public Utility Commission. The Settlement proposes, among other points, that the catch-up adjustment be provided to utility customers over a five-year period, and the Company can continue to use flow-through accounting for the current tax repair benefit until its next base rate case.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Company’s effective tax rate was 2.5% and (16.0)% for the three months ended March 31, 2021 and 2020, respectively. The increase in the effective tax rate for the first quarter can be attributed to an increase in our income before income taxes as compared to the prior period, offset by an increase in the income tax benefit recognized due to additional tax deductions for qualifying infrastructure recognized in the first quarter of 2021. The statutory Federal tax rate is 21% for three months ended March 31, 2021 and 2020. For states with a corporate net income tax, the state corporate net income tax rates range from 2.5% to 9.99% for all periods presented. In determining its interim tax provision, the Company reflects its estimated permanent and flow-through tax differences for the taxable year, including the basis difference for the adoption of the tangible property regulations. Qualifying utility asset improvement costs and the amortization of excess deferred income taxes caused the year-to-date effective tax rate to be significantly different from the statutory rate.</w:t>
      </w:r>
    </w:p>
    <w:p>
      <w:pPr>
        <w:spacing w:after="0" w:line="173" w:lineRule="exact"/>
        <w:rPr>
          <w:sz w:val="20"/>
          <w:szCs w:val="20"/>
          <w:color w:val="auto"/>
        </w:rPr>
      </w:pPr>
    </w:p>
    <w:p>
      <w:pPr>
        <w:ind w:right="40"/>
        <w:spacing w:after="0" w:line="224" w:lineRule="auto"/>
        <w:rPr>
          <w:sz w:val="20"/>
          <w:szCs w:val="20"/>
          <w:color w:val="auto"/>
        </w:rPr>
      </w:pPr>
      <w:r>
        <w:rPr>
          <w:rFonts w:ascii="Arial" w:cs="Arial" w:eastAsia="Arial" w:hAnsi="Arial"/>
          <w:sz w:val="22"/>
          <w:szCs w:val="22"/>
          <w:color w:val="auto"/>
        </w:rPr>
        <w:t>In connection with the completion of the Peoples Gas Acquisition, the Company identified changes to acquired deferred tax asset valuation allowances or liabilities related to uncertain tax positions during the one year measurement period, which related to new information obtained about facts and circumstances that existed as of the acquisition date. Those changes are considered a measurement-period adjustment, and an offset was recorded as an adjustment to goodwill. The Company records all other changes to deferred tax asset valuation allowances and liabilities related to uncertain tax positions in current-period income tax expense.</w:t>
      </w:r>
    </w:p>
    <w:p>
      <w:pPr>
        <w:spacing w:after="0" w:line="190" w:lineRule="exact"/>
        <w:rPr>
          <w:sz w:val="20"/>
          <w:szCs w:val="20"/>
          <w:color w:val="auto"/>
        </w:rPr>
      </w:pPr>
    </w:p>
    <w:p>
      <w:pPr>
        <w:ind w:right="280"/>
        <w:spacing w:after="0" w:line="230" w:lineRule="auto"/>
        <w:rPr>
          <w:sz w:val="20"/>
          <w:szCs w:val="20"/>
          <w:color w:val="auto"/>
        </w:rPr>
      </w:pPr>
      <w:r>
        <w:rPr>
          <w:rFonts w:ascii="Arial" w:cs="Arial" w:eastAsia="Arial" w:hAnsi="Arial"/>
          <w:sz w:val="21"/>
          <w:szCs w:val="21"/>
          <w:color w:val="auto"/>
        </w:rPr>
        <w:t>In response to the COVID-19 pandemic, the Coronavirus Aid, Relief, and Economic Security (“CARES”) Act was signed into law on March 27, 2020 and the Consolidated Appropriations Act, 2021 (CAA) on December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The CAA modifies the employee retention credit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4" w:name="page35"/>
    <w:bookmarkEnd w:id="3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jc w:val="both"/>
        <w:ind w:right="160"/>
        <w:spacing w:after="0" w:line="282" w:lineRule="auto"/>
        <w:rPr>
          <w:sz w:val="20"/>
          <w:szCs w:val="20"/>
          <w:color w:val="auto"/>
        </w:rPr>
      </w:pPr>
      <w:r>
        <w:rPr>
          <w:rFonts w:ascii="Arial" w:cs="Arial" w:eastAsia="Arial" w:hAnsi="Arial"/>
          <w:sz w:val="19"/>
          <w:szCs w:val="19"/>
          <w:color w:val="auto"/>
        </w:rPr>
        <w:t>(introduced under the CARES Act), extended paid sick and child-care leave through March 31, 2021, and expands the business meal deduction to 100% of business-related restaurant meals in 2021 and 2022. We evaluated the provisions of the CARES and CAA Acts and do not anticipate that the impacts will have a material effect on our consolidated financial statements.</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On March 11, 2021, the American Rescue Plan Act of 2021 (ARPA) was signed into law. The ARPA includes business tax provisions, including the extension of the employee retention credit, expansion of the Families First Coronavirus Response Act with respect to Family and Medical Leave Act tax credits, expanded limits on executive compensation deductions, repeal of the worldwide interest allocation, changes to pension funding requirements, and extension of the limitation on excess business losses for non-corporate taxpayers. We evaluated the provisions of the ARPA Act and do not anticipate that the impacts will have a material effect on our consolidated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35" w:name="page36"/>
    <w:bookmarkEnd w:id="3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to be adopted upon the effective date:</w:t>
      </w:r>
    </w:p>
    <w:p>
      <w:pPr>
        <w:spacing w:after="0" w:line="206"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The updated accounting guidance is effective for fiscal years beginning after December 15, 2021 with early adoption permitted beginning in 2021. The Company is evaluating the requirements of the updated guidance to determine the impact of adoption.</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In March 2020, the FASB issued accounting guidance that provides companies with optional guidance, including expedients and exceptions for applying generally accepted accounting principles to contracts and other transactions affected by reference rate reform, such as the London Interbank Offered Rate (LIBOR). In January 2021, the FASB clarified the scope of that accounting standards update with additional guidance for reference rate reform on financial reporting. The accounting guidance was effective upon issuance and generally can be applied to applicable contract modifications through December 31, 2022. The Company is evaluating the impact of this accounting guidance.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Pronouncement adopted during the year:</w:t>
      </w: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As permitted, we adopted this updated guidance on January 1, 2021, which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6" w:name="page37"/>
    <w:bookmarkEnd w:id="3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88" w:lineRule="exact"/>
        <w:rPr>
          <w:sz w:val="20"/>
          <w:szCs w:val="20"/>
          <w:color w:val="auto"/>
        </w:rPr>
      </w:pPr>
    </w:p>
    <w:p>
      <w:pPr>
        <w:jc w:val="center"/>
        <w:ind w:right="40"/>
        <w:spacing w:after="0" w:line="282"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the COVID-19 pandemic,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2020 under the captions “Risk Factors” and “Management’s Discussion and Analysis of Financial Condition and Results of Operations” and elsewhere in such report and those included under the captions “Risk Factors” and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General Information</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Essential Utilities, Inc. (“we”, “us”, “our” or the “Company”),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Prior to our October 30, 2020 sale of our investment in a joint venture, Aqua Infrastructure provided non-utility raw water supply services for firms in the natural gas drilling industry. Following the October 30, 2020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7" w:name="page38"/>
    <w:bookmarkEnd w:id="3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7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80"/>
        <w:spacing w:after="0"/>
        <w:rPr>
          <w:sz w:val="20"/>
          <w:szCs w:val="20"/>
          <w:color w:val="auto"/>
        </w:rPr>
      </w:pPr>
      <w:r>
        <w:rPr>
          <w:rFonts w:ascii="Arial" w:cs="Arial" w:eastAsia="Arial" w:hAnsi="Arial"/>
          <w:sz w:val="22"/>
          <w:szCs w:val="22"/>
          <w:color w:val="auto"/>
        </w:rPr>
        <w:t>closing, Aqua Infrastructure does not provide any services to the natural gas drilling industry. Aqua Resources offers, through a third party, water and sewer service line protection solutions and repair services to households.</w:t>
      </w:r>
    </w:p>
    <w:p>
      <w:pPr>
        <w:spacing w:after="0" w:line="200" w:lineRule="exact"/>
        <w:rPr>
          <w:sz w:val="20"/>
          <w:szCs w:val="20"/>
          <w:color w:val="auto"/>
        </w:rPr>
      </w:pP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The non-regulated subsidiaries of Peoples provide utility service line protection solutions and repair services to households and operates gas marketing and production entities.</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Essential Utilities, Inc., which prior to its name change in February 2020 was known as Aqua America, Inc., was formed in 1968 as a holding company for its primary subsidiary, Aqua Pennsylvania, formerly known as Philadelphia Suburban Water Company. In the early 1990s, we embarked on a growth-through-acquisition strategy. Our most significant transactions to date have been the merger with Consumers Water Company in 1999, the acquisition of the regulated water and wastewater operations of AquaSource, Inc. in 2003, the acquisition of Heater Utilities, Inc. in 2004, the acquisition of American Water Works Company, Inc.’s regulated operations in Ohio in 2012, and the March 16, 2020 acquisition of Peoples, a Pittsburgh, Pennsylvania based natural gas distribution company. For many years, starting in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in seven other states. On March 16, 2020, the Company completed the Peoples Gas Acquisition, a natural gas distribution utility, marking its entrance into the regulated natural gas business. The Company seeks to acquire businesses in the U.S. regulated sector, which includes water and wastewater utilities, natural gas utilities, and other regulated utilities, and to opportunistically pursue growth ventures in select market-based activities, such as infrastructure opportunities that are supplementary and complementary to our regulated utility businesses.</w:t>
      </w:r>
    </w:p>
    <w:p>
      <w:pPr>
        <w:spacing w:after="0" w:line="180" w:lineRule="exact"/>
        <w:rPr>
          <w:sz w:val="20"/>
          <w:szCs w:val="20"/>
          <w:color w:val="auto"/>
        </w:rPr>
      </w:pPr>
    </w:p>
    <w:p>
      <w:pPr>
        <w:ind w:right="52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COVID-19 Pandemic</w:t>
      </w:r>
    </w:p>
    <w:p>
      <w:pPr>
        <w:spacing w:after="0" w:line="206"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color w:val="auto"/>
        </w:rPr>
        <w:t>We provide a critical service to our customers, which means that it is paramount that we keep our employees who operate the business safe and informed. We continue to monitor the outbreaks of COVID-19 and continue to take steps to mitigate the potential risks to our employees. We also continue to work with our suppliers to monitor potential impacts to our supply chain. At this time, no material risks to our supply chain have been identified. We continue to implement strong physical and cyber-security measures in an effort to ensure that our systems remain functional in order to both serve our operational needs with a remote workforce, if needed, and maintain uninterrupted service to our customers.</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8" w:name="page39"/>
    <w:bookmarkEnd w:id="3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We will continue to monitor developments affecting our business, workforce, and suppliers and take additional precautions as we believe are warranted. We are actively monitoring our utility billings and have noticed increases in residential customer usage offset by decreases in commercial and industrial usage. In response to concerns about customer economic hardship and affordability during the COVID-19 pandemic health crisis, our state regulators mandated the temporary curtailment of certain collection practices, such as disconnections from utility service. In addition, we are monitoring collections of customer utility accounts as to potential impacts on cash flows, and increased expenses for costs associated with workforce-related expenses, security and cleaning of company offices and operating facilities, as well as other one-time expenses above the expense amounts included in general rates. In most of the states where we operate, regulators have allowed utilities to resume disconnections from utility service for certain customers who have unpaid balances. In eight of the ten states in which we operate regulated utilities, public utility commissions issued guidance for utilities to defer COVID-19 expenses in anticipation of seeking recovery in a future rate proceeding, and we continue to evaluate the impact of this guidance. We are continuing with our capital investment program, and based on the current situation, continue to believe we are able to complete the planned projects and improvements to our utility infrastructure. Despite our efforts, the ultimate impact to the Company of the COVID-19 pandemic also depends on factors beyond our knowledge, control, or ability to predict, including the duration and severity of this pandemic, the emergence of new variants of the virus, the resurgence of positive cases, the development and availability of effective treatments and vaccines, the speed at which such vaccines are delivered, as well as third party actions taken to contain its spread and mitigate its public health effects. Although some of our customers are facing economic hardships due to various impacts of the COVID-19 pandemic and may be unable to pay for our utility services, we do not currently anticipate a significant impact to our financial position, results of operations or cash flows as a result of the COVID-19 pandemic.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During the first three months of 2021, we incurred $178,009 of capital expenditures, issued $85,000 of long-term debt, and repaid debt and made sinking fund contributions and other loan repayments of $49,610. The capital expenditures were related to new and replacement water, wastewater, and natural gas mains, improvements to treatment plants, tanks, hydrants, and service lines, construction of natural gas fueled energy plants, well and booster improvements, information technology improvements, and other enhancements and improvements. The issuance of long-term debt was for funds borrowed under our revolving credit facility and used for capital expenditures.</w:t>
      </w:r>
    </w:p>
    <w:p>
      <w:pPr>
        <w:spacing w:after="0" w:line="188" w:lineRule="exact"/>
        <w:rPr>
          <w:sz w:val="20"/>
          <w:szCs w:val="20"/>
          <w:color w:val="auto"/>
        </w:rPr>
      </w:pPr>
    </w:p>
    <w:p>
      <w:pPr>
        <w:ind w:right="620"/>
        <w:spacing w:after="0" w:line="223" w:lineRule="auto"/>
        <w:rPr>
          <w:sz w:val="20"/>
          <w:szCs w:val="20"/>
          <w:color w:val="auto"/>
        </w:rPr>
      </w:pPr>
      <w:r>
        <w:rPr>
          <w:rFonts w:ascii="Arial" w:cs="Arial" w:eastAsia="Arial" w:hAnsi="Arial"/>
          <w:sz w:val="22"/>
          <w:szCs w:val="22"/>
          <w:color w:val="auto"/>
        </w:rPr>
        <w:t>In August 2020, we entered into a forward equity sale agreement for 6,700,000 shares of common stock with affiliates of a certain underwriter (“forward purchaser”). In connection with the forward equity sale agreement, the forward purchaser borrowed an equal number of shares of our common stock from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lenders and sold the borrowed shares to the public. We will not receive any proceeds from the sale of our common stock by the forward purchaser until settlement of all or a portion of the forward equity sale agreement. The actual proceeds to be received by us will vary depending upon the settlement date, the number of shares designated for settlement on that settlement date and the method of settlement. We intend to use any proceeds received by us upon settlement of the forward equity sale agreement for general corporate purposes, including for water and wastewater utility acquisitions, working capital and capital expenditures.</w:t>
      </w:r>
    </w:p>
    <w:p>
      <w:pPr>
        <w:spacing w:after="0" w:line="162"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On March 16, 2020 (the “Closing Date”), the Company completed the Peoples Gas Acquisition and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the Closing Date. There is a dispute between the parties regarding this adjustment for utility capital expenditures. It is expected the matter will be resolved in accordance with the provisions of the purchase agreement or by the competent court of law with jurisdiction over the matter. Peoples is headquartered in Pittsburgh, Pennsylvania and serves approximately 750,000 natural gas utility customers in western Pennsylvania, West Virginia, and Kentucky. The acquisition was financed through a series of financing transactions that included the issuance of common stock from a public offering and a private placement, a tangible equity unit offering, and short and long-term debt.</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$23,004 of one-time customer rate credits to its Pennsylvania natural gas utility customers and water and wastewater customers served by Aqua Pennsylvania. The Company granted $4,080 of customer rate credits to its water and wastewater customers during the third quarter of 2020, and $18,924 was granted to its natural gas utility customers in the fourth quarter of 2020.</w:t>
      </w:r>
    </w:p>
    <w:p>
      <w:pPr>
        <w:spacing w:after="0" w:line="164" w:lineRule="exact"/>
        <w:rPr>
          <w:sz w:val="20"/>
          <w:szCs w:val="20"/>
          <w:color w:val="auto"/>
        </w:rPr>
      </w:pPr>
    </w:p>
    <w:p>
      <w:pPr>
        <w:jc w:val="both"/>
        <w:ind w:right="340"/>
        <w:spacing w:after="0" w:line="231" w:lineRule="auto"/>
        <w:rPr>
          <w:sz w:val="20"/>
          <w:szCs w:val="20"/>
          <w:color w:val="auto"/>
        </w:rPr>
      </w:pPr>
      <w:r>
        <w:rPr>
          <w:rFonts w:ascii="Arial" w:cs="Arial" w:eastAsia="Arial" w:hAnsi="Arial"/>
          <w:sz w:val="22"/>
          <w:szCs w:val="22"/>
          <w:color w:val="auto"/>
        </w:rPr>
        <w:t>At March 31, 2021 we had $18,046 of cash and cash equivalents compared to $4,827 at December 31, 2020. During the first three months of 2021, we used the proceeds from long-term debt and internally generated funds to fund the cash requirements discussed above and to pay dividends.</w:t>
      </w:r>
    </w:p>
    <w:p>
      <w:pPr>
        <w:spacing w:after="0" w:line="188"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At March 31, 2021 our $1,000,000 unsecured revolving credit facility, which expires in December 2023, had $536,543 available for borrowing. Additionally, at March 31, we had short-term lines of credit of $235,500, of which $160,607 was available for borrowing. One of our short-term lines of credit is an Aqua Pennsylvania $100,000 364-day unsecured revolving credit facility with four banks, which is used to provide working capital, and as of March 31, $35,107 was available for borrowing. Another one of our short-term lines of credit is a Peoples Natural Gas Companies $100,000 364-day unsecured revolving credit facility with two banks, which is used to provide working capital, and as of March 31, 2021, $90,000 was available for borrowing. Our short-term lines of credit of $235,500 are subject to renewal on an annual basis. Although we believe we will be able to renew these facilities, there is no assurance that they will be renewed, or what the terms of any such renewal will be.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On April 15, 2021, the Company’s operating subsidiary Aqua Ohio, Inc. issued $100,000 of first mortgage bonds, of which</w:t>
      </w:r>
    </w:p>
    <w:p>
      <w:pPr>
        <w:spacing w:after="0" w:line="29" w:lineRule="exact"/>
        <w:rPr>
          <w:sz w:val="20"/>
          <w:szCs w:val="20"/>
          <w:color w:val="auto"/>
        </w:rPr>
      </w:pPr>
    </w:p>
    <w:p>
      <w:pPr>
        <w:ind w:right="20"/>
        <w:spacing w:after="0" w:line="221" w:lineRule="auto"/>
        <w:rPr>
          <w:sz w:val="20"/>
          <w:szCs w:val="20"/>
          <w:color w:val="auto"/>
        </w:rPr>
      </w:pPr>
      <w:r>
        <w:rPr>
          <w:rFonts w:ascii="Arial" w:cs="Arial" w:eastAsia="Arial" w:hAnsi="Arial"/>
          <w:sz w:val="22"/>
          <w:szCs w:val="22"/>
          <w:color w:val="auto"/>
        </w:rPr>
        <w:t>$50,000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our Aqua Pennsylvania five- year revolving credit facility, and the balance was used to repay in full the borrowings under its existing five-year unsecured revolving credit agreement.</w:t>
      </w: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Consolidated Results of Operations</w:t>
      </w:r>
    </w:p>
    <w:p>
      <w:pPr>
        <w:spacing w:after="0" w:line="206" w:lineRule="exact"/>
        <w:rPr>
          <w:sz w:val="20"/>
          <w:szCs w:val="20"/>
          <w:color w:val="auto"/>
        </w:rPr>
      </w:pPr>
    </w:p>
    <w:p>
      <w:pPr>
        <w:ind w:left="2660"/>
        <w:spacing w:after="0"/>
        <w:rPr>
          <w:sz w:val="20"/>
          <w:szCs w:val="20"/>
          <w:color w:val="auto"/>
        </w:rPr>
      </w:pPr>
      <w:r>
        <w:rPr>
          <w:rFonts w:ascii="Arial" w:cs="Arial" w:eastAsia="Arial" w:hAnsi="Arial"/>
          <w:sz w:val="22"/>
          <w:szCs w:val="22"/>
          <w:u w:val="single" w:color="auto"/>
          <w:color w:val="auto"/>
        </w:rPr>
        <w:t>Analysis of First Quarter of 2021 Compared to First Quarter of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$327,980 or 128%, primarily due to:</w:t>
      </w:r>
    </w:p>
    <w:p>
      <w:pPr>
        <w:spacing w:after="0" w:line="206" w:lineRule="exact"/>
        <w:rPr>
          <w:sz w:val="20"/>
          <w:szCs w:val="20"/>
          <w:color w:val="auto"/>
        </w:rPr>
      </w:pPr>
    </w:p>
    <w:p>
      <w:pPr>
        <w:ind w:left="700" w:right="480"/>
        <w:spacing w:after="0" w:line="226" w:lineRule="auto"/>
        <w:rPr>
          <w:sz w:val="20"/>
          <w:szCs w:val="20"/>
          <w:color w:val="auto"/>
        </w:rPr>
      </w:pPr>
      <w:r>
        <w:rPr>
          <w:rFonts w:ascii="Arial" w:cs="Arial" w:eastAsia="Arial" w:hAnsi="Arial"/>
          <w:sz w:val="22"/>
          <w:szCs w:val="22"/>
          <w:color w:val="auto"/>
        </w:rPr>
        <w:t>additional natural gas revenues of $315,840 associated with the Peoples Gas Acquisition which closed on March 16, 2020, and which reflects a full quarterly result for 2021;</w:t>
      </w:r>
    </w:p>
    <w:p>
      <w:pPr>
        <w:ind w:left="700"/>
        <w:spacing w:after="0" w:line="218" w:lineRule="auto"/>
        <w:rPr>
          <w:sz w:val="20"/>
          <w:szCs w:val="20"/>
          <w:color w:val="auto"/>
        </w:rPr>
      </w:pPr>
      <w:r>
        <w:rPr>
          <w:rFonts w:ascii="Arial" w:cs="Arial" w:eastAsia="Arial" w:hAnsi="Arial"/>
          <w:sz w:val="22"/>
          <w:szCs w:val="22"/>
          <w:color w:val="auto"/>
        </w:rPr>
        <w:t>an increase in water and wastewater rates, including infrastructure rehabilitation surcharges, of $6,549;</w:t>
      </w:r>
    </w:p>
    <w:p>
      <w:pPr>
        <w:ind w:left="700" w:right="60"/>
        <w:spacing w:after="0" w:line="217" w:lineRule="auto"/>
        <w:rPr>
          <w:sz w:val="20"/>
          <w:szCs w:val="20"/>
          <w:color w:val="auto"/>
        </w:rPr>
      </w:pPr>
      <w:r>
        <w:rPr>
          <w:rFonts w:ascii="Arial" w:cs="Arial" w:eastAsia="Arial" w:hAnsi="Arial"/>
          <w:sz w:val="22"/>
          <w:szCs w:val="22"/>
          <w:color w:val="auto"/>
        </w:rPr>
        <w:t>additional water and wastewater revenues of $3,275 associated with a larger customer base due to utility acquisitions and organic growth; and</w:t>
      </w:r>
    </w:p>
    <w:p>
      <w:pPr>
        <w:spacing w:after="0" w:line="2" w:lineRule="exact"/>
        <w:rPr>
          <w:sz w:val="20"/>
          <w:szCs w:val="20"/>
          <w:color w:val="auto"/>
        </w:rPr>
      </w:pPr>
    </w:p>
    <w:p>
      <w:pPr>
        <w:ind w:left="700" w:right="240"/>
        <w:spacing w:after="0" w:line="234" w:lineRule="auto"/>
        <w:rPr>
          <w:sz w:val="20"/>
          <w:szCs w:val="20"/>
          <w:color w:val="auto"/>
        </w:rPr>
      </w:pPr>
      <w:r>
        <w:rPr>
          <w:rFonts w:ascii="Arial" w:cs="Arial" w:eastAsia="Arial" w:hAnsi="Arial"/>
          <w:sz w:val="21"/>
          <w:szCs w:val="21"/>
          <w:color w:val="auto"/>
        </w:rPr>
        <w:t>an increase in customer water consumption associated with increased residential usage, which is offset by a decrease in customer water consumption for commercial customers; offset by foregone water revenue of $347 as a result of an advisory for some of our water utility customers served by our Illinois subsidiary. We expect this impact on revenues resulting from the advisory to continue in the second quarter of 2021.</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$18,438 or 17%, primarily due to:</w:t>
      </w:r>
    </w:p>
    <w:p>
      <w:pPr>
        <w:spacing w:after="0" w:line="206" w:lineRule="exact"/>
        <w:rPr>
          <w:sz w:val="20"/>
          <w:szCs w:val="20"/>
          <w:color w:val="auto"/>
        </w:rPr>
      </w:pPr>
    </w:p>
    <w:p>
      <w:pPr>
        <w:ind w:left="700"/>
        <w:spacing w:after="0" w:line="234" w:lineRule="auto"/>
        <w:rPr>
          <w:sz w:val="20"/>
          <w:szCs w:val="20"/>
          <w:color w:val="auto"/>
        </w:rPr>
      </w:pPr>
      <w:r>
        <w:rPr>
          <w:rFonts w:ascii="Arial" w:cs="Arial" w:eastAsia="Arial" w:hAnsi="Arial"/>
          <w:sz w:val="21"/>
          <w:szCs w:val="21"/>
          <w:color w:val="auto"/>
        </w:rPr>
        <w:t>incremental operating costs of $42,864 associated with the Peoples Gas Acquisition, which closed on March 16, 2020; additional expenses of $839 associated with the COVID-19 pandemic for our water utility operations consisting primarily of bad debt expense of $902, which are partially offset by decreases in travel expenses;</w:t>
      </w:r>
    </w:p>
    <w:p>
      <w:pPr>
        <w:ind w:left="700" w:right="240"/>
        <w:spacing w:after="0" w:line="217" w:lineRule="auto"/>
        <w:rPr>
          <w:sz w:val="20"/>
          <w:szCs w:val="20"/>
          <w:color w:val="auto"/>
        </w:rPr>
      </w:pPr>
      <w:r>
        <w:rPr>
          <w:rFonts w:ascii="Arial" w:cs="Arial" w:eastAsia="Arial" w:hAnsi="Arial"/>
          <w:sz w:val="22"/>
          <w:szCs w:val="22"/>
          <w:color w:val="auto"/>
        </w:rPr>
        <w:t>additional operating costs associated with acquired and pending acquisitions of water and wastewater utility systems of $778;</w:t>
      </w:r>
    </w:p>
    <w:p>
      <w:pPr>
        <w:spacing w:after="0" w:line="2" w:lineRule="exact"/>
        <w:rPr>
          <w:sz w:val="20"/>
          <w:szCs w:val="20"/>
          <w:color w:val="auto"/>
        </w:rPr>
      </w:pPr>
    </w:p>
    <w:p>
      <w:pPr>
        <w:jc w:val="both"/>
        <w:ind w:left="700" w:right="120"/>
        <w:spacing w:after="0" w:line="272" w:lineRule="auto"/>
        <w:rPr>
          <w:sz w:val="20"/>
          <w:szCs w:val="20"/>
          <w:color w:val="auto"/>
        </w:rPr>
      </w:pPr>
      <w:r>
        <w:rPr>
          <w:rFonts w:ascii="Arial" w:cs="Arial" w:eastAsia="Arial" w:hAnsi="Arial"/>
          <w:sz w:val="19"/>
          <w:szCs w:val="19"/>
          <w:color w:val="auto"/>
        </w:rPr>
        <w:t>expenses of $669 associated with remediating an advisory for some of our water utility customers served by our Illinois subsidiary, which is offset by the prior year effect of expenses of $605 recognized in the first quarter of 2020. We expect the expenses associated with remediating the advisory to continue in the second quarter of 2021; offset by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left="700"/>
        <w:spacing w:after="0"/>
        <w:rPr>
          <w:sz w:val="20"/>
          <w:szCs w:val="20"/>
          <w:color w:val="auto"/>
        </w:rPr>
      </w:pPr>
      <w:r>
        <w:rPr>
          <w:rFonts w:ascii="Arial" w:cs="Arial" w:eastAsia="Arial" w:hAnsi="Arial"/>
          <w:sz w:val="22"/>
          <w:szCs w:val="22"/>
          <w:color w:val="auto"/>
        </w:rPr>
        <w:t>lower insurance expense of $4,025 for reduced insurance claim reserve requirements; and</w:t>
      </w:r>
    </w:p>
    <w:p>
      <w:pPr>
        <w:ind w:left="700" w:right="540"/>
        <w:spacing w:after="0" w:line="226" w:lineRule="auto"/>
        <w:rPr>
          <w:sz w:val="20"/>
          <w:szCs w:val="20"/>
          <w:color w:val="auto"/>
        </w:rPr>
      </w:pPr>
      <w:r>
        <w:rPr>
          <w:rFonts w:ascii="Arial" w:cs="Arial" w:eastAsia="Arial" w:hAnsi="Arial"/>
          <w:sz w:val="22"/>
          <w:szCs w:val="22"/>
          <w:color w:val="auto"/>
        </w:rPr>
        <w:t>the prior year effect of transaction expenses of $25,397 in the first quarter of 2020 for the Peoples Gas Acquisition, primarily representing expenses associated with investment banking fees, employee related expenses, obtaining regulatory approvals, legal expenses, and integration planning.</w:t>
      </w:r>
    </w:p>
    <w:p>
      <w:pPr>
        <w:spacing w:after="0" w:line="64" w:lineRule="exact"/>
        <w:rPr>
          <w:sz w:val="20"/>
          <w:szCs w:val="20"/>
          <w:color w:val="auto"/>
        </w:rPr>
      </w:pPr>
    </w:p>
    <w:p>
      <w:pPr>
        <w:ind w:right="520"/>
        <w:spacing w:after="0" w:line="313" w:lineRule="auto"/>
        <w:rPr>
          <w:sz w:val="20"/>
          <w:szCs w:val="20"/>
          <w:color w:val="auto"/>
        </w:rPr>
      </w:pPr>
      <w:r>
        <w:rPr>
          <w:rFonts w:ascii="Arial" w:cs="Arial" w:eastAsia="Arial" w:hAnsi="Arial"/>
          <w:sz w:val="19"/>
          <w:szCs w:val="19"/>
          <w:color w:val="auto"/>
        </w:rPr>
        <w:t>Purchased gas increased by $119,383 primarily due to the closing of the Peoples Gas Acquisition on March 16, 2020, and a reflection of full first quarter results in the first quarter of 2021. Purchased gas represents the cost of gas sold by Peoples.</w:t>
      </w:r>
    </w:p>
    <w:p>
      <w:pPr>
        <w:spacing w:after="0" w:line="119" w:lineRule="exact"/>
        <w:rPr>
          <w:sz w:val="20"/>
          <w:szCs w:val="20"/>
          <w:color w:val="auto"/>
        </w:rPr>
      </w:pPr>
    </w:p>
    <w:p>
      <w:pPr>
        <w:ind w:right="560"/>
        <w:spacing w:after="0" w:line="313" w:lineRule="auto"/>
        <w:rPr>
          <w:sz w:val="20"/>
          <w:szCs w:val="20"/>
          <w:color w:val="auto"/>
        </w:rPr>
      </w:pPr>
      <w:r>
        <w:rPr>
          <w:rFonts w:ascii="Arial" w:cs="Arial" w:eastAsia="Arial" w:hAnsi="Arial"/>
          <w:sz w:val="19"/>
          <w:szCs w:val="19"/>
          <w:color w:val="auto"/>
        </w:rPr>
        <w:t>Depreciation expense increased by $26,071 or 57%, primarily due to depreciation expense of $22,707 associated with our completion of the Peoples Gas Acquisition on March 16, 2020 and the utility plant placed in service since March 31, 2020.</w:t>
      </w:r>
    </w:p>
    <w:p>
      <w:pPr>
        <w:spacing w:after="0" w:line="119" w:lineRule="exact"/>
        <w:rPr>
          <w:sz w:val="20"/>
          <w:szCs w:val="20"/>
          <w:color w:val="auto"/>
        </w:rPr>
      </w:pPr>
    </w:p>
    <w:p>
      <w:pPr>
        <w:ind w:right="660"/>
        <w:spacing w:after="0" w:line="239" w:lineRule="auto"/>
        <w:rPr>
          <w:sz w:val="20"/>
          <w:szCs w:val="20"/>
          <w:color w:val="auto"/>
        </w:rPr>
      </w:pPr>
      <w:r>
        <w:rPr>
          <w:rFonts w:ascii="Arial" w:cs="Arial" w:eastAsia="Arial" w:hAnsi="Arial"/>
          <w:sz w:val="22"/>
          <w:szCs w:val="22"/>
          <w:color w:val="auto"/>
        </w:rPr>
        <w:t>Amortization increased by $628 primarily due to amortization expense associated with our completion of the Peoples Gas Acquisition.</w:t>
      </w:r>
    </w:p>
    <w:p>
      <w:pPr>
        <w:spacing w:after="0" w:line="185" w:lineRule="exact"/>
        <w:rPr>
          <w:sz w:val="20"/>
          <w:szCs w:val="20"/>
          <w:color w:val="auto"/>
        </w:rPr>
      </w:pPr>
    </w:p>
    <w:p>
      <w:pPr>
        <w:ind w:right="340"/>
        <w:spacing w:after="0" w:line="313" w:lineRule="auto"/>
        <w:rPr>
          <w:sz w:val="20"/>
          <w:szCs w:val="20"/>
          <w:color w:val="auto"/>
        </w:rPr>
      </w:pPr>
      <w:r>
        <w:rPr>
          <w:rFonts w:ascii="Arial" w:cs="Arial" w:eastAsia="Arial" w:hAnsi="Arial"/>
          <w:sz w:val="19"/>
          <w:szCs w:val="19"/>
          <w:color w:val="auto"/>
        </w:rPr>
        <w:t>Taxes other than income taxes increased by $4,605 or 28%, primarily due to increases in payroll taxes of $2,476 and property taxes resulting from additional expenses associated with acquired operations primarily the Peoples Gas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$15,647 or 45%, primarily due to the following items: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an increase in average borrowings; and</w:t>
      </w:r>
    </w:p>
    <w:p>
      <w:pPr>
        <w:ind w:left="700" w:right="4780"/>
        <w:spacing w:after="0" w:line="230" w:lineRule="auto"/>
        <w:rPr>
          <w:sz w:val="20"/>
          <w:szCs w:val="20"/>
          <w:color w:val="auto"/>
        </w:rPr>
      </w:pPr>
      <w:r>
        <w:rPr>
          <w:rFonts w:ascii="Arial" w:cs="Arial" w:eastAsia="Arial" w:hAnsi="Arial"/>
          <w:sz w:val="22"/>
          <w:szCs w:val="22"/>
          <w:color w:val="auto"/>
        </w:rPr>
        <w:t>interest on debt assumed in the Peoples Gas Acquisition; offset by a decrease in our effective interest rate.</w:t>
      </w:r>
    </w:p>
    <w:p>
      <w:pPr>
        <w:spacing w:after="0" w:line="294"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Interest income decreased by $4,648 or 92%, primarily due to the utilization of the proceeds held from our 2019 equity and debt offerings to close the Peoples Gas Acquisition on March 16, 2020.</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Allowance for funds used during construction (“AFUDC”) decreased by $14, relatively comparable to the first quarter of 2020.</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Equity loss (earnings) in joint venture was $127 in 2020 and our investment in the joint venture was sold in October 2020.</w:t>
      </w:r>
    </w:p>
    <w:p>
      <w:pPr>
        <w:spacing w:after="0" w:line="241" w:lineRule="exact"/>
        <w:rPr>
          <w:sz w:val="20"/>
          <w:szCs w:val="20"/>
          <w:color w:val="auto"/>
        </w:rPr>
      </w:pPr>
    </w:p>
    <w:p>
      <w:pPr>
        <w:ind w:right="160"/>
        <w:spacing w:after="0" w:line="313" w:lineRule="auto"/>
        <w:rPr>
          <w:sz w:val="20"/>
          <w:szCs w:val="20"/>
          <w:color w:val="auto"/>
        </w:rPr>
      </w:pPr>
      <w:r>
        <w:rPr>
          <w:rFonts w:ascii="Arial" w:cs="Arial" w:eastAsia="Arial" w:hAnsi="Arial"/>
          <w:sz w:val="19"/>
          <w:szCs w:val="19"/>
          <w:color w:val="auto"/>
        </w:rPr>
        <w:t>Other expense decreased by $5,150 primarily due to the probable recovery of a previously incurred cost that resulted in the recognition of a regulatory asset, and a decrease in the non-service cost components of our net benefit cost for pension benefits.</w:t>
      </w:r>
    </w:p>
    <w:p>
      <w:pPr>
        <w:spacing w:after="0" w:line="119"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Our effective income tax rate was 2.5% in the first quarter of 2021 and (16.0)% in the first quarter of 2020. The effective income tax rate increased due to an increase in the pre-tax income, offset by an increase in the income tax benefit recognized due to additional tax deductions for qualifying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5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60"/>
        <w:spacing w:after="0" w:line="231" w:lineRule="auto"/>
        <w:rPr>
          <w:sz w:val="20"/>
          <w:szCs w:val="20"/>
          <w:color w:val="auto"/>
        </w:rPr>
      </w:pPr>
      <w:r>
        <w:rPr>
          <w:rFonts w:ascii="Arial" w:cs="Arial" w:eastAsia="Arial" w:hAnsi="Arial"/>
          <w:sz w:val="22"/>
          <w:szCs w:val="22"/>
          <w:color w:val="auto"/>
        </w:rPr>
        <w:t>infrastructure investments recognized in the first quarter of 2021. The Company’s provision for income taxes represented an income tax benefit in the first quarter of 2020 due to the effects of tax deductions recognized for certain qualifying infrastructure improvements and lower pre-tax income during the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$131,908 primarily as a result of the factors described above.</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u w:val="single" w:color="auto"/>
          <w:color w:val="auto"/>
        </w:rPr>
        <w:t>Results of Operations – Regulated Water Segment</w:t>
      </w:r>
    </w:p>
    <w:p>
      <w:pPr>
        <w:spacing w:after="0" w:line="206"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 and for a discussion and analysis of the segment operating results, refer to the consolidated results of operations.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Results of Operations – Regulated Natural Gas Segment</w:t>
      </w:r>
    </w:p>
    <w:p>
      <w:pPr>
        <w:spacing w:after="0" w:line="206"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Upon closing on the Peoples Gas Acquisition on March 16, 2020, the operating results since the acquisition date comprises our Regulated Natural Gas segment. 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operating results of Peoples is reported for the period after acquisition, such that the first quarter of 2020 only represented 16 days of operating results, compared to the full period in the first quarter of 2021. Refer to Note 13 – </w:t>
      </w:r>
      <w:r>
        <w:rPr>
          <w:rFonts w:ascii="Arial" w:cs="Arial" w:eastAsia="Arial" w:hAnsi="Arial"/>
          <w:sz w:val="19"/>
          <w:szCs w:val="19"/>
          <w:i w:val="1"/>
          <w:iCs w:val="1"/>
          <w:color w:val="auto"/>
        </w:rPr>
        <w:t>Segment Information</w:t>
      </w:r>
      <w:r>
        <w:rPr>
          <w:rFonts w:ascii="Arial" w:cs="Arial" w:eastAsia="Arial" w:hAnsi="Arial"/>
          <w:sz w:val="19"/>
          <w:szCs w:val="19"/>
          <w:color w:val="auto"/>
        </w:rPr>
        <w:t xml:space="preserve"> to the consolidated financial statements in this report for a summary of the operating results of the Regulated Natural Gas segment.</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but do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includes the operating results for our Regulated Natural Gas segment for the period since the acquisition date of March 16, 2020, including the reconciliation of gross margin (non-GAAP) to operating revenues (GAAP):</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3" w:name="page44"/>
    <w:bookmarkEnd w:id="4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160" w:type="dxa"/>
            <w:vAlign w:val="bottom"/>
            <w:gridSpan w:val="3"/>
          </w:tcPr>
          <w:p>
            <w:pPr>
              <w:jc w:val="center"/>
              <w:spacing w:after="0"/>
              <w:rPr>
                <w:sz w:val="20"/>
                <w:szCs w:val="20"/>
                <w:color w:val="auto"/>
              </w:rPr>
            </w:pPr>
            <w:r>
              <w:rPr>
                <w:rFonts w:ascii="Arial" w:cs="Arial" w:eastAsia="Arial" w:hAnsi="Arial"/>
                <w:sz w:val="22"/>
                <w:szCs w:val="22"/>
                <w:color w:val="auto"/>
                <w:w w:val="89"/>
              </w:rPr>
              <w:t>Three Months Ended</w:t>
            </w:r>
          </w:p>
        </w:tc>
        <w:tc>
          <w:tcPr>
            <w:tcW w:w="1680" w:type="dxa"/>
            <w:vAlign w:val="bottom"/>
          </w:tcPr>
          <w:p>
            <w:pPr>
              <w:spacing w:after="0"/>
              <w:rPr>
                <w:sz w:val="21"/>
                <w:szCs w:val="21"/>
                <w:color w:val="auto"/>
              </w:rPr>
            </w:pPr>
          </w:p>
        </w:tc>
      </w:tr>
      <w:tr>
        <w:trPr>
          <w:trHeight w:val="251"/>
        </w:trPr>
        <w:tc>
          <w:tcPr>
            <w:tcW w:w="4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spacing w:after="0" w:line="251" w:lineRule="exact"/>
              <w:rPr>
                <w:sz w:val="20"/>
                <w:szCs w:val="20"/>
                <w:color w:val="auto"/>
              </w:rPr>
            </w:pPr>
            <w:r>
              <w:rPr>
                <w:rFonts w:ascii="Arial" w:cs="Arial" w:eastAsia="Arial" w:hAnsi="Arial"/>
                <w:sz w:val="22"/>
                <w:szCs w:val="22"/>
                <w:color w:val="auto"/>
                <w:w w:val="91"/>
              </w:rPr>
              <w:t>March 31,</w:t>
            </w:r>
          </w:p>
        </w:tc>
        <w:tc>
          <w:tcPr>
            <w:tcW w:w="1680" w:type="dxa"/>
            <w:vAlign w:val="bottom"/>
            <w:tcBorders>
              <w:bottom w:val="single" w:sz="8" w:color="auto"/>
            </w:tcBorders>
          </w:tcPr>
          <w:p>
            <w:pPr>
              <w:spacing w:after="0"/>
              <w:rPr>
                <w:sz w:val="21"/>
                <w:szCs w:val="2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37"/>
              <w:spacing w:after="0" w:line="223" w:lineRule="exact"/>
              <w:rPr>
                <w:sz w:val="20"/>
                <w:szCs w:val="20"/>
                <w:color w:val="auto"/>
              </w:rPr>
            </w:pPr>
            <w:r>
              <w:rPr>
                <w:rFonts w:ascii="Arial" w:cs="Arial" w:eastAsia="Arial" w:hAnsi="Arial"/>
                <w:sz w:val="22"/>
                <w:szCs w:val="22"/>
                <w:color w:val="auto"/>
              </w:rPr>
              <w:t>2021</w:t>
            </w: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52"/>
              <w:spacing w:after="0" w:line="223" w:lineRule="exact"/>
              <w:rPr>
                <w:sz w:val="20"/>
                <w:szCs w:val="20"/>
                <w:color w:val="auto"/>
              </w:rPr>
            </w:pPr>
            <w:r>
              <w:rPr>
                <w:rFonts w:ascii="Arial" w:cs="Arial" w:eastAsia="Arial" w:hAnsi="Arial"/>
                <w:sz w:val="22"/>
                <w:szCs w:val="22"/>
                <w:color w:val="auto"/>
              </w:rPr>
              <w:t>2020</w:t>
            </w:r>
          </w:p>
        </w:tc>
      </w:tr>
      <w:tr>
        <w:trPr>
          <w:trHeight w:val="223"/>
        </w:trPr>
        <w:tc>
          <w:tcPr>
            <w:tcW w:w="41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 (GAAP)</w:t>
            </w:r>
          </w:p>
        </w:tc>
        <w:tc>
          <w:tcPr>
            <w:tcW w:w="1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477"/>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343,115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3"/>
              <w:spacing w:after="0"/>
              <w:rPr>
                <w:sz w:val="20"/>
                <w:szCs w:val="20"/>
                <w:color w:val="auto"/>
              </w:rPr>
            </w:pPr>
            <w:r>
              <w:rPr>
                <w:rFonts w:ascii="Arial" w:cs="Arial" w:eastAsia="Arial" w:hAnsi="Arial"/>
                <w:sz w:val="19"/>
                <w:szCs w:val="19"/>
                <w:color w:val="auto"/>
                <w:w w:val="75"/>
              </w:rPr>
              <w:t>$</w:t>
            </w:r>
          </w:p>
        </w:tc>
        <w:tc>
          <w:tcPr>
            <w:tcW w:w="16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38,544</w:t>
            </w:r>
          </w:p>
        </w:tc>
      </w:tr>
      <w:tr>
        <w:trPr>
          <w:trHeight w:val="230"/>
        </w:trPr>
        <w:tc>
          <w:tcPr>
            <w:tcW w:w="410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Purchased gas</w:t>
            </w:r>
          </w:p>
        </w:tc>
        <w:tc>
          <w:tcPr>
            <w:tcW w:w="16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122,888</w:t>
            </w:r>
          </w:p>
        </w:tc>
        <w:tc>
          <w:tcPr>
            <w:tcW w:w="3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12,770</w:t>
            </w:r>
          </w:p>
        </w:tc>
      </w:tr>
      <w:tr>
        <w:trPr>
          <w:trHeight w:val="223"/>
        </w:trPr>
        <w:tc>
          <w:tcPr>
            <w:tcW w:w="41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Gross margin (non-GAAP)</w:t>
            </w:r>
          </w:p>
        </w:tc>
        <w:tc>
          <w:tcPr>
            <w:tcW w:w="16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220,227</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25,774</w:t>
            </w:r>
          </w:p>
        </w:tc>
      </w:tr>
      <w:tr>
        <w:trPr>
          <w:trHeight w:val="20"/>
        </w:trPr>
        <w:tc>
          <w:tcPr>
            <w:tcW w:w="4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460"/>
        <w:spacing w:after="0" w:line="231" w:lineRule="auto"/>
        <w:rPr>
          <w:sz w:val="20"/>
          <w:szCs w:val="20"/>
          <w:color w:val="auto"/>
        </w:rPr>
      </w:pPr>
      <w:r>
        <w:rPr>
          <w:rFonts w:ascii="Arial" w:cs="Arial" w:eastAsia="Arial" w:hAnsi="Arial"/>
          <w:sz w:val="22"/>
          <w:szCs w:val="22"/>
          <w:color w:val="auto"/>
        </w:rPr>
        <w:t>The term gross margin is not intended to represent operating revenues, the most comparable GAAP financial measure, as an indicator of operating performance. In addition, our measurement of gross margin is not necessarily comparable to similarly titled measures reported by other companies.</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On March 31, 2020, we changed the method of tax accounting for certain qualifying infrastructure investments at Peoples Natural Gas, our largest natural gas subsidiary in Pennsylvania, which provided for a reduction to income tax expense due to the flow-through treatment of the current tax benefits. As a result, current tax benefits of $34,069 and $5,923 in the Regulated Natural Gas segment were recognized in the first quarter of 2021 and 2020, respectively.</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06" w:lineRule="exact"/>
        <w:rPr>
          <w:sz w:val="20"/>
          <w:szCs w:val="20"/>
          <w:color w:val="auto"/>
        </w:rPr>
      </w:pPr>
    </w:p>
    <w:p>
      <w:pPr>
        <w:ind w:right="1120"/>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16,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300"/>
        <w:spacing w:after="0" w:line="231"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Refer to Item 7A of the Company’s Annual Report on Form 10-K for the year ended December 31, 2020, filed March 1, 2021, for additional information on market risks.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0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 xml:space="preserve">On March 16, 2020, we completed the Peoples Gas Acquisition. For additional information refer to Note 3 – </w:t>
      </w:r>
      <w:r>
        <w:rPr>
          <w:rFonts w:ascii="Arial" w:cs="Arial" w:eastAsia="Arial" w:hAnsi="Arial"/>
          <w:sz w:val="19"/>
          <w:szCs w:val="19"/>
          <w:i w:val="1"/>
          <w:iCs w:val="1"/>
          <w:color w:val="auto"/>
        </w:rPr>
        <w:t>Acquisitions</w:t>
      </w:r>
      <w:r>
        <w:rPr>
          <w:rFonts w:ascii="Arial" w:cs="Arial" w:eastAsia="Arial" w:hAnsi="Arial"/>
          <w:sz w:val="19"/>
          <w:szCs w:val="19"/>
          <w:color w:val="auto"/>
        </w:rPr>
        <w:t xml:space="preserve"> to the consolidated financial statements included in this report. We consider this acquisition material to our business, financial condition, and results of operations, and believe the changes in our internal controls and procedures as a result of the Peoples Gas Acquisition have a material effect on our internal control over financial reporting. During the time since acquisition, we have assessed the control environment and made certain changes in our internal control over financial reporting, including design changes, and we have performed testing of operating effectiveness over many of Peoples’ internal controls. We now consider the Peoples’ business to be included in the scope of our assessment over internal controls.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06" w:lineRule="exact"/>
        <w:rPr>
          <w:sz w:val="20"/>
          <w:szCs w:val="20"/>
          <w:color w:val="auto"/>
        </w:rPr>
      </w:pPr>
    </w:p>
    <w:p>
      <w:pPr>
        <w:ind w:right="160"/>
        <w:spacing w:after="0" w:line="228" w:lineRule="auto"/>
        <w:rPr>
          <w:sz w:val="20"/>
          <w:szCs w:val="20"/>
          <w:color w:val="auto"/>
        </w:rPr>
      </w:pPr>
      <w:r>
        <w:rPr>
          <w:rFonts w:ascii="Arial" w:cs="Arial" w:eastAsia="Arial" w:hAnsi="Arial"/>
          <w:sz w:val="22"/>
          <w:szCs w:val="22"/>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Please review the risks disclosed in our Annual Report on Form 10-K for the year ended December 31, 2020, under “Part 1, Item 1A – Risk Factors.”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5" w:name="page46"/>
    <w:bookmarkEnd w:id="4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Company’s purchases of its common stock for the quarter ended March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200" w:type="dxa"/>
            <w:vAlign w:val="bottom"/>
            <w:gridSpan w:val="6"/>
          </w:tcPr>
          <w:p>
            <w:pPr>
              <w:ind w:left="20"/>
              <w:spacing w:after="0"/>
              <w:rPr>
                <w:sz w:val="20"/>
                <w:szCs w:val="20"/>
                <w:color w:val="auto"/>
              </w:rPr>
            </w:pPr>
            <w:r>
              <w:rPr>
                <w:rFonts w:ascii="Arial" w:cs="Arial" w:eastAsia="Arial" w:hAnsi="Arial"/>
                <w:sz w:val="22"/>
                <w:szCs w:val="22"/>
                <w:color w:val="auto"/>
              </w:rPr>
              <w:t>Issuer Purchases of Equity Securities</w:t>
            </w:r>
          </w:p>
        </w:tc>
        <w:tc>
          <w:tcPr>
            <w:tcW w:w="184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Total</w:t>
            </w: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Shares</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Purchased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as Part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Total</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Publicly</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w w:val="85"/>
              </w:rPr>
              <w:t>Average</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Announced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of Shares</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Price Paid</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Plans or</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40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222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Purchased (1)</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4" w:lineRule="exact"/>
              <w:rPr>
                <w:sz w:val="20"/>
                <w:szCs w:val="20"/>
                <w:color w:val="auto"/>
              </w:rPr>
            </w:pPr>
            <w:r>
              <w:rPr>
                <w:rFonts w:ascii="Arial" w:cs="Arial" w:eastAsia="Arial" w:hAnsi="Arial"/>
                <w:sz w:val="22"/>
                <w:szCs w:val="22"/>
                <w:color w:val="auto"/>
              </w:rPr>
              <w:t>per Share</w:t>
            </w:r>
          </w:p>
        </w:tc>
        <w:tc>
          <w:tcPr>
            <w:tcW w:w="184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Programs</w:t>
            </w:r>
          </w:p>
        </w:tc>
        <w:tc>
          <w:tcPr>
            <w:tcW w:w="180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shd w:val="clear" w:color="auto" w:fill="CCEEFF"/>
          </w:tcPr>
          <w:p>
            <w:pPr>
              <w:spacing w:after="0" w:line="210" w:lineRule="exact"/>
              <w:rPr>
                <w:sz w:val="20"/>
                <w:szCs w:val="20"/>
                <w:color w:val="auto"/>
              </w:rPr>
            </w:pPr>
            <w:r>
              <w:rPr>
                <w:rFonts w:ascii="Arial" w:cs="Arial" w:eastAsia="Arial" w:hAnsi="Arial"/>
                <w:sz w:val="22"/>
                <w:szCs w:val="22"/>
                <w:color w:val="auto"/>
              </w:rPr>
              <w:t>January 1 - 31, 2021</w:t>
            </w:r>
          </w:p>
        </w:tc>
        <w:tc>
          <w:tcPr>
            <w:tcW w:w="196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2"/>
              <w:spacing w:after="0" w:line="210"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tcPr>
          <w:p>
            <w:pPr>
              <w:spacing w:after="0" w:line="229" w:lineRule="exact"/>
              <w:rPr>
                <w:sz w:val="20"/>
                <w:szCs w:val="20"/>
                <w:color w:val="auto"/>
              </w:rPr>
            </w:pPr>
            <w:r>
              <w:rPr>
                <w:rFonts w:ascii="Arial" w:cs="Arial" w:eastAsia="Arial" w:hAnsi="Arial"/>
                <w:sz w:val="22"/>
                <w:szCs w:val="22"/>
                <w:color w:val="auto"/>
              </w:rPr>
              <w:t>February 1 - 28, 2021</w:t>
            </w:r>
          </w:p>
        </w:tc>
        <w:tc>
          <w:tcPr>
            <w:tcW w:w="1960" w:type="dxa"/>
            <w:vAlign w:val="bottom"/>
          </w:tcPr>
          <w:p>
            <w:pPr>
              <w:jc w:val="right"/>
              <w:spacing w:after="0" w:line="229" w:lineRule="exact"/>
              <w:rPr>
                <w:sz w:val="20"/>
                <w:szCs w:val="20"/>
                <w:color w:val="auto"/>
              </w:rPr>
            </w:pPr>
            <w:r>
              <w:rPr>
                <w:rFonts w:ascii="Arial" w:cs="Arial" w:eastAsia="Arial" w:hAnsi="Arial"/>
                <w:sz w:val="22"/>
                <w:szCs w:val="22"/>
                <w:color w:val="auto"/>
              </w:rPr>
              <w:t>71,650</w:t>
            </w:r>
          </w:p>
        </w:tc>
        <w:tc>
          <w:tcPr>
            <w:tcW w:w="260" w:type="dxa"/>
            <w:vAlign w:val="bottom"/>
          </w:tcPr>
          <w:p>
            <w:pPr>
              <w:spacing w:after="0"/>
              <w:rPr>
                <w:sz w:val="19"/>
                <w:szCs w:val="19"/>
                <w:color w:val="auto"/>
              </w:rPr>
            </w:pPr>
          </w:p>
        </w:tc>
        <w:tc>
          <w:tcPr>
            <w:tcW w:w="480" w:type="dxa"/>
            <w:vAlign w:val="bottom"/>
          </w:tcPr>
          <w:p>
            <w:pPr>
              <w:jc w:val="right"/>
              <w:ind w:right="252"/>
              <w:spacing w:after="0" w:line="229"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42.81</w:t>
            </w:r>
          </w:p>
        </w:tc>
        <w:tc>
          <w:tcPr>
            <w:tcW w:w="26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spacing w:after="0" w:line="229" w:lineRule="exact"/>
              <w:rPr>
                <w:sz w:val="20"/>
                <w:szCs w:val="20"/>
                <w:color w:val="auto"/>
              </w:rPr>
            </w:pPr>
            <w:r>
              <w:rPr>
                <w:rFonts w:ascii="Arial" w:cs="Arial" w:eastAsia="Arial" w:hAnsi="Arial"/>
                <w:sz w:val="22"/>
                <w:szCs w:val="22"/>
                <w:color w:val="auto"/>
              </w:rPr>
              <w:t>March 1 - 31, 2021</w:t>
            </w:r>
          </w:p>
        </w:tc>
        <w:tc>
          <w:tcPr>
            <w:tcW w:w="19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4,455</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52"/>
              <w:spacing w:after="0" w:line="229"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43.80</w:t>
            </w:r>
          </w:p>
        </w:tc>
        <w:tc>
          <w:tcPr>
            <w:tcW w:w="2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line="223" w:lineRule="exact"/>
              <w:rPr>
                <w:sz w:val="20"/>
                <w:szCs w:val="20"/>
                <w:color w:val="auto"/>
              </w:rPr>
            </w:pPr>
            <w:r>
              <w:rPr>
                <w:rFonts w:ascii="Arial" w:cs="Arial" w:eastAsia="Arial" w:hAnsi="Arial"/>
                <w:sz w:val="22"/>
                <w:szCs w:val="22"/>
                <w:color w:val="auto"/>
              </w:rPr>
              <w:t>Total</w:t>
            </w:r>
          </w:p>
        </w:tc>
        <w:tc>
          <w:tcPr>
            <w:tcW w:w="1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76,105</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52"/>
              <w:spacing w:after="0" w:line="223"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rPr>
              <w:t>42.87</w:t>
            </w:r>
          </w:p>
        </w:tc>
        <w:tc>
          <w:tcPr>
            <w:tcW w:w="260" w:type="dxa"/>
            <w:vAlign w:val="bottom"/>
          </w:tcPr>
          <w:p>
            <w:pPr>
              <w:spacing w:after="0"/>
              <w:rPr>
                <w:sz w:val="19"/>
                <w:szCs w:val="19"/>
                <w:color w:val="auto"/>
              </w:rPr>
            </w:pPr>
          </w:p>
        </w:tc>
        <w:tc>
          <w:tcPr>
            <w:tcW w:w="15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right="100" w:hanging="328"/>
        <w:spacing w:after="0" w:line="272"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These amounts consist of 76,105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53"/>
        </w:trPr>
        <w:tc>
          <w:tcPr>
            <w:tcW w:w="2120" w:type="dxa"/>
            <w:vAlign w:val="bottom"/>
            <w:gridSpan w:val="3"/>
          </w:tcPr>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73"/>
        </w:trPr>
        <w:tc>
          <w:tcPr>
            <w:tcW w:w="1540" w:type="dxa"/>
            <w:vAlign w:val="bottom"/>
            <w:tcBorders>
              <w:top w:val="single" w:sz="8" w:color="0563C1"/>
            </w:tcBorders>
          </w:tcPr>
          <w:p>
            <w:pPr>
              <w:spacing w:after="0"/>
              <w:rPr>
                <w:sz w:val="20"/>
                <w:szCs w:val="20"/>
                <w:color w:val="auto"/>
              </w:rPr>
            </w:pPr>
            <w:r>
              <w:rPr>
                <w:rFonts w:ascii="Arial" w:cs="Arial" w:eastAsia="Arial" w:hAnsi="Arial"/>
                <w:sz w:val="22"/>
                <w:szCs w:val="22"/>
                <w:color w:val="auto"/>
                <w:w w:val="93"/>
              </w:rPr>
              <w:t>Item 6 – Exhibits</w:t>
            </w:r>
          </w:p>
        </w:tc>
        <w:tc>
          <w:tcPr>
            <w:tcW w:w="5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7"/>
        </w:trPr>
        <w:tc>
          <w:tcPr>
            <w:tcW w:w="2120" w:type="dxa"/>
            <w:vAlign w:val="bottom"/>
            <w:gridSpan w:val="3"/>
          </w:tcPr>
          <w:p>
            <w:pPr>
              <w:ind w:left="20"/>
              <w:spacing w:after="0"/>
              <w:rPr>
                <w:sz w:val="20"/>
                <w:szCs w:val="20"/>
                <w:color w:val="auto"/>
              </w:rPr>
            </w:pPr>
            <w:r>
              <w:rPr>
                <w:rFonts w:ascii="Arial" w:cs="Arial" w:eastAsia="Arial" w:hAnsi="Arial"/>
                <w:sz w:val="22"/>
                <w:szCs w:val="22"/>
                <w:b w:val="1"/>
                <w:bCs w:val="1"/>
                <w:color w:val="auto"/>
              </w:rPr>
              <w:t>Exhibit No.</w:t>
            </w:r>
          </w:p>
        </w:tc>
        <w:tc>
          <w:tcPr>
            <w:tcW w:w="20" w:type="dxa"/>
            <w:vAlign w:val="bottom"/>
          </w:tcPr>
          <w:p>
            <w:pPr>
              <w:spacing w:after="0"/>
              <w:rPr>
                <w:sz w:val="24"/>
                <w:szCs w:val="24"/>
                <w:color w:val="auto"/>
              </w:rPr>
            </w:pPr>
          </w:p>
        </w:tc>
        <w:tc>
          <w:tcPr>
            <w:tcW w:w="9120" w:type="dxa"/>
            <w:vAlign w:val="bottom"/>
            <w:gridSpan w:val="14"/>
          </w:tcPr>
          <w:p>
            <w:pPr>
              <w:ind w:left="60"/>
              <w:spacing w:after="0"/>
              <w:rPr>
                <w:sz w:val="20"/>
                <w:szCs w:val="20"/>
                <w:color w:val="auto"/>
              </w:rPr>
            </w:pPr>
            <w:r>
              <w:rPr>
                <w:rFonts w:ascii="Arial" w:cs="Arial" w:eastAsia="Arial" w:hAnsi="Arial"/>
                <w:sz w:val="22"/>
                <w:szCs w:val="22"/>
                <w:b w:val="1"/>
                <w:bCs w:val="1"/>
                <w:color w:val="auto"/>
              </w:rPr>
              <w:t>Description</w:t>
            </w:r>
          </w:p>
        </w:tc>
      </w:tr>
      <w:tr>
        <w:trPr>
          <w:trHeight w:val="196"/>
        </w:trPr>
        <w:tc>
          <w:tcPr>
            <w:tcW w:w="15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22"/>
                <w:szCs w:val="22"/>
                <w:color w:val="auto"/>
              </w:rPr>
              <w:t>4.1</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120" w:type="dxa"/>
            <w:vAlign w:val="bottom"/>
            <w:tcBorders>
              <w:top w:val="single" w:sz="8" w:color="auto"/>
            </w:tcBorders>
            <w:gridSpan w:val="14"/>
            <w:shd w:val="clear" w:color="auto" w:fill="CCEEFF"/>
          </w:tcPr>
          <w:p>
            <w:pPr>
              <w:spacing w:after="0" w:line="195" w:lineRule="exact"/>
              <w:rPr>
                <w:rFonts w:ascii="Arial" w:cs="Arial" w:eastAsia="Arial" w:hAnsi="Arial"/>
                <w:sz w:val="22"/>
                <w:szCs w:val="22"/>
                <w:color w:val="0563C1"/>
                <w:w w:val="95"/>
              </w:rPr>
            </w:pPr>
            <w:hyperlink r:id="rId59">
              <w:r>
                <w:rPr>
                  <w:rFonts w:ascii="Arial" w:cs="Arial" w:eastAsia="Arial" w:hAnsi="Arial"/>
                  <w:sz w:val="22"/>
                  <w:szCs w:val="22"/>
                  <w:color w:val="0563C1"/>
                  <w:w w:val="95"/>
                </w:rPr>
                <w:t>Indenture, dated as of April 23, 2019, between Aqua America, Inc. and U.S. Bank N.A., as trustee</w:t>
              </w:r>
            </w:hyperlink>
          </w:p>
        </w:tc>
      </w:tr>
      <w:tr>
        <w:trPr>
          <w:trHeight w:val="209"/>
        </w:trPr>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540" w:type="dxa"/>
            <w:vAlign w:val="bottom"/>
            <w:tcBorders>
              <w:top w:val="single" w:sz="8" w:color="0563C1"/>
              <w:bottom w:val="single" w:sz="8" w:color="0563C1"/>
            </w:tcBorders>
            <w:gridSpan w:val="9"/>
            <w:shd w:val="clear" w:color="auto" w:fill="CCEEFF"/>
          </w:tcPr>
          <w:p>
            <w:pPr>
              <w:spacing w:after="0" w:line="209" w:lineRule="exact"/>
              <w:rPr>
                <w:rFonts w:ascii="Arial" w:cs="Arial" w:eastAsia="Arial" w:hAnsi="Arial"/>
                <w:sz w:val="22"/>
                <w:szCs w:val="22"/>
                <w:color w:val="0563C1"/>
                <w:w w:val="90"/>
              </w:rPr>
            </w:pPr>
            <w:hyperlink r:id="rId59">
              <w:r>
                <w:rPr>
                  <w:rFonts w:ascii="Arial" w:cs="Arial" w:eastAsia="Arial" w:hAnsi="Arial"/>
                  <w:sz w:val="22"/>
                  <w:szCs w:val="22"/>
                  <w:color w:val="0563C1"/>
                  <w:w w:val="90"/>
                </w:rPr>
                <w:t>(incorporated by reference to Exhibit 4.4 to the Company’s Current Report on Form 8-K filed April</w:t>
              </w:r>
            </w:hyperlink>
          </w:p>
        </w:tc>
        <w:tc>
          <w:tcPr>
            <w:tcW w:w="440" w:type="dxa"/>
            <w:vAlign w:val="bottom"/>
            <w:tcBorders>
              <w:top w:val="single" w:sz="8" w:color="CCEEFF"/>
              <w:bottom w:val="single" w:sz="8" w:color="0563C1"/>
            </w:tcBorders>
            <w:gridSpan w:val="2"/>
            <w:shd w:val="clear" w:color="auto" w:fill="CCEEFF"/>
          </w:tcPr>
          <w:p>
            <w:pPr>
              <w:jc w:val="right"/>
              <w:spacing w:after="0" w:line="209" w:lineRule="exact"/>
              <w:rPr>
                <w:rFonts w:ascii="Arial" w:cs="Arial" w:eastAsia="Arial" w:hAnsi="Arial"/>
                <w:sz w:val="22"/>
                <w:szCs w:val="22"/>
                <w:color w:val="0563C1"/>
              </w:rPr>
            </w:pPr>
            <w:hyperlink r:id="rId59">
              <w:r>
                <w:rPr>
                  <w:rFonts w:ascii="Arial" w:cs="Arial" w:eastAsia="Arial" w:hAnsi="Arial"/>
                  <w:sz w:val="22"/>
                  <w:szCs w:val="22"/>
                  <w:color w:val="0563C1"/>
                </w:rPr>
                <w:t>23,</w:t>
              </w:r>
            </w:hyperlink>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7"/>
        </w:trPr>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line="209" w:lineRule="exact"/>
              <w:rPr>
                <w:rFonts w:ascii="Arial" w:cs="Arial" w:eastAsia="Arial" w:hAnsi="Arial"/>
                <w:sz w:val="22"/>
                <w:szCs w:val="22"/>
                <w:color w:val="0563C1"/>
              </w:rPr>
            </w:pPr>
            <w:hyperlink r:id="rId59">
              <w:r>
                <w:rPr>
                  <w:rFonts w:ascii="Arial" w:cs="Arial" w:eastAsia="Arial" w:hAnsi="Arial"/>
                  <w:sz w:val="22"/>
                  <w:szCs w:val="22"/>
                  <w:color w:val="0563C1"/>
                </w:rPr>
                <w:t>2019).</w:t>
              </w:r>
            </w:hyperlink>
          </w:p>
        </w:tc>
        <w:tc>
          <w:tcPr>
            <w:tcW w:w="1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1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4.2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20" w:type="dxa"/>
            <w:vAlign w:val="bottom"/>
            <w:gridSpan w:val="14"/>
            <w:shd w:val="clear" w:color="auto" w:fill="CCEEFF"/>
          </w:tcPr>
          <w:p>
            <w:pPr>
              <w:spacing w:after="0" w:line="203" w:lineRule="exact"/>
              <w:rPr>
                <w:rFonts w:ascii="Arial" w:cs="Arial" w:eastAsia="Arial" w:hAnsi="Arial"/>
                <w:sz w:val="22"/>
                <w:szCs w:val="22"/>
                <w:color w:val="0563C1"/>
                <w:w w:val="92"/>
              </w:rPr>
            </w:pPr>
            <w:hyperlink r:id="rId60">
              <w:r>
                <w:rPr>
                  <w:rFonts w:ascii="Arial" w:cs="Arial" w:eastAsia="Arial" w:hAnsi="Arial"/>
                  <w:sz w:val="22"/>
                  <w:szCs w:val="22"/>
                  <w:color w:val="0563C1"/>
                  <w:w w:val="92"/>
                </w:rPr>
                <w:t>First Supplemental Indenture, dated as of April 23, 2019, between Aqua America, Inc. and U.S. Bank</w:t>
              </w:r>
            </w:hyperlink>
          </w:p>
        </w:tc>
      </w:tr>
      <w:tr>
        <w:trPr>
          <w:trHeight w:val="209"/>
        </w:trPr>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900" w:type="dxa"/>
            <w:vAlign w:val="bottom"/>
            <w:tcBorders>
              <w:top w:val="single" w:sz="8" w:color="0563C1"/>
            </w:tcBorders>
            <w:gridSpan w:val="10"/>
            <w:shd w:val="clear" w:color="auto" w:fill="CCEEFF"/>
          </w:tcPr>
          <w:p>
            <w:pPr>
              <w:spacing w:after="0" w:line="209" w:lineRule="exact"/>
              <w:rPr>
                <w:rFonts w:ascii="Arial" w:cs="Arial" w:eastAsia="Arial" w:hAnsi="Arial"/>
                <w:sz w:val="22"/>
                <w:szCs w:val="22"/>
                <w:color w:val="0563C1"/>
                <w:w w:val="89"/>
              </w:rPr>
            </w:pPr>
            <w:hyperlink r:id="rId60">
              <w:r>
                <w:rPr>
                  <w:rFonts w:ascii="Arial" w:cs="Arial" w:eastAsia="Arial" w:hAnsi="Arial"/>
                  <w:sz w:val="22"/>
                  <w:szCs w:val="22"/>
                  <w:color w:val="0563C1"/>
                  <w:w w:val="89"/>
                </w:rPr>
                <w:t>N.A., as trustee (incorporated by reference to Exhibit 4.5 to the Company’s Current Report on Form 8-</w:t>
              </w:r>
            </w:hyperlink>
          </w:p>
        </w:tc>
        <w:tc>
          <w:tcPr>
            <w:tcW w:w="220" w:type="dxa"/>
            <w:vAlign w:val="bottom"/>
            <w:tcBorders>
              <w:top w:val="single" w:sz="8" w:color="CCEEFF"/>
            </w:tcBorders>
            <w:gridSpan w:val="4"/>
            <w:shd w:val="clear" w:color="auto" w:fill="CCEEFF"/>
          </w:tcPr>
          <w:p>
            <w:pPr>
              <w:spacing w:after="0" w:line="209" w:lineRule="exact"/>
              <w:rPr>
                <w:rFonts w:ascii="Arial" w:cs="Arial" w:eastAsia="Arial" w:hAnsi="Arial"/>
                <w:sz w:val="22"/>
                <w:szCs w:val="22"/>
                <w:color w:val="0563C1"/>
              </w:rPr>
            </w:pPr>
            <w:hyperlink r:id="rId60">
              <w:r>
                <w:rPr>
                  <w:rFonts w:ascii="Arial" w:cs="Arial" w:eastAsia="Arial" w:hAnsi="Arial"/>
                  <w:sz w:val="22"/>
                  <w:szCs w:val="22"/>
                  <w:color w:val="0563C1"/>
                </w:rPr>
                <w:t>K</w:t>
              </w:r>
            </w:hyperlink>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100" w:type="dxa"/>
            <w:vAlign w:val="bottom"/>
            <w:tcBorders>
              <w:top w:val="single" w:sz="8" w:color="0563C1"/>
            </w:tcBorders>
            <w:gridSpan w:val="13"/>
            <w:shd w:val="clear" w:color="auto" w:fill="CCEEFF"/>
          </w:tcPr>
          <w:p>
            <w:pPr>
              <w:spacing w:after="0" w:line="209" w:lineRule="exact"/>
              <w:rPr>
                <w:rFonts w:ascii="Arial" w:cs="Arial" w:eastAsia="Arial" w:hAnsi="Arial"/>
                <w:sz w:val="22"/>
                <w:szCs w:val="22"/>
                <w:color w:val="0563C1"/>
              </w:rPr>
            </w:pPr>
            <w:hyperlink r:id="rId60">
              <w:r>
                <w:rPr>
                  <w:rFonts w:ascii="Arial" w:cs="Arial" w:eastAsia="Arial" w:hAnsi="Arial"/>
                  <w:sz w:val="22"/>
                  <w:szCs w:val="22"/>
                  <w:color w:val="0563C1"/>
                </w:rPr>
                <w:t>filed April 23, 2019).</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29"/>
        </w:trPr>
        <w:tc>
          <w:tcPr>
            <w:tcW w:w="1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4.3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20" w:type="dxa"/>
            <w:vAlign w:val="bottom"/>
            <w:gridSpan w:val="14"/>
            <w:shd w:val="clear" w:color="auto" w:fill="CCEEFF"/>
          </w:tcPr>
          <w:p>
            <w:pPr>
              <w:spacing w:after="0" w:line="203" w:lineRule="exact"/>
              <w:rPr>
                <w:rFonts w:ascii="Arial" w:cs="Arial" w:eastAsia="Arial" w:hAnsi="Arial"/>
                <w:sz w:val="22"/>
                <w:szCs w:val="22"/>
                <w:color w:val="0563C1"/>
                <w:w w:val="90"/>
              </w:rPr>
            </w:pPr>
            <w:hyperlink r:id="rId61">
              <w:r>
                <w:rPr>
                  <w:rFonts w:ascii="Arial" w:cs="Arial" w:eastAsia="Arial" w:hAnsi="Arial"/>
                  <w:sz w:val="22"/>
                  <w:szCs w:val="22"/>
                  <w:color w:val="0563C1"/>
                  <w:w w:val="90"/>
                </w:rPr>
                <w:t>Fifth Supplemental Indenture, dated as of April 19, 2021 between Essential Utilities, Inc. and U.S. Bank</w:t>
              </w:r>
            </w:hyperlink>
          </w:p>
        </w:tc>
      </w:tr>
      <w:tr>
        <w:trPr>
          <w:trHeight w:val="209"/>
        </w:trPr>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80" w:type="dxa"/>
            <w:vAlign w:val="bottom"/>
            <w:tcBorders>
              <w:top w:val="single" w:sz="8" w:color="0563C1"/>
            </w:tcBorders>
            <w:gridSpan w:val="12"/>
            <w:shd w:val="clear" w:color="auto" w:fill="CCEEFF"/>
          </w:tcPr>
          <w:p>
            <w:pPr>
              <w:spacing w:after="0" w:line="209" w:lineRule="exact"/>
              <w:rPr>
                <w:rFonts w:ascii="Arial" w:cs="Arial" w:eastAsia="Arial" w:hAnsi="Arial"/>
                <w:sz w:val="22"/>
                <w:szCs w:val="22"/>
                <w:color w:val="0563C1"/>
                <w:w w:val="90"/>
              </w:rPr>
            </w:pPr>
            <w:hyperlink r:id="rId61">
              <w:r>
                <w:rPr>
                  <w:rFonts w:ascii="Arial" w:cs="Arial" w:eastAsia="Arial" w:hAnsi="Arial"/>
                  <w:sz w:val="22"/>
                  <w:szCs w:val="22"/>
                  <w:color w:val="0563C1"/>
                  <w:w w:val="90"/>
                </w:rPr>
                <w:t>N.A., as trustee (incorporated by reference to Exhibit 4.3 to the Company’s Current Report on Form 8-K</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100" w:type="dxa"/>
            <w:vAlign w:val="bottom"/>
            <w:tcBorders>
              <w:top w:val="single" w:sz="8" w:color="0563C1"/>
            </w:tcBorders>
            <w:gridSpan w:val="13"/>
            <w:shd w:val="clear" w:color="auto" w:fill="CCEEFF"/>
          </w:tcPr>
          <w:p>
            <w:pPr>
              <w:spacing w:after="0" w:line="209" w:lineRule="exact"/>
              <w:rPr>
                <w:rFonts w:ascii="Arial" w:cs="Arial" w:eastAsia="Arial" w:hAnsi="Arial"/>
                <w:sz w:val="22"/>
                <w:szCs w:val="22"/>
                <w:color w:val="0563C1"/>
              </w:rPr>
            </w:pPr>
            <w:hyperlink r:id="rId61">
              <w:r>
                <w:rPr>
                  <w:rFonts w:ascii="Arial" w:cs="Arial" w:eastAsia="Arial" w:hAnsi="Arial"/>
                  <w:sz w:val="22"/>
                  <w:szCs w:val="22"/>
                  <w:color w:val="0563C1"/>
                </w:rPr>
                <w:t>filed April 19, 2021).</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30"/>
        </w:trPr>
        <w:tc>
          <w:tcPr>
            <w:tcW w:w="1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4.4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20" w:type="dxa"/>
            <w:vAlign w:val="bottom"/>
            <w:gridSpan w:val="14"/>
            <w:shd w:val="clear" w:color="auto" w:fill="CCEEFF"/>
          </w:tcPr>
          <w:p>
            <w:pPr>
              <w:spacing w:after="0" w:line="203" w:lineRule="exact"/>
              <w:rPr>
                <w:rFonts w:ascii="Arial" w:cs="Arial" w:eastAsia="Arial" w:hAnsi="Arial"/>
                <w:sz w:val="22"/>
                <w:szCs w:val="22"/>
                <w:color w:val="0563C1"/>
              </w:rPr>
            </w:pPr>
            <w:hyperlink r:id="rId61">
              <w:r>
                <w:rPr>
                  <w:rFonts w:ascii="Arial" w:cs="Arial" w:eastAsia="Arial" w:hAnsi="Arial"/>
                  <w:sz w:val="22"/>
                  <w:szCs w:val="22"/>
                  <w:color w:val="0563C1"/>
                </w:rPr>
                <w:t>Form of Global Note of the Company issued April 19, 2021 (included in Exhibit 4.3)</w:t>
              </w:r>
            </w:hyperlink>
          </w:p>
        </w:tc>
      </w:tr>
      <w:tr>
        <w:trPr>
          <w:trHeight w:val="229"/>
        </w:trPr>
        <w:tc>
          <w:tcPr>
            <w:tcW w:w="1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54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31.1*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20" w:type="dxa"/>
            <w:vAlign w:val="bottom"/>
            <w:gridSpan w:val="14"/>
            <w:shd w:val="clear" w:color="auto" w:fill="CCEEFF"/>
          </w:tcPr>
          <w:p>
            <w:pPr>
              <w:spacing w:after="0" w:line="203" w:lineRule="exact"/>
              <w:rPr>
                <w:rFonts w:ascii="Arial" w:cs="Arial" w:eastAsia="Arial" w:hAnsi="Arial"/>
                <w:sz w:val="22"/>
                <w:szCs w:val="22"/>
                <w:color w:val="0563C1"/>
                <w:w w:val="97"/>
              </w:rPr>
            </w:pPr>
            <w:hyperlink w:anchor="page49">
              <w:r>
                <w:rPr>
                  <w:rFonts w:ascii="Arial" w:cs="Arial" w:eastAsia="Arial" w:hAnsi="Arial"/>
                  <w:sz w:val="22"/>
                  <w:szCs w:val="22"/>
                  <w:color w:val="0563C1"/>
                  <w:w w:val="97"/>
                </w:rPr>
                <w:t>Certification of Chief Executive Officer, filed pursuant to Rule 13a-14(a) under the Securities and</w:t>
              </w:r>
            </w:hyperlink>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520" w:type="dxa"/>
            <w:vAlign w:val="bottom"/>
            <w:tcBorders>
              <w:top w:val="single" w:sz="8" w:color="0563C1"/>
            </w:tcBorders>
            <w:gridSpan w:val="8"/>
            <w:shd w:val="clear" w:color="auto" w:fill="CCEEFF"/>
          </w:tcPr>
          <w:p>
            <w:pPr>
              <w:spacing w:after="0" w:line="209" w:lineRule="exact"/>
              <w:rPr>
                <w:rFonts w:ascii="Arial" w:cs="Arial" w:eastAsia="Arial" w:hAnsi="Arial"/>
                <w:sz w:val="22"/>
                <w:szCs w:val="22"/>
                <w:color w:val="0563C1"/>
              </w:rPr>
            </w:pPr>
            <w:hyperlink w:anchor="page49">
              <w:r>
                <w:rPr>
                  <w:rFonts w:ascii="Arial" w:cs="Arial" w:eastAsia="Arial" w:hAnsi="Arial"/>
                  <w:sz w:val="22"/>
                  <w:szCs w:val="22"/>
                  <w:color w:val="0563C1"/>
                </w:rPr>
                <w:t>Exchange Act of 1934</w:t>
              </w:r>
            </w:hyperlink>
          </w:p>
        </w:tc>
        <w:tc>
          <w:tcPr>
            <w:tcW w:w="600" w:type="dxa"/>
            <w:vAlign w:val="bottom"/>
            <w:tcBorders>
              <w:top w:val="single" w:sz="8" w:color="CCEEFF"/>
            </w:tcBorders>
            <w:gridSpan w:val="6"/>
            <w:shd w:val="clear" w:color="auto" w:fill="CCEEFF"/>
          </w:tcPr>
          <w:p>
            <w:pPr>
              <w:spacing w:after="0"/>
              <w:rPr>
                <w:sz w:val="18"/>
                <w:szCs w:val="18"/>
                <w:color w:val="auto"/>
              </w:rPr>
            </w:pPr>
          </w:p>
        </w:tc>
      </w:tr>
      <w:tr>
        <w:trPr>
          <w:trHeight w:val="229"/>
        </w:trPr>
        <w:tc>
          <w:tcPr>
            <w:tcW w:w="1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5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31.2*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20" w:type="dxa"/>
            <w:vAlign w:val="bottom"/>
            <w:gridSpan w:val="14"/>
            <w:shd w:val="clear" w:color="auto" w:fill="CCEEFF"/>
          </w:tcPr>
          <w:p>
            <w:pPr>
              <w:spacing w:after="0" w:line="203" w:lineRule="exact"/>
              <w:rPr>
                <w:rFonts w:ascii="Arial" w:cs="Arial" w:eastAsia="Arial" w:hAnsi="Arial"/>
                <w:sz w:val="22"/>
                <w:szCs w:val="22"/>
                <w:color w:val="0563C1"/>
                <w:w w:val="97"/>
              </w:rPr>
            </w:pPr>
            <w:hyperlink w:anchor="page50">
              <w:r>
                <w:rPr>
                  <w:rFonts w:ascii="Arial" w:cs="Arial" w:eastAsia="Arial" w:hAnsi="Arial"/>
                  <w:sz w:val="22"/>
                  <w:szCs w:val="22"/>
                  <w:color w:val="0563C1"/>
                  <w:w w:val="97"/>
                </w:rPr>
                <w:t>Certification of Chief Financial Officer, filed pursuant to Rule 13a-14(a) under the Securities and</w:t>
              </w:r>
            </w:hyperlink>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60" w:type="dxa"/>
            <w:vAlign w:val="bottom"/>
            <w:tcBorders>
              <w:top w:val="single" w:sz="8" w:color="0563C1"/>
            </w:tcBorders>
            <w:gridSpan w:val="7"/>
            <w:shd w:val="clear" w:color="auto" w:fill="CCEEFF"/>
          </w:tcPr>
          <w:p>
            <w:pPr>
              <w:spacing w:after="0" w:line="209" w:lineRule="exact"/>
              <w:rPr>
                <w:rFonts w:ascii="Arial" w:cs="Arial" w:eastAsia="Arial" w:hAnsi="Arial"/>
                <w:sz w:val="22"/>
                <w:szCs w:val="22"/>
                <w:color w:val="0563C1"/>
              </w:rPr>
            </w:pPr>
            <w:hyperlink w:anchor="page50">
              <w:r>
                <w:rPr>
                  <w:rFonts w:ascii="Arial" w:cs="Arial" w:eastAsia="Arial" w:hAnsi="Arial"/>
                  <w:sz w:val="22"/>
                  <w:szCs w:val="22"/>
                  <w:color w:val="0563C1"/>
                </w:rPr>
                <w:t>Exchange Act of 1934</w:t>
              </w:r>
            </w:hyperlink>
          </w:p>
        </w:tc>
        <w:tc>
          <w:tcPr>
            <w:tcW w:w="660" w:type="dxa"/>
            <w:vAlign w:val="bottom"/>
            <w:tcBorders>
              <w:top w:val="single" w:sz="8" w:color="CCEEFF"/>
            </w:tcBorders>
            <w:gridSpan w:val="7"/>
            <w:shd w:val="clear" w:color="auto" w:fill="CCEEFF"/>
          </w:tcPr>
          <w:p>
            <w:pPr>
              <w:spacing w:after="0"/>
              <w:rPr>
                <w:sz w:val="18"/>
                <w:szCs w:val="18"/>
                <w:color w:val="auto"/>
              </w:rPr>
            </w:pPr>
          </w:p>
        </w:tc>
      </w:tr>
      <w:tr>
        <w:trPr>
          <w:trHeight w:val="230"/>
        </w:trPr>
        <w:tc>
          <w:tcPr>
            <w:tcW w:w="1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5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32.1*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20" w:type="dxa"/>
            <w:vAlign w:val="bottom"/>
            <w:gridSpan w:val="14"/>
            <w:shd w:val="clear" w:color="auto" w:fill="CCEEFF"/>
          </w:tcPr>
          <w:p>
            <w:pPr>
              <w:spacing w:after="0" w:line="203" w:lineRule="exact"/>
              <w:rPr>
                <w:rFonts w:ascii="Arial" w:cs="Arial" w:eastAsia="Arial" w:hAnsi="Arial"/>
                <w:sz w:val="22"/>
                <w:szCs w:val="22"/>
                <w:color w:val="0563C1"/>
              </w:rPr>
            </w:pPr>
            <w:hyperlink w:anchor="page51">
              <w:r>
                <w:rPr>
                  <w:rFonts w:ascii="Arial" w:cs="Arial" w:eastAsia="Arial" w:hAnsi="Arial"/>
                  <w:sz w:val="22"/>
                  <w:szCs w:val="22"/>
                  <w:color w:val="0563C1"/>
                </w:rPr>
                <w:t>Certification of Chief Executive Officer, furnished pursuant to 18 U.S.C. Section 1350</w:t>
              </w:r>
            </w:hyperlink>
          </w:p>
        </w:tc>
      </w:tr>
      <w:tr>
        <w:trPr>
          <w:trHeight w:val="230"/>
        </w:trPr>
        <w:tc>
          <w:tcPr>
            <w:tcW w:w="1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5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32.2*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20" w:type="dxa"/>
            <w:vAlign w:val="bottom"/>
            <w:gridSpan w:val="14"/>
            <w:shd w:val="clear" w:color="auto" w:fill="CCEEFF"/>
          </w:tcPr>
          <w:p>
            <w:pPr>
              <w:spacing w:after="0" w:line="203" w:lineRule="exact"/>
              <w:rPr>
                <w:rFonts w:ascii="Arial" w:cs="Arial" w:eastAsia="Arial" w:hAnsi="Arial"/>
                <w:sz w:val="22"/>
                <w:szCs w:val="22"/>
                <w:color w:val="0563C1"/>
              </w:rPr>
            </w:pPr>
            <w:hyperlink w:anchor="page52">
              <w:r>
                <w:rPr>
                  <w:rFonts w:ascii="Arial" w:cs="Arial" w:eastAsia="Arial" w:hAnsi="Arial"/>
                  <w:sz w:val="22"/>
                  <w:szCs w:val="22"/>
                  <w:color w:val="0563C1"/>
                </w:rPr>
                <w:t>Certification of Chief Financial Officer, furnished pursuant to 18 U.S.C. Section 1350</w:t>
              </w:r>
            </w:hyperlink>
          </w:p>
        </w:tc>
      </w:tr>
      <w:tr>
        <w:trPr>
          <w:trHeight w:val="230"/>
        </w:trPr>
        <w:tc>
          <w:tcPr>
            <w:tcW w:w="1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5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8"/>
        </w:trPr>
        <w:tc>
          <w:tcPr>
            <w:tcW w:w="2120" w:type="dxa"/>
            <w:vAlign w:val="bottom"/>
            <w:gridSpan w:val="3"/>
            <w:shd w:val="clear" w:color="auto" w:fill="CCEEFF"/>
          </w:tcPr>
          <w:p>
            <w:pPr>
              <w:ind w:left="20"/>
              <w:spacing w:after="0" w:line="208" w:lineRule="exact"/>
              <w:rPr>
                <w:sz w:val="20"/>
                <w:szCs w:val="20"/>
                <w:color w:val="auto"/>
              </w:rPr>
            </w:pPr>
            <w:r>
              <w:rPr>
                <w:rFonts w:ascii="Arial" w:cs="Arial" w:eastAsia="Arial" w:hAnsi="Arial"/>
                <w:sz w:val="22"/>
                <w:szCs w:val="22"/>
                <w:color w:val="auto"/>
              </w:rPr>
              <w:t>101.INS</w:t>
            </w:r>
          </w:p>
        </w:tc>
        <w:tc>
          <w:tcPr>
            <w:tcW w:w="20" w:type="dxa"/>
            <w:vAlign w:val="bottom"/>
            <w:shd w:val="clear" w:color="auto" w:fill="CCEEFF"/>
          </w:tcPr>
          <w:p>
            <w:pPr>
              <w:spacing w:after="0"/>
              <w:rPr>
                <w:sz w:val="18"/>
                <w:szCs w:val="18"/>
                <w:color w:val="auto"/>
              </w:rPr>
            </w:pPr>
          </w:p>
        </w:tc>
        <w:tc>
          <w:tcPr>
            <w:tcW w:w="9120" w:type="dxa"/>
            <w:vAlign w:val="bottom"/>
            <w:gridSpan w:val="14"/>
            <w:shd w:val="clear" w:color="auto" w:fill="CCEEFF"/>
          </w:tcPr>
          <w:p>
            <w:pPr>
              <w:spacing w:after="0" w:line="208" w:lineRule="exact"/>
              <w:rPr>
                <w:sz w:val="20"/>
                <w:szCs w:val="20"/>
                <w:color w:val="auto"/>
              </w:rPr>
            </w:pPr>
            <w:r>
              <w:rPr>
                <w:rFonts w:ascii="Arial" w:cs="Arial" w:eastAsia="Arial" w:hAnsi="Arial"/>
                <w:sz w:val="22"/>
                <w:szCs w:val="22"/>
                <w:color w:val="auto"/>
                <w:w w:val="91"/>
              </w:rPr>
              <w:t>Inline XBRL Instance Document – The instance document does not appear in the Interactive Data File</w:t>
            </w:r>
          </w:p>
        </w:tc>
      </w:tr>
      <w:tr>
        <w:trPr>
          <w:trHeight w:val="251"/>
        </w:trPr>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120" w:type="dxa"/>
            <w:vAlign w:val="bottom"/>
            <w:gridSpan w:val="14"/>
            <w:shd w:val="clear" w:color="auto" w:fill="CCEEFF"/>
          </w:tcPr>
          <w:p>
            <w:pPr>
              <w:spacing w:after="0" w:line="251" w:lineRule="exact"/>
              <w:rPr>
                <w:sz w:val="20"/>
                <w:szCs w:val="20"/>
                <w:color w:val="auto"/>
              </w:rPr>
            </w:pPr>
            <w:r>
              <w:rPr>
                <w:rFonts w:ascii="Arial" w:cs="Arial" w:eastAsia="Arial" w:hAnsi="Arial"/>
                <w:sz w:val="22"/>
                <w:szCs w:val="22"/>
                <w:color w:val="auto"/>
              </w:rPr>
              <w:t>because its XBRL tags are embedded within the Inline XBRL document.</w:t>
            </w:r>
          </w:p>
        </w:tc>
      </w:tr>
      <w:tr>
        <w:trPr>
          <w:trHeight w:val="230"/>
        </w:trPr>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101.SCH</w:t>
            </w:r>
          </w:p>
        </w:tc>
        <w:tc>
          <w:tcPr>
            <w:tcW w:w="20" w:type="dxa"/>
            <w:vAlign w:val="bottom"/>
            <w:shd w:val="clear" w:color="auto" w:fill="CCEEFF"/>
          </w:tcPr>
          <w:p>
            <w:pPr>
              <w:spacing w:after="0"/>
              <w:rPr>
                <w:sz w:val="19"/>
                <w:szCs w:val="19"/>
                <w:color w:val="auto"/>
              </w:rPr>
            </w:pPr>
          </w:p>
        </w:tc>
        <w:tc>
          <w:tcPr>
            <w:tcW w:w="9120" w:type="dxa"/>
            <w:vAlign w:val="bottom"/>
            <w:gridSpan w:val="14"/>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Schema Document</w:t>
            </w:r>
          </w:p>
        </w:tc>
      </w:tr>
      <w:tr>
        <w:trPr>
          <w:trHeight w:val="230"/>
        </w:trPr>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101.CAL</w:t>
            </w:r>
          </w:p>
        </w:tc>
        <w:tc>
          <w:tcPr>
            <w:tcW w:w="20" w:type="dxa"/>
            <w:vAlign w:val="bottom"/>
            <w:shd w:val="clear" w:color="auto" w:fill="CCEEFF"/>
          </w:tcPr>
          <w:p>
            <w:pPr>
              <w:spacing w:after="0"/>
              <w:rPr>
                <w:sz w:val="19"/>
                <w:szCs w:val="19"/>
                <w:color w:val="auto"/>
              </w:rPr>
            </w:pPr>
          </w:p>
        </w:tc>
        <w:tc>
          <w:tcPr>
            <w:tcW w:w="9120" w:type="dxa"/>
            <w:vAlign w:val="bottom"/>
            <w:gridSpan w:val="14"/>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Calculation Linkbase Document</w:t>
            </w:r>
          </w:p>
        </w:tc>
      </w:tr>
      <w:tr>
        <w:trPr>
          <w:trHeight w:val="230"/>
        </w:trPr>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101.DEF</w:t>
            </w:r>
          </w:p>
        </w:tc>
        <w:tc>
          <w:tcPr>
            <w:tcW w:w="20" w:type="dxa"/>
            <w:vAlign w:val="bottom"/>
            <w:shd w:val="clear" w:color="auto" w:fill="CCEEFF"/>
          </w:tcPr>
          <w:p>
            <w:pPr>
              <w:spacing w:after="0"/>
              <w:rPr>
                <w:sz w:val="19"/>
                <w:szCs w:val="19"/>
                <w:color w:val="auto"/>
              </w:rPr>
            </w:pPr>
          </w:p>
        </w:tc>
        <w:tc>
          <w:tcPr>
            <w:tcW w:w="9120" w:type="dxa"/>
            <w:vAlign w:val="bottom"/>
            <w:gridSpan w:val="14"/>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Definition Linkbase Document</w:t>
            </w:r>
          </w:p>
        </w:tc>
      </w:tr>
      <w:tr>
        <w:trPr>
          <w:trHeight w:val="230"/>
        </w:trPr>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101.LAB</w:t>
            </w:r>
          </w:p>
        </w:tc>
        <w:tc>
          <w:tcPr>
            <w:tcW w:w="20" w:type="dxa"/>
            <w:vAlign w:val="bottom"/>
            <w:shd w:val="clear" w:color="auto" w:fill="CCEEFF"/>
          </w:tcPr>
          <w:p>
            <w:pPr>
              <w:spacing w:after="0"/>
              <w:rPr>
                <w:sz w:val="19"/>
                <w:szCs w:val="19"/>
                <w:color w:val="auto"/>
              </w:rPr>
            </w:pPr>
          </w:p>
        </w:tc>
        <w:tc>
          <w:tcPr>
            <w:tcW w:w="9120" w:type="dxa"/>
            <w:vAlign w:val="bottom"/>
            <w:gridSpan w:val="14"/>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Label Linkbase Document</w:t>
            </w:r>
          </w:p>
        </w:tc>
      </w:tr>
      <w:tr>
        <w:trPr>
          <w:trHeight w:val="230"/>
        </w:trPr>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12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101.PRES</w:t>
            </w:r>
          </w:p>
        </w:tc>
        <w:tc>
          <w:tcPr>
            <w:tcW w:w="20" w:type="dxa"/>
            <w:vAlign w:val="bottom"/>
            <w:shd w:val="clear" w:color="auto" w:fill="CCEEFF"/>
          </w:tcPr>
          <w:p>
            <w:pPr>
              <w:spacing w:after="0"/>
              <w:rPr>
                <w:sz w:val="19"/>
                <w:szCs w:val="19"/>
                <w:color w:val="auto"/>
              </w:rPr>
            </w:pPr>
          </w:p>
        </w:tc>
        <w:tc>
          <w:tcPr>
            <w:tcW w:w="9120" w:type="dxa"/>
            <w:vAlign w:val="bottom"/>
            <w:gridSpan w:val="14"/>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Presentation Linkbase Document</w:t>
            </w:r>
          </w:p>
        </w:tc>
      </w:tr>
      <w:tr>
        <w:trPr>
          <w:trHeight w:val="230"/>
        </w:trPr>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8"/>
        </w:trPr>
        <w:tc>
          <w:tcPr>
            <w:tcW w:w="1540" w:type="dxa"/>
            <w:vAlign w:val="bottom"/>
            <w:shd w:val="clear" w:color="auto" w:fill="CCEEFF"/>
          </w:tcPr>
          <w:p>
            <w:pPr>
              <w:ind w:left="20"/>
              <w:spacing w:after="0" w:line="208" w:lineRule="exact"/>
              <w:rPr>
                <w:sz w:val="20"/>
                <w:szCs w:val="20"/>
                <w:color w:val="auto"/>
              </w:rPr>
            </w:pPr>
            <w:r>
              <w:rPr>
                <w:rFonts w:ascii="Arial" w:cs="Arial" w:eastAsia="Arial" w:hAnsi="Arial"/>
                <w:sz w:val="22"/>
                <w:szCs w:val="22"/>
                <w:color w:val="auto"/>
              </w:rPr>
              <w:t>104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20" w:type="dxa"/>
            <w:vAlign w:val="bottom"/>
            <w:gridSpan w:val="14"/>
            <w:shd w:val="clear" w:color="auto" w:fill="CCEEFF"/>
          </w:tcPr>
          <w:p>
            <w:pPr>
              <w:spacing w:after="0" w:line="208" w:lineRule="exact"/>
              <w:rPr>
                <w:sz w:val="20"/>
                <w:szCs w:val="20"/>
                <w:color w:val="auto"/>
              </w:rPr>
            </w:pPr>
            <w:r>
              <w:rPr>
                <w:rFonts w:ascii="Arial" w:cs="Arial" w:eastAsia="Arial" w:hAnsi="Arial"/>
                <w:sz w:val="22"/>
                <w:szCs w:val="22"/>
                <w:color w:val="auto"/>
                <w:w w:val="92"/>
              </w:rPr>
              <w:t>The cover page from the Company’s Quarterly Report on Form 10-Q for the quarter ended March 31,</w:t>
            </w:r>
          </w:p>
        </w:tc>
      </w:tr>
      <w:tr>
        <w:trPr>
          <w:trHeight w:val="251"/>
        </w:trPr>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120" w:type="dxa"/>
            <w:vAlign w:val="bottom"/>
            <w:gridSpan w:val="14"/>
            <w:shd w:val="clear" w:color="auto" w:fill="CCEEFF"/>
          </w:tcPr>
          <w:p>
            <w:pPr>
              <w:spacing w:after="0" w:line="251" w:lineRule="exact"/>
              <w:rPr>
                <w:sz w:val="20"/>
                <w:szCs w:val="20"/>
                <w:color w:val="auto"/>
              </w:rPr>
            </w:pPr>
            <w:r>
              <w:rPr>
                <w:rFonts w:ascii="Arial" w:cs="Arial" w:eastAsia="Arial" w:hAnsi="Arial"/>
                <w:sz w:val="22"/>
                <w:szCs w:val="22"/>
                <w:color w:val="auto"/>
              </w:rPr>
              <w:t>2021, formatted in Inline XBRL (included in Exhibit 101)</w:t>
            </w:r>
          </w:p>
        </w:tc>
      </w:tr>
    </w:tbl>
    <w:p>
      <w:pPr>
        <w:spacing w:after="0" w:line="2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47" w:name="page48"/>
    <w:bookmarkEnd w:id="4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SIGNATURES</w:t>
      </w:r>
    </w:p>
    <w:p>
      <w:pPr>
        <w:spacing w:after="0" w:line="71"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May 10, 2021</w:t>
      </w:r>
    </w:p>
    <w:p>
      <w:pPr>
        <w:spacing w:after="0" w:line="152"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wp:posOffset>
            </wp:positionV>
            <wp:extent cx="2623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66"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wp:posOffset>
            </wp:positionV>
            <wp:extent cx="26231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ind w:left="7100"/>
        <w:spacing w:after="0" w:line="225" w:lineRule="auto"/>
        <w:rPr>
          <w:sz w:val="20"/>
          <w:szCs w:val="20"/>
          <w:color w:val="auto"/>
        </w:rPr>
      </w:pPr>
      <w:r>
        <w:rPr>
          <w:rFonts w:ascii="Arial" w:cs="Arial" w:eastAsia="Arial" w:hAnsi="Arial"/>
          <w:sz w:val="22"/>
          <w:szCs w:val="22"/>
          <w:color w:val="auto"/>
        </w:rPr>
        <w:t>Christopher H. Franklin</w:t>
      </w:r>
    </w:p>
    <w:p>
      <w:pPr>
        <w:ind w:left="7100"/>
        <w:spacing w:after="0" w:line="218" w:lineRule="auto"/>
        <w:rPr>
          <w:sz w:val="20"/>
          <w:szCs w:val="20"/>
          <w:color w:val="auto"/>
        </w:rPr>
      </w:pPr>
      <w:r>
        <w:rPr>
          <w:rFonts w:ascii="Arial" w:cs="Arial" w:eastAsia="Arial" w:hAnsi="Arial"/>
          <w:sz w:val="22"/>
          <w:szCs w:val="22"/>
          <w:color w:val="auto"/>
        </w:rPr>
        <w:t>Chairman, President and</w:t>
      </w:r>
    </w:p>
    <w:p>
      <w:pPr>
        <w:ind w:left="71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66"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wp:posOffset>
            </wp:positionV>
            <wp:extent cx="26231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7100"/>
        <w:spacing w:after="0" w:line="225" w:lineRule="auto"/>
        <w:rPr>
          <w:sz w:val="20"/>
          <w:szCs w:val="20"/>
          <w:color w:val="auto"/>
        </w:rPr>
      </w:pPr>
      <w:r>
        <w:rPr>
          <w:rFonts w:ascii="Arial" w:cs="Arial" w:eastAsia="Arial" w:hAnsi="Arial"/>
          <w:sz w:val="22"/>
          <w:szCs w:val="22"/>
          <w:color w:val="auto"/>
        </w:rPr>
        <w:t>Daniel J. Schuller</w:t>
      </w:r>
    </w:p>
    <w:p>
      <w:pPr>
        <w:ind w:left="7100"/>
        <w:spacing w:after="0" w:line="218" w:lineRule="auto"/>
        <w:rPr>
          <w:sz w:val="20"/>
          <w:szCs w:val="20"/>
          <w:color w:val="auto"/>
        </w:rPr>
      </w:pPr>
      <w:r>
        <w:rPr>
          <w:rFonts w:ascii="Arial" w:cs="Arial" w:eastAsia="Arial" w:hAnsi="Arial"/>
          <w:sz w:val="22"/>
          <w:szCs w:val="22"/>
          <w:color w:val="auto"/>
        </w:rPr>
        <w:t>Executive Vice President and</w:t>
      </w:r>
    </w:p>
    <w:p>
      <w:pPr>
        <w:ind w:left="7100"/>
        <w:spacing w:after="0"/>
        <w:rPr>
          <w:sz w:val="20"/>
          <w:szCs w:val="20"/>
          <w:color w:val="auto"/>
        </w:rPr>
      </w:pPr>
      <w:r>
        <w:rPr>
          <w:rFonts w:ascii="Arial" w:cs="Arial" w:eastAsia="Arial" w:hAnsi="Arial"/>
          <w:sz w:val="22"/>
          <w:szCs w:val="22"/>
          <w:color w:val="auto"/>
        </w:rPr>
        <w:t>Chief Financial Officer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100"/>
          </w:cols>
          <w:pgMar w:left="320" w:top="118" w:right="479" w:bottom="1440" w:gutter="0" w:footer="0" w:header="0"/>
        </w:sectPr>
      </w:pPr>
    </w:p>
    <w:bookmarkStart w:id="48" w:name="page49"/>
    <w:bookmarkEnd w:id="48"/>
    <w:p>
      <w:pPr>
        <w:ind w:left="8904"/>
        <w:spacing w:after="0"/>
        <w:rPr>
          <w:sz w:val="20"/>
          <w:szCs w:val="20"/>
          <w:color w:val="auto"/>
        </w:rPr>
      </w:pPr>
      <w:r>
        <w:rPr>
          <w:rFonts w:ascii="Arial" w:cs="Arial" w:eastAsia="Arial" w:hAnsi="Arial"/>
          <w:sz w:val="19"/>
          <w:szCs w:val="19"/>
          <w:color w:val="auto"/>
        </w:rPr>
        <w:t>Exhibit 31.1</w:t>
      </w:r>
    </w:p>
    <w:p>
      <w:pPr>
        <w:spacing w:after="0" w:line="133" w:lineRule="exact"/>
        <w:rPr>
          <w:sz w:val="20"/>
          <w:szCs w:val="20"/>
          <w:color w:val="auto"/>
        </w:rPr>
      </w:pPr>
    </w:p>
    <w:p>
      <w:pPr>
        <w:ind w:left="12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2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8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00" w:hanging="324"/>
        <w:spacing w:after="0" w:line="207" w:lineRule="auto"/>
        <w:tabs>
          <w:tab w:leader="none" w:pos="324"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6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0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4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4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0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80" w:hanging="320"/>
        <w:spacing w:after="0" w:line="220"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61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4"/>
          </w:cols>
          <w:pgMar w:left="976" w:top="82"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23" w:lineRule="exact"/>
        <w:rPr>
          <w:sz w:val="20"/>
          <w:szCs w:val="20"/>
          <w:color w:val="auto"/>
        </w:rPr>
      </w:pPr>
    </w:p>
    <w:p>
      <w:pPr>
        <w:ind w:left="324" w:hanging="324"/>
        <w:spacing w:after="0"/>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40" w:hanging="324"/>
        <w:spacing w:after="0" w:line="197" w:lineRule="auto"/>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200" w:hanging="324"/>
        <w:spacing w:after="0" w:line="197" w:lineRule="auto"/>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20" w:hanging="324"/>
        <w:spacing w:after="0" w:line="207" w:lineRule="auto"/>
        <w:tabs>
          <w:tab w:leader="none" w:pos="324"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8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2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6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60" w:hanging="324"/>
        <w:spacing w:after="0" w:line="197" w:lineRule="auto"/>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2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100" w:hanging="320"/>
        <w:spacing w:after="0" w:line="220"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089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50" w:name="page51"/>
    <w:bookmarkEnd w:id="50"/>
    <w:p>
      <w:pPr>
        <w:ind w:left="8824"/>
        <w:spacing w:after="0"/>
        <w:rPr>
          <w:sz w:val="20"/>
          <w:szCs w:val="20"/>
          <w:color w:val="auto"/>
        </w:rPr>
      </w:pPr>
      <w:r>
        <w:rPr>
          <w:rFonts w:ascii="Arial" w:cs="Arial" w:eastAsia="Arial" w:hAnsi="Arial"/>
          <w:sz w:val="19"/>
          <w:szCs w:val="19"/>
          <w:color w:val="auto"/>
        </w:rPr>
        <w:t>Exhibit 32.1</w:t>
      </w:r>
    </w:p>
    <w:p>
      <w:pPr>
        <w:spacing w:after="0" w:line="357" w:lineRule="exact"/>
        <w:rPr>
          <w:sz w:val="20"/>
          <w:szCs w:val="20"/>
          <w:color w:val="auto"/>
        </w:rPr>
      </w:pPr>
    </w:p>
    <w:p>
      <w:pPr>
        <w:jc w:val="center"/>
        <w:ind w:right="16"/>
        <w:spacing w:after="0"/>
        <w:rPr>
          <w:sz w:val="20"/>
          <w:szCs w:val="20"/>
          <w:color w:val="auto"/>
        </w:rPr>
      </w:pPr>
      <w:r>
        <w:rPr>
          <w:rFonts w:ascii="Arial" w:cs="Arial" w:eastAsia="Arial" w:hAnsi="Arial"/>
          <w:sz w:val="22"/>
          <w:szCs w:val="22"/>
          <w:color w:val="auto"/>
        </w:rPr>
        <w:t>CERTIFICATION OF CHIEF EXECUTIVE OFFICER PURSUANT TO</w:t>
      </w:r>
    </w:p>
    <w:p>
      <w:pPr>
        <w:jc w:val="center"/>
        <w:ind w:right="16"/>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March 31, 2021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240" w:hanging="324"/>
        <w:spacing w:after="0" w:line="207"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40" w:hanging="324"/>
        <w:spacing w:after="0" w:line="207"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7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4"/>
          </w:cols>
          <w:pgMar w:left="976" w:top="78" w:right="1019" w:bottom="1440" w:gutter="0" w:footer="0" w:header="0"/>
        </w:sectPr>
      </w:pPr>
    </w:p>
    <w:bookmarkStart w:id="51" w:name="page52"/>
    <w:bookmarkEnd w:id="51"/>
    <w:p>
      <w:pPr>
        <w:ind w:left="8824"/>
        <w:spacing w:after="0"/>
        <w:rPr>
          <w:sz w:val="20"/>
          <w:szCs w:val="20"/>
          <w:color w:val="auto"/>
        </w:rPr>
      </w:pPr>
      <w:r>
        <w:rPr>
          <w:rFonts w:ascii="Arial" w:cs="Arial" w:eastAsia="Arial" w:hAnsi="Arial"/>
          <w:sz w:val="19"/>
          <w:szCs w:val="19"/>
          <w:color w:val="auto"/>
        </w:rPr>
        <w:t>Exhibit 32.2</w:t>
      </w:r>
    </w:p>
    <w:p>
      <w:pPr>
        <w:spacing w:after="0" w:line="357" w:lineRule="exact"/>
        <w:rPr>
          <w:sz w:val="20"/>
          <w:szCs w:val="20"/>
          <w:color w:val="auto"/>
        </w:rPr>
      </w:pPr>
    </w:p>
    <w:p>
      <w:pPr>
        <w:jc w:val="center"/>
        <w:ind w:right="16"/>
        <w:spacing w:after="0"/>
        <w:rPr>
          <w:sz w:val="20"/>
          <w:szCs w:val="20"/>
          <w:color w:val="auto"/>
        </w:rPr>
      </w:pPr>
      <w:r>
        <w:rPr>
          <w:rFonts w:ascii="Arial" w:cs="Arial" w:eastAsia="Arial" w:hAnsi="Arial"/>
          <w:sz w:val="22"/>
          <w:szCs w:val="22"/>
          <w:color w:val="auto"/>
        </w:rPr>
        <w:t>CERTIFICATION OF CHIEF FINANCIAL OFFICER PURSUANT TO</w:t>
      </w:r>
    </w:p>
    <w:p>
      <w:pPr>
        <w:jc w:val="center"/>
        <w:ind w:right="16"/>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March 31, 2021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240" w:hanging="324"/>
        <w:spacing w:after="0" w:line="207" w:lineRule="auto"/>
        <w:tabs>
          <w:tab w:leader="none" w:pos="32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40" w:hanging="324"/>
        <w:spacing w:after="0" w:line="207" w:lineRule="auto"/>
        <w:tabs>
          <w:tab w:leader="none" w:pos="32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029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904"/>
      </w:cols>
      <w:pgMar w:left="976" w:top="78"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59" Type="http://schemas.openxmlformats.org/officeDocument/2006/relationships/hyperlink" Target="http://www.sec.gov/Archives/edgar/data/78128/000155278119000189/e19232_ex4-4.htm" TargetMode="External"/><Relationship Id="rId60" Type="http://schemas.openxmlformats.org/officeDocument/2006/relationships/hyperlink" Target="http://www.sec.gov/Archives/edgar/data/78128/000155278119000189/e19232_ex4-5.htm" TargetMode="External"/><Relationship Id="rId61" Type="http://schemas.openxmlformats.org/officeDocument/2006/relationships/hyperlink" Target="http://www.sec.gov/Archives/edgar/data/78128/000155278121000227/e2124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2021-05-10T14:40:09Z</dcterms:created>
  <dcterms:modified xsi:type="dcterms:W3CDTF">2021-05-10T14:40:09Z</dcterms:modified>
</cp:coreProperties>
</file>