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Arial;Helvetica;Sans-Serif" w:hAnsi="Arial;Helvetica;Sans-Serif"/>
          <w:b w:val="false"/>
          <w:i w:val="false"/>
          <w:caps w:val="false"/>
          <w:smallCaps w:val="false"/>
          <w:sz w:val="20"/>
        </w:rPr>
      </w:pPr>
      <w:bookmarkStart w:id="0" w:name="e26380_wtrg-425.htm"/>
      <w:bookmarkStart w:id="1" w:name="kse26380_wtrg425"/>
      <w:bookmarkEnd w:id="0"/>
      <w:bookmarkEnd w:id="1"/>
      <w:r>
        <w:rPr>
          <w:rFonts w:ascii="Arial;Helvetica;Sans-Serif" w:hAnsi="Arial;Helvetica;Sans-Serif"/>
          <w:b w:val="false"/>
          <w:i w:val="false"/>
          <w:caps w:val="false"/>
          <w:smallCaps w:val="false"/>
          <w:sz w:val="20"/>
        </w:rPr>
        <w:t>Filed by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Rule 425 under the Securities Act of 1933</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and deemed filed pursuant to Rule 14a-6(b)</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Securities Exchange Act of 1934</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Company: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No.: 001-06659</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September 9, 2026</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All Essential Employees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Chris Franklin</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Integration Planning Update: Regulatory Updates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Colleagues,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integration planning efforts continue, I wanted to share some important regulatory updates with all of you.</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First, I’m pleased to share that on August 28, 2026, Pennsylvania reached a non-unanimous settlement in our merger with American Water. The non-unanimous settlement is subject to the approval of the PaPUC which is still pending.  Additionally, we have filed settlement agreements in Texas and North Carolina. While these settlements need to be approved, all three are positive steps forward in our proposed merger with American Water.</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 reminder, we received approval of the merger from the Kentucky Public Service Commission on April 21, 2026, from the Public Utilities Commission of Ohio on May 13, 2026, and from the Virginia State Corporation Commission on June 22, 2026. Earlier in the year, shareholders of both Essential and American Water overwhelmingly approved the transaction–related proposals.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 also pleased to share the waiting period under the U.S. Hart-Scott-Rodino Antitrust Improvements Act of 1976, as amended (the “HSR Act”), for the merger expired on August 14, 2026.  The expiration of the HSR Act waiting period satisfies one of the conditions to close the transaction.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continuing to progress with our regulatory milestones and requirements. Thank you to everyone for your continued engagement and focus as our merger and integration planning efforts continue.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Best,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Chris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Cautionary Statement Regarding Forward-Looking Statements</w:t>
      </w:r>
      <w:r>
        <w:rPr>
          <w:rFonts w:ascii="Arial;Helvetica;Sans-Serif" w:hAnsi="Arial;Helvetica;San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Proposed Merger</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 Offer or Solicitation</w:t>
      </w:r>
      <w:r>
        <w:rPr>
          <w:rFonts w:ascii="Arial;Helvetica;Sans-Serif" w:hAnsi="Arial;Helvetica;San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1666</Words>
  <Characters>9780</Characters>
  <CharactersWithSpaces>11460</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