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UNITED STATES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192" w:lineRule="auto"/>
        <w:rPr>
          <w:sz w:val="20"/>
          <w:szCs w:val="20"/>
          <w:color w:val="auto"/>
        </w:rPr>
      </w:pPr>
      <w:r>
        <w:rPr>
          <w:rFonts w:ascii="Times New Roman" w:cs="Times New Roman" w:eastAsia="Times New Roman" w:hAnsi="Times New Roman"/>
          <w:sz w:val="19"/>
          <w:szCs w:val="19"/>
          <w:color w:val="auto"/>
        </w:rPr>
        <w:t>(Mark One)</w:t>
      </w:r>
    </w:p>
    <w:p>
      <w:pPr>
        <w:spacing w:after="0" w:line="1" w:lineRule="exact"/>
        <w:rPr>
          <w:sz w:val="24"/>
          <w:szCs w:val="24"/>
          <w:color w:val="auto"/>
        </w:rPr>
      </w:pPr>
    </w:p>
    <w:p>
      <w:pPr>
        <w:ind w:left="3860" w:right="1980" w:hanging="3841"/>
        <w:spacing w:after="0" w:line="234" w:lineRule="auto"/>
        <w:rPr>
          <w:sz w:val="20"/>
          <w:szCs w:val="20"/>
          <w:color w:val="auto"/>
        </w:rPr>
      </w:pPr>
      <w:r>
        <w:rPr>
          <w:rFonts w:ascii="Times New Roman" w:cs="Times New Roman" w:eastAsia="Times New Roman" w:hAnsi="Times New Roman"/>
          <w:sz w:val="19"/>
          <w:szCs w:val="19"/>
          <w:b w:val="1"/>
          <w:bCs w:val="1"/>
          <w:color w:val="auto"/>
        </w:rPr>
        <w:t xml:space="preserve">S </w:t>
      </w:r>
      <w:r>
        <w:rPr>
          <w:rFonts w:ascii="Times New Roman" w:cs="Times New Roman" w:eastAsia="Times New Roman" w:hAnsi="Times New Roman"/>
          <w:sz w:val="19"/>
          <w:szCs w:val="19"/>
          <w:color w:val="auto"/>
        </w:rPr>
        <w:t>QUARTERLY REPORT PURSUANT TO SECTION 13 or 15 (d) OF THE SECURITIES EXCHANGE ACT OF 1934.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the quarterly period ended March 31, 2024</w:t>
      </w:r>
    </w:p>
    <w:p>
      <w:pPr>
        <w:spacing w:after="0" w:line="67" w:lineRule="exact"/>
        <w:rPr>
          <w:sz w:val="24"/>
          <w:szCs w:val="24"/>
          <w:color w:val="auto"/>
        </w:rPr>
      </w:pPr>
    </w:p>
    <w:p>
      <w:pPr>
        <w:ind w:left="2960" w:right="1920" w:hanging="2952"/>
        <w:spacing w:after="0" w:line="265" w:lineRule="auto"/>
        <w:tabs>
          <w:tab w:leader="none" w:pos="144"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TRANSITION REPORT PURSUANT TO SECTION 13 OR 15(d) OF THE SECURITIES EXCHANGE ACT OF 1934. For the transition period from_______________ to _______________</w:t>
      </w:r>
    </w:p>
    <w:p>
      <w:pPr>
        <w:spacing w:after="0" w:line="4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color w:val="auto"/>
        </w:rPr>
        <w:t>Commission File Number 1-6659</w:t>
      </w:r>
    </w:p>
    <w:p>
      <w:pPr>
        <w:spacing w:after="0" w:line="15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b w:val="1"/>
          <w:bCs w:val="1"/>
          <w:u w:val="single" w:color="auto"/>
          <w:color w:val="auto"/>
        </w:rPr>
        <w:t>ESSENTIAL UTILITIES, INC.</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163"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Pennsylvania</w:t>
            </w:r>
          </w:p>
        </w:tc>
        <w:tc>
          <w:tcPr>
            <w:tcW w:w="2960" w:type="dxa"/>
            <w:vAlign w:val="bottom"/>
            <w:gridSpan w:val="2"/>
          </w:tcPr>
          <w:p>
            <w:pPr>
              <w:spacing w:after="0"/>
              <w:rPr>
                <w:sz w:val="18"/>
                <w:szCs w:val="18"/>
                <w:color w:val="auto"/>
              </w:rPr>
            </w:pPr>
          </w:p>
        </w:tc>
        <w:tc>
          <w:tcPr>
            <w:tcW w:w="2640" w:type="dxa"/>
            <w:vAlign w:val="bottom"/>
            <w:gridSpan w:val="4"/>
          </w:tcPr>
          <w:p>
            <w:pPr>
              <w:jc w:val="right"/>
              <w:ind w:right="40"/>
              <w:spacing w:after="0"/>
              <w:rPr>
                <w:sz w:val="20"/>
                <w:szCs w:val="20"/>
                <w:color w:val="auto"/>
              </w:rPr>
            </w:pPr>
            <w:r>
              <w:rPr>
                <w:rFonts w:ascii="Times New Roman" w:cs="Times New Roman" w:eastAsia="Times New Roman" w:hAnsi="Times New Roman"/>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5480" w:type="dxa"/>
            <w:vAlign w:val="bottom"/>
            <w:gridSpan w:val="4"/>
          </w:tcPr>
          <w:p>
            <w:pPr>
              <w:jc w:val="center"/>
              <w:ind w:right="1440"/>
              <w:spacing w:after="0" w:line="183" w:lineRule="exact"/>
              <w:rPr>
                <w:sz w:val="20"/>
                <w:szCs w:val="20"/>
                <w:color w:val="auto"/>
              </w:rPr>
            </w:pPr>
            <w:r>
              <w:rPr>
                <w:rFonts w:ascii="Times New Roman" w:cs="Times New Roman" w:eastAsia="Times New Roman" w:hAnsi="Times New Roman"/>
                <w:sz w:val="19"/>
                <w:szCs w:val="19"/>
                <w:color w:val="auto"/>
                <w:w w:val="99"/>
              </w:rPr>
              <w:t>(State or other jurisdiction of</w:t>
            </w:r>
          </w:p>
        </w:tc>
        <w:tc>
          <w:tcPr>
            <w:tcW w:w="2860" w:type="dxa"/>
            <w:vAlign w:val="bottom"/>
            <w:gridSpan w:val="5"/>
          </w:tcPr>
          <w:p>
            <w:pPr>
              <w:jc w:val="center"/>
              <w:ind w:left="1346"/>
              <w:spacing w:after="0" w:line="183" w:lineRule="exact"/>
              <w:rPr>
                <w:sz w:val="20"/>
                <w:szCs w:val="20"/>
                <w:color w:val="auto"/>
              </w:rPr>
            </w:pPr>
            <w:r>
              <w:rPr>
                <w:rFonts w:ascii="Times New Roman" w:cs="Times New Roman" w:eastAsia="Times New Roman" w:hAnsi="Times New Roman"/>
                <w:sz w:val="19"/>
                <w:szCs w:val="19"/>
                <w:color w:val="auto"/>
              </w:rPr>
              <w:t>(I.R.S. Employer</w:t>
            </w:r>
          </w:p>
        </w:tc>
      </w:tr>
      <w:tr>
        <w:trPr>
          <w:trHeight w:val="244"/>
        </w:trPr>
        <w:tc>
          <w:tcPr>
            <w:tcW w:w="5480" w:type="dxa"/>
            <w:vAlign w:val="bottom"/>
            <w:gridSpan w:val="4"/>
          </w:tcPr>
          <w:p>
            <w:pPr>
              <w:jc w:val="center"/>
              <w:ind w:right="1440"/>
              <w:spacing w:after="0"/>
              <w:rPr>
                <w:sz w:val="20"/>
                <w:szCs w:val="20"/>
                <w:color w:val="auto"/>
              </w:rPr>
            </w:pPr>
            <w:r>
              <w:rPr>
                <w:rFonts w:ascii="Times New Roman" w:cs="Times New Roman" w:eastAsia="Times New Roman" w:hAnsi="Times New Roman"/>
                <w:sz w:val="19"/>
                <w:szCs w:val="19"/>
                <w:color w:val="auto"/>
                <w:w w:val="99"/>
              </w:rPr>
              <w:t>incorporation or organization)</w:t>
            </w:r>
          </w:p>
        </w:tc>
        <w:tc>
          <w:tcPr>
            <w:tcW w:w="2860" w:type="dxa"/>
            <w:vAlign w:val="bottom"/>
            <w:gridSpan w:val="5"/>
          </w:tcPr>
          <w:p>
            <w:pPr>
              <w:jc w:val="center"/>
              <w:ind w:left="1346"/>
              <w:spacing w:after="0"/>
              <w:rPr>
                <w:sz w:val="20"/>
                <w:szCs w:val="20"/>
                <w:color w:val="auto"/>
              </w:rPr>
            </w:pPr>
            <w:r>
              <w:rPr>
                <w:rFonts w:ascii="Times New Roman" w:cs="Times New Roman" w:eastAsia="Times New Roman" w:hAnsi="Times New Roman"/>
                <w:sz w:val="19"/>
                <w:szCs w:val="19"/>
                <w:color w:val="auto"/>
              </w:rPr>
              <w:t>Identification No.)</w:t>
            </w:r>
          </w:p>
        </w:tc>
      </w:tr>
      <w:tr>
        <w:trPr>
          <w:trHeight w:val="363"/>
        </w:trPr>
        <w:tc>
          <w:tcPr>
            <w:tcW w:w="5480" w:type="dxa"/>
            <w:vAlign w:val="bottom"/>
            <w:gridSpan w:val="4"/>
          </w:tcPr>
          <w:p>
            <w:pPr>
              <w:jc w:val="center"/>
              <w:ind w:right="1460"/>
              <w:spacing w:after="0"/>
              <w:rPr>
                <w:sz w:val="20"/>
                <w:szCs w:val="20"/>
                <w:color w:val="auto"/>
              </w:rPr>
            </w:pPr>
            <w:r>
              <w:rPr>
                <w:rFonts w:ascii="Times New Roman" w:cs="Times New Roman" w:eastAsia="Times New Roman" w:hAnsi="Times New Roman"/>
                <w:sz w:val="19"/>
                <w:szCs w:val="19"/>
                <w:color w:val="auto"/>
                <w:w w:val="98"/>
              </w:rPr>
              <w:t>762 W. Lancaster Avenue, Bryn Mawr, Pennsylvania</w:t>
            </w:r>
          </w:p>
        </w:tc>
        <w:tc>
          <w:tcPr>
            <w:tcW w:w="2860" w:type="dxa"/>
            <w:vAlign w:val="bottom"/>
            <w:gridSpan w:val="5"/>
          </w:tcPr>
          <w:p>
            <w:pPr>
              <w:jc w:val="right"/>
              <w:ind w:right="220"/>
              <w:spacing w:after="0"/>
              <w:rPr>
                <w:sz w:val="20"/>
                <w:szCs w:val="20"/>
                <w:color w:val="auto"/>
              </w:rPr>
            </w:pPr>
            <w:r>
              <w:rPr>
                <w:rFonts w:ascii="Times New Roman" w:cs="Times New Roman" w:eastAsia="Times New Roman" w:hAnsi="Times New Roman"/>
                <w:sz w:val="19"/>
                <w:szCs w:val="19"/>
                <w:color w:val="auto"/>
              </w:rPr>
              <w:t>19010 -3489</w:t>
            </w:r>
          </w:p>
        </w:tc>
      </w:tr>
      <w:tr>
        <w:trPr>
          <w:trHeight w:val="238"/>
        </w:trPr>
        <w:tc>
          <w:tcPr>
            <w:tcW w:w="4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w w:val="99"/>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9"/>
                <w:szCs w:val="19"/>
                <w:color w:val="auto"/>
                <w:w w:val="97"/>
              </w:rPr>
              <w:t>(Zip Code)</w:t>
            </w:r>
          </w:p>
        </w:tc>
        <w:tc>
          <w:tcPr>
            <w:tcW w:w="220" w:type="dxa"/>
            <w:vAlign w:val="bottom"/>
          </w:tcPr>
          <w:p>
            <w:pPr>
              <w:spacing w:after="0"/>
              <w:rPr>
                <w:sz w:val="20"/>
                <w:szCs w:val="20"/>
                <w:color w:val="auto"/>
              </w:rPr>
            </w:pPr>
          </w:p>
        </w:tc>
      </w:tr>
    </w:tbl>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(610) 527-8000</w:t>
      </w:r>
    </w:p>
    <w:p>
      <w:pPr>
        <w:jc w:val="center"/>
        <w:spacing w:after="0" w:line="226" w:lineRule="auto"/>
        <w:rPr>
          <w:sz w:val="20"/>
          <w:szCs w:val="20"/>
          <w:color w:val="auto"/>
        </w:rPr>
      </w:pPr>
      <w:r>
        <w:rPr>
          <w:rFonts w:ascii="Times New Roman" w:cs="Times New Roman" w:eastAsia="Times New Roman" w:hAnsi="Times New Roman"/>
          <w:sz w:val="19"/>
          <w:szCs w:val="19"/>
          <w:color w:val="auto"/>
        </w:rPr>
        <w:t>(Registrant’s telephone number, including area code)</w:t>
      </w:r>
    </w:p>
    <w:p>
      <w:pPr>
        <w:jc w:val="center"/>
        <w:spacing w:after="0" w:line="238" w:lineRule="auto"/>
        <w:rPr>
          <w:sz w:val="20"/>
          <w:szCs w:val="20"/>
          <w:color w:val="auto"/>
        </w:rPr>
      </w:pPr>
      <w:r>
        <w:rPr>
          <w:rFonts w:ascii="Times New Roman" w:cs="Times New Roman" w:eastAsia="Times New Roman" w:hAnsi="Times New Roman"/>
          <w:sz w:val="19"/>
          <w:szCs w:val="19"/>
          <w:u w:val="single" w:color="auto"/>
          <w:color w:val="auto"/>
        </w:rPr>
        <w:t>N/A</w:t>
      </w:r>
    </w:p>
    <w:p>
      <w:pPr>
        <w:jc w:val="center"/>
        <w:spacing w:after="0"/>
        <w:rPr>
          <w:sz w:val="20"/>
          <w:szCs w:val="20"/>
          <w:color w:val="auto"/>
        </w:rPr>
      </w:pPr>
      <w:r>
        <w:rPr>
          <w:rFonts w:ascii="Times New Roman" w:cs="Times New Roman" w:eastAsia="Times New Roman" w:hAnsi="Times New Roman"/>
          <w:sz w:val="19"/>
          <w:szCs w:val="19"/>
          <w:color w:val="auto"/>
        </w:rPr>
        <w:t>(Former Name, former address and former fiscal year, if changed since last report.)</w:t>
      </w:r>
    </w:p>
    <w:p>
      <w:pPr>
        <w:spacing w:after="0" w:line="167" w:lineRule="exact"/>
        <w:rPr>
          <w:sz w:val="24"/>
          <w:szCs w:val="24"/>
          <w:color w:val="auto"/>
        </w:rPr>
      </w:pPr>
    </w:p>
    <w:p>
      <w:pPr>
        <w:ind w:right="160"/>
        <w:spacing w:after="0" w:line="237"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w:t>
      </w:r>
    </w:p>
    <w:p>
      <w:pPr>
        <w:spacing w:after="0" w:line="163" w:lineRule="exact"/>
        <w:rPr>
          <w:sz w:val="24"/>
          <w:szCs w:val="24"/>
          <w:color w:val="auto"/>
        </w:rPr>
      </w:pPr>
    </w:p>
    <w:p>
      <w:pPr>
        <w:ind w:right="20"/>
        <w:spacing w:after="0" w:line="237"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w:t>
      </w:r>
    </w:p>
    <w:p>
      <w:pPr>
        <w:spacing w:after="0" w:line="176" w:lineRule="exact"/>
        <w:rPr>
          <w:sz w:val="24"/>
          <w:szCs w:val="24"/>
          <w:color w:val="auto"/>
        </w:rPr>
      </w:pPr>
    </w:p>
    <w:p>
      <w:pPr>
        <w:jc w:val="both"/>
        <w:ind w:right="200"/>
        <w:spacing w:after="0" w:line="237"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Large Accelerated Filer </w:t>
      </w:r>
      <w:r>
        <w:rPr>
          <w:rFonts w:ascii="Times New Roman" w:cs="Times New Roman" w:eastAsia="Times New Roman" w:hAnsi="Times New Roman"/>
          <w:sz w:val="19"/>
          <w:szCs w:val="19"/>
          <w:b w:val="1"/>
          <w:bCs w:val="1"/>
          <w:color w:val="auto"/>
        </w:rPr>
        <w:t>S</w:t>
      </w:r>
    </w:p>
    <w:p>
      <w:pPr>
        <w:spacing w:after="0" w:line="231" w:lineRule="auto"/>
        <w:rPr>
          <w:sz w:val="20"/>
          <w:szCs w:val="20"/>
          <w:color w:val="auto"/>
        </w:rPr>
      </w:pPr>
      <w:r>
        <w:rPr>
          <w:rFonts w:ascii="Times New Roman" w:cs="Times New Roman" w:eastAsia="Times New Roman" w:hAnsi="Times New Roman"/>
          <w:sz w:val="19"/>
          <w:szCs w:val="19"/>
          <w:color w:val="auto"/>
        </w:rPr>
        <w:t xml:space="preserve">Non-Accelerated Filer </w:t>
      </w:r>
      <w:r>
        <w:rPr>
          <w:rFonts w:ascii="Times New Roman" w:cs="Times New Roman" w:eastAsia="Times New Roman" w:hAnsi="Times New Roman"/>
          <w:sz w:val="19"/>
          <w:szCs w:val="19"/>
          <w:b w:val="1"/>
          <w:bCs w:val="1"/>
          <w:color w:val="auto"/>
        </w:rPr>
        <w:t>£</w:t>
      </w: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Accelerated Filer </w:t>
      </w:r>
      <w:r>
        <w:rPr>
          <w:rFonts w:ascii="Times New Roman" w:cs="Times New Roman" w:eastAsia="Times New Roman" w:hAnsi="Times New Roman"/>
          <w:sz w:val="19"/>
          <w:szCs w:val="19"/>
          <w:b w:val="1"/>
          <w:bCs w:val="1"/>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Times New Roman" w:cs="Times New Roman" w:eastAsia="Times New Roman" w:hAnsi="Times New Roman"/>
          <w:sz w:val="18"/>
          <w:szCs w:val="18"/>
          <w:b w:val="1"/>
          <w:bCs w:val="1"/>
          <w:color w:val="auto"/>
        </w:rPr>
        <w:t>£</w:t>
      </w:r>
    </w:p>
    <w:p>
      <w:pPr>
        <w:spacing w:after="0" w:line="380"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ind w:right="280"/>
        <w:spacing w:after="0" w:line="250" w:lineRule="auto"/>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9"/>
          <w:szCs w:val="19"/>
          <w:b w:val="1"/>
          <w:bCs w:val="1"/>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Indicate by check mark whether the registrant is a shell company (as defined in Rule 12b-2 of the Exchange Act). Yes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S</w:t>
      </w:r>
    </w:p>
    <w:p>
      <w:pPr>
        <w:spacing w:after="0" w:line="39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786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tc>
      </w:tr>
      <w:tr>
        <w:trPr>
          <w:trHeight w:val="229"/>
        </w:trPr>
        <w:tc>
          <w:tcPr>
            <w:tcW w:w="3380" w:type="dxa"/>
            <w:vAlign w:val="bottom"/>
          </w:tcPr>
          <w:p>
            <w:pPr>
              <w:jc w:val="center"/>
              <w:ind w:left="686"/>
              <w:spacing w:after="0"/>
              <w:rPr>
                <w:sz w:val="20"/>
                <w:szCs w:val="20"/>
                <w:color w:val="auto"/>
              </w:rPr>
            </w:pPr>
            <w:r>
              <w:rPr>
                <w:rFonts w:ascii="Times New Roman" w:cs="Times New Roman" w:eastAsia="Times New Roman" w:hAnsi="Times New Roman"/>
                <w:sz w:val="19"/>
                <w:szCs w:val="19"/>
                <w:color w:val="auto"/>
                <w:w w:val="98"/>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w w:val="99"/>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Name of each exchange on which registered</w:t>
            </w:r>
          </w:p>
        </w:tc>
      </w:tr>
      <w:tr>
        <w:trPr>
          <w:trHeight w:val="238"/>
        </w:trPr>
        <w:tc>
          <w:tcPr>
            <w:tcW w:w="3380" w:type="dxa"/>
            <w:vAlign w:val="bottom"/>
            <w:tcBorders>
              <w:top w:val="single" w:sz="8" w:color="auto"/>
            </w:tcBorders>
          </w:tcPr>
          <w:p>
            <w:pPr>
              <w:jc w:val="center"/>
              <w:ind w:left="706"/>
              <w:spacing w:after="0"/>
              <w:rPr>
                <w:sz w:val="20"/>
                <w:szCs w:val="20"/>
                <w:color w:val="auto"/>
              </w:rPr>
            </w:pPr>
            <w:r>
              <w:rPr>
                <w:rFonts w:ascii="Times New Roman" w:cs="Times New Roman" w:eastAsia="Times New Roman" w:hAnsi="Times New Roman"/>
                <w:sz w:val="19"/>
                <w:szCs w:val="19"/>
                <w:color w:val="auto"/>
                <w:w w:val="99"/>
              </w:rPr>
              <w:t>Common stock, $0.50 par value</w:t>
            </w: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WTRG</w:t>
            </w:r>
          </w:p>
        </w:tc>
        <w:tc>
          <w:tcPr>
            <w:tcW w:w="24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New York Stock Exchange</w:t>
            </w:r>
          </w:p>
        </w:tc>
      </w:tr>
    </w:tbl>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Indicate the number of shares outstanding of each of the issuer's classes of common stock, as of April 26, 2024</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273,523,533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0563C1"/>
        </w:rPr>
        <w:t>Table of Contents</w:t>
      </w:r>
    </w:p>
    <w:tbl>
      <w:tblPr>
        <w:tblLayout w:type="fixed"/>
        <w:tblInd w:w="0" w:type="dxa"/>
        <w:tblCellMar>
          <w:top w:w="0" w:type="dxa"/>
          <w:left w:w="0" w:type="dxa"/>
          <w:bottom w:w="0" w:type="dxa"/>
          <w:right w:w="0" w:type="dxa"/>
        </w:tblCellMar>
      </w:tblPr>
      <w:tr>
        <w:trPr>
          <w:trHeight w:val="302"/>
        </w:trPr>
        <w:tc>
          <w:tcPr>
            <w:tcW w:w="6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20" w:type="dxa"/>
            <w:vAlign w:val="bottom"/>
            <w:gridSpan w:val="18"/>
          </w:tcPr>
          <w:p>
            <w:pPr>
              <w:jc w:val="center"/>
              <w:ind w:right="1000"/>
              <w:spacing w:after="0"/>
              <w:rPr>
                <w:sz w:val="20"/>
                <w:szCs w:val="20"/>
                <w:color w:val="auto"/>
              </w:rPr>
            </w:pPr>
            <w:r>
              <w:rPr>
                <w:rFonts w:ascii="Times New Roman" w:cs="Times New Roman" w:eastAsia="Times New Roman" w:hAnsi="Times New Roman"/>
                <w:sz w:val="22"/>
                <w:szCs w:val="22"/>
                <w:color w:val="auto"/>
                <w:w w:val="98"/>
              </w:rPr>
              <w:t>ESSENTIAL UTILITIES, INC. AND SUBSIDIARIES</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1"/>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12"/>
          </w:tcPr>
          <w:p>
            <w:pPr>
              <w:jc w:val="center"/>
              <w:ind w:right="2620"/>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1860" w:type="dxa"/>
            <w:vAlign w:val="bottom"/>
            <w:gridSpan w:val="3"/>
            <w:vMerge w:val="restart"/>
          </w:tcPr>
          <w:p>
            <w:pPr>
              <w:ind w:left="1360"/>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140" w:type="dxa"/>
            <w:vAlign w:val="bottom"/>
            <w:gridSpan w:val="16"/>
            <w:shd w:val="clear" w:color="auto" w:fill="CCEEFF"/>
          </w:tcPr>
          <w:p>
            <w:pPr>
              <w:jc w:val="center"/>
              <w:ind w:right="2440"/>
              <w:spacing w:after="0" w:line="203" w:lineRule="exact"/>
              <w:rPr>
                <w:sz w:val="20"/>
                <w:szCs w:val="20"/>
                <w:color w:val="auto"/>
              </w:rPr>
            </w:pPr>
            <w:r>
              <w:rPr>
                <w:rFonts w:ascii="Times New Roman" w:cs="Times New Roman" w:eastAsia="Times New Roman" w:hAnsi="Times New Roman"/>
                <w:sz w:val="22"/>
                <w:szCs w:val="22"/>
                <w:color w:val="0563C1"/>
                <w:w w:val="98"/>
              </w:rPr>
              <w:t>Part I – Financial Information</w:t>
            </w:r>
          </w:p>
        </w:tc>
        <w:tc>
          <w:tcPr>
            <w:tcW w:w="13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100" w:type="dxa"/>
            <w:vAlign w:val="bottom"/>
            <w:tcBorders>
              <w:top w:val="single" w:sz="8" w:color="0563C1"/>
            </w:tcBorders>
          </w:tcPr>
          <w:p>
            <w:pPr>
              <w:spacing w:after="0"/>
              <w:rPr>
                <w:sz w:val="18"/>
                <w:szCs w:val="18"/>
                <w:color w:val="auto"/>
              </w:rPr>
            </w:pPr>
          </w:p>
        </w:tc>
        <w:tc>
          <w:tcPr>
            <w:tcW w:w="60" w:type="dxa"/>
            <w:vAlign w:val="bottom"/>
            <w:tcBorders>
              <w:top w:val="single" w:sz="8" w:color="0563C1"/>
            </w:tcBorders>
          </w:tcPr>
          <w:p>
            <w:pPr>
              <w:spacing w:after="0"/>
              <w:rPr>
                <w:sz w:val="18"/>
                <w:szCs w:val="18"/>
                <w:color w:val="auto"/>
              </w:rPr>
            </w:pPr>
          </w:p>
        </w:tc>
        <w:tc>
          <w:tcPr>
            <w:tcW w:w="400" w:type="dxa"/>
            <w:vAlign w:val="bottom"/>
            <w:tcBorders>
              <w:top w:val="single" w:sz="8" w:color="0563C1"/>
            </w:tcBorders>
          </w:tcPr>
          <w:p>
            <w:pPr>
              <w:spacing w:after="0"/>
              <w:rPr>
                <w:sz w:val="18"/>
                <w:szCs w:val="18"/>
                <w:color w:val="auto"/>
              </w:rPr>
            </w:pPr>
          </w:p>
        </w:tc>
        <w:tc>
          <w:tcPr>
            <w:tcW w:w="200" w:type="dxa"/>
            <w:vAlign w:val="bottom"/>
            <w:tcBorders>
              <w:top w:val="single" w:sz="8" w:color="0563C1"/>
            </w:tcBorders>
          </w:tcPr>
          <w:p>
            <w:pPr>
              <w:spacing w:after="0"/>
              <w:rPr>
                <w:sz w:val="18"/>
                <w:szCs w:val="18"/>
                <w:color w:val="auto"/>
              </w:rPr>
            </w:pPr>
          </w:p>
        </w:tc>
        <w:tc>
          <w:tcPr>
            <w:tcW w:w="140" w:type="dxa"/>
            <w:vAlign w:val="bottom"/>
            <w:tcBorders>
              <w:top w:val="single" w:sz="8" w:color="0563C1"/>
            </w:tcBorders>
          </w:tcPr>
          <w:p>
            <w:pPr>
              <w:spacing w:after="0"/>
              <w:rPr>
                <w:sz w:val="18"/>
                <w:szCs w:val="18"/>
                <w:color w:val="auto"/>
              </w:rPr>
            </w:pPr>
          </w:p>
        </w:tc>
        <w:tc>
          <w:tcPr>
            <w:tcW w:w="40" w:type="dxa"/>
            <w:vAlign w:val="bottom"/>
            <w:tcBorders>
              <w:top w:val="single" w:sz="8" w:color="0563C1"/>
            </w:tcBorders>
          </w:tcPr>
          <w:p>
            <w:pPr>
              <w:spacing w:after="0"/>
              <w:rPr>
                <w:sz w:val="18"/>
                <w:szCs w:val="18"/>
                <w:color w:val="auto"/>
              </w:rPr>
            </w:pPr>
          </w:p>
        </w:tc>
        <w:tc>
          <w:tcPr>
            <w:tcW w:w="80" w:type="dxa"/>
            <w:vAlign w:val="bottom"/>
            <w:tcBorders>
              <w:top w:val="single" w:sz="8" w:color="0563C1"/>
            </w:tcBorders>
          </w:tcPr>
          <w:p>
            <w:pPr>
              <w:spacing w:after="0"/>
              <w:rPr>
                <w:sz w:val="18"/>
                <w:szCs w:val="18"/>
                <w:color w:val="auto"/>
              </w:rPr>
            </w:pPr>
          </w:p>
        </w:tc>
        <w:tc>
          <w:tcPr>
            <w:tcW w:w="140" w:type="dxa"/>
            <w:vAlign w:val="bottom"/>
            <w:tcBorders>
              <w:top w:val="single" w:sz="8" w:color="0563C1"/>
            </w:tcBorders>
          </w:tcPr>
          <w:p>
            <w:pPr>
              <w:spacing w:after="0"/>
              <w:rPr>
                <w:sz w:val="18"/>
                <w:szCs w:val="18"/>
                <w:color w:val="auto"/>
              </w:rPr>
            </w:pPr>
          </w:p>
        </w:tc>
        <w:tc>
          <w:tcPr>
            <w:tcW w:w="480" w:type="dxa"/>
            <w:vAlign w:val="bottom"/>
            <w:tcBorders>
              <w:top w:val="single" w:sz="8" w:color="0563C1"/>
            </w:tcBorders>
          </w:tcPr>
          <w:p>
            <w:pPr>
              <w:spacing w:after="0"/>
              <w:rPr>
                <w:sz w:val="18"/>
                <w:szCs w:val="18"/>
                <w:color w:val="auto"/>
              </w:rPr>
            </w:pPr>
          </w:p>
        </w:tc>
        <w:tc>
          <w:tcPr>
            <w:tcW w:w="800" w:type="dxa"/>
            <w:vAlign w:val="bottom"/>
            <w:tcBorders>
              <w:top w:val="single" w:sz="8" w:color="0563C1"/>
            </w:tcBorders>
          </w:tcPr>
          <w:p>
            <w:pPr>
              <w:spacing w:after="0"/>
              <w:rPr>
                <w:sz w:val="18"/>
                <w:szCs w:val="18"/>
                <w:color w:val="auto"/>
              </w:rPr>
            </w:pPr>
          </w:p>
        </w:tc>
        <w:tc>
          <w:tcPr>
            <w:tcW w:w="120" w:type="dxa"/>
            <w:vAlign w:val="bottom"/>
            <w:tcBorders>
              <w:top w:val="single" w:sz="8" w:color="0563C1"/>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w:t>
            </w:r>
          </w:p>
        </w:tc>
        <w:tc>
          <w:tcPr>
            <w:tcW w:w="8720" w:type="dxa"/>
            <w:vAlign w:val="bottom"/>
            <w:gridSpan w:val="28"/>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Financial Statements:</w:t>
            </w: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Borders>
              <w:top w:val="single" w:sz="8" w:color="0563C1"/>
            </w:tcBorders>
          </w:tcPr>
          <w:p>
            <w:pPr>
              <w:spacing w:after="0"/>
              <w:rPr>
                <w:sz w:val="21"/>
                <w:szCs w:val="21"/>
                <w:color w:val="auto"/>
              </w:rPr>
            </w:pPr>
          </w:p>
        </w:tc>
        <w:tc>
          <w:tcPr>
            <w:tcW w:w="26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40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80" w:type="dxa"/>
            <w:vAlign w:val="bottom"/>
            <w:tcBorders>
              <w:top w:val="single" w:sz="8" w:color="0563C1"/>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8720" w:type="dxa"/>
            <w:vAlign w:val="bottom"/>
            <w:gridSpan w:val="28"/>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Balance Sheets (unaudited) – March 31, 2024 and December 31, 2023</w:t>
            </w:r>
          </w:p>
        </w:tc>
        <w:tc>
          <w:tcPr>
            <w:tcW w:w="186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8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20" w:type="dxa"/>
            <w:vAlign w:val="bottom"/>
            <w:gridSpan w:val="28"/>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Operations and Comprehensive Income (unaudited) –</w:t>
            </w:r>
          </w:p>
        </w:tc>
        <w:tc>
          <w:tcPr>
            <w:tcW w:w="1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6740" w:type="dxa"/>
            <w:vAlign w:val="bottom"/>
            <w:tcBorders>
              <w:top w:val="single" w:sz="8" w:color="0563C1"/>
            </w:tcBorders>
            <w:gridSpan w:val="24"/>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Three Months Ended March 31, 2024 and 2023</w:t>
            </w:r>
          </w:p>
        </w:tc>
        <w:tc>
          <w:tcPr>
            <w:tcW w:w="1660" w:type="dxa"/>
            <w:vAlign w:val="bottom"/>
            <w:tcBorders>
              <w:top w:val="single" w:sz="8" w:color="CCEEFF"/>
            </w:tcBorders>
            <w:gridSpan w:val="2"/>
            <w:shd w:val="clear" w:color="auto" w:fill="CCEEFF"/>
          </w:tcPr>
          <w:p>
            <w:pPr>
              <w:spacing w:after="0"/>
              <w:rPr>
                <w:sz w:val="20"/>
                <w:szCs w:val="20"/>
                <w:color w:val="auto"/>
              </w:rPr>
            </w:pPr>
          </w:p>
        </w:tc>
        <w:tc>
          <w:tcPr>
            <w:tcW w:w="186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6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0563C1"/>
            </w:tcBorders>
          </w:tcPr>
          <w:p>
            <w:pPr>
              <w:spacing w:after="0"/>
              <w:rPr>
                <w:sz w:val="22"/>
                <w:szCs w:val="22"/>
                <w:color w:val="auto"/>
              </w:rPr>
            </w:pPr>
          </w:p>
        </w:tc>
        <w:tc>
          <w:tcPr>
            <w:tcW w:w="400" w:type="dxa"/>
            <w:vAlign w:val="bottom"/>
            <w:tcBorders>
              <w:top w:val="single" w:sz="8" w:color="0563C1"/>
            </w:tcBorders>
          </w:tcPr>
          <w:p>
            <w:pPr>
              <w:spacing w:after="0"/>
              <w:rPr>
                <w:sz w:val="22"/>
                <w:szCs w:val="22"/>
                <w:color w:val="auto"/>
              </w:rPr>
            </w:pPr>
          </w:p>
        </w:tc>
        <w:tc>
          <w:tcPr>
            <w:tcW w:w="100" w:type="dxa"/>
            <w:vAlign w:val="bottom"/>
            <w:tcBorders>
              <w:top w:val="single" w:sz="8" w:color="0563C1"/>
            </w:tcBorders>
          </w:tcPr>
          <w:p>
            <w:pPr>
              <w:spacing w:after="0"/>
              <w:rPr>
                <w:sz w:val="22"/>
                <w:szCs w:val="22"/>
                <w:color w:val="auto"/>
              </w:rPr>
            </w:pPr>
          </w:p>
        </w:tc>
        <w:tc>
          <w:tcPr>
            <w:tcW w:w="420" w:type="dxa"/>
            <w:vAlign w:val="bottom"/>
            <w:tcBorders>
              <w:top w:val="single" w:sz="8" w:color="0563C1"/>
            </w:tcBorders>
          </w:tcPr>
          <w:p>
            <w:pPr>
              <w:spacing w:after="0"/>
              <w:rPr>
                <w:sz w:val="22"/>
                <w:szCs w:val="22"/>
                <w:color w:val="auto"/>
              </w:rPr>
            </w:pPr>
          </w:p>
        </w:tc>
        <w:tc>
          <w:tcPr>
            <w:tcW w:w="340" w:type="dxa"/>
            <w:vAlign w:val="bottom"/>
            <w:tcBorders>
              <w:top w:val="single" w:sz="8" w:color="0563C1"/>
            </w:tcBorders>
          </w:tcPr>
          <w:p>
            <w:pPr>
              <w:spacing w:after="0"/>
              <w:rPr>
                <w:sz w:val="22"/>
                <w:szCs w:val="22"/>
                <w:color w:val="auto"/>
              </w:rPr>
            </w:pPr>
          </w:p>
        </w:tc>
        <w:tc>
          <w:tcPr>
            <w:tcW w:w="20" w:type="dxa"/>
            <w:vAlign w:val="bottom"/>
            <w:tcBorders>
              <w:top w:val="single" w:sz="8" w:color="0563C1"/>
            </w:tcBorders>
          </w:tcPr>
          <w:p>
            <w:pPr>
              <w:spacing w:after="0"/>
              <w:rPr>
                <w:sz w:val="22"/>
                <w:szCs w:val="22"/>
                <w:color w:val="auto"/>
              </w:rPr>
            </w:pPr>
          </w:p>
        </w:tc>
        <w:tc>
          <w:tcPr>
            <w:tcW w:w="280" w:type="dxa"/>
            <w:vAlign w:val="bottom"/>
            <w:tcBorders>
              <w:top w:val="single" w:sz="8" w:color="0563C1"/>
            </w:tcBorders>
          </w:tcPr>
          <w:p>
            <w:pPr>
              <w:spacing w:after="0"/>
              <w:rPr>
                <w:sz w:val="22"/>
                <w:szCs w:val="22"/>
                <w:color w:val="auto"/>
              </w:rPr>
            </w:pPr>
          </w:p>
        </w:tc>
        <w:tc>
          <w:tcPr>
            <w:tcW w:w="260" w:type="dxa"/>
            <w:vAlign w:val="bottom"/>
            <w:tcBorders>
              <w:top w:val="single" w:sz="8" w:color="0563C1"/>
            </w:tcBorders>
          </w:tcPr>
          <w:p>
            <w:pPr>
              <w:spacing w:after="0"/>
              <w:rPr>
                <w:sz w:val="22"/>
                <w:szCs w:val="22"/>
                <w:color w:val="auto"/>
              </w:rPr>
            </w:pPr>
          </w:p>
        </w:tc>
        <w:tc>
          <w:tcPr>
            <w:tcW w:w="960" w:type="dxa"/>
            <w:vAlign w:val="bottom"/>
            <w:tcBorders>
              <w:top w:val="single" w:sz="8" w:color="0563C1"/>
            </w:tcBorders>
          </w:tcPr>
          <w:p>
            <w:pPr>
              <w:spacing w:after="0"/>
              <w:rPr>
                <w:sz w:val="22"/>
                <w:szCs w:val="22"/>
                <w:color w:val="auto"/>
              </w:rPr>
            </w:pPr>
          </w:p>
        </w:tc>
        <w:tc>
          <w:tcPr>
            <w:tcW w:w="420" w:type="dxa"/>
            <w:vAlign w:val="bottom"/>
            <w:tcBorders>
              <w:top w:val="single" w:sz="8" w:color="0563C1"/>
            </w:tcBorders>
          </w:tcPr>
          <w:p>
            <w:pPr>
              <w:spacing w:after="0"/>
              <w:rPr>
                <w:sz w:val="22"/>
                <w:szCs w:val="22"/>
                <w:color w:val="auto"/>
              </w:rPr>
            </w:pPr>
          </w:p>
        </w:tc>
        <w:tc>
          <w:tcPr>
            <w:tcW w:w="60" w:type="dxa"/>
            <w:vAlign w:val="bottom"/>
            <w:tcBorders>
              <w:top w:val="single" w:sz="8" w:color="0563C1"/>
            </w:tcBorders>
          </w:tcPr>
          <w:p>
            <w:pPr>
              <w:spacing w:after="0"/>
              <w:rPr>
                <w:sz w:val="22"/>
                <w:szCs w:val="22"/>
                <w:color w:val="auto"/>
              </w:rPr>
            </w:pPr>
          </w:p>
        </w:tc>
        <w:tc>
          <w:tcPr>
            <w:tcW w:w="20" w:type="dxa"/>
            <w:vAlign w:val="bottom"/>
            <w:tcBorders>
              <w:top w:val="single" w:sz="8" w:color="0563C1"/>
            </w:tcBorders>
          </w:tcPr>
          <w:p>
            <w:pPr>
              <w:spacing w:after="0"/>
              <w:rPr>
                <w:sz w:val="22"/>
                <w:szCs w:val="22"/>
                <w:color w:val="auto"/>
              </w:rPr>
            </w:pPr>
          </w:p>
        </w:tc>
        <w:tc>
          <w:tcPr>
            <w:tcW w:w="100" w:type="dxa"/>
            <w:vAlign w:val="bottom"/>
            <w:tcBorders>
              <w:top w:val="single" w:sz="8" w:color="0563C1"/>
            </w:tcBorders>
          </w:tcPr>
          <w:p>
            <w:pPr>
              <w:spacing w:after="0"/>
              <w:rPr>
                <w:sz w:val="22"/>
                <w:szCs w:val="22"/>
                <w:color w:val="auto"/>
              </w:rPr>
            </w:pPr>
          </w:p>
        </w:tc>
        <w:tc>
          <w:tcPr>
            <w:tcW w:w="60" w:type="dxa"/>
            <w:vAlign w:val="bottom"/>
            <w:tcBorders>
              <w:top w:val="single" w:sz="8" w:color="0563C1"/>
            </w:tcBorders>
          </w:tcPr>
          <w:p>
            <w:pPr>
              <w:spacing w:after="0"/>
              <w:rPr>
                <w:sz w:val="22"/>
                <w:szCs w:val="22"/>
                <w:color w:val="auto"/>
              </w:rPr>
            </w:pPr>
          </w:p>
        </w:tc>
        <w:tc>
          <w:tcPr>
            <w:tcW w:w="400" w:type="dxa"/>
            <w:vAlign w:val="bottom"/>
            <w:tcBorders>
              <w:top w:val="single" w:sz="8" w:color="0563C1"/>
            </w:tcBorders>
          </w:tcPr>
          <w:p>
            <w:pPr>
              <w:spacing w:after="0"/>
              <w:rPr>
                <w:sz w:val="22"/>
                <w:szCs w:val="22"/>
                <w:color w:val="auto"/>
              </w:rPr>
            </w:pPr>
          </w:p>
        </w:tc>
        <w:tc>
          <w:tcPr>
            <w:tcW w:w="200" w:type="dxa"/>
            <w:vAlign w:val="bottom"/>
            <w:tcBorders>
              <w:top w:val="single" w:sz="8" w:color="0563C1"/>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36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20" w:type="dxa"/>
            <w:vAlign w:val="bottom"/>
            <w:gridSpan w:val="28"/>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 xml:space="preserve">Consolidated Statements of Capitalization (unaudited) </w:t>
            </w:r>
            <w:r>
              <w:rPr>
                <w:rFonts w:ascii="Times New Roman" w:cs="Times New Roman" w:eastAsia="Times New Roman" w:hAnsi="Times New Roman"/>
                <w:sz w:val="22"/>
                <w:szCs w:val="22"/>
                <w:color w:val="000000"/>
              </w:rPr>
              <w:t>–</w:t>
            </w:r>
          </w:p>
        </w:tc>
        <w:tc>
          <w:tcPr>
            <w:tcW w:w="1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4360" w:type="dxa"/>
            <w:vAlign w:val="bottom"/>
            <w:tcBorders>
              <w:top w:val="single" w:sz="8" w:color="0563C1"/>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March 31, 2024 and December 31, 2023</w:t>
            </w:r>
          </w:p>
        </w:tc>
        <w:tc>
          <w:tcPr>
            <w:tcW w:w="1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2620" w:type="dxa"/>
            <w:vAlign w:val="bottom"/>
            <w:tcBorders>
              <w:top w:val="single" w:sz="8" w:color="CCEEFF"/>
            </w:tcBorders>
            <w:gridSpan w:val="4"/>
            <w:shd w:val="clear" w:color="auto" w:fill="CCEEFF"/>
          </w:tcPr>
          <w:p>
            <w:pPr>
              <w:spacing w:after="0"/>
              <w:rPr>
                <w:sz w:val="20"/>
                <w:szCs w:val="20"/>
                <w:color w:val="auto"/>
              </w:rPr>
            </w:pPr>
          </w:p>
        </w:tc>
        <w:tc>
          <w:tcPr>
            <w:tcW w:w="186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20" w:type="dxa"/>
            <w:vAlign w:val="bottom"/>
            <w:gridSpan w:val="28"/>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Equity (unaudited) –</w:t>
            </w:r>
          </w:p>
        </w:tc>
        <w:tc>
          <w:tcPr>
            <w:tcW w:w="1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3900" w:type="dxa"/>
            <w:vAlign w:val="bottom"/>
            <w:tcBorders>
              <w:top w:val="single" w:sz="8" w:color="0563C1"/>
            </w:tcBorders>
            <w:gridSpan w:val="15"/>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Three Months Ended March 31, 2024</w:t>
            </w:r>
          </w:p>
        </w:tc>
        <w:tc>
          <w:tcPr>
            <w:tcW w:w="340" w:type="dxa"/>
            <w:vAlign w:val="bottom"/>
            <w:tcBorders>
              <w:top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gridSpan w:val="2"/>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2620" w:type="dxa"/>
            <w:vAlign w:val="bottom"/>
            <w:tcBorders>
              <w:top w:val="single" w:sz="8" w:color="CCEEFF"/>
            </w:tcBorders>
            <w:gridSpan w:val="4"/>
            <w:shd w:val="clear" w:color="auto" w:fill="CCEEFF"/>
          </w:tcPr>
          <w:p>
            <w:pPr>
              <w:spacing w:after="0"/>
              <w:rPr>
                <w:sz w:val="20"/>
                <w:szCs w:val="20"/>
                <w:color w:val="auto"/>
              </w:rPr>
            </w:pPr>
          </w:p>
        </w:tc>
        <w:tc>
          <w:tcPr>
            <w:tcW w:w="186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20" w:type="dxa"/>
            <w:vAlign w:val="bottom"/>
            <w:gridSpan w:val="28"/>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Equity (unaudited) –</w:t>
            </w:r>
          </w:p>
        </w:tc>
        <w:tc>
          <w:tcPr>
            <w:tcW w:w="1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3840" w:type="dxa"/>
            <w:vAlign w:val="bottom"/>
            <w:tcBorders>
              <w:top w:val="single" w:sz="8" w:color="0563C1"/>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‎Three Months Ended March 31, 2023</w:t>
            </w:r>
          </w:p>
        </w:tc>
        <w:tc>
          <w:tcPr>
            <w:tcW w:w="340" w:type="dxa"/>
            <w:vAlign w:val="bottom"/>
            <w:tcBorders>
              <w:top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gridSpan w:val="2"/>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2620" w:type="dxa"/>
            <w:vAlign w:val="bottom"/>
            <w:tcBorders>
              <w:top w:val="single" w:sz="8" w:color="CCEEFF"/>
            </w:tcBorders>
            <w:gridSpan w:val="4"/>
            <w:shd w:val="clear" w:color="auto" w:fill="CCEEFF"/>
          </w:tcPr>
          <w:p>
            <w:pPr>
              <w:spacing w:after="0"/>
              <w:rPr>
                <w:sz w:val="20"/>
                <w:szCs w:val="20"/>
                <w:color w:val="auto"/>
              </w:rPr>
            </w:pPr>
          </w:p>
        </w:tc>
        <w:tc>
          <w:tcPr>
            <w:tcW w:w="186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20" w:type="dxa"/>
            <w:vAlign w:val="bottom"/>
            <w:gridSpan w:val="28"/>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Cash Flow (unaudited) –</w:t>
            </w:r>
          </w:p>
        </w:tc>
        <w:tc>
          <w:tcPr>
            <w:tcW w:w="1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4240" w:type="dxa"/>
            <w:vAlign w:val="bottom"/>
            <w:tcBorders>
              <w:top w:val="single" w:sz="8" w:color="0563C1"/>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Three Months Ended March 31, 2024 and 2023</w:t>
            </w: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gridSpan w:val="2"/>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2620" w:type="dxa"/>
            <w:vAlign w:val="bottom"/>
            <w:tcBorders>
              <w:top w:val="single" w:sz="8" w:color="CCEEFF"/>
            </w:tcBorders>
            <w:gridSpan w:val="4"/>
            <w:shd w:val="clear" w:color="auto" w:fill="CCEEFF"/>
          </w:tcPr>
          <w:p>
            <w:pPr>
              <w:spacing w:after="0"/>
              <w:rPr>
                <w:sz w:val="20"/>
                <w:szCs w:val="20"/>
                <w:color w:val="auto"/>
              </w:rPr>
            </w:pPr>
          </w:p>
        </w:tc>
        <w:tc>
          <w:tcPr>
            <w:tcW w:w="186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8720" w:type="dxa"/>
            <w:vAlign w:val="bottom"/>
            <w:gridSpan w:val="28"/>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Notes to Consolidated Financial Statements (unaudited)</w:t>
            </w:r>
          </w:p>
        </w:tc>
        <w:tc>
          <w:tcPr>
            <w:tcW w:w="186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38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2. Management’s Discussion and Analysis of Financial</w:t>
            </w:r>
          </w:p>
        </w:tc>
        <w:tc>
          <w:tcPr>
            <w:tcW w:w="1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shd w:val="clear" w:color="auto" w:fill="CCEEFF"/>
          </w:tcPr>
          <w:p>
            <w:pPr>
              <w:spacing w:after="0"/>
              <w:rPr>
                <w:sz w:val="20"/>
                <w:szCs w:val="20"/>
                <w:color w:val="auto"/>
              </w:rPr>
            </w:pPr>
          </w:p>
        </w:tc>
        <w:tc>
          <w:tcPr>
            <w:tcW w:w="4600" w:type="dxa"/>
            <w:vAlign w:val="bottom"/>
            <w:tcBorders>
              <w:top w:val="single" w:sz="8" w:color="0563C1"/>
            </w:tcBorders>
            <w:gridSpan w:val="20"/>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Condition and Results of Operations</w:t>
            </w:r>
          </w:p>
        </w:tc>
        <w:tc>
          <w:tcPr>
            <w:tcW w:w="700" w:type="dxa"/>
            <w:vAlign w:val="bottom"/>
            <w:tcBorders>
              <w:top w:val="single" w:sz="8" w:color="CCEEFF"/>
            </w:tcBorders>
            <w:gridSpan w:val="3"/>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2620" w:type="dxa"/>
            <w:vAlign w:val="bottom"/>
            <w:tcBorders>
              <w:top w:val="single" w:sz="8" w:color="CCEEFF"/>
            </w:tcBorders>
            <w:gridSpan w:val="4"/>
            <w:shd w:val="clear" w:color="auto" w:fill="CCEEFF"/>
          </w:tcPr>
          <w:p>
            <w:pPr>
              <w:spacing w:after="0"/>
              <w:rPr>
                <w:sz w:val="20"/>
                <w:szCs w:val="20"/>
                <w:color w:val="auto"/>
              </w:rPr>
            </w:pPr>
          </w:p>
        </w:tc>
        <w:tc>
          <w:tcPr>
            <w:tcW w:w="186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3.</w:t>
            </w:r>
          </w:p>
        </w:tc>
        <w:tc>
          <w:tcPr>
            <w:tcW w:w="8720" w:type="dxa"/>
            <w:vAlign w:val="bottom"/>
            <w:gridSpan w:val="28"/>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Quantitative and Qualitative Disclosures About Market Risk</w:t>
            </w:r>
          </w:p>
        </w:tc>
        <w:tc>
          <w:tcPr>
            <w:tcW w:w="186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4.</w:t>
            </w:r>
          </w:p>
        </w:tc>
        <w:tc>
          <w:tcPr>
            <w:tcW w:w="8720" w:type="dxa"/>
            <w:vAlign w:val="bottom"/>
            <w:gridSpan w:val="28"/>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Controls and Procedures</w:t>
            </w:r>
          </w:p>
        </w:tc>
        <w:tc>
          <w:tcPr>
            <w:tcW w:w="186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60" w:type="dxa"/>
            <w:vAlign w:val="bottom"/>
            <w:gridSpan w:val="14"/>
            <w:shd w:val="clear" w:color="auto" w:fill="CCEEFF"/>
          </w:tcPr>
          <w:p>
            <w:pPr>
              <w:jc w:val="center"/>
              <w:ind w:right="2520"/>
              <w:spacing w:after="0" w:line="203" w:lineRule="exact"/>
              <w:rPr>
                <w:sz w:val="20"/>
                <w:szCs w:val="20"/>
                <w:color w:val="auto"/>
              </w:rPr>
            </w:pPr>
            <w:r>
              <w:rPr>
                <w:rFonts w:ascii="Times New Roman" w:cs="Times New Roman" w:eastAsia="Times New Roman" w:hAnsi="Times New Roman"/>
                <w:sz w:val="22"/>
                <w:szCs w:val="22"/>
                <w:color w:val="0563C1"/>
                <w:w w:val="98"/>
              </w:rPr>
              <w:t>Part II – Other Information</w:t>
            </w: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96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 w:type="dxa"/>
            <w:vAlign w:val="bottom"/>
            <w:tcBorders>
              <w:top w:val="single" w:sz="8" w:color="0563C1"/>
            </w:tcBorders>
          </w:tcPr>
          <w:p>
            <w:pPr>
              <w:spacing w:after="0"/>
              <w:rPr>
                <w:sz w:val="22"/>
                <w:szCs w:val="22"/>
                <w:color w:val="auto"/>
              </w:rPr>
            </w:pPr>
          </w:p>
        </w:tc>
        <w:tc>
          <w:tcPr>
            <w:tcW w:w="400" w:type="dxa"/>
            <w:vAlign w:val="bottom"/>
            <w:tcBorders>
              <w:top w:val="single" w:sz="8" w:color="0563C1"/>
            </w:tcBorders>
          </w:tcPr>
          <w:p>
            <w:pPr>
              <w:spacing w:after="0"/>
              <w:rPr>
                <w:sz w:val="22"/>
                <w:szCs w:val="22"/>
                <w:color w:val="auto"/>
              </w:rPr>
            </w:pPr>
          </w:p>
        </w:tc>
        <w:tc>
          <w:tcPr>
            <w:tcW w:w="200" w:type="dxa"/>
            <w:vAlign w:val="bottom"/>
            <w:tcBorders>
              <w:top w:val="single" w:sz="8" w:color="0563C1"/>
            </w:tcBorders>
          </w:tcPr>
          <w:p>
            <w:pPr>
              <w:spacing w:after="0"/>
              <w:rPr>
                <w:sz w:val="22"/>
                <w:szCs w:val="22"/>
                <w:color w:val="auto"/>
              </w:rPr>
            </w:pPr>
          </w:p>
        </w:tc>
        <w:tc>
          <w:tcPr>
            <w:tcW w:w="140" w:type="dxa"/>
            <w:vAlign w:val="bottom"/>
            <w:tcBorders>
              <w:top w:val="single" w:sz="8" w:color="0563C1"/>
            </w:tcBorders>
          </w:tcPr>
          <w:p>
            <w:pPr>
              <w:spacing w:after="0"/>
              <w:rPr>
                <w:sz w:val="22"/>
                <w:szCs w:val="22"/>
                <w:color w:val="auto"/>
              </w:rPr>
            </w:pPr>
          </w:p>
        </w:tc>
        <w:tc>
          <w:tcPr>
            <w:tcW w:w="40" w:type="dxa"/>
            <w:vAlign w:val="bottom"/>
            <w:tcBorders>
              <w:top w:val="single" w:sz="8" w:color="0563C1"/>
            </w:tcBorders>
          </w:tcPr>
          <w:p>
            <w:pPr>
              <w:spacing w:after="0"/>
              <w:rPr>
                <w:sz w:val="22"/>
                <w:szCs w:val="22"/>
                <w:color w:val="auto"/>
              </w:rPr>
            </w:pPr>
          </w:p>
        </w:tc>
        <w:tc>
          <w:tcPr>
            <w:tcW w:w="80" w:type="dxa"/>
            <w:vAlign w:val="bottom"/>
            <w:tcBorders>
              <w:top w:val="single" w:sz="8" w:color="0563C1"/>
            </w:tcBorders>
          </w:tcPr>
          <w:p>
            <w:pPr>
              <w:spacing w:after="0"/>
              <w:rPr>
                <w:sz w:val="22"/>
                <w:szCs w:val="22"/>
                <w:color w:val="auto"/>
              </w:rPr>
            </w:pPr>
          </w:p>
        </w:tc>
        <w:tc>
          <w:tcPr>
            <w:tcW w:w="140" w:type="dxa"/>
            <w:vAlign w:val="bottom"/>
            <w:tcBorders>
              <w:top w:val="single" w:sz="8" w:color="0563C1"/>
            </w:tcBorders>
          </w:tcPr>
          <w:p>
            <w:pPr>
              <w:spacing w:after="0"/>
              <w:rPr>
                <w:sz w:val="22"/>
                <w:szCs w:val="22"/>
                <w:color w:val="auto"/>
              </w:rPr>
            </w:pPr>
          </w:p>
        </w:tc>
        <w:tc>
          <w:tcPr>
            <w:tcW w:w="480" w:type="dxa"/>
            <w:vAlign w:val="bottom"/>
            <w:tcBorders>
              <w:top w:val="single" w:sz="8" w:color="0563C1"/>
            </w:tcBorders>
          </w:tcPr>
          <w:p>
            <w:pPr>
              <w:spacing w:after="0"/>
              <w:rPr>
                <w:sz w:val="22"/>
                <w:szCs w:val="22"/>
                <w:color w:val="auto"/>
              </w:rPr>
            </w:pPr>
          </w:p>
        </w:tc>
        <w:tc>
          <w:tcPr>
            <w:tcW w:w="800" w:type="dxa"/>
            <w:vAlign w:val="bottom"/>
            <w:tcBorders>
              <w:top w:val="single" w:sz="8" w:color="0563C1"/>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36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w:t>
            </w:r>
          </w:p>
        </w:tc>
        <w:tc>
          <w:tcPr>
            <w:tcW w:w="8720" w:type="dxa"/>
            <w:vAlign w:val="bottom"/>
            <w:gridSpan w:val="28"/>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Legal Proceedings</w:t>
            </w:r>
          </w:p>
        </w:tc>
        <w:tc>
          <w:tcPr>
            <w:tcW w:w="186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38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1A. Risk Factors</w:t>
            </w:r>
          </w:p>
        </w:tc>
        <w:tc>
          <w:tcPr>
            <w:tcW w:w="186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5.</w:t>
            </w:r>
          </w:p>
        </w:tc>
        <w:tc>
          <w:tcPr>
            <w:tcW w:w="8720" w:type="dxa"/>
            <w:vAlign w:val="bottom"/>
            <w:gridSpan w:val="28"/>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Other Information</w:t>
            </w:r>
          </w:p>
        </w:tc>
        <w:tc>
          <w:tcPr>
            <w:tcW w:w="186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6.</w:t>
            </w:r>
          </w:p>
        </w:tc>
        <w:tc>
          <w:tcPr>
            <w:tcW w:w="8720" w:type="dxa"/>
            <w:vAlign w:val="bottom"/>
            <w:gridSpan w:val="28"/>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Exhibits</w:t>
            </w:r>
          </w:p>
        </w:tc>
        <w:tc>
          <w:tcPr>
            <w:tcW w:w="186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29"/>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563C1"/>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w w:val="96"/>
              </w:rPr>
              <w:t>Signatures</w:t>
            </w:r>
          </w:p>
        </w:tc>
        <w:tc>
          <w:tcPr>
            <w:tcW w:w="8460" w:type="dxa"/>
            <w:vAlign w:val="bottom"/>
            <w:tcBorders>
              <w:bottom w:val="single" w:sz="8" w:color="CCEEFF"/>
            </w:tcBorders>
            <w:gridSpan w:val="27"/>
            <w:shd w:val="clear" w:color="auto" w:fill="CCEEFF"/>
          </w:tcPr>
          <w:p>
            <w:pPr>
              <w:spacing w:after="0"/>
              <w:rPr>
                <w:sz w:val="18"/>
                <w:szCs w:val="18"/>
                <w:color w:val="auto"/>
              </w:rPr>
            </w:pPr>
          </w:p>
        </w:tc>
        <w:tc>
          <w:tcPr>
            <w:tcW w:w="1860" w:type="dxa"/>
            <w:vAlign w:val="bottom"/>
            <w:tcBorders>
              <w:bottom w:val="single" w:sz="8" w:color="CCEEFF"/>
            </w:tcBorders>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606"/>
        </w:trPr>
        <w:tc>
          <w:tcPr>
            <w:tcW w:w="660" w:type="dxa"/>
            <w:vAlign w:val="bottom"/>
          </w:tcPr>
          <w:p>
            <w:pPr>
              <w:spacing w:after="0"/>
              <w:rPr>
                <w:sz w:val="24"/>
                <w:szCs w:val="24"/>
                <w:color w:val="auto"/>
              </w:rPr>
            </w:pPr>
          </w:p>
        </w:tc>
        <w:tc>
          <w:tcPr>
            <w:tcW w:w="5300" w:type="dxa"/>
            <w:vAlign w:val="bottom"/>
            <w:gridSpan w:val="23"/>
          </w:tcPr>
          <w:p>
            <w:pPr>
              <w:jc w:val="center"/>
              <w:ind w:left="4532"/>
              <w:spacing w:after="0"/>
              <w:rPr>
                <w:sz w:val="20"/>
                <w:szCs w:val="20"/>
                <w:color w:val="auto"/>
              </w:rPr>
            </w:pPr>
            <w:r>
              <w:rPr>
                <w:rFonts w:ascii="Times New Roman" w:cs="Times New Roman" w:eastAsia="Times New Roman" w:hAnsi="Times New Roman"/>
                <w:sz w:val="22"/>
                <w:szCs w:val="22"/>
                <w:color w:val="auto"/>
                <w:w w:val="90"/>
              </w:rPr>
              <w:t>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CONSOLIDATED BALANCE SHEETS</w:t>
      </w:r>
    </w:p>
    <w:p>
      <w:pPr>
        <w:jc w:val="center"/>
        <w:ind w:right="4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March 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r>
      <w:tr>
        <w:trPr>
          <w:trHeight w:val="203"/>
        </w:trPr>
        <w:tc>
          <w:tcPr>
            <w:tcW w:w="8480" w:type="dxa"/>
            <w:vAlign w:val="bottom"/>
            <w:tcBorders>
              <w:bottom w:val="single" w:sz="8" w:color="CCEEFF"/>
            </w:tcBorders>
          </w:tcPr>
          <w:p>
            <w:pPr>
              <w:ind w:left="394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r>
      <w:tr>
        <w:trPr>
          <w:trHeight w:val="169"/>
        </w:trPr>
        <w:tc>
          <w:tcPr>
            <w:tcW w:w="84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Property, plant and equipment, at cost</w:t>
            </w:r>
          </w:p>
        </w:tc>
        <w:tc>
          <w:tcPr>
            <w:tcW w:w="220" w:type="dxa"/>
            <w:vAlign w:val="bottom"/>
            <w:shd w:val="clear" w:color="auto" w:fill="CCEEFF"/>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15,208,072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14,977,021</w:t>
            </w:r>
          </w:p>
        </w:tc>
      </w:tr>
      <w:tr>
        <w:trPr>
          <w:trHeight w:val="175"/>
        </w:trPr>
        <w:tc>
          <w:tcPr>
            <w:tcW w:w="848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2,952,487</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2,879,949</w:t>
            </w:r>
          </w:p>
        </w:tc>
      </w:tr>
      <w:tr>
        <w:trPr>
          <w:trHeight w:val="169"/>
        </w:trPr>
        <w:tc>
          <w:tcPr>
            <w:tcW w:w="84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property, plant and equipment</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12,255,585</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12,097,072</w:t>
            </w:r>
          </w:p>
        </w:tc>
      </w:tr>
      <w:tr>
        <w:trPr>
          <w:trHeight w:val="169"/>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84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35,200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4,612</w:t>
            </w:r>
          </w:p>
        </w:tc>
      </w:tr>
      <w:tr>
        <w:trPr>
          <w:trHeight w:val="175"/>
        </w:trPr>
        <w:tc>
          <w:tcPr>
            <w:tcW w:w="84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164,638</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144,300</w:t>
            </w:r>
          </w:p>
        </w:tc>
      </w:tr>
      <w:tr>
        <w:trPr>
          <w:trHeight w:val="176"/>
        </w:trPr>
        <w:tc>
          <w:tcPr>
            <w:tcW w:w="84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Unbilled revenues</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102,793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101,436</w:t>
            </w:r>
          </w:p>
        </w:tc>
      </w:tr>
      <w:tr>
        <w:trPr>
          <w:trHeight w:val="176"/>
        </w:trPr>
        <w:tc>
          <w:tcPr>
            <w:tcW w:w="84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Inventory - materials and supplies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48,947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47,494</w:t>
            </w:r>
          </w:p>
        </w:tc>
      </w:tr>
      <w:tr>
        <w:trPr>
          <w:trHeight w:val="175"/>
        </w:trPr>
        <w:tc>
          <w:tcPr>
            <w:tcW w:w="84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Inventory - gas stored</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17,849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65,173</w:t>
            </w:r>
          </w:p>
        </w:tc>
      </w:tr>
      <w:tr>
        <w:trPr>
          <w:trHeight w:val="176"/>
        </w:trPr>
        <w:tc>
          <w:tcPr>
            <w:tcW w:w="84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Prepayments and other current assets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34,619</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99,884</w:t>
            </w:r>
          </w:p>
        </w:tc>
      </w:tr>
      <w:tr>
        <w:trPr>
          <w:trHeight w:val="175"/>
        </w:trPr>
        <w:tc>
          <w:tcPr>
            <w:tcW w:w="848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assets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15,488</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29,080</w:t>
            </w:r>
          </w:p>
        </w:tc>
      </w:tr>
      <w:tr>
        <w:trPr>
          <w:trHeight w:val="169"/>
        </w:trPr>
        <w:tc>
          <w:tcPr>
            <w:tcW w:w="84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419,534</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491,979</w:t>
            </w:r>
          </w:p>
        </w:tc>
      </w:tr>
      <w:tr>
        <w:trPr>
          <w:trHeight w:val="169"/>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Regulatory assets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1,899,984</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1,766,892</w:t>
            </w:r>
          </w:p>
        </w:tc>
      </w:tr>
      <w:tr>
        <w:trPr>
          <w:trHeight w:val="175"/>
        </w:trPr>
        <w:tc>
          <w:tcPr>
            <w:tcW w:w="84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Deferred charges and other assets, net</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97,865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102,388</w:t>
            </w:r>
          </w:p>
        </w:tc>
      </w:tr>
      <w:tr>
        <w:trPr>
          <w:trHeight w:val="176"/>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Funds restricted for construction activity</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1,391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1,381</w:t>
            </w:r>
          </w:p>
        </w:tc>
      </w:tr>
      <w:tr>
        <w:trPr>
          <w:trHeight w:val="175"/>
        </w:trPr>
        <w:tc>
          <w:tcPr>
            <w:tcW w:w="84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2,340,733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2,340,738</w:t>
            </w:r>
          </w:p>
        </w:tc>
      </w:tr>
      <w:tr>
        <w:trPr>
          <w:trHeight w:val="176"/>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35,739</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37,416</w:t>
            </w:r>
          </w:p>
        </w:tc>
      </w:tr>
      <w:tr>
        <w:trPr>
          <w:trHeight w:val="175"/>
        </w:trPr>
        <w:tc>
          <w:tcPr>
            <w:tcW w:w="848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Intangible assets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3,513</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3,593</w:t>
            </w:r>
          </w:p>
        </w:tc>
      </w:tr>
      <w:tr>
        <w:trPr>
          <w:trHeight w:val="169"/>
        </w:trPr>
        <w:tc>
          <w:tcPr>
            <w:tcW w:w="848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17,054,344</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16,841,459</w:t>
            </w: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CONSOLIDATED BALANCE SHEETS (continued)</w:t>
      </w:r>
    </w:p>
    <w:p>
      <w:pPr>
        <w:ind w:left="338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March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03"/>
        </w:trPr>
        <w:tc>
          <w:tcPr>
            <w:tcW w:w="846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Liabilities and Equity</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69"/>
        </w:trPr>
        <w:tc>
          <w:tcPr>
            <w:tcW w:w="84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6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6"/>
                <w:szCs w:val="16"/>
                <w:color w:val="auto"/>
              </w:rPr>
              <w:t>Common stock at $0.50 par value, authorized 600,000,000 shares, issued 276,878,103 and 276,595,228 as of March 31,</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 and December 31, 2023</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138,438</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138,297</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Capital in excess of par value</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4,142,610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4,137,696</w:t>
            </w: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1,888,521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1,706,675</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Treasury stock, at cost, 3,354,887 and 3,299,191 shares as of March 31, 2024 and December 31, 2023</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(88,442)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(86,485)</w:t>
            </w:r>
          </w:p>
        </w:tc>
        <w:tc>
          <w:tcPr>
            <w:tcW w:w="0" w:type="dxa"/>
            <w:vAlign w:val="bottom"/>
          </w:tcPr>
          <w:p>
            <w:pPr>
              <w:spacing w:after="0"/>
              <w:rPr>
                <w:sz w:val="1"/>
                <w:szCs w:val="1"/>
                <w:color w:val="auto"/>
              </w:rPr>
            </w:pPr>
          </w:p>
        </w:tc>
      </w:tr>
      <w:tr>
        <w:trPr>
          <w:trHeight w:val="169"/>
        </w:trPr>
        <w:tc>
          <w:tcPr>
            <w:tcW w:w="84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6,081,127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5,896,183</w:t>
            </w:r>
          </w:p>
        </w:tc>
        <w:tc>
          <w:tcPr>
            <w:tcW w:w="0" w:type="dxa"/>
            <w:vAlign w:val="bottom"/>
          </w:tcPr>
          <w:p>
            <w:pPr>
              <w:spacing w:after="0"/>
              <w:rPr>
                <w:sz w:val="1"/>
                <w:szCs w:val="1"/>
                <w:color w:val="auto"/>
              </w:rPr>
            </w:pPr>
          </w:p>
        </w:tc>
      </w:tr>
      <w:tr>
        <w:trPr>
          <w:trHeight w:val="169"/>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Long-term debt, excluding current portion</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6,903,544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6,870,593</w:t>
            </w:r>
          </w:p>
        </w:tc>
        <w:tc>
          <w:tcPr>
            <w:tcW w:w="0" w:type="dxa"/>
            <w:vAlign w:val="bottom"/>
          </w:tcPr>
          <w:p>
            <w:pPr>
              <w:spacing w:after="0"/>
              <w:rPr>
                <w:sz w:val="1"/>
                <w:szCs w:val="1"/>
                <w:color w:val="auto"/>
              </w:rPr>
            </w:pPr>
          </w:p>
        </w:tc>
      </w:tr>
      <w:tr>
        <w:trPr>
          <w:trHeight w:val="175"/>
        </w:trPr>
        <w:tc>
          <w:tcPr>
            <w:tcW w:w="846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Less: debt issuance costs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47,415</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44,508</w:t>
            </w:r>
          </w:p>
        </w:tc>
        <w:tc>
          <w:tcPr>
            <w:tcW w:w="0" w:type="dxa"/>
            <w:vAlign w:val="bottom"/>
          </w:tcPr>
          <w:p>
            <w:pPr>
              <w:spacing w:after="0"/>
              <w:rPr>
                <w:sz w:val="1"/>
                <w:szCs w:val="1"/>
                <w:color w:val="auto"/>
              </w:rPr>
            </w:pPr>
          </w:p>
        </w:tc>
      </w:tr>
      <w:tr>
        <w:trPr>
          <w:trHeight w:val="169"/>
        </w:trPr>
        <w:tc>
          <w:tcPr>
            <w:tcW w:w="84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Long-term debt, excluding current portion, net of debt issuance costs</w:t>
            </w: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6,856,129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6,826,085</w:t>
            </w:r>
          </w:p>
        </w:tc>
        <w:tc>
          <w:tcPr>
            <w:tcW w:w="0" w:type="dxa"/>
            <w:vAlign w:val="bottom"/>
          </w:tcPr>
          <w:p>
            <w:pPr>
              <w:spacing w:after="0"/>
              <w:rPr>
                <w:sz w:val="1"/>
                <w:szCs w:val="1"/>
                <w:color w:val="auto"/>
              </w:rPr>
            </w:pPr>
          </w:p>
        </w:tc>
      </w:tr>
      <w:tr>
        <w:trPr>
          <w:trHeight w:val="231"/>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14)</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67,247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67,415</w:t>
            </w: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Loans payable</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87,500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160,123</w:t>
            </w: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161,210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221,191</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Book overdraft</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10,938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13,358</w:t>
            </w: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86,512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53,084</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Accrued taxes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36,911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40,641</w:t>
            </w: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liabilities</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14,216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31,270</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payable</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83,999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83,929</w:t>
            </w:r>
          </w:p>
        </w:tc>
        <w:tc>
          <w:tcPr>
            <w:tcW w:w="0" w:type="dxa"/>
            <w:vAlign w:val="bottom"/>
          </w:tcPr>
          <w:p>
            <w:pPr>
              <w:spacing w:after="0"/>
              <w:rPr>
                <w:sz w:val="1"/>
                <w:szCs w:val="1"/>
                <w:color w:val="auto"/>
              </w:rPr>
            </w:pPr>
          </w:p>
        </w:tc>
      </w:tr>
      <w:tr>
        <w:trPr>
          <w:trHeight w:val="176"/>
        </w:trPr>
        <w:tc>
          <w:tcPr>
            <w:tcW w:w="846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130,073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126,916</w:t>
            </w:r>
          </w:p>
        </w:tc>
        <w:tc>
          <w:tcPr>
            <w:tcW w:w="0" w:type="dxa"/>
            <w:vAlign w:val="bottom"/>
          </w:tcPr>
          <w:p>
            <w:pPr>
              <w:spacing w:after="0"/>
              <w:rPr>
                <w:sz w:val="1"/>
                <w:szCs w:val="1"/>
                <w:color w:val="auto"/>
              </w:rPr>
            </w:pPr>
          </w:p>
        </w:tc>
      </w:tr>
      <w:tr>
        <w:trPr>
          <w:trHeight w:val="169"/>
        </w:trPr>
        <w:tc>
          <w:tcPr>
            <w:tcW w:w="84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678,606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797,927</w:t>
            </w:r>
          </w:p>
        </w:tc>
        <w:tc>
          <w:tcPr>
            <w:tcW w:w="0" w:type="dxa"/>
            <w:vAlign w:val="bottom"/>
          </w:tcPr>
          <w:p>
            <w:pPr>
              <w:spacing w:after="0"/>
              <w:rPr>
                <w:sz w:val="1"/>
                <w:szCs w:val="1"/>
                <w:color w:val="auto"/>
              </w:rPr>
            </w:pPr>
          </w:p>
        </w:tc>
      </w:tr>
      <w:tr>
        <w:trPr>
          <w:trHeight w:val="169"/>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Deferred credits and other liabilities: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Deferred income taxes and investment tax credits</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1,733,947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1,628,324</w:t>
            </w: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Customers' advances for construction</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125,191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128,755</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liabilities</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838,084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820,910</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Asset retirement obligations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851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32,415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34,425</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Pension and other postretirement benefit liabilities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37,363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38,850</w:t>
            </w:r>
          </w:p>
        </w:tc>
        <w:tc>
          <w:tcPr>
            <w:tcW w:w="0" w:type="dxa"/>
            <w:vAlign w:val="bottom"/>
          </w:tcPr>
          <w:p>
            <w:pPr>
              <w:spacing w:after="0"/>
              <w:rPr>
                <w:sz w:val="1"/>
                <w:szCs w:val="1"/>
                <w:color w:val="auto"/>
              </w:rPr>
            </w:pPr>
          </w:p>
        </w:tc>
      </w:tr>
      <w:tr>
        <w:trPr>
          <w:trHeight w:val="175"/>
        </w:trPr>
        <w:tc>
          <w:tcPr>
            <w:tcW w:w="846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23,699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24,086</w:t>
            </w:r>
          </w:p>
        </w:tc>
        <w:tc>
          <w:tcPr>
            <w:tcW w:w="0" w:type="dxa"/>
            <w:vAlign w:val="bottom"/>
          </w:tcPr>
          <w:p>
            <w:pPr>
              <w:spacing w:after="0"/>
              <w:rPr>
                <w:sz w:val="1"/>
                <w:szCs w:val="1"/>
                <w:color w:val="auto"/>
              </w:rPr>
            </w:pPr>
          </w:p>
        </w:tc>
      </w:tr>
      <w:tr>
        <w:trPr>
          <w:trHeight w:val="169"/>
        </w:trPr>
        <w:tc>
          <w:tcPr>
            <w:tcW w:w="84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deferred credits and other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2,791,550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2,676,198</w:t>
            </w:r>
          </w:p>
        </w:tc>
        <w:tc>
          <w:tcPr>
            <w:tcW w:w="0" w:type="dxa"/>
            <w:vAlign w:val="bottom"/>
          </w:tcPr>
          <w:p>
            <w:pPr>
              <w:spacing w:after="0"/>
              <w:rPr>
                <w:sz w:val="1"/>
                <w:szCs w:val="1"/>
                <w:color w:val="auto"/>
              </w:rPr>
            </w:pPr>
          </w:p>
        </w:tc>
      </w:tr>
      <w:tr>
        <w:trPr>
          <w:trHeight w:val="169"/>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Contributions in aid of construction</w:t>
            </w: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646,932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645,066</w:t>
            </w:r>
          </w:p>
        </w:tc>
        <w:tc>
          <w:tcPr>
            <w:tcW w:w="0" w:type="dxa"/>
            <w:vAlign w:val="bottom"/>
          </w:tcPr>
          <w:p>
            <w:pPr>
              <w:spacing w:after="0"/>
              <w:rPr>
                <w:sz w:val="1"/>
                <w:szCs w:val="1"/>
                <w:color w:val="auto"/>
              </w:rPr>
            </w:pPr>
          </w:p>
        </w:tc>
      </w:tr>
      <w:tr>
        <w:trPr>
          <w:trHeight w:val="169"/>
        </w:trPr>
        <w:tc>
          <w:tcPr>
            <w:tcW w:w="84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Borders>
              <w:bottom w:val="single" w:sz="8" w:color="auto"/>
            </w:tcBorders>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17,054,344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16,841,459</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8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CONSOLIDATED STATEMENTS OF OPERATIONS AND COMPREHENSIVE INCOME</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20" w:type="dxa"/>
            <w:vAlign w:val="bottom"/>
            <w:gridSpan w:val="5"/>
          </w:tcPr>
          <w:p>
            <w:pPr>
              <w:jc w:val="right"/>
              <w:ind w:right="792"/>
              <w:spacing w:after="0"/>
              <w:rPr>
                <w:sz w:val="20"/>
                <w:szCs w:val="20"/>
                <w:color w:val="auto"/>
              </w:rPr>
            </w:pPr>
            <w:r>
              <w:rPr>
                <w:rFonts w:ascii="Times New Roman" w:cs="Times New Roman" w:eastAsia="Times New Roman" w:hAnsi="Times New Roman"/>
                <w:sz w:val="22"/>
                <w:szCs w:val="22"/>
                <w:color w:val="auto"/>
              </w:rPr>
              <w:t>Three Months Ended</w:t>
            </w:r>
          </w:p>
        </w:tc>
        <w:tc>
          <w:tcPr>
            <w:tcW w:w="0" w:type="dxa"/>
            <w:vAlign w:val="bottom"/>
          </w:tcPr>
          <w:p>
            <w:pPr>
              <w:spacing w:after="0"/>
              <w:rPr>
                <w:sz w:val="1"/>
                <w:szCs w:val="1"/>
                <w:color w:val="auto"/>
              </w:rPr>
            </w:pPr>
          </w:p>
        </w:tc>
      </w:tr>
      <w:tr>
        <w:trPr>
          <w:trHeight w:val="257"/>
        </w:trPr>
        <w:tc>
          <w:tcPr>
            <w:tcW w:w="58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22"/>
                <w:szCs w:val="22"/>
                <w:color w:val="auto"/>
              </w:rPr>
              <w:t>March 31,</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revenues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612,069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726,450</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expenses: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Operations and maintenance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136,900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137,994</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Purchased gas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129,675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256,315</w:t>
            </w: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Depreciation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88,716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82,923</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Amortization</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1,088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871</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Taxes other than income taxes</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25,024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22,878</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22"/>
                <w:szCs w:val="22"/>
                <w:color w:val="auto"/>
              </w:rPr>
              <w:t>Total operating expenses</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381,403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500,981</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230,666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225,469</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Other expense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expense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73,273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72,668</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(989)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(819)</w:t>
            </w: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Allowance for funds used during construction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(4,681)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(5,688)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Gain on sale of other assets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(91,625)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(249)</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(442)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(240)</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Income before income taxes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255,130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159,797</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Income tax benefit</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(10,642)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(31,637)</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income</w:t>
            </w:r>
          </w:p>
        </w:tc>
        <w:tc>
          <w:tcPr>
            <w:tcW w:w="17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265,772</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191,434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Comprehensive income</w:t>
            </w:r>
          </w:p>
        </w:tc>
        <w:tc>
          <w:tcPr>
            <w:tcW w:w="2160" w:type="dxa"/>
            <w:vAlign w:val="bottom"/>
            <w:gridSpan w:val="2"/>
            <w:shd w:val="clear" w:color="auto" w:fill="CCEEFF"/>
          </w:tcPr>
          <w:p>
            <w:pPr>
              <w:jc w:val="right"/>
              <w:ind w:right="17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265,772</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4"/>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191,434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2"/>
                <w:szCs w:val="22"/>
                <w:color w:val="auto"/>
              </w:rPr>
              <w:t>Net income per common share:</w:t>
            </w:r>
          </w:p>
        </w:tc>
        <w:tc>
          <w:tcPr>
            <w:tcW w:w="1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2160" w:type="dxa"/>
            <w:vAlign w:val="bottom"/>
            <w:gridSpan w:val="2"/>
            <w:shd w:val="clear" w:color="auto" w:fill="CCEEFF"/>
          </w:tcPr>
          <w:p>
            <w:pPr>
              <w:jc w:val="right"/>
              <w:ind w:right="17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0.97</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4"/>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0.72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178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72"/>
              <w:spacing w:after="0" w:line="210" w:lineRule="exact"/>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0.97</w:t>
            </w:r>
          </w:p>
        </w:tc>
        <w:tc>
          <w:tcPr>
            <w:tcW w:w="22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0.72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1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172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rPr>
              <w:t>273,377</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rPr>
              <w:t>264,192</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1720" w:type="dxa"/>
            <w:vAlign w:val="bottom"/>
            <w:tcBorders>
              <w:bottom w:val="single" w:sz="8" w:color="auto"/>
            </w:tcBorders>
          </w:tcPr>
          <w:p>
            <w:pPr>
              <w:jc w:val="right"/>
              <w:ind w:right="12"/>
              <w:spacing w:after="0" w:line="210" w:lineRule="exact"/>
              <w:rPr>
                <w:sz w:val="20"/>
                <w:szCs w:val="20"/>
                <w:color w:val="auto"/>
              </w:rPr>
            </w:pPr>
            <w:r>
              <w:rPr>
                <w:rFonts w:ascii="Times New Roman" w:cs="Times New Roman" w:eastAsia="Times New Roman" w:hAnsi="Times New Roman"/>
                <w:sz w:val="22"/>
                <w:szCs w:val="22"/>
                <w:color w:val="auto"/>
              </w:rPr>
              <w:t>273,738</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ind w:right="12"/>
              <w:spacing w:after="0" w:line="210" w:lineRule="exact"/>
              <w:rPr>
                <w:sz w:val="20"/>
                <w:szCs w:val="20"/>
                <w:color w:val="auto"/>
              </w:rPr>
            </w:pPr>
            <w:r>
              <w:rPr>
                <w:rFonts w:ascii="Times New Roman" w:cs="Times New Roman" w:eastAsia="Times New Roman" w:hAnsi="Times New Roman"/>
                <w:sz w:val="22"/>
                <w:szCs w:val="22"/>
                <w:color w:val="auto"/>
              </w:rPr>
              <w:t>264,751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CONSOLIDATED STATEMENTS OF CAPITALIZATION</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March 31,</w:t>
            </w:r>
          </w:p>
        </w:tc>
        <w:tc>
          <w:tcPr>
            <w:tcW w:w="280" w:type="dxa"/>
            <w:vAlign w:val="bottom"/>
          </w:tcPr>
          <w:p>
            <w:pPr>
              <w:spacing w:after="0"/>
              <w:rPr>
                <w:sz w:val="17"/>
                <w:szCs w:val="17"/>
                <w:color w:val="auto"/>
              </w:rPr>
            </w:pPr>
          </w:p>
        </w:tc>
        <w:tc>
          <w:tcPr>
            <w:tcW w:w="1580" w:type="dxa"/>
            <w:vAlign w:val="bottom"/>
          </w:tcPr>
          <w:p>
            <w:pPr>
              <w:jc w:val="right"/>
              <w:ind w:right="391"/>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21"/>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3"/>
        </w:trPr>
        <w:tc>
          <w:tcPr>
            <w:tcW w:w="484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Common stock, $0.50 par value</w:t>
            </w:r>
          </w:p>
        </w:tc>
        <w:tc>
          <w:tcPr>
            <w:tcW w:w="266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138,438</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138,297</w:t>
            </w:r>
          </w:p>
        </w:tc>
        <w:tc>
          <w:tcPr>
            <w:tcW w:w="0" w:type="dxa"/>
            <w:vAlign w:val="bottom"/>
          </w:tcPr>
          <w:p>
            <w:pPr>
              <w:spacing w:after="0"/>
              <w:rPr>
                <w:sz w:val="1"/>
                <w:szCs w:val="1"/>
                <w:color w:val="auto"/>
              </w:rPr>
            </w:pPr>
          </w:p>
        </w:tc>
      </w:tr>
      <w:tr>
        <w:trPr>
          <w:trHeight w:val="189"/>
        </w:trPr>
        <w:tc>
          <w:tcPr>
            <w:tcW w:w="484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Capital in excess of par value</w:t>
            </w:r>
          </w:p>
        </w:tc>
        <w:tc>
          <w:tcPr>
            <w:tcW w:w="2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4,142,610</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4,137,696</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Retained earnings</w:t>
            </w:r>
          </w:p>
        </w:tc>
        <w:tc>
          <w:tcPr>
            <w:tcW w:w="2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1,888,521</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1,706,675</w:t>
            </w:r>
          </w:p>
        </w:tc>
        <w:tc>
          <w:tcPr>
            <w:tcW w:w="0" w:type="dxa"/>
            <w:vAlign w:val="bottom"/>
          </w:tcPr>
          <w:p>
            <w:pPr>
              <w:spacing w:after="0"/>
              <w:rPr>
                <w:sz w:val="1"/>
                <w:szCs w:val="1"/>
                <w:color w:val="auto"/>
              </w:rPr>
            </w:pPr>
          </w:p>
        </w:tc>
      </w:tr>
      <w:tr>
        <w:trPr>
          <w:trHeight w:val="189"/>
        </w:trPr>
        <w:tc>
          <w:tcPr>
            <w:tcW w:w="484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Treasury stock, at cost</w:t>
            </w:r>
          </w:p>
        </w:tc>
        <w:tc>
          <w:tcPr>
            <w:tcW w:w="2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(88,442)</w:t>
            </w:r>
          </w:p>
        </w:tc>
        <w:tc>
          <w:tcPr>
            <w:tcW w:w="28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(86,485)</w:t>
            </w:r>
          </w:p>
        </w:tc>
        <w:tc>
          <w:tcPr>
            <w:tcW w:w="0" w:type="dxa"/>
            <w:vAlign w:val="bottom"/>
          </w:tcPr>
          <w:p>
            <w:pPr>
              <w:spacing w:after="0"/>
              <w:rPr>
                <w:sz w:val="1"/>
                <w:szCs w:val="1"/>
                <w:color w:val="auto"/>
              </w:rPr>
            </w:pPr>
          </w:p>
        </w:tc>
      </w:tr>
      <w:tr>
        <w:trPr>
          <w:trHeight w:val="183"/>
        </w:trPr>
        <w:tc>
          <w:tcPr>
            <w:tcW w:w="48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23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6,081,127</w:t>
            </w: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5,896,183</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1200" w:type="dxa"/>
            <w:vAlign w:val="bottom"/>
          </w:tcPr>
          <w:p>
            <w:pPr>
              <w:spacing w:after="0"/>
              <w:rPr>
                <w:sz w:val="18"/>
                <w:szCs w:val="18"/>
                <w:color w:val="auto"/>
              </w:rPr>
            </w:pPr>
          </w:p>
        </w:tc>
        <w:tc>
          <w:tcPr>
            <w:tcW w:w="3320" w:type="dxa"/>
            <w:vAlign w:val="bottom"/>
            <w:gridSpan w:val="2"/>
          </w:tcPr>
          <w:p>
            <w:pPr>
              <w:jc w:val="center"/>
              <w:ind w:right="1900"/>
              <w:spacing w:after="0" w:line="203" w:lineRule="exact"/>
              <w:rPr>
                <w:sz w:val="20"/>
                <w:szCs w:val="20"/>
                <w:color w:val="auto"/>
              </w:rPr>
            </w:pPr>
            <w:r>
              <w:rPr>
                <w:rFonts w:ascii="Times New Roman" w:cs="Times New Roman" w:eastAsia="Times New Roman" w:hAnsi="Times New Roman"/>
                <w:sz w:val="18"/>
                <w:szCs w:val="18"/>
                <w:color w:val="auto"/>
                <w:w w:val="99"/>
              </w:rPr>
              <w:t>Interest Rate Range</w:t>
            </w:r>
          </w:p>
        </w:tc>
        <w:tc>
          <w:tcPr>
            <w:tcW w:w="2180" w:type="dxa"/>
            <w:vAlign w:val="bottom"/>
            <w:gridSpan w:val="3"/>
          </w:tcPr>
          <w:p>
            <w:pPr>
              <w:jc w:val="center"/>
              <w:ind w:right="500"/>
              <w:spacing w:after="0" w:line="203" w:lineRule="exact"/>
              <w:rPr>
                <w:sz w:val="20"/>
                <w:szCs w:val="20"/>
                <w:color w:val="auto"/>
              </w:rPr>
            </w:pPr>
            <w:r>
              <w:rPr>
                <w:rFonts w:ascii="Times New Roman" w:cs="Times New Roman" w:eastAsia="Times New Roman" w:hAnsi="Times New Roman"/>
                <w:sz w:val="18"/>
                <w:szCs w:val="18"/>
                <w:color w:val="auto"/>
                <w:w w:val="99"/>
              </w:rPr>
              <w:t>Maturity Date Range</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0.00% to 0.99%</w:t>
            </w: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2024 to 2033</w:t>
            </w: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2,885</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2,935</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320" w:type="dxa"/>
            <w:vAlign w:val="bottom"/>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1.00% to 1.99%</w:t>
            </w:r>
          </w:p>
        </w:tc>
        <w:tc>
          <w:tcPr>
            <w:tcW w:w="80" w:type="dxa"/>
            <w:vAlign w:val="bottom"/>
          </w:tcPr>
          <w:p>
            <w:pPr>
              <w:spacing w:after="0"/>
              <w:rPr>
                <w:sz w:val="16"/>
                <w:szCs w:val="16"/>
                <w:color w:val="auto"/>
              </w:rPr>
            </w:pPr>
          </w:p>
        </w:tc>
        <w:tc>
          <w:tcPr>
            <w:tcW w:w="2100" w:type="dxa"/>
            <w:vAlign w:val="bottom"/>
            <w:gridSpan w:val="2"/>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8"/>
              </w:rPr>
              <w:t>2024 to 2039</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7,352</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7,538</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2.00% to 2.99%</w:t>
            </w:r>
          </w:p>
        </w:tc>
        <w:tc>
          <w:tcPr>
            <w:tcW w:w="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8"/>
              </w:rPr>
              <w:t>2024 to 2058</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207,403</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207,917</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320" w:type="dxa"/>
            <w:vAlign w:val="bottom"/>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3.00% to 3.99%</w:t>
            </w:r>
          </w:p>
        </w:tc>
        <w:tc>
          <w:tcPr>
            <w:tcW w:w="80" w:type="dxa"/>
            <w:vAlign w:val="bottom"/>
          </w:tcPr>
          <w:p>
            <w:pPr>
              <w:spacing w:after="0"/>
              <w:rPr>
                <w:sz w:val="16"/>
                <w:szCs w:val="16"/>
                <w:color w:val="auto"/>
              </w:rPr>
            </w:pPr>
          </w:p>
        </w:tc>
        <w:tc>
          <w:tcPr>
            <w:tcW w:w="2100" w:type="dxa"/>
            <w:vAlign w:val="bottom"/>
            <w:gridSpan w:val="2"/>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8"/>
              </w:rPr>
              <w:t>2024 to 2056</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1,312,241</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1,313,932</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4.00% to 4.99%</w:t>
            </w:r>
          </w:p>
        </w:tc>
        <w:tc>
          <w:tcPr>
            <w:tcW w:w="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8"/>
              </w:rPr>
              <w:t>2024 to 2059</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1,242,557</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1,245,727</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320" w:type="dxa"/>
            <w:vAlign w:val="bottom"/>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5.00% to 5.99%</w:t>
            </w:r>
          </w:p>
        </w:tc>
        <w:tc>
          <w:tcPr>
            <w:tcW w:w="80" w:type="dxa"/>
            <w:vAlign w:val="bottom"/>
          </w:tcPr>
          <w:p>
            <w:pPr>
              <w:spacing w:after="0"/>
              <w:rPr>
                <w:sz w:val="16"/>
                <w:szCs w:val="16"/>
                <w:color w:val="auto"/>
              </w:rPr>
            </w:pPr>
          </w:p>
        </w:tc>
        <w:tc>
          <w:tcPr>
            <w:tcW w:w="2100" w:type="dxa"/>
            <w:vAlign w:val="bottom"/>
            <w:gridSpan w:val="2"/>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8"/>
              </w:rPr>
              <w:t>2024 to 2061</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313,406</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312,745</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6.00% to 6.99%</w:t>
            </w:r>
          </w:p>
        </w:tc>
        <w:tc>
          <w:tcPr>
            <w:tcW w:w="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8"/>
              </w:rPr>
              <w:t>2026 to 2036</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320" w:type="dxa"/>
            <w:vAlign w:val="bottom"/>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7.00% to 7.99%</w:t>
            </w:r>
          </w:p>
        </w:tc>
        <w:tc>
          <w:tcPr>
            <w:tcW w:w="80" w:type="dxa"/>
            <w:vAlign w:val="bottom"/>
          </w:tcPr>
          <w:p>
            <w:pPr>
              <w:spacing w:after="0"/>
              <w:rPr>
                <w:sz w:val="16"/>
                <w:szCs w:val="16"/>
                <w:color w:val="auto"/>
              </w:rPr>
            </w:pPr>
          </w:p>
        </w:tc>
        <w:tc>
          <w:tcPr>
            <w:tcW w:w="2100" w:type="dxa"/>
            <w:vAlign w:val="bottom"/>
            <w:gridSpan w:val="2"/>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8"/>
              </w:rPr>
              <w:t>2025 to 2027</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28,061</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28,125</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8.00% to 8.99%</w:t>
            </w:r>
          </w:p>
        </w:tc>
        <w:tc>
          <w:tcPr>
            <w:tcW w:w="160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2025</w:t>
            </w: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1,086</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189"/>
        </w:trPr>
        <w:tc>
          <w:tcPr>
            <w:tcW w:w="120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9.00% to 9.99%</w:t>
            </w:r>
          </w:p>
        </w:tc>
        <w:tc>
          <w:tcPr>
            <w:tcW w:w="1600" w:type="dxa"/>
            <w:vAlign w:val="bottom"/>
            <w:tcBorders>
              <w:bottom w:val="single" w:sz="8" w:color="CCEEFF"/>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5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11,800</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183"/>
        </w:trPr>
        <w:tc>
          <w:tcPr>
            <w:tcW w:w="1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3,157,791</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3,163,008</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80" w:type="dxa"/>
            <w:vAlign w:val="bottom"/>
            <w:gridSpan w:val="2"/>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Notes payable to bank under revolving credit agreement, variable rate, due 2027</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258,000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720,000</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Unsecured notes payable:</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2.40% due 2031</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189"/>
        </w:trPr>
        <w:tc>
          <w:tcPr>
            <w:tcW w:w="452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2.704% due 2030</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5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ranging from 3.01% to 3.59% due 2029 through 2050</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1,125,000</w:t>
            </w:r>
          </w:p>
        </w:tc>
        <w:tc>
          <w:tcPr>
            <w:tcW w:w="0" w:type="dxa"/>
            <w:vAlign w:val="bottom"/>
          </w:tcPr>
          <w:p>
            <w:pPr>
              <w:spacing w:after="0"/>
              <w:rPr>
                <w:sz w:val="1"/>
                <w:szCs w:val="1"/>
                <w:color w:val="auto"/>
              </w:rPr>
            </w:pPr>
          </w:p>
        </w:tc>
      </w:tr>
      <w:tr>
        <w:trPr>
          <w:trHeight w:val="189"/>
        </w:trPr>
        <w:tc>
          <w:tcPr>
            <w:tcW w:w="452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5.375%, due 2034</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5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4.28%, due 2049</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52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5.30%, due 2052</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5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5.95%, due 2024 through 2034</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183"/>
        </w:trPr>
        <w:tc>
          <w:tcPr>
            <w:tcW w:w="45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Total long-term debt</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6,970,791</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6,938,008</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tcBorders>
              <w:bottom w:val="single" w:sz="8" w:color="CCEEFF"/>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67,247</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67,415</w:t>
            </w:r>
          </w:p>
        </w:tc>
        <w:tc>
          <w:tcPr>
            <w:tcW w:w="0" w:type="dxa"/>
            <w:vAlign w:val="bottom"/>
          </w:tcPr>
          <w:p>
            <w:pPr>
              <w:spacing w:after="0"/>
              <w:rPr>
                <w:sz w:val="1"/>
                <w:szCs w:val="1"/>
                <w:color w:val="auto"/>
              </w:rPr>
            </w:pPr>
          </w:p>
        </w:tc>
      </w:tr>
      <w:tr>
        <w:trPr>
          <w:trHeight w:val="183"/>
        </w:trPr>
        <w:tc>
          <w:tcPr>
            <w:tcW w:w="452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Long-term debt, excluding current portion</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6,903,544</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6,870,593</w:t>
            </w:r>
          </w:p>
        </w:tc>
        <w:tc>
          <w:tcPr>
            <w:tcW w:w="0" w:type="dxa"/>
            <w:vAlign w:val="bottom"/>
          </w:tcPr>
          <w:p>
            <w:pPr>
              <w:spacing w:after="0"/>
              <w:rPr>
                <w:sz w:val="1"/>
                <w:szCs w:val="1"/>
                <w:color w:val="auto"/>
              </w:rPr>
            </w:pPr>
          </w:p>
        </w:tc>
      </w:tr>
      <w:tr>
        <w:trPr>
          <w:trHeight w:val="189"/>
        </w:trPr>
        <w:tc>
          <w:tcPr>
            <w:tcW w:w="4520" w:type="dxa"/>
            <w:vAlign w:val="bottom"/>
            <w:tcBorders>
              <w:bottom w:val="single" w:sz="8" w:color="CCEEFF"/>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Less: debt issuance costs</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47,415</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44,508</w:t>
            </w:r>
          </w:p>
        </w:tc>
        <w:tc>
          <w:tcPr>
            <w:tcW w:w="0" w:type="dxa"/>
            <w:vAlign w:val="bottom"/>
          </w:tcPr>
          <w:p>
            <w:pPr>
              <w:spacing w:after="0"/>
              <w:rPr>
                <w:sz w:val="1"/>
                <w:szCs w:val="1"/>
                <w:color w:val="auto"/>
              </w:rPr>
            </w:pPr>
          </w:p>
        </w:tc>
      </w:tr>
      <w:tr>
        <w:trPr>
          <w:trHeight w:val="183"/>
        </w:trPr>
        <w:tc>
          <w:tcPr>
            <w:tcW w:w="6700" w:type="dxa"/>
            <w:vAlign w:val="bottom"/>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Long-term debt, excluding current portion, net of debt issuance costs</w:t>
            </w:r>
          </w:p>
        </w:tc>
        <w:tc>
          <w:tcPr>
            <w:tcW w:w="44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6,856,129</w:t>
            </w:r>
          </w:p>
        </w:tc>
        <w:tc>
          <w:tcPr>
            <w:tcW w:w="24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6,826,085</w:t>
            </w:r>
          </w:p>
        </w:tc>
        <w:tc>
          <w:tcPr>
            <w:tcW w:w="0" w:type="dxa"/>
            <w:vAlign w:val="bottom"/>
          </w:tcPr>
          <w:p>
            <w:pPr>
              <w:spacing w:after="0"/>
              <w:rPr>
                <w:sz w:val="1"/>
                <w:szCs w:val="1"/>
                <w:color w:val="auto"/>
              </w:rPr>
            </w:pPr>
          </w:p>
        </w:tc>
      </w:tr>
      <w:tr>
        <w:trPr>
          <w:trHeight w:val="183"/>
        </w:trPr>
        <w:tc>
          <w:tcPr>
            <w:tcW w:w="12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20" w:type="dxa"/>
            <w:vAlign w:val="bottom"/>
            <w:tcBorders>
              <w:bottom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capitalization</w:t>
            </w: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12,937,256</w:t>
            </w:r>
          </w:p>
        </w:tc>
        <w:tc>
          <w:tcPr>
            <w:tcW w:w="2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12,722,268</w:t>
            </w:r>
          </w:p>
        </w:tc>
        <w:tc>
          <w:tcPr>
            <w:tcW w:w="0" w:type="dxa"/>
            <w:vAlign w:val="bottom"/>
          </w:tcPr>
          <w:p>
            <w:pPr>
              <w:spacing w:after="0"/>
              <w:rPr>
                <w:sz w:val="1"/>
                <w:szCs w:val="1"/>
                <w:color w:val="auto"/>
              </w:rPr>
            </w:pPr>
          </w:p>
        </w:tc>
      </w:tr>
      <w:tr>
        <w:trPr>
          <w:trHeight w:val="20"/>
        </w:trPr>
        <w:tc>
          <w:tcPr>
            <w:tcW w:w="67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700" w:type="dxa"/>
            <w:vAlign w:val="bottom"/>
            <w:gridSpan w:val="6"/>
            <w:vMerge w:val="continue"/>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CONSOLIDATED STATEMENTS OF EQUITY</w:t>
      </w:r>
    </w:p>
    <w:p>
      <w:pPr>
        <w:ind w:left="342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Capital in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6"/>
        </w:trPr>
        <w:tc>
          <w:tcPr>
            <w:tcW w:w="6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Common</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Excess of</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color w:val="auto"/>
              </w:rPr>
              <w:t>Retained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3"/>
        </w:trPr>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Stock</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Par Value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Stock</w:t>
            </w:r>
          </w:p>
        </w:tc>
        <w:tc>
          <w:tcPr>
            <w:tcW w:w="200" w:type="dxa"/>
            <w:vAlign w:val="bottom"/>
          </w:tcPr>
          <w:p>
            <w:pPr>
              <w:spacing w:after="0"/>
              <w:rPr>
                <w:sz w:val="17"/>
                <w:szCs w:val="17"/>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Total</w:t>
            </w:r>
          </w:p>
        </w:tc>
      </w:tr>
      <w:tr>
        <w:trPr>
          <w:trHeight w:val="169"/>
        </w:trPr>
        <w:tc>
          <w:tcPr>
            <w:tcW w:w="640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December 31, 2023</w:t>
            </w: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138,297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4,137,696</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1,706,675</w:t>
            </w: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(86,485)</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5,896,183</w:t>
            </w:r>
          </w:p>
        </w:tc>
      </w:tr>
      <w:tr>
        <w:trPr>
          <w:trHeight w:val="175"/>
        </w:trPr>
        <w:tc>
          <w:tcPr>
            <w:tcW w:w="64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265,772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265,772</w:t>
            </w:r>
          </w:p>
        </w:tc>
      </w:tr>
      <w:tr>
        <w:trPr>
          <w:trHeight w:val="176"/>
        </w:trPr>
        <w:tc>
          <w:tcPr>
            <w:tcW w:w="64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March 1, 2024 ($0.3071 per share)</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6"/>
        </w:trPr>
        <w:tc>
          <w:tcPr>
            <w:tcW w:w="64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1, 2024 declared ($0.3071 per share)</w:t>
            </w:r>
          </w:p>
        </w:tc>
        <w:tc>
          <w:tcPr>
            <w:tcW w:w="10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(83,998)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(83,998)</w:t>
            </w:r>
          </w:p>
        </w:tc>
      </w:tr>
      <w:tr>
        <w:trPr>
          <w:trHeight w:val="175"/>
        </w:trPr>
        <w:tc>
          <w:tcPr>
            <w:tcW w:w="64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(117,210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3,823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3,882</w:t>
            </w:r>
          </w:p>
        </w:tc>
      </w:tr>
      <w:tr>
        <w:trPr>
          <w:trHeight w:val="176"/>
        </w:trPr>
        <w:tc>
          <w:tcPr>
            <w:tcW w:w="64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(62,872 shares)</w:t>
            </w:r>
          </w:p>
        </w:tc>
        <w:tc>
          <w:tcPr>
            <w:tcW w:w="10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(2,231)</w:t>
            </w:r>
          </w:p>
        </w:tc>
        <w:tc>
          <w:tcPr>
            <w:tcW w:w="20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(2,231)</w:t>
            </w:r>
          </w:p>
        </w:tc>
      </w:tr>
      <w:tr>
        <w:trPr>
          <w:trHeight w:val="175"/>
        </w:trPr>
        <w:tc>
          <w:tcPr>
            <w:tcW w:w="64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(160,694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(80)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6"/>
        </w:trPr>
        <w:tc>
          <w:tcPr>
            <w:tcW w:w="64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(4,971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175</w:t>
            </w:r>
          </w:p>
        </w:tc>
      </w:tr>
      <w:tr>
        <w:trPr>
          <w:trHeight w:val="176"/>
        </w:trPr>
        <w:tc>
          <w:tcPr>
            <w:tcW w:w="64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1,049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1,122</w:t>
            </w:r>
          </w:p>
        </w:tc>
      </w:tr>
      <w:tr>
        <w:trPr>
          <w:trHeight w:val="175"/>
        </w:trPr>
        <w:tc>
          <w:tcPr>
            <w:tcW w:w="64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(51)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223</w:t>
            </w:r>
          </w:p>
        </w:tc>
      </w:tr>
      <w:tr>
        <w:trPr>
          <w:trHeight w:val="169"/>
        </w:trPr>
        <w:tc>
          <w:tcPr>
            <w:tcW w:w="640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March 31, 2024</w:t>
            </w: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138,438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4,142,610</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1,888,521</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(88,442)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6,081,127</w:t>
            </w: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CONSOLIDATED STATEMENTS OF EQUITY</w:t>
      </w:r>
    </w:p>
    <w:p>
      <w:pPr>
        <w:ind w:left="342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Common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Excess of</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Retained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8"/>
        </w:trPr>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Par Value</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Stock</w:t>
            </w:r>
          </w:p>
        </w:tc>
        <w:tc>
          <w:tcPr>
            <w:tcW w:w="20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133,486</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3,793,262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1,534,331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(83,693)</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5,377,386</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191,434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191,434</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of March 1, 2023 ($0.287 per share)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Dividends of June 1, 2023 declared ($0.287 per share)</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(75,876)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(75,876)</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under dividend reinvestment plan (97,315 shares)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 at-the-market sale agreements (399,128 shares)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19,294</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stock (88,051 shares)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(3,911)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plan (222,782 shares)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(2,917 shares)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183"/>
        </w:trPr>
        <w:tc>
          <w:tcPr>
            <w:tcW w:w="64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Balance at March 31, 2023</w:t>
            </w: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133,848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3,819,804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1,649,621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(87,331)</w:t>
            </w:r>
          </w:p>
        </w:tc>
        <w:tc>
          <w:tcPr>
            <w:tcW w:w="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5,515,942</w:t>
            </w: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Click or tap here to enter text.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CONSOLIDATED STATEMENTS OF CASH FLOW</w:t>
      </w:r>
    </w:p>
    <w:p>
      <w:pPr>
        <w:ind w:left="4540"/>
        <w:spacing w:after="0" w:line="187" w:lineRule="auto"/>
        <w:rPr>
          <w:sz w:val="20"/>
          <w:szCs w:val="20"/>
          <w:color w:val="auto"/>
        </w:rPr>
      </w:pPr>
      <w:r>
        <w:rPr>
          <w:rFonts w:ascii="Times New Roman" w:cs="Times New Roman" w:eastAsia="Times New Roman" w:hAnsi="Times New Roman"/>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03"/>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March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9"/>
              <w:spacing w:after="0" w:line="169" w:lineRule="exact"/>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9"/>
              <w:spacing w:after="0" w:line="169" w:lineRule="exact"/>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69"/>
        </w:trPr>
        <w:tc>
          <w:tcPr>
            <w:tcW w:w="8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265,772</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191,434</w:t>
            </w:r>
          </w:p>
        </w:tc>
        <w:tc>
          <w:tcPr>
            <w:tcW w:w="0" w:type="dxa"/>
            <w:vAlign w:val="bottom"/>
          </w:tcPr>
          <w:p>
            <w:pPr>
              <w:spacing w:after="0"/>
              <w:rPr>
                <w:sz w:val="1"/>
                <w:szCs w:val="1"/>
                <w:color w:val="auto"/>
              </w:rPr>
            </w:pPr>
          </w:p>
        </w:tc>
      </w:tr>
      <w:tr>
        <w:trPr>
          <w:trHeight w:val="176"/>
        </w:trPr>
        <w:tc>
          <w:tcPr>
            <w:tcW w:w="82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89,804</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83,794</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(12,323)</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(33,257)</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Provision for doubtful accounts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7,756</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4,532</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1,061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3,422</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Gain on sale of utility systems and other assets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(91,625)</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change in receivables, deferred purchased gas costs, inventory and prepayments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122</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219,624</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change in payables, accrued interest, accrued taxes and other accrued liabilities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(18,212)</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(58,361)</w:t>
            </w:r>
          </w:p>
        </w:tc>
        <w:tc>
          <w:tcPr>
            <w:tcW w:w="0" w:type="dxa"/>
            <w:vAlign w:val="bottom"/>
          </w:tcPr>
          <w:p>
            <w:pPr>
              <w:spacing w:after="0"/>
              <w:rPr>
                <w:sz w:val="1"/>
                <w:szCs w:val="1"/>
                <w:color w:val="auto"/>
              </w:rPr>
            </w:pPr>
          </w:p>
        </w:tc>
      </w:tr>
      <w:tr>
        <w:trPr>
          <w:trHeight w:val="175"/>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(1,642)</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(9,311)</w:t>
            </w:r>
          </w:p>
        </w:tc>
        <w:tc>
          <w:tcPr>
            <w:tcW w:w="0" w:type="dxa"/>
            <w:vAlign w:val="bottom"/>
          </w:tcPr>
          <w:p>
            <w:pPr>
              <w:spacing w:after="0"/>
              <w:rPr>
                <w:sz w:val="1"/>
                <w:szCs w:val="1"/>
                <w:color w:val="auto"/>
              </w:rPr>
            </w:pPr>
          </w:p>
        </w:tc>
      </w:tr>
      <w:tr>
        <w:trPr>
          <w:trHeight w:val="169"/>
        </w:trPr>
        <w:tc>
          <w:tcPr>
            <w:tcW w:w="82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flows from operating activities</w:t>
            </w: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240,713</w:t>
            </w:r>
          </w:p>
        </w:tc>
        <w:tc>
          <w:tcPr>
            <w:tcW w:w="1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401,628</w:t>
            </w:r>
          </w:p>
        </w:tc>
        <w:tc>
          <w:tcPr>
            <w:tcW w:w="0" w:type="dxa"/>
            <w:vAlign w:val="bottom"/>
          </w:tcPr>
          <w:p>
            <w:pPr>
              <w:spacing w:after="0"/>
              <w:rPr>
                <w:sz w:val="1"/>
                <w:szCs w:val="1"/>
                <w:color w:val="auto"/>
              </w:rPr>
            </w:pP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8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6"/>
                <w:szCs w:val="16"/>
                <w:color w:val="auto"/>
              </w:rPr>
              <w:t>Property, plant and equipment additions, including the debt component of allowance for funds used during construction of</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$1,807 and $1,428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(252,998)</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(243,730)</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Acquisitions of utility systems, net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proceeds from the sale of utility systems and other assets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166,563</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(48)</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169"/>
        </w:trPr>
        <w:tc>
          <w:tcPr>
            <w:tcW w:w="82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(86,483)</w:t>
            </w:r>
          </w:p>
        </w:tc>
        <w:tc>
          <w:tcPr>
            <w:tcW w:w="1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(243,208)</w:t>
            </w:r>
          </w:p>
        </w:tc>
        <w:tc>
          <w:tcPr>
            <w:tcW w:w="0" w:type="dxa"/>
            <w:vAlign w:val="bottom"/>
          </w:tcPr>
          <w:p>
            <w:pPr>
              <w:spacing w:after="0"/>
              <w:rPr>
                <w:sz w:val="1"/>
                <w:szCs w:val="1"/>
                <w:color w:val="auto"/>
              </w:rPr>
            </w:pP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Customers' advances and contributions in aid of construction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4,094</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7,010</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Repayments of customers' advances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(2,171)</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(984)</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repayments of short-term debt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(72,623)</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(206,000)</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long-term debt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618,008</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229,770</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Repayments of long-term debt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(586,649)</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(114,889)</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Change in cash overdraft position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(2,420)</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(8,624)</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under dividend reinvestment plan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3,882</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4,117</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from at-the-market sale agreement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19,294</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exercised stock options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175</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(2,231)</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(3,911)</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paid on common stock</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(83,930)</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(75,808)</w:t>
            </w:r>
          </w:p>
        </w:tc>
        <w:tc>
          <w:tcPr>
            <w:tcW w:w="0" w:type="dxa"/>
            <w:vAlign w:val="bottom"/>
          </w:tcPr>
          <w:p>
            <w:pPr>
              <w:spacing w:after="0"/>
              <w:rPr>
                <w:sz w:val="1"/>
                <w:szCs w:val="1"/>
                <w:color w:val="auto"/>
              </w:rPr>
            </w:pPr>
          </w:p>
        </w:tc>
      </w:tr>
      <w:tr>
        <w:trPr>
          <w:trHeight w:val="175"/>
        </w:trPr>
        <w:tc>
          <w:tcPr>
            <w:tcW w:w="828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223</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flows used in financing activities</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(123,642)</w:t>
            </w:r>
          </w:p>
        </w:tc>
        <w:tc>
          <w:tcPr>
            <w:tcW w:w="1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(149,669)</w:t>
            </w:r>
          </w:p>
        </w:tc>
        <w:tc>
          <w:tcPr>
            <w:tcW w:w="0" w:type="dxa"/>
            <w:vAlign w:val="bottom"/>
          </w:tcPr>
          <w:p>
            <w:pPr>
              <w:spacing w:after="0"/>
              <w:rPr>
                <w:sz w:val="1"/>
                <w:szCs w:val="1"/>
                <w:color w:val="auto"/>
              </w:rPr>
            </w:pP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Net change in cash and cash equivalents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30,588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8,751</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4,612</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11,398</w:t>
            </w:r>
          </w:p>
        </w:tc>
        <w:tc>
          <w:tcPr>
            <w:tcW w:w="0" w:type="dxa"/>
            <w:vAlign w:val="bottom"/>
          </w:tcPr>
          <w:p>
            <w:pPr>
              <w:spacing w:after="0"/>
              <w:rPr>
                <w:sz w:val="1"/>
                <w:szCs w:val="1"/>
                <w:color w:val="auto"/>
              </w:rPr>
            </w:pP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1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35,200</w:t>
            </w:r>
          </w:p>
        </w:tc>
        <w:tc>
          <w:tcPr>
            <w:tcW w:w="180" w:type="dxa"/>
            <w:vAlign w:val="bottom"/>
          </w:tcPr>
          <w:p>
            <w:pPr>
              <w:spacing w:after="0"/>
              <w:rPr>
                <w:sz w:val="14"/>
                <w:szCs w:val="14"/>
                <w:color w:val="auto"/>
              </w:rPr>
            </w:pPr>
          </w:p>
        </w:tc>
        <w:tc>
          <w:tcPr>
            <w:tcW w:w="340" w:type="dxa"/>
            <w:vAlign w:val="bottom"/>
            <w:tcBorders>
              <w:bottom w:val="single" w:sz="8" w:color="auto"/>
            </w:tcBorders>
          </w:tcPr>
          <w:p>
            <w:pPr>
              <w:jc w:val="right"/>
              <w:ind w:right="17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20,149</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Property, plant and equipment additions purchased at the period end, but not yet paid for</w:t>
            </w:r>
          </w:p>
        </w:tc>
        <w:tc>
          <w:tcPr>
            <w:tcW w:w="52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91,576</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86,136</w:t>
            </w:r>
          </w:p>
        </w:tc>
        <w:tc>
          <w:tcPr>
            <w:tcW w:w="0" w:type="dxa"/>
            <w:vAlign w:val="bottom"/>
          </w:tcPr>
          <w:p>
            <w:pPr>
              <w:spacing w:after="0"/>
              <w:rPr>
                <w:sz w:val="1"/>
                <w:szCs w:val="1"/>
                <w:color w:val="auto"/>
              </w:rPr>
            </w:pPr>
          </w:p>
        </w:tc>
      </w:tr>
      <w:tr>
        <w:trPr>
          <w:trHeight w:val="210"/>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utility property contributions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13,126</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jc w:val="center"/>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jc w:val="center"/>
        <w:ind w:right="-59"/>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w:t>
      </w:r>
    </w:p>
    <w:p>
      <w:pPr>
        <w:jc w:val="center"/>
        <w:ind w:right="-5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 </w:t>
      </w:r>
      <w:r>
        <w:rPr>
          <w:rFonts w:ascii="Times New Roman" w:cs="Times New Roman" w:eastAsia="Times New Roman" w:hAnsi="Times New Roman"/>
          <w:sz w:val="22"/>
          <w:szCs w:val="22"/>
          <w:b w:val="1"/>
          <w:bCs w:val="1"/>
          <w:i w:val="1"/>
          <w:iCs w:val="1"/>
          <w:color w:val="auto"/>
        </w:rPr>
        <w:t>Basis of Presentation</w:t>
      </w:r>
    </w:p>
    <w:p>
      <w:pPr>
        <w:spacing w:after="0" w:line="199"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22"/>
          <w:szCs w:val="22"/>
          <w:color w:val="auto"/>
        </w:rPr>
        <w:t>The accompanying unaudited consolidated balance sheets and statements of capitalization of Essential Utilities, Inc. and subsidiaries (collectively, the “Company”, “we”, “us” or “our”) at March 31, 2024, and the unaudited consolidated statements of operations and comprehensive income, cash flows and equity for the three months ended March 31, 2024 and 2023,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2023. Interim results are not necessarily indicative of results for a full year. In the opinion of management, all adjustments, consisting of only recurring accruals, which are necessary to present a fair statement of its consolidated balance sheets, consolidated statements of equity, consolidated statements of operations and comprehensive income, and consolidated cash flow for the periods presented, have been made.</w:t>
      </w:r>
    </w:p>
    <w:p>
      <w:pPr>
        <w:spacing w:after="0" w:line="197"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The preparation of financial statements often requires the selection of specific accounting methods and policies. Significant estimates and judgments may be required in selecting and applying those methods and policies in the recognition of the assets and liabilities in its consolidated balance sheets, the revenues and expenses in its consolidated statements of operations and comprehensive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Furthermore, we are exposed to the uncertain state of the economy and macroeconomic conditions, including inflation and rising interest rates. As these continue to evolve, future events and effects related to these conditions cannot be determined with precision. Accordingly, actual amounts or future results can differ materially from those estimates that the Company includes currently in its consolidated financial statements, summary of significant accounting policies, and notes.</w:t>
      </w:r>
    </w:p>
    <w:p>
      <w:pPr>
        <w:spacing w:after="0" w:line="193"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22"/>
          <w:szCs w:val="22"/>
          <w:color w:val="auto"/>
        </w:rPr>
        <w:t>There have been no changes to the summary of significant accounting policies previously identified in the Company’s Annual Report on Form 10-K for the year ended December 31, 2023.</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 </w:t>
      </w:r>
      <w:r>
        <w:rPr>
          <w:rFonts w:ascii="Times New Roman" w:cs="Times New Roman" w:eastAsia="Times New Roman" w:hAnsi="Times New Roman"/>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our revenues disaggregated by major source and customer class: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March 31, 2024</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color w:val="auto"/>
              </w:rPr>
              <w:t>March 31, 2023</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w w:val="99"/>
              </w:rPr>
              <w:t>Wastewater</w:t>
            </w:r>
          </w:p>
        </w:tc>
        <w:tc>
          <w:tcPr>
            <w:tcW w:w="100" w:type="dxa"/>
            <w:vAlign w:val="bottom"/>
          </w:tcPr>
          <w:p>
            <w:pPr>
              <w:spacing w:after="0"/>
              <w:rPr>
                <w:sz w:val="11"/>
                <w:szCs w:val="11"/>
                <w:color w:val="auto"/>
              </w:rPr>
            </w:pPr>
          </w:p>
        </w:tc>
        <w:tc>
          <w:tcPr>
            <w:tcW w:w="9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60" w:type="dxa"/>
            <w:vAlign w:val="bottom"/>
          </w:tcPr>
          <w:p>
            <w:pPr>
              <w:spacing w:after="0"/>
              <w:rPr>
                <w:sz w:val="11"/>
                <w:szCs w:val="11"/>
                <w:color w:val="auto"/>
              </w:rPr>
            </w:pPr>
          </w:p>
        </w:tc>
        <w:tc>
          <w:tcPr>
            <w:tcW w:w="1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Other Revenues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42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86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color w:val="auto"/>
              </w:rPr>
              <w:t>Wastewater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20" w:type="dxa"/>
            <w:vAlign w:val="bottom"/>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Other Revenues</w:t>
            </w:r>
          </w:p>
        </w:tc>
        <w:tc>
          <w:tcPr>
            <w:tcW w:w="0" w:type="dxa"/>
            <w:vAlign w:val="bottom"/>
          </w:tcPr>
          <w:p>
            <w:pPr>
              <w:spacing w:after="0"/>
              <w:rPr>
                <w:sz w:val="1"/>
                <w:szCs w:val="1"/>
                <w:color w:val="auto"/>
              </w:rPr>
            </w:pPr>
          </w:p>
        </w:tc>
      </w:tr>
      <w:tr>
        <w:trPr>
          <w:trHeight w:val="171"/>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Revenues</w:t>
            </w:r>
          </w:p>
        </w:tc>
        <w:tc>
          <w:tcPr>
            <w:tcW w:w="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4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151,831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206,926</w:t>
            </w:r>
          </w:p>
        </w:tc>
        <w:tc>
          <w:tcPr>
            <w:tcW w:w="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147,252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33,490</w:t>
            </w: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292,230</w:t>
            </w:r>
          </w:p>
        </w:tc>
        <w:tc>
          <w:tcPr>
            <w:tcW w:w="1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65,157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Fire protection</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Gas transportation &amp; storage</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70,491</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67,653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water</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wastewater</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utility</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w:t>
            </w:r>
          </w:p>
        </w:tc>
        <w:tc>
          <w:tcPr>
            <w:tcW w:w="0" w:type="dxa"/>
            <w:vAlign w:val="bottom"/>
          </w:tcPr>
          <w:p>
            <w:pPr>
              <w:spacing w:after="0"/>
              <w:rPr>
                <w:sz w:val="1"/>
                <w:szCs w:val="1"/>
                <w:color w:val="auto"/>
              </w:rPr>
            </w:pPr>
          </w:p>
        </w:tc>
      </w:tr>
      <w:tr>
        <w:trPr>
          <w:trHeight w:val="156"/>
        </w:trPr>
        <w:tc>
          <w:tcPr>
            <w:tcW w:w="28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227,698</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48,743</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323,180</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2,810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215,166</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45,393</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439,906</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6,159</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Alternative revenue program</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and eliminations</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17,855</w:t>
            </w:r>
          </w:p>
        </w:tc>
        <w:tc>
          <w:tcPr>
            <w:tcW w:w="0" w:type="dxa"/>
            <w:vAlign w:val="bottom"/>
          </w:tcPr>
          <w:p>
            <w:pPr>
              <w:spacing w:after="0"/>
              <w:rPr>
                <w:sz w:val="1"/>
                <w:szCs w:val="1"/>
                <w:color w:val="auto"/>
              </w:rPr>
            </w:pPr>
          </w:p>
        </w:tc>
      </w:tr>
      <w:tr>
        <w:trPr>
          <w:trHeight w:val="155"/>
        </w:trPr>
        <w:tc>
          <w:tcPr>
            <w:tcW w:w="28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Consolidated</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228,354</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48,730</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324,331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10,654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215,568</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45,573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441,295</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24,014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 </w:t>
      </w:r>
      <w:r>
        <w:rPr>
          <w:rFonts w:ascii="Times New Roman" w:cs="Times New Roman" w:eastAsia="Times New Roman" w:hAnsi="Times New Roman"/>
          <w:sz w:val="22"/>
          <w:szCs w:val="22"/>
          <w:b w:val="1"/>
          <w:bCs w:val="1"/>
          <w:i w:val="1"/>
          <w:iCs w:val="1"/>
          <w:color w:val="auto"/>
        </w:rPr>
        <w:t>Acquisitions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Water and Wastewater Utility Acquisitions - Completed</w:t>
      </w:r>
    </w:p>
    <w:p>
      <w:pPr>
        <w:spacing w:after="0" w:line="212" w:lineRule="exact"/>
        <w:rPr>
          <w:sz w:val="20"/>
          <w:szCs w:val="20"/>
          <w:color w:val="auto"/>
        </w:rPr>
      </w:pPr>
    </w:p>
    <w:p>
      <w:pPr>
        <w:jc w:val="both"/>
        <w:ind w:right="40"/>
        <w:spacing w:after="0" w:line="230" w:lineRule="auto"/>
        <w:rPr>
          <w:sz w:val="20"/>
          <w:szCs w:val="20"/>
          <w:color w:val="auto"/>
        </w:rPr>
      </w:pPr>
      <w:r>
        <w:rPr>
          <w:rFonts w:ascii="Times New Roman" w:cs="Times New Roman" w:eastAsia="Times New Roman" w:hAnsi="Times New Roman"/>
          <w:sz w:val="22"/>
          <w:szCs w:val="22"/>
          <w:color w:val="auto"/>
        </w:rPr>
        <w:t>In July 2023, the Company completed the following water utility asset acquisitions: Shenandoah Borough, Pennsylvania, which serves approximately 2,900 customers for $12,291; La Rue, an Ohio municipality, which serves approximately 300 customers for $2,253; and, Southern Oaks Water System, which serves approximately 800 customers in Texas for $3,321. Additionally, in July 2023, the Company completed their acquisition of a portion of the water and wastewater utility assets of the Village of Frankfort, an Illinois municipality, which serves approximately 1,500 customers for $1,424.</w:t>
      </w:r>
    </w:p>
    <w:p>
      <w:pPr>
        <w:spacing w:after="0" w:line="192" w:lineRule="exact"/>
        <w:rPr>
          <w:sz w:val="20"/>
          <w:szCs w:val="20"/>
          <w:color w:val="auto"/>
        </w:rPr>
      </w:pPr>
    </w:p>
    <w:p>
      <w:pPr>
        <w:ind w:right="580"/>
        <w:spacing w:after="0" w:line="245" w:lineRule="auto"/>
        <w:rPr>
          <w:sz w:val="20"/>
          <w:szCs w:val="20"/>
          <w:color w:val="auto"/>
        </w:rPr>
      </w:pPr>
      <w:r>
        <w:rPr>
          <w:rFonts w:ascii="Times New Roman" w:cs="Times New Roman" w:eastAsia="Times New Roman" w:hAnsi="Times New Roman"/>
          <w:sz w:val="22"/>
          <w:szCs w:val="22"/>
          <w:color w:val="auto"/>
        </w:rPr>
        <w:t>In June 2023, the Company acquired the wastewater utility assets of Union Rome, Ohio, which serves approximately 4,300 customers for a cash purchase price of $25,547.</w:t>
      </w:r>
    </w:p>
    <w:p>
      <w:pPr>
        <w:spacing w:after="0" w:line="132" w:lineRule="exact"/>
        <w:rPr>
          <w:sz w:val="20"/>
          <w:szCs w:val="20"/>
          <w:color w:val="auto"/>
        </w:rPr>
      </w:pPr>
    </w:p>
    <w:p>
      <w:pPr>
        <w:ind w:right="560"/>
        <w:spacing w:after="0" w:line="245" w:lineRule="auto"/>
        <w:rPr>
          <w:sz w:val="20"/>
          <w:szCs w:val="20"/>
          <w:color w:val="auto"/>
        </w:rPr>
      </w:pPr>
      <w:r>
        <w:rPr>
          <w:rFonts w:ascii="Times New Roman" w:cs="Times New Roman" w:eastAsia="Times New Roman" w:hAnsi="Times New Roman"/>
          <w:sz w:val="22"/>
          <w:szCs w:val="22"/>
          <w:color w:val="auto"/>
        </w:rPr>
        <w:t>In March 2023, the Company acquired the North Heidelberg Sewer Company in Berks County, Pennsylvania, which serves approximately 300 customer connections for a cash purchase price of $136.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purchase price allocation for these acquisitions consisted primarily of property, plant and equipment.</w:t>
      </w:r>
    </w:p>
    <w:p>
      <w:pPr>
        <w:spacing w:after="0" w:line="22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2"/>
          <w:szCs w:val="22"/>
          <w:color w:val="auto"/>
        </w:rPr>
        <w:t>The pro forma effect of the utility systems acquired is not material either individually or collectively to the Company’s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Water and Wastewater Utility Acquisitions – Pending Completion</w:t>
      </w:r>
    </w:p>
    <w:p>
      <w:pPr>
        <w:spacing w:after="0" w:line="212"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21"/>
          <w:szCs w:val="21"/>
          <w:color w:val="auto"/>
        </w:rPr>
        <w:t>In December 2023, the Company entered into a purchase agreement to acquire North Versailles wastewater assets in North Versailles Township, Pennsylvania which serves approximately 4,400 customers for between $25,000 and $30,000.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9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9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22"/>
          <w:szCs w:val="22"/>
          <w:color w:val="auto"/>
        </w:rPr>
        <w:t>In September 2023, the Company entered into a purchase agreement to acquire Greenville Municipal Water Authority’s water system in Greenville, Pennsylvania which serves approximately 3,000 customers for $18,000.</w:t>
      </w:r>
    </w:p>
    <w:p>
      <w:pPr>
        <w:spacing w:after="0" w:line="186" w:lineRule="exact"/>
        <w:rPr>
          <w:sz w:val="20"/>
          <w:szCs w:val="20"/>
          <w:color w:val="auto"/>
        </w:rPr>
      </w:pPr>
    </w:p>
    <w:p>
      <w:pPr>
        <w:ind w:right="640"/>
        <w:spacing w:after="0" w:line="245" w:lineRule="auto"/>
        <w:rPr>
          <w:sz w:val="20"/>
          <w:szCs w:val="20"/>
          <w:color w:val="auto"/>
        </w:rPr>
      </w:pPr>
      <w:r>
        <w:rPr>
          <w:rFonts w:ascii="Times New Roman" w:cs="Times New Roman" w:eastAsia="Times New Roman" w:hAnsi="Times New Roman"/>
          <w:sz w:val="22"/>
          <w:szCs w:val="22"/>
          <w:color w:val="auto"/>
        </w:rPr>
        <w:t>In June 2023, the Company entered into a purchase agreement to acquire Westfield HOA wastewater assets, which serves approximately 200 customers within Westfield Homeowners Subdivision in Glenview, Illinois for $50.</w:t>
      </w:r>
    </w:p>
    <w:p>
      <w:pPr>
        <w:spacing w:after="0" w:line="118"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2"/>
          <w:szCs w:val="22"/>
          <w:color w:val="auto"/>
        </w:rPr>
        <w:t>In April 2023, the Company entered into a purchase agreement to acquire Greenville Sanitation Authority’s wastewater utility assets, which serves approximately 2,300 customers in Greenville, Pennsylvania for $18,000.</w:t>
      </w:r>
    </w:p>
    <w:p>
      <w:pPr>
        <w:spacing w:after="0" w:line="13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2"/>
          <w:szCs w:val="22"/>
          <w:color w:val="auto"/>
        </w:rPr>
        <w:t>In October 2021, the Company entered into a purchase agreement to acquire the wastewater utility assets of the City of Beaver Falls, Pennsylvania which consists of approximately 7,600 equivalent retail customers for $41,250.</w:t>
      </w:r>
    </w:p>
    <w:p>
      <w:pPr>
        <w:spacing w:after="0" w:line="172"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2"/>
          <w:szCs w:val="22"/>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revolving credit facility until permanent debt and common equity are secured. These pending acquisitions are expected to close in 2024. Closing for our utility acquisitions are subject to the timing of the respective regulatory approval processes.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East Whiteland Purchase Agreement</w:t>
      </w:r>
    </w:p>
    <w:p>
      <w:pPr>
        <w:spacing w:after="0" w:line="224"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On July 29, 2022, the Pennsylvania Public Utility Commission issued an order (the “PUC Order”) approving the Company’s acquisition of the municipal wastewater assets of East Whiteland Township, Chester County, Pennsylvania, which serves 4,018 customers (the “East Whiteland Wastewater Assets”). On August 12, 2022, the Company acquired the East Whiteland Wastewater Assets for a cash purchase price of $54,374. Subsequently on August 25, 2022, the Office of Consumer Advocate (“OCA”) filed an appeal of the PUC Order to the Pennsylvania Commonwealth Court. On July 31, 2023, a decision was issued by the Pennsylvania Commonwealth Court, in which the Pennsylvania Commonwealth Court agreed with the OCA and reversed the PUC order which approved the acquisition. On September 26, 2023, the Pennsylvania Commonwealth Court denied our motion for reargument. On October 26, 2023, the Company, the Pennsylvania Public Utility Commission, and East Whiteland Township filed an appeal to the Pennsylvania Supreme Court. East Whiteland Township filed to Supplement its Petition for Allowance of Appeal on January 2, 2024. On January 16, 2024, the Company, the OCA and the PUC filed Answers to East Whiteland Township’s Petition. The Company is currently waiting to see if the Supreme Court will grant allocatur. Management believes the final resolution of this matter will not have a material adverse effect on the Company’s financial position, results of operations, or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DELCORA Purchase Agreement</w:t>
      </w:r>
    </w:p>
    <w:p>
      <w:pPr>
        <w:spacing w:after="0" w:line="224" w:lineRule="exact"/>
        <w:rPr>
          <w:sz w:val="20"/>
          <w:szCs w:val="20"/>
          <w:color w:val="auto"/>
        </w:rPr>
      </w:pPr>
    </w:p>
    <w:p>
      <w:pPr>
        <w:jc w:val="both"/>
        <w:ind w:right="40"/>
        <w:spacing w:after="0" w:line="229" w:lineRule="auto"/>
        <w:rPr>
          <w:sz w:val="20"/>
          <w:szCs w:val="20"/>
          <w:color w:val="auto"/>
        </w:rPr>
      </w:pPr>
      <w:r>
        <w:rPr>
          <w:rFonts w:ascii="Times New Roman" w:cs="Times New Roman" w:eastAsia="Times New Roman" w:hAnsi="Times New Roman"/>
          <w:sz w:val="22"/>
          <w:szCs w:val="22"/>
          <w:color w:val="auto"/>
        </w:rPr>
        <w:t>In 2019, the Company entered into a purchase agreement to acquire the wastewater utility system assets of the Delaware County Regional Water Quality Control Authority (“DELCORA”), which consists of approximately 16,000 customers, or the equivalent of 198,000 retail customers, in 42 municipalities in</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2"/>
          <w:szCs w:val="22"/>
          <w:color w:val="auto"/>
        </w:rPr>
        <w:t>Southeast Pennsylvania for $276,500. There are several legal proceedings involving the Company as a result of the purchase agreement that are on-going. For additional information, refer to the Company’s Annual Report on Form 10-K for the year ended December 31, 2023. The purchase price for this pending acquisition is subject to certain adjustments at closing, and is subject to regulatory approval, including the final determination of the fair value of the rate base acquired. We plan to finance the purchase price of this acquisition with a mix of equity and debt financing, utilizing our revolving credit facility until permanent debt is secured. Closing of our acquisition of DELCORA is subject to regulatory approval and on-going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w:t>
      </w:r>
      <w:r>
        <w:rPr>
          <w:rFonts w:ascii="Times New Roman" w:cs="Times New Roman" w:eastAsia="Times New Roman" w:hAnsi="Times New Roman"/>
          <w:sz w:val="22"/>
          <w:szCs w:val="22"/>
          <w:b w:val="1"/>
          <w:bCs w:val="1"/>
          <w:i w:val="1"/>
          <w:iCs w:val="1"/>
          <w:color w:val="auto"/>
        </w:rPr>
        <w:t>Dispositions</w:t>
      </w:r>
    </w:p>
    <w:p>
      <w:pPr>
        <w:spacing w:after="0" w:line="226"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2"/>
          <w:szCs w:val="22"/>
          <w:color w:val="auto"/>
        </w:rPr>
        <w:t>On October 1, 2023, the Company sold its regulated natural gas utility assets in West Virginia, which served approximately 13,000 customers or about two percent of the Company’s regulated natural gas customers (“Peoples Gas West Virginia”). Initially the sale closed for an estimated purchase price of $39,965, subject to working capital and other adjustments. In March 2024, the Company received an additional $1,213 from the buyer. The additional proceeds were based on finalizing closing working capital and other adjustments, resulting in a final purchase price of $41,178 and a loss of an inconsequential amount. The sale of Peoples Gas West Virginia had no major effect on the Company’s operations and did not meet the requirements to be classified as discontinued operations.</w:t>
      </w:r>
    </w:p>
    <w:p>
      <w:pPr>
        <w:spacing w:after="0" w:line="181" w:lineRule="exact"/>
        <w:rPr>
          <w:sz w:val="20"/>
          <w:szCs w:val="20"/>
          <w:color w:val="auto"/>
        </w:rPr>
      </w:pPr>
    </w:p>
    <w:p>
      <w:pPr>
        <w:ind w:right="340"/>
        <w:spacing w:after="0" w:line="230" w:lineRule="auto"/>
        <w:rPr>
          <w:sz w:val="20"/>
          <w:szCs w:val="20"/>
          <w:color w:val="auto"/>
        </w:rPr>
      </w:pPr>
      <w:r>
        <w:rPr>
          <w:rFonts w:ascii="Times New Roman" w:cs="Times New Roman" w:eastAsia="Times New Roman" w:hAnsi="Times New Roman"/>
          <w:sz w:val="22"/>
          <w:szCs w:val="22"/>
          <w:color w:val="auto"/>
        </w:rPr>
        <w:t>In October 2023, the Company entered into an agreement to sell its interest in three non-utility local microgrid and distributed energy projects for $165,000. As of December 31, 2023, balances associated with these projects of $63,182 were included in prepayments and other current assets in the consolidated balance sheets. The sale was completed in January 2024, and the Company recognized a gain of $91,236 during the first quarter of 2024 which is included in other expense (income) in the accompanying consolidated statement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 </w:t>
      </w:r>
      <w:r>
        <w:rPr>
          <w:rFonts w:ascii="Times New Roman" w:cs="Times New Roman" w:eastAsia="Times New Roman" w:hAnsi="Times New Roman"/>
          <w:sz w:val="22"/>
          <w:szCs w:val="22"/>
          <w:b w:val="1"/>
          <w:bCs w:val="1"/>
          <w:i w:val="1"/>
          <w:iCs w:val="1"/>
          <w:color w:val="auto"/>
        </w:rPr>
        <w:t>Goodwill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changes in the Company’s goodwill, by business segment: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Regulated Natural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1"/>
        </w:trPr>
        <w:tc>
          <w:tcPr>
            <w:tcW w:w="5480" w:type="dxa"/>
            <w:vAlign w:val="bottom"/>
          </w:tcPr>
          <w:p>
            <w:pPr>
              <w:spacing w:after="0"/>
              <w:rPr>
                <w:sz w:val="19"/>
                <w:szCs w:val="19"/>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Regulated Water</w:t>
            </w:r>
          </w:p>
        </w:tc>
        <w:tc>
          <w:tcPr>
            <w:tcW w:w="340" w:type="dxa"/>
            <w:vAlign w:val="bottom"/>
          </w:tcPr>
          <w:p>
            <w:pPr>
              <w:spacing w:after="0"/>
              <w:rPr>
                <w:sz w:val="19"/>
                <w:szCs w:val="19"/>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Gas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Consolidated</w:t>
            </w:r>
          </w:p>
        </w:tc>
      </w:tr>
      <w:tr>
        <w:trPr>
          <w:trHeight w:val="183"/>
        </w:trPr>
        <w:tc>
          <w:tcPr>
            <w:tcW w:w="54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2023</w:t>
            </w:r>
          </w:p>
        </w:tc>
        <w:tc>
          <w:tcPr>
            <w:tcW w:w="420" w:type="dxa"/>
            <w:vAlign w:val="bottom"/>
            <w:tcBorders>
              <w:top w:val="single" w:sz="8" w:color="auto"/>
            </w:tcBorders>
            <w:shd w:val="clear" w:color="auto" w:fill="CCEEFF"/>
          </w:tcPr>
          <w:p>
            <w:pPr>
              <w:jc w:val="right"/>
              <w:ind w:right="25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58,450</w:t>
            </w: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2,277,447</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2,340,738</w:t>
            </w:r>
          </w:p>
        </w:tc>
      </w:tr>
      <w:tr>
        <w:trPr>
          <w:trHeight w:val="189"/>
        </w:trPr>
        <w:tc>
          <w:tcPr>
            <w:tcW w:w="54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Reclassification to utility plant acquisition adjustment</w:t>
            </w:r>
          </w:p>
        </w:tc>
        <w:tc>
          <w:tcPr>
            <w:tcW w:w="420" w:type="dxa"/>
            <w:vAlign w:val="bottom"/>
          </w:tcPr>
          <w:p>
            <w:pPr>
              <w:spacing w:after="0"/>
              <w:rPr>
                <w:sz w:val="16"/>
                <w:szCs w:val="16"/>
                <w:color w:val="auto"/>
              </w:rPr>
            </w:pPr>
          </w:p>
        </w:tc>
        <w:tc>
          <w:tcPr>
            <w:tcW w:w="11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183"/>
        </w:trPr>
        <w:tc>
          <w:tcPr>
            <w:tcW w:w="54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March 31, 2024</w:t>
            </w:r>
          </w:p>
        </w:tc>
        <w:tc>
          <w:tcPr>
            <w:tcW w:w="420" w:type="dxa"/>
            <w:vAlign w:val="bottom"/>
            <w:tcBorders>
              <w:top w:val="single" w:sz="8" w:color="auto"/>
              <w:bottom w:val="single" w:sz="8" w:color="auto"/>
            </w:tcBorders>
            <w:shd w:val="clear" w:color="auto" w:fill="CCEEFF"/>
          </w:tcPr>
          <w:p>
            <w:pPr>
              <w:jc w:val="right"/>
              <w:ind w:right="25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58,445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2,277,447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2,340,733</w:t>
            </w:r>
          </w:p>
        </w:tc>
      </w:tr>
      <w:tr>
        <w:trPr>
          <w:trHeight w:val="20"/>
        </w:trPr>
        <w:tc>
          <w:tcPr>
            <w:tcW w:w="5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ind w:right="440"/>
        <w:spacing w:after="0" w:line="234" w:lineRule="auto"/>
        <w:rPr>
          <w:sz w:val="20"/>
          <w:szCs w:val="20"/>
          <w:color w:val="auto"/>
        </w:rPr>
      </w:pPr>
      <w:r>
        <w:rPr>
          <w:rFonts w:ascii="Times New Roman" w:cs="Times New Roman" w:eastAsia="Times New Roman" w:hAnsi="Times New Roman"/>
          <w:sz w:val="22"/>
          <w:szCs w:val="22"/>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 </w:t>
      </w:r>
      <w:r>
        <w:rPr>
          <w:rFonts w:ascii="Times New Roman" w:cs="Times New Roman" w:eastAsia="Times New Roman" w:hAnsi="Times New Roman"/>
          <w:sz w:val="22"/>
          <w:szCs w:val="22"/>
          <w:b w:val="1"/>
          <w:bCs w:val="1"/>
          <w:i w:val="1"/>
          <w:iCs w:val="1"/>
          <w:color w:val="auto"/>
        </w:rPr>
        <w:t>Capitalization</w:t>
      </w:r>
    </w:p>
    <w:p>
      <w:pPr>
        <w:spacing w:after="0" w:line="226" w:lineRule="exact"/>
        <w:rPr>
          <w:sz w:val="20"/>
          <w:szCs w:val="20"/>
          <w:color w:val="auto"/>
        </w:rPr>
      </w:pPr>
    </w:p>
    <w:p>
      <w:pPr>
        <w:ind w:right="980"/>
        <w:spacing w:after="0" w:line="229" w:lineRule="auto"/>
        <w:rPr>
          <w:sz w:val="20"/>
          <w:szCs w:val="20"/>
          <w:color w:val="auto"/>
        </w:rPr>
      </w:pPr>
      <w:r>
        <w:rPr>
          <w:rFonts w:ascii="Times New Roman" w:cs="Times New Roman" w:eastAsia="Times New Roman" w:hAnsi="Times New Roman"/>
          <w:sz w:val="22"/>
          <w:szCs w:val="22"/>
          <w:color w:val="auto"/>
        </w:rPr>
        <w:t>In March 2024, the Company filed a new universal shelf registration through a filing with the Securities and Exchange Commission (SEC) to allow for the potential future offer and sale by the Company, from</w:t>
      </w: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1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22"/>
          <w:szCs w:val="22"/>
          <w:color w:val="auto"/>
        </w:rPr>
        <w:t>time to time, in one or more public offerings, of an indeterminate amount of our common stock, preferred stock, debt securities, and other securities specified therein at indeterminate prices. This registration statement is effective for three years and replaces a similar filing that expires in the second quarter of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At-the-Market Offering</w:t>
      </w:r>
    </w:p>
    <w:p>
      <w:pPr>
        <w:spacing w:after="0" w:line="212" w:lineRule="exact"/>
        <w:rPr>
          <w:sz w:val="20"/>
          <w:szCs w:val="20"/>
          <w:color w:val="auto"/>
        </w:rPr>
      </w:pPr>
    </w:p>
    <w:p>
      <w:pPr>
        <w:ind w:right="200"/>
        <w:spacing w:after="0" w:line="228" w:lineRule="auto"/>
        <w:rPr>
          <w:sz w:val="20"/>
          <w:szCs w:val="20"/>
          <w:color w:val="auto"/>
        </w:rPr>
      </w:pPr>
      <w:r>
        <w:rPr>
          <w:rFonts w:ascii="Times New Roman" w:cs="Times New Roman" w:eastAsia="Times New Roman" w:hAnsi="Times New Roman"/>
          <w:sz w:val="22"/>
          <w:szCs w:val="22"/>
          <w:color w:val="auto"/>
        </w:rPr>
        <w:t>On October 14, 2022, the Company entered into at-the market sales agreements (“ATM”) with third-party sales agents, under which the Company may offer and sell shares of its common stock, from time to time, at its option, having an aggregate gross offering price of up to $500,000 pursuant to the Company’s effective shelf registration statement on Form S-3 (File No. 333-255235). The Company intends to use the net proceeds from the sales of shares through the ATM for working capital, capital expenditures, water and wastewater utility acquisitions and repaying outstanding indebtedness. During the three months ended March 31, 2024, there were no common stock sales under the ATM. As of March 31, 2024, approximately $110,000 remained available for sale under the ATM.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Long-term Debt and Loans Payable</w:t>
      </w:r>
    </w:p>
    <w:p>
      <w:pPr>
        <w:spacing w:after="0" w:line="226"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On January 8, 2024, the Company issued $500,000 of long-term debt (the “2024 Senior Notes”), less expenses of $4,610, due in 2034 with an interest rate of 5.375%. The Company used the net proceeds from the issuance of 2024 Senior Notes (1) to repay a portion of the borrowings under the Company’s existing five year unsecured revolving credit facility, and (2) for general corporate purposes.</w:t>
      </w:r>
    </w:p>
    <w:p>
      <w:pPr>
        <w:spacing w:after="0" w:line="179"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1"/>
          <w:szCs w:val="21"/>
          <w:color w:val="auto"/>
        </w:rPr>
        <w:t>In August 2023, the Company’s subsidiary, Aqua Pennsylvania, issued $225,000 in aggregate principal amount of first mortgage bonds. The bonds consisted of $175,000 of 5.48% first mortgage bonds due in 2053; and $50,000 of 5.56% first mortgage bonds due in 2061. In January 2023, Aqua Pennsylvania issued $75,000 of first mortgage bonds, due in 2043, and with an interest rate of 5.60%. The proceeds from these bonds were used to repay existing indebtedness and for general corporate purposes.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7 – </w:t>
      </w:r>
      <w:r>
        <w:rPr>
          <w:rFonts w:ascii="Times New Roman" w:cs="Times New Roman" w:eastAsia="Times New Roman" w:hAnsi="Times New Roman"/>
          <w:sz w:val="22"/>
          <w:szCs w:val="22"/>
          <w:b w:val="1"/>
          <w:bCs w:val="1"/>
          <w:i w:val="1"/>
          <w:iCs w:val="1"/>
          <w:color w:val="auto"/>
        </w:rPr>
        <w:t>Financial Instruments</w:t>
      </w:r>
    </w:p>
    <w:p>
      <w:pPr>
        <w:spacing w:after="0" w:line="226" w:lineRule="exact"/>
        <w:rPr>
          <w:sz w:val="20"/>
          <w:szCs w:val="20"/>
          <w:color w:val="auto"/>
        </w:rPr>
      </w:pPr>
    </w:p>
    <w:p>
      <w:pPr>
        <w:ind w:right="420"/>
        <w:spacing w:after="0" w:line="233" w:lineRule="auto"/>
        <w:rPr>
          <w:sz w:val="20"/>
          <w:szCs w:val="20"/>
          <w:color w:val="auto"/>
        </w:rPr>
      </w:pPr>
      <w:r>
        <w:rPr>
          <w:rFonts w:ascii="Times New Roman" w:cs="Times New Roman" w:eastAsia="Times New Roman" w:hAnsi="Times New Roman"/>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 There have been no changes in the valuation techniques used to measure fair value, or asset or liability transfers between the levels of the fair value hierarchy for the three months ended March 31, 2024 and 2023.</w:t>
      </w:r>
    </w:p>
    <w:p>
      <w:pPr>
        <w:spacing w:after="0" w:line="179"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2"/>
          <w:szCs w:val="22"/>
          <w:color w:val="auto"/>
        </w:rPr>
        <w:t>The fair value of loans payable is determined based on its carrying amount and utilizing Level 1 methods and assumptions. As of March 31, 2024 and December 31, 2023, the carrying amount of the Company’s loans payable was $87,500 and $160,123, respectively, which equates to their estimated fair value. The fair value of cash and cash equivalents, is determined based on Level 1 methods and assumptions. As of March 31, 2024 and December 31, 2023, the carrying amounts of the Company's cash and cash equivalents was $35,200 and $4,612,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March 31, 2024 and December 31, 2023, the carrying amount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22"/>
          <w:szCs w:val="22"/>
          <w:color w:val="auto"/>
        </w:rPr>
        <w:t>of these securities was $28,357 and $26,442, respectively, which equates to their fair value, and is reported in the consolidated balance sheet in deferred charges and other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Unrealized gain and loss on equity securities held in conjunction with our non-qualified pension plan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tcPr>
          <w:p>
            <w:pPr>
              <w:spacing w:after="0"/>
              <w:rPr>
                <w:sz w:val="17"/>
                <w:szCs w:val="17"/>
                <w:color w:val="auto"/>
              </w:rPr>
            </w:pPr>
          </w:p>
        </w:tc>
        <w:tc>
          <w:tcPr>
            <w:tcW w:w="24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7"/>
                <w:szCs w:val="17"/>
                <w:color w:val="auto"/>
              </w:rPr>
            </w:pPr>
          </w:p>
        </w:tc>
      </w:tr>
      <w:tr>
        <w:trPr>
          <w:trHeight w:val="221"/>
        </w:trPr>
        <w:tc>
          <w:tcPr>
            <w:tcW w:w="84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March 31,</w:t>
            </w:r>
          </w:p>
        </w:tc>
        <w:tc>
          <w:tcPr>
            <w:tcW w:w="400" w:type="dxa"/>
            <w:vAlign w:val="bottom"/>
            <w:tcBorders>
              <w:bottom w:val="single" w:sz="8" w:color="auto"/>
            </w:tcBorders>
          </w:tcPr>
          <w:p>
            <w:pPr>
              <w:spacing w:after="0"/>
              <w:rPr>
                <w:sz w:val="19"/>
                <w:szCs w:val="19"/>
                <w:color w:val="auto"/>
              </w:rPr>
            </w:pPr>
          </w:p>
        </w:tc>
      </w:tr>
      <w:tr>
        <w:trPr>
          <w:trHeight w:val="183"/>
        </w:trPr>
        <w:tc>
          <w:tcPr>
            <w:tcW w:w="840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5"/>
                <w:szCs w:val="15"/>
                <w:color w:val="auto"/>
              </w:rPr>
            </w:pPr>
          </w:p>
        </w:tc>
        <w:tc>
          <w:tcPr>
            <w:tcW w:w="11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5"/>
                <w:szCs w:val="15"/>
                <w:color w:val="auto"/>
              </w:rPr>
            </w:pPr>
          </w:p>
        </w:tc>
      </w:tr>
      <w:tr>
        <w:trPr>
          <w:trHeight w:val="183"/>
        </w:trPr>
        <w:tc>
          <w:tcPr>
            <w:tcW w:w="84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gain recognized during the period on equity securities</w:t>
            </w:r>
          </w:p>
        </w:tc>
        <w:tc>
          <w:tcPr>
            <w:tcW w:w="920" w:type="dxa"/>
            <w:vAlign w:val="bottom"/>
            <w:tcBorders>
              <w:top w:val="single" w:sz="8" w:color="auto"/>
            </w:tcBorders>
            <w:shd w:val="clear" w:color="auto" w:fill="CCEEFF"/>
          </w:tcPr>
          <w:p>
            <w:pPr>
              <w:jc w:val="right"/>
              <w:ind w:right="7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421</w:t>
            </w:r>
          </w:p>
        </w:tc>
        <w:tc>
          <w:tcPr>
            <w:tcW w:w="2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6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131</w:t>
            </w:r>
          </w:p>
        </w:tc>
      </w:tr>
      <w:tr>
        <w:trPr>
          <w:trHeight w:val="189"/>
        </w:trPr>
        <w:tc>
          <w:tcPr>
            <w:tcW w:w="84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Less: net gain recognized during the period on equity securities sold during the period</w:t>
            </w: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84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Unrealized gain recognized during the reporting period on equity securities still held at the reporting date</w:t>
            </w:r>
          </w:p>
        </w:tc>
        <w:tc>
          <w:tcPr>
            <w:tcW w:w="920" w:type="dxa"/>
            <w:vAlign w:val="bottom"/>
            <w:tcBorders>
              <w:bottom w:val="single" w:sz="8" w:color="auto"/>
            </w:tcBorders>
            <w:shd w:val="clear" w:color="auto" w:fill="CCEEFF"/>
          </w:tcPr>
          <w:p>
            <w:pPr>
              <w:jc w:val="right"/>
              <w:ind w:right="7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421</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8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2"/>
          <w:szCs w:val="22"/>
          <w:color w:val="auto"/>
        </w:rPr>
        <w:t>The net gain recognized on equity securities is presented on the consolidated statements of operations and comprehensive income on the line item “Other”.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carrying amounts and estimated fair values of the Company’s long-term debt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2"/>
                <w:szCs w:val="22"/>
                <w:color w:val="auto"/>
              </w:rPr>
            </w:pPr>
          </w:p>
        </w:tc>
        <w:tc>
          <w:tcPr>
            <w:tcW w:w="206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w w:val="99"/>
              </w:rPr>
              <w:t>March 31,</w:t>
            </w: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50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December 31,</w:t>
            </w:r>
          </w:p>
        </w:tc>
      </w:tr>
      <w:tr>
        <w:trPr>
          <w:trHeight w:val="257"/>
        </w:trPr>
        <w:tc>
          <w:tcPr>
            <w:tcW w:w="478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2024</w:t>
            </w:r>
          </w:p>
        </w:tc>
        <w:tc>
          <w:tcPr>
            <w:tcW w:w="1000" w:type="dxa"/>
            <w:vAlign w:val="bottom"/>
            <w:tcBorders>
              <w:bottom w:val="single" w:sz="8" w:color="auto"/>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22"/>
                <w:szCs w:val="22"/>
                <w:color w:val="auto"/>
              </w:rPr>
              <w:t>2023</w:t>
            </w:r>
          </w:p>
        </w:tc>
      </w:tr>
      <w:tr>
        <w:trPr>
          <w:trHeight w:val="223"/>
        </w:trPr>
        <w:tc>
          <w:tcPr>
            <w:tcW w:w="47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Carrying amount</w:t>
            </w:r>
          </w:p>
        </w:tc>
        <w:tc>
          <w:tcPr>
            <w:tcW w:w="2060" w:type="dxa"/>
            <w:vAlign w:val="bottom"/>
            <w:shd w:val="clear" w:color="auto" w:fill="CCEEFF"/>
          </w:tcPr>
          <w:p>
            <w:pPr>
              <w:jc w:val="right"/>
              <w:ind w:right="18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6,970,791</w:t>
            </w: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6,938,009</w:t>
            </w:r>
          </w:p>
        </w:tc>
      </w:tr>
      <w:tr>
        <w:trPr>
          <w:trHeight w:val="282"/>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Estimated fair value</w:t>
            </w:r>
          </w:p>
        </w:tc>
        <w:tc>
          <w:tcPr>
            <w:tcW w:w="20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5,883,354</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5,980,722</w:t>
            </w:r>
          </w:p>
        </w:tc>
      </w:tr>
    </w:tbl>
    <w:p>
      <w:pPr>
        <w:spacing w:after="0" w:line="17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72"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The Company’s customers’ advances for construction have a carrying value of $125,191 as of March 31, 2024, and $128,755 as of December 31, 2023. Their relative fair values cannot be accurately estimated because future refund payments depend on several variables, including new customer connections, customer consumption levels, and future rates. Portions of these non-interest-bearing instruments are payable annually through 2033, and amounts not paid by the respective contract expiration dates become non-refundable. The fair value of these amounts would, however, be less than their carrying value due to the non-interest-bearing feature.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 </w:t>
      </w:r>
      <w:r>
        <w:rPr>
          <w:rFonts w:ascii="Times New Roman" w:cs="Times New Roman" w:eastAsia="Times New Roman" w:hAnsi="Times New Roman"/>
          <w:sz w:val="22"/>
          <w:szCs w:val="22"/>
          <w:b w:val="1"/>
          <w:bCs w:val="1"/>
          <w:i w:val="1"/>
          <w:iCs w:val="1"/>
          <w:color w:val="auto"/>
        </w:rPr>
        <w:t>Net Income per Common Share</w:t>
      </w:r>
    </w:p>
    <w:p>
      <w:pPr>
        <w:spacing w:after="0" w:line="21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1"/>
          <w:szCs w:val="21"/>
          <w:color w:val="auto"/>
        </w:rPr>
        <w:t>Basic net income per common share is based on the weighted average number of common shares outstanding and the weighted average minimum number of shares issued upon settlement of the stock purchase contracts issued under the tangible equity units.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of the stock-based compensation. The treasury stock method assumes that the proceeds from stock-based compensation is used to purchase the Company’s common stock at the average market price during the period. The following table summarizes the shares, in thousands, used in computing basic and diluted net income per common share: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00" w:type="dxa"/>
            <w:vAlign w:val="bottom"/>
          </w:tcPr>
          <w:p>
            <w:pPr>
              <w:spacing w:after="0"/>
              <w:rPr>
                <w:sz w:val="22"/>
                <w:szCs w:val="22"/>
                <w:color w:val="auto"/>
              </w:rPr>
            </w:pPr>
          </w:p>
        </w:tc>
        <w:tc>
          <w:tcPr>
            <w:tcW w:w="3340" w:type="dxa"/>
            <w:vAlign w:val="bottom"/>
            <w:gridSpan w:val="4"/>
          </w:tcPr>
          <w:p>
            <w:pPr>
              <w:jc w:val="center"/>
              <w:spacing w:after="0"/>
              <w:rPr>
                <w:sz w:val="20"/>
                <w:szCs w:val="20"/>
                <w:color w:val="auto"/>
              </w:rPr>
            </w:pPr>
            <w:r>
              <w:rPr>
                <w:rFonts w:ascii="Times New Roman" w:cs="Times New Roman" w:eastAsia="Times New Roman" w:hAnsi="Times New Roman"/>
                <w:sz w:val="22"/>
                <w:szCs w:val="22"/>
                <w:color w:val="auto"/>
                <w:w w:val="97"/>
              </w:rPr>
              <w:t>Three Months Ended</w:t>
            </w:r>
          </w:p>
        </w:tc>
      </w:tr>
      <w:tr>
        <w:trPr>
          <w:trHeight w:val="257"/>
        </w:trPr>
        <w:tc>
          <w:tcPr>
            <w:tcW w:w="7900" w:type="dxa"/>
            <w:vAlign w:val="bottom"/>
          </w:tcPr>
          <w:p>
            <w:pPr>
              <w:spacing w:after="0"/>
              <w:rPr>
                <w:sz w:val="22"/>
                <w:szCs w:val="22"/>
                <w:color w:val="auto"/>
              </w:rPr>
            </w:pPr>
          </w:p>
        </w:tc>
        <w:tc>
          <w:tcPr>
            <w:tcW w:w="2200" w:type="dxa"/>
            <w:vAlign w:val="bottom"/>
            <w:tcBorders>
              <w:bottom w:val="single" w:sz="8" w:color="auto"/>
            </w:tcBorders>
            <w:gridSpan w:val="3"/>
          </w:tcPr>
          <w:p>
            <w:pPr>
              <w:jc w:val="center"/>
              <w:ind w:left="1032"/>
              <w:spacing w:after="0"/>
              <w:rPr>
                <w:sz w:val="20"/>
                <w:szCs w:val="20"/>
                <w:color w:val="auto"/>
              </w:rPr>
            </w:pPr>
            <w:r>
              <w:rPr>
                <w:rFonts w:ascii="Times New Roman" w:cs="Times New Roman" w:eastAsia="Times New Roman" w:hAnsi="Times New Roman"/>
                <w:sz w:val="22"/>
                <w:szCs w:val="22"/>
                <w:color w:val="auto"/>
                <w:w w:val="99"/>
              </w:rPr>
              <w:t>March 31,</w:t>
            </w:r>
          </w:p>
        </w:tc>
        <w:tc>
          <w:tcPr>
            <w:tcW w:w="1140" w:type="dxa"/>
            <w:vAlign w:val="bottom"/>
            <w:tcBorders>
              <w:bottom w:val="single" w:sz="8" w:color="auto"/>
            </w:tcBorders>
          </w:tcPr>
          <w:p>
            <w:pPr>
              <w:spacing w:after="0"/>
              <w:rPr>
                <w:sz w:val="22"/>
                <w:szCs w:val="22"/>
                <w:color w:val="auto"/>
              </w:rPr>
            </w:pPr>
          </w:p>
        </w:tc>
      </w:tr>
      <w:tr>
        <w:trPr>
          <w:trHeight w:val="223"/>
        </w:trPr>
        <w:tc>
          <w:tcPr>
            <w:tcW w:w="79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line="223" w:lineRule="exact"/>
              <w:rPr>
                <w:sz w:val="20"/>
                <w:szCs w:val="20"/>
                <w:color w:val="auto"/>
              </w:rPr>
            </w:pPr>
            <w:r>
              <w:rPr>
                <w:rFonts w:ascii="Times New Roman" w:cs="Times New Roman" w:eastAsia="Times New Roman" w:hAnsi="Times New Roman"/>
                <w:sz w:val="22"/>
                <w:szCs w:val="22"/>
                <w:color w:val="auto"/>
              </w:rPr>
              <w:t>2023</w:t>
            </w:r>
          </w:p>
        </w:tc>
      </w:tr>
      <w:tr>
        <w:trPr>
          <w:trHeight w:val="223"/>
        </w:trPr>
        <w:tc>
          <w:tcPr>
            <w:tcW w:w="79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Average common shares outstanding during the period for basic computation</w:t>
            </w:r>
          </w:p>
        </w:tc>
        <w:tc>
          <w:tcPr>
            <w:tcW w:w="14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273,377</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264,192</w:t>
            </w:r>
          </w:p>
        </w:tc>
      </w:tr>
      <w:tr>
        <w:trPr>
          <w:trHeight w:val="230"/>
        </w:trPr>
        <w:tc>
          <w:tcPr>
            <w:tcW w:w="79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Effect of dilutive securities: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9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Employee stock-based compensation</w:t>
            </w:r>
          </w:p>
        </w:tc>
        <w:tc>
          <w:tcPr>
            <w:tcW w:w="14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361</w:t>
            </w: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559</w:t>
            </w:r>
          </w:p>
        </w:tc>
      </w:tr>
      <w:tr>
        <w:trPr>
          <w:trHeight w:val="223"/>
        </w:trPr>
        <w:tc>
          <w:tcPr>
            <w:tcW w:w="790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Average common shares outstanding during the period for diluted computation</w:t>
            </w:r>
          </w:p>
        </w:tc>
        <w:tc>
          <w:tcPr>
            <w:tcW w:w="14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273,738</w:t>
            </w: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264,751</w:t>
            </w:r>
          </w:p>
        </w:tc>
      </w:tr>
      <w:tr>
        <w:trPr>
          <w:trHeight w:val="20"/>
        </w:trPr>
        <w:tc>
          <w:tcPr>
            <w:tcW w:w="7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22"/>
          <w:szCs w:val="22"/>
          <w:color w:val="auto"/>
        </w:rPr>
        <w:t>The number of outstanding employee stock options that were not included in the diluted earnings per share calculation because the effect would have been anti-dilutive was: 268,273 for the three months ended March 31, 2024; and 152,138 for the three months ended March 31, 2023. Additionally, the dilutive effect of performance share units and restricted share units granted are included in the Company’s calculation of diluted net income per share.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 </w:t>
      </w:r>
      <w:r>
        <w:rPr>
          <w:rFonts w:ascii="Times New Roman" w:cs="Times New Roman" w:eastAsia="Times New Roman" w:hAnsi="Times New Roman"/>
          <w:sz w:val="22"/>
          <w:szCs w:val="22"/>
          <w:b w:val="1"/>
          <w:bCs w:val="1"/>
          <w:i w:val="1"/>
          <w:iCs w:val="1"/>
          <w:color w:val="auto"/>
        </w:rPr>
        <w:t>Stock-based Compensation</w:t>
      </w:r>
    </w:p>
    <w:p>
      <w:pPr>
        <w:spacing w:after="0" w:line="212"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22"/>
          <w:szCs w:val="22"/>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March 31, 2024, 1,227,138 shares were still available for issuance under the Plan. No further grants may be made under the Company’s 2004 Equity Compensation Plan.</w:t>
      </w:r>
    </w:p>
    <w:p>
      <w:pPr>
        <w:spacing w:after="0" w:line="192"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Performance Share Units </w:t>
      </w:r>
      <w:r>
        <w:rPr>
          <w:rFonts w:ascii="Times New Roman" w:cs="Times New Roman" w:eastAsia="Times New Roman" w:hAnsi="Times New Roman"/>
          <w:sz w:val="22"/>
          <w:szCs w:val="22"/>
          <w:color w:val="auto"/>
        </w:rPr>
        <w:t>– A performance share unit (“PSU”) represents the right to receive a share of the Company’s common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expense for PSUs: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90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Three Months Ended</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7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color w:val="auto"/>
              </w:rPr>
              <w:t>March 31,</w:t>
            </w: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2"/>
              <w:spacing w:after="0" w:line="223" w:lineRule="exact"/>
              <w:rPr>
                <w:sz w:val="20"/>
                <w:szCs w:val="20"/>
                <w:color w:val="auto"/>
              </w:rPr>
            </w:pPr>
            <w:r>
              <w:rPr>
                <w:rFonts w:ascii="Times New Roman" w:cs="Times New Roman" w:eastAsia="Times New Roman" w:hAnsi="Times New Roman"/>
                <w:sz w:val="22"/>
                <w:szCs w:val="22"/>
                <w:color w:val="auto"/>
                <w:w w:val="99"/>
              </w:rPr>
              <w:t>2023</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460" w:type="dxa"/>
            <w:vAlign w:val="bottom"/>
            <w:shd w:val="clear" w:color="auto" w:fill="CCEEFF"/>
          </w:tcPr>
          <w:p>
            <w:pPr>
              <w:jc w:val="right"/>
              <w:ind w:right="2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54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2,443</w:t>
            </w:r>
          </w:p>
        </w:tc>
        <w:tc>
          <w:tcPr>
            <w:tcW w:w="0" w:type="dxa"/>
            <w:vAlign w:val="bottom"/>
          </w:tcPr>
          <w:p>
            <w:pPr>
              <w:spacing w:after="0"/>
              <w:rPr>
                <w:sz w:val="1"/>
                <w:szCs w:val="1"/>
                <w:color w:val="auto"/>
              </w:rPr>
            </w:pPr>
          </w:p>
        </w:tc>
      </w:tr>
      <w:tr>
        <w:trPr>
          <w:trHeight w:val="282"/>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4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612</w:t>
            </w:r>
          </w:p>
        </w:tc>
        <w:tc>
          <w:tcPr>
            <w:tcW w:w="0" w:type="dxa"/>
            <w:vAlign w:val="bottom"/>
          </w:tcPr>
          <w:p>
            <w:pPr>
              <w:spacing w:after="0"/>
              <w:rPr>
                <w:sz w:val="1"/>
                <w:szCs w:val="1"/>
                <w:color w:val="auto"/>
              </w:rPr>
            </w:pPr>
          </w:p>
        </w:tc>
      </w:tr>
      <w:tr>
        <w:trPr>
          <w:trHeight w:val="432"/>
        </w:trPr>
        <w:tc>
          <w:tcPr>
            <w:tcW w:w="87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The following table summarizes the PSU transactions for the three months ended March 31, 2024: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6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22"/>
                <w:szCs w:val="22"/>
                <w:color w:val="auto"/>
                <w:w w:val="99"/>
              </w:rPr>
              <w:t>Number</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5"/>
              </w:rPr>
              <w:t>Weighted</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gridSpan w:val="4"/>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2"/>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0" w:type="dxa"/>
            <w:vAlign w:val="bottom"/>
          </w:tcPr>
          <w:p>
            <w:pPr>
              <w:spacing w:after="0"/>
              <w:rPr>
                <w:sz w:val="1"/>
                <w:szCs w:val="1"/>
                <w:color w:val="auto"/>
              </w:rPr>
            </w:pPr>
          </w:p>
        </w:tc>
      </w:tr>
      <w:tr>
        <w:trPr>
          <w:trHeight w:val="257"/>
        </w:trPr>
        <w:tc>
          <w:tcPr>
            <w:tcW w:w="678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2"/>
                <w:szCs w:val="22"/>
                <w:color w:val="auto"/>
                <w:w w:val="98"/>
              </w:rPr>
              <w:t>Share Units</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22"/>
                <w:szCs w:val="22"/>
                <w:color w:val="auto"/>
                <w:w w:val="96"/>
              </w:rPr>
              <w:t>Fair Value</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share units at beginning of period</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5"/>
              </w:rPr>
              <w:t>531,437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40.03</w:t>
            </w:r>
          </w:p>
        </w:tc>
        <w:tc>
          <w:tcPr>
            <w:tcW w:w="0" w:type="dxa"/>
            <w:vAlign w:val="bottom"/>
          </w:tcPr>
          <w:p>
            <w:pPr>
              <w:spacing w:after="0"/>
              <w:rPr>
                <w:sz w:val="1"/>
                <w:szCs w:val="1"/>
                <w:color w:val="auto"/>
              </w:rPr>
            </w:pPr>
          </w:p>
        </w:tc>
      </w:tr>
      <w:tr>
        <w:trPr>
          <w:trHeight w:val="230"/>
        </w:trPr>
        <w:tc>
          <w:tcPr>
            <w:tcW w:w="67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2"/>
                <w:szCs w:val="22"/>
                <w:color w:val="auto"/>
                <w:w w:val="95"/>
              </w:rPr>
              <w:t>226,971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38.10</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Performance criteria adjustment</w:t>
            </w:r>
          </w:p>
        </w:tc>
        <w:tc>
          <w:tcPr>
            <w:tcW w:w="460" w:type="dxa"/>
            <w:vAlign w:val="bottom"/>
            <w:shd w:val="clear" w:color="auto" w:fill="CCEEFF"/>
          </w:tcPr>
          <w:p>
            <w:pPr>
              <w:spacing w:after="0"/>
              <w:rPr>
                <w:sz w:val="19"/>
                <w:szCs w:val="19"/>
                <w:color w:val="auto"/>
              </w:rPr>
            </w:pPr>
          </w:p>
        </w:tc>
        <w:tc>
          <w:tcPr>
            <w:tcW w:w="2320" w:type="dxa"/>
            <w:vAlign w:val="bottom"/>
            <w:gridSpan w:val="5"/>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(142,772)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30.22</w:t>
            </w:r>
          </w:p>
        </w:tc>
        <w:tc>
          <w:tcPr>
            <w:tcW w:w="0" w:type="dxa"/>
            <w:vAlign w:val="bottom"/>
          </w:tcPr>
          <w:p>
            <w:pPr>
              <w:spacing w:after="0"/>
              <w:rPr>
                <w:sz w:val="1"/>
                <w:szCs w:val="1"/>
                <w:color w:val="auto"/>
              </w:rPr>
            </w:pPr>
          </w:p>
        </w:tc>
      </w:tr>
      <w:tr>
        <w:trPr>
          <w:trHeight w:val="230"/>
        </w:trPr>
        <w:tc>
          <w:tcPr>
            <w:tcW w:w="67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Actual vested</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2"/>
                <w:szCs w:val="22"/>
                <w:color w:val="auto"/>
              </w:rPr>
              <w:t>(96,425)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43.40</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(4,271)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42.63</w:t>
            </w:r>
          </w:p>
        </w:tc>
        <w:tc>
          <w:tcPr>
            <w:tcW w:w="0" w:type="dxa"/>
            <w:vAlign w:val="bottom"/>
          </w:tcPr>
          <w:p>
            <w:pPr>
              <w:spacing w:after="0"/>
              <w:rPr>
                <w:sz w:val="1"/>
                <w:szCs w:val="1"/>
                <w:color w:val="auto"/>
              </w:rPr>
            </w:pPr>
          </w:p>
        </w:tc>
      </w:tr>
      <w:tr>
        <w:trPr>
          <w:trHeight w:val="223"/>
        </w:trPr>
        <w:tc>
          <w:tcPr>
            <w:tcW w:w="678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share units at end of period</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color w:val="auto"/>
                <w:w w:val="95"/>
              </w:rPr>
              <w:t>514,940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41.25</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5520"/>
              <w:spacing w:after="0"/>
              <w:rPr>
                <w:sz w:val="20"/>
                <w:szCs w:val="20"/>
                <w:color w:val="auto"/>
              </w:rPr>
            </w:pPr>
            <w:r>
              <w:rPr>
                <w:rFonts w:ascii="Times New Roman" w:cs="Times New Roman" w:eastAsia="Times New Roman" w:hAnsi="Times New Roman"/>
                <w:sz w:val="22"/>
                <w:szCs w:val="22"/>
                <w:color w:val="auto"/>
              </w:rPr>
              <w:t>16</w:t>
            </w: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67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three months ended March 31, 2024 and 2023 was $38.10 and $45.06, respectively.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80"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Restricted Stock Units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 restricted stock unit (“RSU”) represents the right to receive a share of the Company’s common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300" w:type="dxa"/>
            <w:vAlign w:val="bottom"/>
            <w:gridSpan w:val="6"/>
          </w:tcPr>
          <w:p>
            <w:pPr>
              <w:jc w:val="right"/>
              <w:ind w:right="1052"/>
              <w:spacing w:after="0"/>
              <w:rPr>
                <w:sz w:val="20"/>
                <w:szCs w:val="20"/>
                <w:color w:val="auto"/>
              </w:rPr>
            </w:pPr>
            <w:r>
              <w:rPr>
                <w:rFonts w:ascii="Times New Roman" w:cs="Times New Roman" w:eastAsia="Times New Roman" w:hAnsi="Times New Roman"/>
                <w:sz w:val="22"/>
                <w:szCs w:val="22"/>
                <w:color w:val="auto"/>
              </w:rPr>
              <w:t>Three Months Ended</w:t>
            </w:r>
          </w:p>
        </w:tc>
      </w:tr>
      <w:tr>
        <w:trPr>
          <w:trHeight w:val="257"/>
        </w:trPr>
        <w:tc>
          <w:tcPr>
            <w:tcW w:w="70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March 31,</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63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2023</w:t>
            </w:r>
          </w:p>
        </w:tc>
      </w:tr>
      <w:tr>
        <w:trPr>
          <w:trHeight w:val="223"/>
        </w:trPr>
        <w:tc>
          <w:tcPr>
            <w:tcW w:w="70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420" w:type="dxa"/>
            <w:vAlign w:val="bottom"/>
            <w:shd w:val="clear" w:color="auto" w:fill="CCEEFF"/>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846</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681</w:t>
            </w: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4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171</w:t>
            </w:r>
          </w:p>
        </w:tc>
      </w:tr>
      <w:tr>
        <w:trPr>
          <w:trHeight w:val="445"/>
        </w:trPr>
        <w:tc>
          <w:tcPr>
            <w:tcW w:w="92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The following table summarizes the RSU transactions for the three months ended March 31, 2024: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6"/>
        </w:trPr>
        <w:tc>
          <w:tcPr>
            <w:tcW w:w="7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color w:val="auto"/>
                <w:w w:val="97"/>
              </w:rPr>
              <w:t>Number</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30"/>
        </w:trPr>
        <w:tc>
          <w:tcPr>
            <w:tcW w:w="7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2"/>
          </w:tcPr>
          <w:p>
            <w:pPr>
              <w:jc w:val="center"/>
              <w:ind w:left="12"/>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center"/>
              <w:ind w:right="132"/>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r>
      <w:tr>
        <w:trPr>
          <w:trHeight w:val="257"/>
        </w:trPr>
        <w:tc>
          <w:tcPr>
            <w:tcW w:w="708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2"/>
          </w:tcPr>
          <w:p>
            <w:pPr>
              <w:jc w:val="center"/>
              <w:ind w:left="12"/>
              <w:spacing w:after="0"/>
              <w:rPr>
                <w:sz w:val="20"/>
                <w:szCs w:val="20"/>
                <w:color w:val="auto"/>
              </w:rPr>
            </w:pPr>
            <w:r>
              <w:rPr>
                <w:rFonts w:ascii="Times New Roman" w:cs="Times New Roman" w:eastAsia="Times New Roman" w:hAnsi="Times New Roman"/>
                <w:sz w:val="22"/>
                <w:szCs w:val="22"/>
                <w:color w:val="auto"/>
                <w:w w:val="98"/>
              </w:rPr>
              <w:t>Stock Units</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23"/>
        </w:trPr>
        <w:tc>
          <w:tcPr>
            <w:tcW w:w="70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beginning of period</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192,217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45.06</w:t>
            </w:r>
          </w:p>
        </w:tc>
      </w:tr>
      <w:tr>
        <w:trPr>
          <w:trHeight w:val="230"/>
        </w:trPr>
        <w:tc>
          <w:tcPr>
            <w:tcW w:w="70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420" w:type="dxa"/>
            <w:vAlign w:val="bottom"/>
          </w:tcPr>
          <w:p>
            <w:pPr>
              <w:spacing w:after="0"/>
              <w:rPr>
                <w:sz w:val="19"/>
                <w:szCs w:val="19"/>
                <w:color w:val="auto"/>
              </w:rPr>
            </w:pPr>
          </w:p>
        </w:tc>
        <w:tc>
          <w:tcPr>
            <w:tcW w:w="190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22"/>
                <w:szCs w:val="22"/>
                <w:color w:val="auto"/>
              </w:rPr>
              <w:t>102,306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36.60</w:t>
            </w:r>
          </w:p>
        </w:tc>
      </w:tr>
      <w:tr>
        <w:trPr>
          <w:trHeight w:val="229"/>
        </w:trPr>
        <w:tc>
          <w:tcPr>
            <w:tcW w:w="708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Stock units vested and issued</w:t>
            </w:r>
          </w:p>
        </w:tc>
        <w:tc>
          <w:tcPr>
            <w:tcW w:w="420" w:type="dxa"/>
            <w:vAlign w:val="bottom"/>
            <w:shd w:val="clear" w:color="auto" w:fill="CCEEFF"/>
          </w:tcPr>
          <w:p>
            <w:pPr>
              <w:spacing w:after="0"/>
              <w:rPr>
                <w:sz w:val="19"/>
                <w:szCs w:val="19"/>
                <w:color w:val="auto"/>
              </w:rPr>
            </w:pPr>
          </w:p>
        </w:tc>
        <w:tc>
          <w:tcPr>
            <w:tcW w:w="2120" w:type="dxa"/>
            <w:vAlign w:val="bottom"/>
            <w:gridSpan w:val="5"/>
            <w:shd w:val="clear" w:color="auto" w:fill="CCEEFF"/>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(63,982)</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44.45</w:t>
            </w:r>
          </w:p>
        </w:tc>
      </w:tr>
      <w:tr>
        <w:trPr>
          <w:trHeight w:val="230"/>
        </w:trPr>
        <w:tc>
          <w:tcPr>
            <w:tcW w:w="70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420" w:type="dxa"/>
            <w:vAlign w:val="bottom"/>
          </w:tcPr>
          <w:p>
            <w:pPr>
              <w:spacing w:after="0"/>
              <w:rPr>
                <w:sz w:val="19"/>
                <w:szCs w:val="19"/>
                <w:color w:val="auto"/>
              </w:rPr>
            </w:pPr>
          </w:p>
        </w:tc>
        <w:tc>
          <w:tcPr>
            <w:tcW w:w="2120" w:type="dxa"/>
            <w:vAlign w:val="bottom"/>
            <w:gridSpan w:val="5"/>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(1,600)</w:t>
            </w: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42.40</w:t>
            </w:r>
          </w:p>
        </w:tc>
      </w:tr>
      <w:tr>
        <w:trPr>
          <w:trHeight w:val="223"/>
        </w:trPr>
        <w:tc>
          <w:tcPr>
            <w:tcW w:w="708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end of period</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228,941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41.46</w:t>
            </w:r>
          </w:p>
        </w:tc>
      </w:tr>
      <w:tr>
        <w:trPr>
          <w:trHeight w:val="20"/>
        </w:trPr>
        <w:tc>
          <w:tcPr>
            <w:tcW w:w="7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RSUs granted during the three months ended March 31, 2024 and 2023 was $36.60 and $45.61,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1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Options </w:t>
      </w:r>
      <w:r>
        <w:rPr>
          <w:rFonts w:ascii="Times New Roman" w:cs="Times New Roman" w:eastAsia="Times New Roman" w:hAnsi="Times New Roman"/>
          <w:sz w:val="22"/>
          <w:szCs w:val="22"/>
          <w:color w:val="auto"/>
        </w:rPr>
        <w:t>– A stock option represents the option to purchase a number of shares of common stock of the Company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00" w:type="dxa"/>
            <w:vAlign w:val="bottom"/>
          </w:tcPr>
          <w:p>
            <w:pPr>
              <w:spacing w:after="0"/>
              <w:rPr>
                <w:sz w:val="22"/>
                <w:szCs w:val="22"/>
                <w:color w:val="auto"/>
              </w:rPr>
            </w:pPr>
          </w:p>
        </w:tc>
        <w:tc>
          <w:tcPr>
            <w:tcW w:w="3440" w:type="dxa"/>
            <w:vAlign w:val="bottom"/>
            <w:gridSpan w:val="4"/>
          </w:tcPr>
          <w:p>
            <w:pPr>
              <w:jc w:val="center"/>
              <w:ind w:left="39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500" w:type="dxa"/>
            <w:vAlign w:val="bottom"/>
          </w:tcPr>
          <w:p>
            <w:pPr>
              <w:spacing w:after="0"/>
              <w:rPr>
                <w:sz w:val="22"/>
                <w:szCs w:val="22"/>
                <w:color w:val="auto"/>
              </w:rPr>
            </w:pPr>
          </w:p>
        </w:tc>
      </w:tr>
      <w:tr>
        <w:trPr>
          <w:trHeight w:val="257"/>
        </w:trPr>
        <w:tc>
          <w:tcPr>
            <w:tcW w:w="730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center"/>
              <w:ind w:right="672"/>
              <w:spacing w:after="0"/>
              <w:rPr>
                <w:sz w:val="20"/>
                <w:szCs w:val="20"/>
                <w:color w:val="auto"/>
              </w:rPr>
            </w:pPr>
            <w:r>
              <w:rPr>
                <w:rFonts w:ascii="Times New Roman" w:cs="Times New Roman" w:eastAsia="Times New Roman" w:hAnsi="Times New Roman"/>
                <w:sz w:val="22"/>
                <w:szCs w:val="22"/>
                <w:color w:val="auto"/>
                <w:w w:val="99"/>
              </w:rPr>
              <w:t>March 31,</w:t>
            </w:r>
          </w:p>
        </w:tc>
        <w:tc>
          <w:tcPr>
            <w:tcW w:w="500" w:type="dxa"/>
            <w:vAlign w:val="bottom"/>
            <w:tcBorders>
              <w:bottom w:val="single" w:sz="8" w:color="auto"/>
            </w:tcBorders>
          </w:tcPr>
          <w:p>
            <w:pPr>
              <w:spacing w:after="0"/>
              <w:rPr>
                <w:sz w:val="22"/>
                <w:szCs w:val="22"/>
                <w:color w:val="auto"/>
              </w:rPr>
            </w:pPr>
          </w:p>
        </w:tc>
      </w:tr>
      <w:tr>
        <w:trPr>
          <w:trHeight w:val="223"/>
        </w:trPr>
        <w:tc>
          <w:tcPr>
            <w:tcW w:w="73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5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500" w:type="dxa"/>
            <w:vAlign w:val="bottom"/>
            <w:tcBorders>
              <w:bottom w:val="single" w:sz="8" w:color="auto"/>
            </w:tcBorders>
          </w:tcPr>
          <w:p>
            <w:pPr>
              <w:spacing w:after="0"/>
              <w:rPr>
                <w:sz w:val="19"/>
                <w:szCs w:val="19"/>
                <w:color w:val="auto"/>
              </w:rPr>
            </w:pPr>
          </w:p>
        </w:tc>
      </w:tr>
      <w:tr>
        <w:trPr>
          <w:trHeight w:val="223"/>
        </w:trPr>
        <w:tc>
          <w:tcPr>
            <w:tcW w:w="73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1280" w:type="dxa"/>
            <w:vAlign w:val="bottom"/>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5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131</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5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77</w:t>
            </w: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bl>
    <w:p>
      <w:pPr>
        <w:spacing w:after="0" w:line="149" w:lineRule="exact"/>
        <w:rPr>
          <w:sz w:val="20"/>
          <w:szCs w:val="20"/>
          <w:color w:val="auto"/>
        </w:rPr>
      </w:pPr>
    </w:p>
    <w:p>
      <w:pPr>
        <w:ind w:right="980"/>
        <w:spacing w:after="0" w:line="258" w:lineRule="auto"/>
        <w:rPr>
          <w:sz w:val="20"/>
          <w:szCs w:val="20"/>
          <w:color w:val="auto"/>
        </w:rPr>
      </w:pPr>
      <w:r>
        <w:rPr>
          <w:rFonts w:ascii="Times New Roman" w:cs="Times New Roman" w:eastAsia="Times New Roman" w:hAnsi="Times New Roman"/>
          <w:sz w:val="22"/>
          <w:szCs w:val="22"/>
          <w:color w:val="auto"/>
        </w:rPr>
        <w:t>The fair value of options was estimated at the grant date using the Black-Scholes option-pricing model. The following assumptions were used in the application of this valuation model: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20" w:type="dxa"/>
            <w:vAlign w:val="bottom"/>
          </w:tcPr>
          <w:p>
            <w:pPr>
              <w:spacing w:after="0"/>
              <w:rPr>
                <w:sz w:val="22"/>
                <w:szCs w:val="22"/>
                <w:color w:val="auto"/>
              </w:rPr>
            </w:pPr>
          </w:p>
        </w:tc>
        <w:tc>
          <w:tcPr>
            <w:tcW w:w="298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2024</w:t>
            </w:r>
          </w:p>
        </w:tc>
        <w:tc>
          <w:tcPr>
            <w:tcW w:w="10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60" w:type="dxa"/>
            <w:vAlign w:val="bottom"/>
          </w:tcPr>
          <w:p>
            <w:pPr>
              <w:jc w:val="right"/>
              <w:ind w:right="1692"/>
              <w:spacing w:after="0"/>
              <w:rPr>
                <w:sz w:val="20"/>
                <w:szCs w:val="20"/>
                <w:color w:val="auto"/>
              </w:rPr>
            </w:pPr>
            <w:r>
              <w:rPr>
                <w:rFonts w:ascii="Times New Roman" w:cs="Times New Roman" w:eastAsia="Times New Roman" w:hAnsi="Times New Roman"/>
                <w:sz w:val="22"/>
                <w:szCs w:val="22"/>
                <w:color w:val="auto"/>
              </w:rPr>
              <w:t>2023</w:t>
            </w:r>
          </w:p>
        </w:tc>
      </w:tr>
      <w:tr>
        <w:trPr>
          <w:trHeight w:val="223"/>
        </w:trPr>
        <w:tc>
          <w:tcPr>
            <w:tcW w:w="38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Expected term (years)</w:t>
            </w:r>
          </w:p>
        </w:tc>
        <w:tc>
          <w:tcPr>
            <w:tcW w:w="10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52"/>
              <w:spacing w:after="0" w:line="223" w:lineRule="exact"/>
              <w:rPr>
                <w:sz w:val="20"/>
                <w:szCs w:val="20"/>
                <w:color w:val="auto"/>
              </w:rPr>
            </w:pPr>
            <w:r>
              <w:rPr>
                <w:rFonts w:ascii="Times New Roman" w:cs="Times New Roman" w:eastAsia="Times New Roman" w:hAnsi="Times New Roman"/>
                <w:sz w:val="22"/>
                <w:szCs w:val="22"/>
                <w:color w:val="auto"/>
              </w:rPr>
              <w:t>5.5</w:t>
            </w:r>
          </w:p>
        </w:tc>
        <w:tc>
          <w:tcPr>
            <w:tcW w:w="700" w:type="dxa"/>
            <w:vAlign w:val="bottom"/>
            <w:tcBorders>
              <w:top w:val="single" w:sz="8" w:color="auto"/>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right"/>
              <w:ind w:right="532"/>
              <w:spacing w:after="0" w:line="223" w:lineRule="exact"/>
              <w:rPr>
                <w:sz w:val="20"/>
                <w:szCs w:val="20"/>
                <w:color w:val="auto"/>
              </w:rPr>
            </w:pPr>
            <w:r>
              <w:rPr>
                <w:rFonts w:ascii="Times New Roman" w:cs="Times New Roman" w:eastAsia="Times New Roman" w:hAnsi="Times New Roman"/>
                <w:sz w:val="22"/>
                <w:szCs w:val="22"/>
                <w:color w:val="auto"/>
              </w:rPr>
              <w:t>5.5</w:t>
            </w:r>
          </w:p>
        </w:tc>
      </w:tr>
      <w:tr>
        <w:trPr>
          <w:trHeight w:val="229"/>
        </w:trPr>
        <w:tc>
          <w:tcPr>
            <w:tcW w:w="38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Risk-free interest rate</w:t>
            </w:r>
          </w:p>
        </w:tc>
        <w:tc>
          <w:tcPr>
            <w:tcW w:w="10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80" w:type="dxa"/>
            <w:vAlign w:val="bottom"/>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4.00%</w:t>
            </w:r>
          </w:p>
        </w:tc>
        <w:tc>
          <w:tcPr>
            <w:tcW w:w="700" w:type="dxa"/>
            <w:vAlign w:val="bottom"/>
          </w:tcPr>
          <w:p>
            <w:pPr>
              <w:spacing w:after="0"/>
              <w:rPr>
                <w:sz w:val="19"/>
                <w:szCs w:val="19"/>
                <w:color w:val="auto"/>
              </w:rPr>
            </w:pPr>
          </w:p>
        </w:tc>
        <w:tc>
          <w:tcPr>
            <w:tcW w:w="2660" w:type="dxa"/>
            <w:vAlign w:val="bottom"/>
          </w:tcPr>
          <w:p>
            <w:pPr>
              <w:jc w:val="right"/>
              <w:ind w:right="532"/>
              <w:spacing w:after="0" w:line="229" w:lineRule="exact"/>
              <w:rPr>
                <w:sz w:val="20"/>
                <w:szCs w:val="20"/>
                <w:color w:val="auto"/>
              </w:rPr>
            </w:pPr>
            <w:r>
              <w:rPr>
                <w:rFonts w:ascii="Times New Roman" w:cs="Times New Roman" w:eastAsia="Times New Roman" w:hAnsi="Times New Roman"/>
                <w:sz w:val="22"/>
                <w:szCs w:val="22"/>
                <w:color w:val="auto"/>
              </w:rPr>
              <w:t>4.03%</w:t>
            </w:r>
          </w:p>
        </w:tc>
      </w:tr>
      <w:tr>
        <w:trPr>
          <w:trHeight w:val="230"/>
        </w:trPr>
        <w:tc>
          <w:tcPr>
            <w:tcW w:w="38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volatility</w:t>
            </w:r>
          </w:p>
        </w:tc>
        <w:tc>
          <w:tcPr>
            <w:tcW w:w="10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28.30%</w:t>
            </w:r>
          </w:p>
        </w:tc>
        <w:tc>
          <w:tcPr>
            <w:tcW w:w="700" w:type="dxa"/>
            <w:vAlign w:val="bottom"/>
            <w:shd w:val="clear" w:color="auto" w:fill="CCEEFF"/>
          </w:tcPr>
          <w:p>
            <w:pPr>
              <w:spacing w:after="0"/>
              <w:rPr>
                <w:sz w:val="19"/>
                <w:szCs w:val="19"/>
                <w:color w:val="auto"/>
              </w:rPr>
            </w:pPr>
          </w:p>
        </w:tc>
        <w:tc>
          <w:tcPr>
            <w:tcW w:w="2660" w:type="dxa"/>
            <w:vAlign w:val="bottom"/>
            <w:shd w:val="clear" w:color="auto" w:fill="CCEEFF"/>
          </w:tcPr>
          <w:p>
            <w:pPr>
              <w:jc w:val="right"/>
              <w:ind w:right="532"/>
              <w:spacing w:after="0" w:line="229" w:lineRule="exact"/>
              <w:rPr>
                <w:sz w:val="20"/>
                <w:szCs w:val="20"/>
                <w:color w:val="auto"/>
              </w:rPr>
            </w:pPr>
            <w:r>
              <w:rPr>
                <w:rFonts w:ascii="Times New Roman" w:cs="Times New Roman" w:eastAsia="Times New Roman" w:hAnsi="Times New Roman"/>
                <w:sz w:val="22"/>
                <w:szCs w:val="22"/>
                <w:color w:val="auto"/>
              </w:rPr>
              <w:t>27.80%</w:t>
            </w:r>
          </w:p>
        </w:tc>
      </w:tr>
      <w:tr>
        <w:trPr>
          <w:trHeight w:val="230"/>
        </w:trPr>
        <w:tc>
          <w:tcPr>
            <w:tcW w:w="38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Dividend yield</w:t>
            </w:r>
          </w:p>
        </w:tc>
        <w:tc>
          <w:tcPr>
            <w:tcW w:w="10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80" w:type="dxa"/>
            <w:vAlign w:val="bottom"/>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3.43%</w:t>
            </w:r>
          </w:p>
        </w:tc>
        <w:tc>
          <w:tcPr>
            <w:tcW w:w="700" w:type="dxa"/>
            <w:vAlign w:val="bottom"/>
          </w:tcPr>
          <w:p>
            <w:pPr>
              <w:spacing w:after="0"/>
              <w:rPr>
                <w:sz w:val="19"/>
                <w:szCs w:val="19"/>
                <w:color w:val="auto"/>
              </w:rPr>
            </w:pPr>
          </w:p>
        </w:tc>
        <w:tc>
          <w:tcPr>
            <w:tcW w:w="2660" w:type="dxa"/>
            <w:vAlign w:val="bottom"/>
          </w:tcPr>
          <w:p>
            <w:pPr>
              <w:jc w:val="right"/>
              <w:ind w:right="532"/>
              <w:spacing w:after="0" w:line="229" w:lineRule="exact"/>
              <w:rPr>
                <w:sz w:val="20"/>
                <w:szCs w:val="20"/>
                <w:color w:val="auto"/>
              </w:rPr>
            </w:pPr>
            <w:r>
              <w:rPr>
                <w:rFonts w:ascii="Times New Roman" w:cs="Times New Roman" w:eastAsia="Times New Roman" w:hAnsi="Times New Roman"/>
                <w:sz w:val="22"/>
                <w:szCs w:val="22"/>
                <w:color w:val="auto"/>
              </w:rPr>
              <w:t>2.53%</w:t>
            </w:r>
          </w:p>
        </w:tc>
      </w:tr>
      <w:tr>
        <w:trPr>
          <w:trHeight w:val="229"/>
        </w:trPr>
        <w:tc>
          <w:tcPr>
            <w:tcW w:w="38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Grant date fair value per option</w:t>
            </w:r>
          </w:p>
        </w:tc>
        <w:tc>
          <w:tcPr>
            <w:tcW w:w="2980" w:type="dxa"/>
            <w:vAlign w:val="bottom"/>
            <w:gridSpan w:val="2"/>
            <w:shd w:val="clear" w:color="auto" w:fill="CCEEFF"/>
          </w:tcPr>
          <w:p>
            <w:pPr>
              <w:jc w:val="right"/>
              <w:ind w:right="178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shd w:val="clear" w:color="auto" w:fill="CCEEFF"/>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8.12</w:t>
            </w:r>
          </w:p>
        </w:tc>
        <w:tc>
          <w:tcPr>
            <w:tcW w:w="700" w:type="dxa"/>
            <w:vAlign w:val="bottom"/>
            <w:shd w:val="clear" w:color="auto" w:fill="CCEEFF"/>
          </w:tcPr>
          <w:p>
            <w:pPr>
              <w:jc w:val="right"/>
              <w:ind w:right="332"/>
              <w:spacing w:after="0" w:line="229" w:lineRule="exact"/>
              <w:rPr>
                <w:sz w:val="20"/>
                <w:szCs w:val="20"/>
                <w:color w:val="auto"/>
              </w:rPr>
            </w:pPr>
            <w:r>
              <w:rPr>
                <w:rFonts w:ascii="Times New Roman" w:cs="Times New Roman" w:eastAsia="Times New Roman" w:hAnsi="Times New Roman"/>
                <w:sz w:val="22"/>
                <w:szCs w:val="22"/>
                <w:color w:val="auto"/>
              </w:rPr>
              <w:t>$</w:t>
            </w:r>
          </w:p>
        </w:tc>
        <w:tc>
          <w:tcPr>
            <w:tcW w:w="2660" w:type="dxa"/>
            <w:vAlign w:val="bottom"/>
            <w:shd w:val="clear" w:color="auto" w:fill="CCEEFF"/>
          </w:tcPr>
          <w:p>
            <w:pPr>
              <w:jc w:val="right"/>
              <w:ind w:right="532"/>
              <w:spacing w:after="0" w:line="229" w:lineRule="exact"/>
              <w:rPr>
                <w:sz w:val="20"/>
                <w:szCs w:val="20"/>
                <w:color w:val="auto"/>
              </w:rPr>
            </w:pPr>
            <w:r>
              <w:rPr>
                <w:rFonts w:ascii="Times New Roman" w:cs="Times New Roman" w:eastAsia="Times New Roman" w:hAnsi="Times New Roman"/>
                <w:sz w:val="22"/>
                <w:szCs w:val="22"/>
                <w:color w:val="auto"/>
              </w:rPr>
              <w:t>11.37</w:t>
            </w:r>
          </w:p>
        </w:tc>
      </w:tr>
    </w:tbl>
    <w:p>
      <w:pPr>
        <w:spacing w:after="0" w:line="21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2"/>
          <w:szCs w:val="22"/>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option transactions for the three months ended March 31,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color w:val="auto"/>
                <w:w w:val="95"/>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Weighted</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5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380"/>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126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ind w:right="132"/>
              <w:spacing w:after="0" w:line="229" w:lineRule="exact"/>
              <w:rPr>
                <w:sz w:val="20"/>
                <w:szCs w:val="20"/>
                <w:color w:val="auto"/>
              </w:rPr>
            </w:pPr>
            <w:r>
              <w:rPr>
                <w:rFonts w:ascii="Times New Roman" w:cs="Times New Roman" w:eastAsia="Times New Roman" w:hAnsi="Times New Roman"/>
                <w:sz w:val="22"/>
                <w:szCs w:val="22"/>
                <w:color w:val="auto"/>
                <w:w w:val="98"/>
              </w:rPr>
              <w:t>Aggregate</w:t>
            </w:r>
          </w:p>
        </w:tc>
      </w:tr>
      <w:tr>
        <w:trPr>
          <w:trHeight w:val="230"/>
        </w:trPr>
        <w:tc>
          <w:tcPr>
            <w:tcW w:w="5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400"/>
              <w:spacing w:after="0" w:line="229" w:lineRule="exact"/>
              <w:rPr>
                <w:sz w:val="20"/>
                <w:szCs w:val="20"/>
                <w:color w:val="auto"/>
              </w:rPr>
            </w:pPr>
            <w:r>
              <w:rPr>
                <w:rFonts w:ascii="Times New Roman" w:cs="Times New Roman" w:eastAsia="Times New Roman" w:hAnsi="Times New Roman"/>
                <w:sz w:val="22"/>
                <w:szCs w:val="22"/>
                <w:color w:val="auto"/>
                <w:w w:val="97"/>
              </w:rPr>
              <w:t>Exercise</w:t>
            </w:r>
          </w:p>
        </w:tc>
        <w:tc>
          <w:tcPr>
            <w:tcW w:w="126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Remaining</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ind w:right="152"/>
              <w:spacing w:after="0" w:line="229" w:lineRule="exact"/>
              <w:rPr>
                <w:sz w:val="20"/>
                <w:szCs w:val="20"/>
                <w:color w:val="auto"/>
              </w:rPr>
            </w:pPr>
            <w:r>
              <w:rPr>
                <w:rFonts w:ascii="Times New Roman" w:cs="Times New Roman" w:eastAsia="Times New Roman" w:hAnsi="Times New Roman"/>
                <w:sz w:val="22"/>
                <w:szCs w:val="22"/>
                <w:color w:val="auto"/>
                <w:w w:val="98"/>
              </w:rPr>
              <w:t>Intrinsic</w:t>
            </w:r>
          </w:p>
        </w:tc>
      </w:tr>
      <w:tr>
        <w:trPr>
          <w:trHeight w:val="257"/>
        </w:trPr>
        <w:tc>
          <w:tcPr>
            <w:tcW w:w="5020" w:type="dxa"/>
            <w:vAlign w:val="bottom"/>
          </w:tcPr>
          <w:p>
            <w:pPr>
              <w:spacing w:after="0"/>
              <w:rPr>
                <w:sz w:val="22"/>
                <w:szCs w:val="22"/>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22"/>
                <w:szCs w:val="22"/>
                <w:color w:val="auto"/>
              </w:rPr>
              <w:t>Shares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color w:val="auto"/>
                <w:w w:val="97"/>
              </w:rPr>
              <w:t>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Life (years)</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5"/>
              </w:rPr>
              <w:t>Value</w:t>
            </w:r>
          </w:p>
        </w:tc>
      </w:tr>
      <w:tr>
        <w:trPr>
          <w:trHeight w:val="223"/>
        </w:trPr>
        <w:tc>
          <w:tcPr>
            <w:tcW w:w="50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Outstanding at beginning of period</w:t>
            </w:r>
          </w:p>
        </w:tc>
        <w:tc>
          <w:tcPr>
            <w:tcW w:w="13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882,442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37.03</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29"/>
        </w:trPr>
        <w:tc>
          <w:tcPr>
            <w:tcW w:w="50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3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119,548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35.78</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0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Expired</w:t>
            </w:r>
          </w:p>
        </w:tc>
        <w:tc>
          <w:tcPr>
            <w:tcW w:w="1460" w:type="dxa"/>
            <w:vAlign w:val="bottom"/>
            <w:gridSpan w:val="2"/>
            <w:shd w:val="clear" w:color="auto" w:fill="CCEEFF"/>
          </w:tcPr>
          <w:p>
            <w:pPr>
              <w:jc w:val="right"/>
              <w:ind w:right="100"/>
              <w:spacing w:after="0" w:line="229" w:lineRule="exact"/>
              <w:rPr>
                <w:sz w:val="20"/>
                <w:szCs w:val="20"/>
                <w:color w:val="auto"/>
              </w:rPr>
            </w:pPr>
            <w:r>
              <w:rPr>
                <w:rFonts w:ascii="Times New Roman" w:cs="Times New Roman" w:eastAsia="Times New Roman" w:hAnsi="Times New Roman"/>
                <w:sz w:val="22"/>
                <w:szCs w:val="22"/>
                <w:color w:val="auto"/>
              </w:rPr>
              <w:t>(527)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35.94</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50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Exercised</w:t>
            </w:r>
          </w:p>
        </w:tc>
        <w:tc>
          <w:tcPr>
            <w:tcW w:w="1460" w:type="dxa"/>
            <w:vAlign w:val="bottom"/>
            <w:gridSpan w:val="2"/>
          </w:tcPr>
          <w:p>
            <w:pPr>
              <w:jc w:val="right"/>
              <w:ind w:right="100"/>
              <w:spacing w:after="0" w:line="229" w:lineRule="exact"/>
              <w:rPr>
                <w:sz w:val="20"/>
                <w:szCs w:val="20"/>
                <w:color w:val="auto"/>
              </w:rPr>
            </w:pPr>
            <w:r>
              <w:rPr>
                <w:rFonts w:ascii="Times New Roman" w:cs="Times New Roman" w:eastAsia="Times New Roman" w:hAnsi="Times New Roman"/>
                <w:sz w:val="22"/>
                <w:szCs w:val="22"/>
                <w:color w:val="auto"/>
              </w:rPr>
              <w:t>(4,971)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35.25</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3"/>
        </w:trPr>
        <w:tc>
          <w:tcPr>
            <w:tcW w:w="50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Outstanding at end of period</w:t>
            </w:r>
          </w:p>
        </w:tc>
        <w:tc>
          <w:tcPr>
            <w:tcW w:w="13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996,492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top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36.89</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5.8</w:t>
            </w:r>
          </w:p>
        </w:tc>
        <w:tc>
          <w:tcPr>
            <w:tcW w:w="420" w:type="dxa"/>
            <w:vAlign w:val="bottom"/>
            <w:tcBorders>
              <w:top w:val="single" w:sz="8" w:color="CCEEFF"/>
            </w:tcBorders>
            <w:gridSpan w:val="2"/>
            <w:shd w:val="clear" w:color="auto" w:fill="CCEEFF"/>
          </w:tcPr>
          <w:p>
            <w:pPr>
              <w:jc w:val="right"/>
              <w:ind w:right="140"/>
              <w:spacing w:after="0" w:line="22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top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1,380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50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Exercisable at end of period</w:t>
            </w:r>
          </w:p>
        </w:tc>
        <w:tc>
          <w:tcPr>
            <w:tcW w:w="13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803,853</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36.29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5.0</w:t>
            </w:r>
          </w:p>
        </w:tc>
        <w:tc>
          <w:tcPr>
            <w:tcW w:w="420" w:type="dxa"/>
            <w:vAlign w:val="bottom"/>
            <w:gridSpan w:val="2"/>
            <w:shd w:val="clear" w:color="auto" w:fill="CCEEFF"/>
          </w:tcPr>
          <w:p>
            <w:pPr>
              <w:jc w:val="right"/>
              <w:ind w:right="14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1,228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Restricted Stock – </w:t>
      </w:r>
      <w:r>
        <w:rPr>
          <w:rFonts w:ascii="Times New Roman" w:cs="Times New Roman" w:eastAsia="Times New Roman" w:hAnsi="Times New Roman"/>
          <w:sz w:val="21"/>
          <w:szCs w:val="21"/>
          <w:color w:val="auto"/>
        </w:rPr>
        <w:t>Restricted stock awards provide the grantee with the rights of a shareholder, including the right to receive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1220" w:type="dxa"/>
            <w:vAlign w:val="bottom"/>
          </w:tcPr>
          <w:p>
            <w:pPr>
              <w:spacing w:after="0"/>
              <w:rPr>
                <w:sz w:val="21"/>
                <w:szCs w:val="21"/>
                <w:color w:val="auto"/>
              </w:rPr>
            </w:pPr>
          </w:p>
        </w:tc>
      </w:tr>
      <w:tr>
        <w:trPr>
          <w:trHeight w:val="257"/>
        </w:trPr>
        <w:tc>
          <w:tcPr>
            <w:tcW w:w="6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9"/>
              </w:rPr>
              <w:t>March 31,</w:t>
            </w:r>
          </w:p>
        </w:tc>
        <w:tc>
          <w:tcPr>
            <w:tcW w:w="1220" w:type="dxa"/>
            <w:vAlign w:val="bottom"/>
            <w:tcBorders>
              <w:bottom w:val="single" w:sz="8" w:color="auto"/>
            </w:tcBorders>
          </w:tcPr>
          <w:p>
            <w:pPr>
              <w:spacing w:after="0"/>
              <w:rPr>
                <w:sz w:val="22"/>
                <w:szCs w:val="22"/>
                <w:color w:val="auto"/>
              </w:rPr>
            </w:pPr>
          </w:p>
        </w:tc>
      </w:tr>
      <w:tr>
        <w:trPr>
          <w:trHeight w:val="223"/>
        </w:trPr>
        <w:tc>
          <w:tcPr>
            <w:tcW w:w="65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2"/>
              <w:spacing w:after="0" w:line="223" w:lineRule="exact"/>
              <w:rPr>
                <w:sz w:val="20"/>
                <w:szCs w:val="20"/>
                <w:color w:val="auto"/>
              </w:rPr>
            </w:pPr>
            <w:r>
              <w:rPr>
                <w:rFonts w:ascii="Times New Roman" w:cs="Times New Roman" w:eastAsia="Times New Roman" w:hAnsi="Times New Roman"/>
                <w:sz w:val="22"/>
                <w:szCs w:val="22"/>
                <w:color w:val="auto"/>
                <w:w w:val="95"/>
              </w:rPr>
              <w:t>2023</w:t>
            </w:r>
          </w:p>
        </w:tc>
      </w:tr>
      <w:tr>
        <w:trPr>
          <w:trHeight w:val="223"/>
        </w:trPr>
        <w:tc>
          <w:tcPr>
            <w:tcW w:w="65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12</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12</w:t>
            </w:r>
          </w:p>
        </w:tc>
      </w:tr>
      <w:tr>
        <w:trPr>
          <w:trHeight w:val="282"/>
        </w:trPr>
        <w:tc>
          <w:tcPr>
            <w:tcW w:w="65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restricted stock transactions for the three months ended March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60" w:type="dxa"/>
            <w:vAlign w:val="bottom"/>
          </w:tcPr>
          <w:p>
            <w:pPr>
              <w:spacing w:after="0"/>
              <w:rPr>
                <w:sz w:val="21"/>
                <w:szCs w:val="21"/>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9"/>
              </w:rPr>
              <w:t>Number</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30"/>
        </w:trPr>
        <w:tc>
          <w:tcPr>
            <w:tcW w:w="7260" w:type="dxa"/>
            <w:vAlign w:val="bottom"/>
          </w:tcPr>
          <w:p>
            <w:pPr>
              <w:spacing w:after="0"/>
              <w:rPr>
                <w:sz w:val="19"/>
                <w:szCs w:val="19"/>
                <w:color w:val="auto"/>
              </w:rPr>
            </w:pPr>
          </w:p>
        </w:tc>
        <w:tc>
          <w:tcPr>
            <w:tcW w:w="2000" w:type="dxa"/>
            <w:vAlign w:val="bottom"/>
            <w:gridSpan w:val="2"/>
          </w:tcPr>
          <w:p>
            <w:pPr>
              <w:jc w:val="center"/>
              <w:ind w:right="260"/>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center"/>
              <w:ind w:right="212"/>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r>
      <w:tr>
        <w:trPr>
          <w:trHeight w:val="257"/>
        </w:trPr>
        <w:tc>
          <w:tcPr>
            <w:tcW w:w="7260" w:type="dxa"/>
            <w:vAlign w:val="bottom"/>
          </w:tcPr>
          <w:p>
            <w:pPr>
              <w:spacing w:after="0"/>
              <w:rPr>
                <w:sz w:val="22"/>
                <w:szCs w:val="22"/>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5"/>
              </w:rPr>
              <w:t>Shares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23"/>
        </w:trPr>
        <w:tc>
          <w:tcPr>
            <w:tcW w:w="726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restricted stock at beginning of period</w:t>
            </w:r>
          </w:p>
        </w:tc>
        <w:tc>
          <w:tcPr>
            <w:tcW w:w="17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1,412</w:t>
            </w: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35.42</w:t>
            </w:r>
          </w:p>
        </w:tc>
      </w:tr>
      <w:tr>
        <w:trPr>
          <w:trHeight w:val="230"/>
        </w:trPr>
        <w:tc>
          <w:tcPr>
            <w:tcW w:w="72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7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r>
      <w:tr>
        <w:trPr>
          <w:trHeight w:val="230"/>
        </w:trPr>
        <w:tc>
          <w:tcPr>
            <w:tcW w:w="72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Vested</w:t>
            </w:r>
          </w:p>
        </w:tc>
        <w:tc>
          <w:tcPr>
            <w:tcW w:w="17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r>
      <w:tr>
        <w:trPr>
          <w:trHeight w:val="223"/>
        </w:trPr>
        <w:tc>
          <w:tcPr>
            <w:tcW w:w="72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restricted stock at end of period</w:t>
            </w:r>
          </w:p>
        </w:tc>
        <w:tc>
          <w:tcPr>
            <w:tcW w:w="1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1,412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35.42</w:t>
            </w:r>
          </w:p>
        </w:tc>
      </w:tr>
      <w:tr>
        <w:trPr>
          <w:trHeight w:val="20"/>
        </w:trPr>
        <w:tc>
          <w:tcPr>
            <w:tcW w:w="7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were no restricted stock awards granted during the three months ended March 31, 2024.</w:t>
      </w:r>
    </w:p>
    <w:p>
      <w:pPr>
        <w:spacing w:after="0" w:line="2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19"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1"/>
          <w:szCs w:val="21"/>
          <w:b w:val="1"/>
          <w:bCs w:val="1"/>
          <w:i w:val="1"/>
          <w:iCs w:val="1"/>
          <w:color w:val="auto"/>
        </w:rPr>
        <w:t xml:space="preserve">Stock Awards </w:t>
      </w:r>
      <w:r>
        <w:rPr>
          <w:rFonts w:ascii="Times New Roman" w:cs="Times New Roman" w:eastAsia="Times New Roman" w:hAnsi="Times New Roman"/>
          <w:sz w:val="21"/>
          <w:szCs w:val="21"/>
          <w:color w:val="auto"/>
        </w:rPr>
        <w:t>– Stock awards represent the issuance of the Company’s common stock, without restriction. The issuance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stock awards results in compensation expense that is equal to the fair market value of the stock on the grant date and is expensed immediately upon grant. There were no stock awards granted and vested during the three months ended March 31, 2024.</w:t>
      </w:r>
    </w:p>
    <w:p>
      <w:pPr>
        <w:spacing w:after="0" w:line="180" w:lineRule="exact"/>
        <w:rPr>
          <w:sz w:val="20"/>
          <w:szCs w:val="20"/>
          <w:color w:val="auto"/>
        </w:rPr>
      </w:pPr>
    </w:p>
    <w:p>
      <w:pPr>
        <w:ind w:right="720"/>
        <w:spacing w:after="0" w:line="245" w:lineRule="auto"/>
        <w:rPr>
          <w:sz w:val="20"/>
          <w:szCs w:val="20"/>
          <w:color w:val="auto"/>
        </w:rPr>
      </w:pPr>
      <w:r>
        <w:rPr>
          <w:rFonts w:ascii="Times New Roman" w:cs="Times New Roman" w:eastAsia="Times New Roman" w:hAnsi="Times New Roman"/>
          <w:sz w:val="22"/>
          <w:szCs w:val="22"/>
          <w:color w:val="auto"/>
        </w:rPr>
        <w:t>The following table provides the compensation cost and income tax benefit for stock-based compensation related to stock awards: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9"/>
              </w:rPr>
              <w:t>Three Months Ended</w:t>
            </w:r>
          </w:p>
        </w:tc>
        <w:tc>
          <w:tcPr>
            <w:tcW w:w="1240" w:type="dxa"/>
            <w:vAlign w:val="bottom"/>
          </w:tcPr>
          <w:p>
            <w:pPr>
              <w:spacing w:after="0"/>
              <w:rPr>
                <w:sz w:val="22"/>
                <w:szCs w:val="22"/>
                <w:color w:val="auto"/>
              </w:rPr>
            </w:pPr>
          </w:p>
        </w:tc>
      </w:tr>
      <w:tr>
        <w:trPr>
          <w:trHeight w:val="257"/>
        </w:trPr>
        <w:tc>
          <w:tcPr>
            <w:tcW w:w="692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March 31,</w:t>
            </w:r>
          </w:p>
        </w:tc>
        <w:tc>
          <w:tcPr>
            <w:tcW w:w="1240" w:type="dxa"/>
            <w:vAlign w:val="bottom"/>
            <w:tcBorders>
              <w:bottom w:val="single" w:sz="8" w:color="auto"/>
            </w:tcBorders>
          </w:tcPr>
          <w:p>
            <w:pPr>
              <w:spacing w:after="0"/>
              <w:rPr>
                <w:sz w:val="22"/>
                <w:szCs w:val="22"/>
                <w:color w:val="auto"/>
              </w:rPr>
            </w:pPr>
          </w:p>
        </w:tc>
      </w:tr>
      <w:tr>
        <w:trPr>
          <w:trHeight w:val="223"/>
        </w:trPr>
        <w:tc>
          <w:tcPr>
            <w:tcW w:w="69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2"/>
              <w:spacing w:after="0" w:line="223" w:lineRule="exact"/>
              <w:rPr>
                <w:sz w:val="20"/>
                <w:szCs w:val="20"/>
                <w:color w:val="auto"/>
              </w:rPr>
            </w:pPr>
            <w:r>
              <w:rPr>
                <w:rFonts w:ascii="Times New Roman" w:cs="Times New Roman" w:eastAsia="Times New Roman" w:hAnsi="Times New Roman"/>
                <w:sz w:val="22"/>
                <w:szCs w:val="22"/>
                <w:color w:val="auto"/>
                <w:w w:val="95"/>
              </w:rPr>
              <w:t>2023</w:t>
            </w:r>
          </w:p>
        </w:tc>
      </w:tr>
      <w:tr>
        <w:trPr>
          <w:trHeight w:val="223"/>
        </w:trPr>
        <w:tc>
          <w:tcPr>
            <w:tcW w:w="69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1220" w:type="dxa"/>
            <w:vAlign w:val="bottom"/>
            <w:shd w:val="clear" w:color="auto" w:fill="CCEEFF"/>
          </w:tcPr>
          <w:p>
            <w:pPr>
              <w:jc w:val="right"/>
              <w:ind w:right="10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210</w:t>
            </w:r>
          </w:p>
        </w:tc>
      </w:tr>
      <w:tr>
        <w:trPr>
          <w:trHeight w:val="282"/>
        </w:trPr>
        <w:tc>
          <w:tcPr>
            <w:tcW w:w="692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10 – </w:t>
      </w:r>
      <w:r>
        <w:rPr>
          <w:rFonts w:ascii="Times New Roman" w:cs="Times New Roman" w:eastAsia="Times New Roman" w:hAnsi="Times New Roman"/>
          <w:sz w:val="22"/>
          <w:szCs w:val="22"/>
          <w:b w:val="1"/>
          <w:bCs w:val="1"/>
          <w:i w:val="1"/>
          <w:iCs w:val="1"/>
          <w:color w:val="auto"/>
        </w:rPr>
        <w:t>Pension Plans and Other Postretirement Benefits</w:t>
      </w:r>
    </w:p>
    <w:p>
      <w:pPr>
        <w:spacing w:after="0" w:line="212"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2"/>
          <w:szCs w:val="22"/>
          <w:color w:val="auto"/>
        </w:rPr>
        <w:t>The Company maintains a qualified defined benefit pension plan (the “Pension Plan”), a nonqualified pension plan, and other postretirement benefit plans for certain of its employees.</w:t>
      </w:r>
    </w:p>
    <w:p>
      <w:pPr>
        <w:spacing w:after="0" w:line="186"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22"/>
          <w:szCs w:val="22"/>
          <w:color w:val="auto"/>
        </w:rPr>
        <w:t>The following tables provide the components of net periodic benefit cost for the Company’s pension and other postretirement benefit plans: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2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center"/>
              <w:ind w:right="532"/>
              <w:spacing w:after="0"/>
              <w:rPr>
                <w:sz w:val="20"/>
                <w:szCs w:val="20"/>
                <w:color w:val="auto"/>
              </w:rPr>
            </w:pPr>
            <w:r>
              <w:rPr>
                <w:rFonts w:ascii="Times New Roman" w:cs="Times New Roman" w:eastAsia="Times New Roman" w:hAnsi="Times New Roman"/>
                <w:sz w:val="22"/>
                <w:szCs w:val="22"/>
                <w:color w:val="auto"/>
                <w:w w:val="98"/>
              </w:rPr>
              <w:t>Pension Benefits</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500" w:type="dxa"/>
            <w:vAlign w:val="bottom"/>
            <w:gridSpan w:val="4"/>
          </w:tcPr>
          <w:p>
            <w:pPr>
              <w:jc w:val="center"/>
              <w:ind w:right="532"/>
              <w:spacing w:after="0" w:line="196" w:lineRule="exact"/>
              <w:rPr>
                <w:sz w:val="20"/>
                <w:szCs w:val="20"/>
                <w:color w:val="auto"/>
              </w:rPr>
            </w:pPr>
            <w:r>
              <w:rPr>
                <w:rFonts w:ascii="Times New Roman" w:cs="Times New Roman" w:eastAsia="Times New Roman" w:hAnsi="Times New Roman"/>
                <w:sz w:val="22"/>
                <w:szCs w:val="22"/>
                <w:color w:val="auto"/>
                <w:w w:val="97"/>
              </w:rPr>
              <w:t>Three Months Ended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center"/>
              <w:ind w:right="552"/>
              <w:spacing w:after="0"/>
              <w:rPr>
                <w:sz w:val="20"/>
                <w:szCs w:val="20"/>
                <w:color w:val="auto"/>
              </w:rPr>
            </w:pPr>
            <w:r>
              <w:rPr>
                <w:rFonts w:ascii="Times New Roman" w:cs="Times New Roman" w:eastAsia="Times New Roman" w:hAnsi="Times New Roman"/>
                <w:sz w:val="22"/>
                <w:szCs w:val="22"/>
                <w:color w:val="auto"/>
                <w:w w:val="97"/>
              </w:rPr>
              <w:t>March 31,</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3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Service cost</w:t>
            </w:r>
          </w:p>
        </w:tc>
        <w:tc>
          <w:tcPr>
            <w:tcW w:w="24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357</w:t>
            </w: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401</w:t>
            </w:r>
          </w:p>
        </w:tc>
        <w:tc>
          <w:tcPr>
            <w:tcW w:w="0" w:type="dxa"/>
            <w:vAlign w:val="bottom"/>
          </w:tcPr>
          <w:p>
            <w:pPr>
              <w:spacing w:after="0"/>
              <w:rPr>
                <w:sz w:val="1"/>
                <w:szCs w:val="1"/>
                <w:color w:val="auto"/>
              </w:rPr>
            </w:pPr>
          </w:p>
        </w:tc>
      </w:tr>
      <w:tr>
        <w:trPr>
          <w:trHeight w:val="230"/>
        </w:trPr>
        <w:tc>
          <w:tcPr>
            <w:tcW w:w="42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Interest cost</w:t>
            </w:r>
          </w:p>
        </w:tc>
        <w:tc>
          <w:tcPr>
            <w:tcW w:w="2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3,908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4,308</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2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(4,696)</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(5,672)</w:t>
            </w:r>
          </w:p>
        </w:tc>
        <w:tc>
          <w:tcPr>
            <w:tcW w:w="0" w:type="dxa"/>
            <w:vAlign w:val="bottom"/>
          </w:tcPr>
          <w:p>
            <w:pPr>
              <w:spacing w:after="0"/>
              <w:rPr>
                <w:sz w:val="1"/>
                <w:szCs w:val="1"/>
                <w:color w:val="auto"/>
              </w:rPr>
            </w:pPr>
          </w:p>
        </w:tc>
      </w:tr>
      <w:tr>
        <w:trPr>
          <w:trHeight w:val="230"/>
        </w:trPr>
        <w:tc>
          <w:tcPr>
            <w:tcW w:w="42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2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171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Amortization of actuarial loss</w:t>
            </w:r>
          </w:p>
        </w:tc>
        <w:tc>
          <w:tcPr>
            <w:tcW w:w="24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751</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809</w:t>
            </w:r>
          </w:p>
        </w:tc>
        <w:tc>
          <w:tcPr>
            <w:tcW w:w="0" w:type="dxa"/>
            <w:vAlign w:val="bottom"/>
          </w:tcPr>
          <w:p>
            <w:pPr>
              <w:spacing w:after="0"/>
              <w:rPr>
                <w:sz w:val="1"/>
                <w:szCs w:val="1"/>
                <w:color w:val="auto"/>
              </w:rPr>
            </w:pPr>
          </w:p>
        </w:tc>
      </w:tr>
      <w:tr>
        <w:trPr>
          <w:trHeight w:val="223"/>
        </w:trPr>
        <w:tc>
          <w:tcPr>
            <w:tcW w:w="42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Net periodic benefit cost</w:t>
            </w:r>
          </w:p>
        </w:tc>
        <w:tc>
          <w:tcPr>
            <w:tcW w:w="2480" w:type="dxa"/>
            <w:vAlign w:val="bottom"/>
          </w:tcPr>
          <w:p>
            <w:pPr>
              <w:spacing w:after="0"/>
              <w:rPr>
                <w:sz w:val="19"/>
                <w:szCs w:val="19"/>
                <w:color w:val="auto"/>
              </w:rPr>
            </w:pPr>
          </w:p>
        </w:tc>
        <w:tc>
          <w:tcPr>
            <w:tcW w:w="1340" w:type="dxa"/>
            <w:vAlign w:val="bottom"/>
            <w:tcBorders>
              <w:bottom w:val="single" w:sz="8" w:color="auto"/>
            </w:tcBorders>
          </w:tcPr>
          <w:p>
            <w:pPr>
              <w:jc w:val="right"/>
              <w:ind w:right="11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401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bottom w:val="single" w:sz="8" w:color="auto"/>
            </w:tcBorders>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gridSpan w:val="2"/>
          </w:tcPr>
          <w:p>
            <w:pPr>
              <w:jc w:val="center"/>
              <w:ind w:left="552"/>
              <w:spacing w:after="0"/>
              <w:rPr>
                <w:sz w:val="20"/>
                <w:szCs w:val="20"/>
                <w:color w:val="auto"/>
              </w:rPr>
            </w:pPr>
            <w:r>
              <w:rPr>
                <w:rFonts w:ascii="Times New Roman" w:cs="Times New Roman" w:eastAsia="Times New Roman" w:hAnsi="Times New Roman"/>
                <w:sz w:val="22"/>
                <w:szCs w:val="22"/>
                <w:color w:val="auto"/>
                <w:w w:val="99"/>
              </w:rPr>
              <w:t>Other</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3840" w:type="dxa"/>
            <w:vAlign w:val="bottom"/>
            <w:tcBorders>
              <w:bottom w:val="single" w:sz="8" w:color="auto"/>
            </w:tcBorders>
            <w:gridSpan w:val="5"/>
          </w:tcPr>
          <w:p>
            <w:pPr>
              <w:jc w:val="center"/>
              <w:ind w:left="572"/>
              <w:spacing w:after="0"/>
              <w:rPr>
                <w:sz w:val="20"/>
                <w:szCs w:val="20"/>
                <w:color w:val="auto"/>
              </w:rPr>
            </w:pPr>
            <w:r>
              <w:rPr>
                <w:rFonts w:ascii="Times New Roman" w:cs="Times New Roman" w:eastAsia="Times New Roman" w:hAnsi="Times New Roman"/>
                <w:sz w:val="22"/>
                <w:szCs w:val="22"/>
                <w:color w:val="auto"/>
                <w:w w:val="98"/>
              </w:rPr>
              <w:t>Postretirement Benefits</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500" w:type="dxa"/>
            <w:vAlign w:val="bottom"/>
            <w:gridSpan w:val="4"/>
          </w:tcPr>
          <w:p>
            <w:pPr>
              <w:jc w:val="right"/>
              <w:ind w:right="372"/>
              <w:spacing w:after="0" w:line="196" w:lineRule="exact"/>
              <w:rPr>
                <w:sz w:val="20"/>
                <w:szCs w:val="20"/>
                <w:color w:val="auto"/>
              </w:rPr>
            </w:pPr>
            <w:r>
              <w:rPr>
                <w:rFonts w:ascii="Times New Roman" w:cs="Times New Roman" w:eastAsia="Times New Roman" w:hAnsi="Times New Roman"/>
                <w:sz w:val="22"/>
                <w:szCs w:val="22"/>
                <w:color w:val="auto"/>
              </w:rPr>
              <w:t>Three Months Ended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22"/>
                <w:szCs w:val="22"/>
                <w:color w:val="auto"/>
              </w:rPr>
              <w:t>March 31,</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3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Service cost</w:t>
            </w:r>
          </w:p>
        </w:tc>
        <w:tc>
          <w:tcPr>
            <w:tcW w:w="24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363</w:t>
            </w: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337</w:t>
            </w:r>
          </w:p>
        </w:tc>
        <w:tc>
          <w:tcPr>
            <w:tcW w:w="0" w:type="dxa"/>
            <w:vAlign w:val="bottom"/>
          </w:tcPr>
          <w:p>
            <w:pPr>
              <w:spacing w:after="0"/>
              <w:rPr>
                <w:sz w:val="1"/>
                <w:szCs w:val="1"/>
                <w:color w:val="auto"/>
              </w:rPr>
            </w:pPr>
          </w:p>
        </w:tc>
      </w:tr>
      <w:tr>
        <w:trPr>
          <w:trHeight w:val="230"/>
        </w:trPr>
        <w:tc>
          <w:tcPr>
            <w:tcW w:w="42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Interest cost</w:t>
            </w:r>
          </w:p>
        </w:tc>
        <w:tc>
          <w:tcPr>
            <w:tcW w:w="2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1,119</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2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(1,105)</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(1,093)</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Amortization of actuarial gain</w:t>
            </w:r>
          </w:p>
        </w:tc>
        <w:tc>
          <w:tcPr>
            <w:tcW w:w="24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(267)</w:t>
            </w:r>
          </w:p>
        </w:tc>
        <w:tc>
          <w:tcPr>
            <w:tcW w:w="3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(329)</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periodic benefit cost</w:t>
            </w:r>
          </w:p>
        </w:tc>
        <w:tc>
          <w:tcPr>
            <w:tcW w:w="24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103</w:t>
            </w:r>
          </w:p>
        </w:tc>
        <w:tc>
          <w:tcPr>
            <w:tcW w:w="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20</w:t>
            </w:r>
          </w:p>
        </w:tc>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2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42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22"/>
          <w:szCs w:val="22"/>
          <w:color w:val="auto"/>
        </w:rPr>
        <w:t>The net periodic benefit cost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cost other than service cost in the consolidated statements of operations and comprehensive income on the line item “Other”.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were no cash contributions made to the Pension Plan during the first three months of 2024.</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 </w:t>
      </w:r>
      <w:r>
        <w:rPr>
          <w:rFonts w:ascii="Times New Roman" w:cs="Times New Roman" w:eastAsia="Times New Roman" w:hAnsi="Times New Roman"/>
          <w:sz w:val="22"/>
          <w:szCs w:val="22"/>
          <w:b w:val="1"/>
          <w:bCs w:val="1"/>
          <w:i w:val="1"/>
          <w:iCs w:val="1"/>
          <w:color w:val="auto"/>
        </w:rPr>
        <w:t>Rate Activity</w:t>
      </w:r>
    </w:p>
    <w:p>
      <w:pPr>
        <w:spacing w:after="0" w:line="22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21"/>
          <w:szCs w:val="21"/>
          <w:color w:val="auto"/>
        </w:rPr>
        <w:t>On January 19, 2024, Aqua New Jersey filed an application with the New Jersey Board of Public Utilities designed to increase water rates by $8,328 or 17.3% on an annual basis. The Company anticipates a final order to be issued by August 2024.</w:t>
      </w:r>
    </w:p>
    <w:p>
      <w:pPr>
        <w:spacing w:after="0" w:line="163"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22"/>
          <w:szCs w:val="22"/>
          <w:color w:val="auto"/>
        </w:rPr>
        <w:t>On January 2, 2024, Aqua Illinois filed an application with the Illinois Commerce Commission designed to increase water and wastewater rates by $19,196 or 18.9% on an annual basis. The Company anticipates a final order to be issued by December 2024.</w:t>
      </w:r>
    </w:p>
    <w:p>
      <w:pPr>
        <w:spacing w:after="0" w:line="192"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22"/>
          <w:szCs w:val="22"/>
          <w:color w:val="auto"/>
        </w:rPr>
        <w:t>On December 29, 2023, Peoples Natural Gas filed an application with the Pennsylvania Public Utility Commission designed to increase natural gas rates by $156,024 or 18.7% on an annual basis. The Company anticipates a final order to be issued by September 2024.</w:t>
      </w:r>
    </w:p>
    <w:p>
      <w:pPr>
        <w:spacing w:after="0" w:line="19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On December 13, 2023, the Company’s regulated water and wastewater utility operating divisions in Ohio received an order from the Public Utilities Commission of Ohio designed to increase operating revenues by $4,850 annually. New rates for water and sewer service went into effect on December 13, 2023.</w:t>
      </w:r>
    </w:p>
    <w:p>
      <w:pPr>
        <w:spacing w:after="0" w:line="165" w:lineRule="exact"/>
        <w:rPr>
          <w:sz w:val="20"/>
          <w:szCs w:val="20"/>
          <w:color w:val="auto"/>
        </w:rPr>
      </w:pPr>
    </w:p>
    <w:p>
      <w:pPr>
        <w:jc w:val="both"/>
        <w:ind w:right="220"/>
        <w:spacing w:after="0" w:line="233" w:lineRule="auto"/>
        <w:rPr>
          <w:sz w:val="20"/>
          <w:szCs w:val="20"/>
          <w:color w:val="auto"/>
        </w:rPr>
      </w:pPr>
      <w:r>
        <w:rPr>
          <w:rFonts w:ascii="Times New Roman" w:cs="Times New Roman" w:eastAsia="Times New Roman" w:hAnsi="Times New Roman"/>
          <w:sz w:val="22"/>
          <w:szCs w:val="22"/>
          <w:color w:val="auto"/>
        </w:rPr>
        <w:t>On September 28, 2023, the Company’s regulated water and wastewater operating subsidiary in Texas, Aqua Texas, received a final order from the Public Utility Commission of Texas approving infrastructure rehabilitation surcharges designed to increase revenues by $8,388 annually. The rates authorized on March 28, 2023 and implemented on an interim basis effective April 1, 2023 did not change with the final order.</w:t>
      </w:r>
    </w:p>
    <w:p>
      <w:pPr>
        <w:spacing w:after="0" w:line="19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22"/>
          <w:szCs w:val="22"/>
          <w:color w:val="auto"/>
        </w:rPr>
        <w:t>On July 27, 2023, the Company’s regulated water and wastewater operating subsidiary in Virginia, Aqua Virginia, filed an application with the State Corporation Commission designed to increase revenues by $6,911 or 29.5% on an annual basis. In February 2024, the Company implemented interim rates which may be subject to refund for the difference between interim and final approved rates pending the final order.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2"/>
          <w:szCs w:val="22"/>
          <w:color w:val="auto"/>
        </w:rPr>
        <w:t>On June 5, 2023, the Company’s regulated water and wastewater operating subsidiary in North Carolina, Aqua North Carolina, received an order from the North Carolina Utilities Commission designed to increase rates by $14,001 in the first year of new rates being implemented, then by an additional $3,743 and $4,130 in the second and third years, respectively. In February 2023, the Company had implemented interim rates, based on an estimate of the final outcome of the order, and no refunds or additional billings are required for the difference between interim and final approved rates.</w:t>
      </w:r>
    </w:p>
    <w:p>
      <w:pPr>
        <w:spacing w:after="0" w:line="192" w:lineRule="exact"/>
        <w:rPr>
          <w:sz w:val="20"/>
          <w:szCs w:val="20"/>
          <w:color w:val="auto"/>
        </w:rPr>
      </w:pPr>
    </w:p>
    <w:p>
      <w:pPr>
        <w:ind w:right="360"/>
        <w:spacing w:after="0" w:line="230" w:lineRule="auto"/>
        <w:rPr>
          <w:sz w:val="20"/>
          <w:szCs w:val="20"/>
          <w:color w:val="auto"/>
        </w:rPr>
      </w:pPr>
      <w:r>
        <w:rPr>
          <w:rFonts w:ascii="Times New Roman" w:cs="Times New Roman" w:eastAsia="Times New Roman" w:hAnsi="Times New Roman"/>
          <w:sz w:val="22"/>
          <w:szCs w:val="22"/>
          <w:color w:val="auto"/>
        </w:rPr>
        <w:t>During the first three months of 2024, two of the Company’s water utility operating divisions in Ohio implemented base rate increases designed to increase total operating revenues on an annual basis by $1,627. Further, during the first three months of 2024, the Company implemented infrastructure rehabilitation surcharges designed to increase total operating revenues on an annual basis by $7,445 in its water and wastewater utility operating divisions in Pennsylvania and Illinois, and by $1,220 its natural gas operating division in Kentucky.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12 – </w:t>
      </w:r>
      <w:r>
        <w:rPr>
          <w:rFonts w:ascii="Times New Roman" w:cs="Times New Roman" w:eastAsia="Times New Roman" w:hAnsi="Times New Roman"/>
          <w:sz w:val="22"/>
          <w:szCs w:val="22"/>
          <w:b w:val="1"/>
          <w:bCs w:val="1"/>
          <w:i w:val="1"/>
          <w:iCs w:val="1"/>
          <w:color w:val="auto"/>
        </w:rPr>
        <w:t>Taxes Other than Income Taxes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the components of taxes other than income taxes: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Three Months Ended</w:t>
            </w:r>
          </w:p>
        </w:tc>
        <w:tc>
          <w:tcPr>
            <w:tcW w:w="1320" w:type="dxa"/>
            <w:vAlign w:val="bottom"/>
          </w:tcPr>
          <w:p>
            <w:pPr>
              <w:spacing w:after="0"/>
              <w:rPr>
                <w:sz w:val="22"/>
                <w:szCs w:val="22"/>
                <w:color w:val="auto"/>
              </w:rPr>
            </w:pPr>
          </w:p>
        </w:tc>
      </w:tr>
      <w:tr>
        <w:trPr>
          <w:trHeight w:val="257"/>
        </w:trPr>
        <w:tc>
          <w:tcPr>
            <w:tcW w:w="670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22"/>
                <w:szCs w:val="22"/>
                <w:color w:val="auto"/>
              </w:rPr>
              <w:t>March 31,</w:t>
            </w:r>
          </w:p>
        </w:tc>
        <w:tc>
          <w:tcPr>
            <w:tcW w:w="1320" w:type="dxa"/>
            <w:vAlign w:val="bottom"/>
            <w:tcBorders>
              <w:bottom w:val="single" w:sz="8" w:color="auto"/>
            </w:tcBorders>
          </w:tcPr>
          <w:p>
            <w:pPr>
              <w:spacing w:after="0"/>
              <w:rPr>
                <w:sz w:val="22"/>
                <w:szCs w:val="22"/>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52"/>
              <w:spacing w:after="0" w:line="223" w:lineRule="exact"/>
              <w:rPr>
                <w:sz w:val="20"/>
                <w:szCs w:val="20"/>
                <w:color w:val="auto"/>
              </w:rPr>
            </w:pPr>
            <w:r>
              <w:rPr>
                <w:rFonts w:ascii="Times New Roman" w:cs="Times New Roman" w:eastAsia="Times New Roman" w:hAnsi="Times New Roman"/>
                <w:sz w:val="22"/>
                <w:szCs w:val="22"/>
                <w:color w:val="auto"/>
                <w:w w:val="99"/>
              </w:rPr>
              <w:t>2023</w:t>
            </w:r>
          </w:p>
        </w:tc>
      </w:tr>
      <w:tr>
        <w:trPr>
          <w:trHeight w:val="223"/>
        </w:trPr>
        <w:tc>
          <w:tcPr>
            <w:tcW w:w="67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Property</w:t>
            </w:r>
          </w:p>
        </w:tc>
        <w:tc>
          <w:tcPr>
            <w:tcW w:w="1300" w:type="dxa"/>
            <w:vAlign w:val="bottom"/>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8,877</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8,104</w:t>
            </w:r>
          </w:p>
        </w:tc>
      </w:tr>
      <w:tr>
        <w:trPr>
          <w:trHeight w:val="230"/>
        </w:trPr>
        <w:tc>
          <w:tcPr>
            <w:tcW w:w="67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Gross receipts, excise and franchise</w:t>
            </w:r>
          </w:p>
        </w:tc>
        <w:tc>
          <w:tcPr>
            <w:tcW w:w="1300" w:type="dxa"/>
            <w:vAlign w:val="bottom"/>
          </w:tcPr>
          <w:p>
            <w:pPr>
              <w:spacing w:after="0"/>
              <w:rPr>
                <w:sz w:val="19"/>
                <w:szCs w:val="19"/>
                <w:color w:val="auto"/>
              </w:rPr>
            </w:pPr>
          </w:p>
        </w:tc>
        <w:tc>
          <w:tcPr>
            <w:tcW w:w="7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4,155</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4,030</w:t>
            </w:r>
          </w:p>
        </w:tc>
      </w:tr>
      <w:tr>
        <w:trPr>
          <w:trHeight w:val="230"/>
        </w:trPr>
        <w:tc>
          <w:tcPr>
            <w:tcW w:w="6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Payroll</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7,658</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6,632</w:t>
            </w:r>
          </w:p>
        </w:tc>
      </w:tr>
      <w:tr>
        <w:trPr>
          <w:trHeight w:val="230"/>
        </w:trPr>
        <w:tc>
          <w:tcPr>
            <w:tcW w:w="67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Regulatory assessments</w:t>
            </w:r>
          </w:p>
        </w:tc>
        <w:tc>
          <w:tcPr>
            <w:tcW w:w="1300" w:type="dxa"/>
            <w:vAlign w:val="bottom"/>
          </w:tcPr>
          <w:p>
            <w:pPr>
              <w:spacing w:after="0"/>
              <w:rPr>
                <w:sz w:val="19"/>
                <w:szCs w:val="19"/>
                <w:color w:val="auto"/>
              </w:rPr>
            </w:pPr>
          </w:p>
        </w:tc>
        <w:tc>
          <w:tcPr>
            <w:tcW w:w="7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1,900</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1,684</w:t>
            </w:r>
          </w:p>
        </w:tc>
      </w:tr>
      <w:tr>
        <w:trPr>
          <w:trHeight w:val="229"/>
        </w:trPr>
        <w:tc>
          <w:tcPr>
            <w:tcW w:w="6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Pumping fees</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1,496</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1,466</w:t>
            </w:r>
          </w:p>
        </w:tc>
      </w:tr>
      <w:tr>
        <w:trPr>
          <w:trHeight w:val="230"/>
        </w:trPr>
        <w:tc>
          <w:tcPr>
            <w:tcW w:w="670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938</w:t>
            </w: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962</w:t>
            </w:r>
          </w:p>
        </w:tc>
      </w:tr>
      <w:tr>
        <w:trPr>
          <w:trHeight w:val="223"/>
        </w:trPr>
        <w:tc>
          <w:tcPr>
            <w:tcW w:w="670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Total taxes other than income</w:t>
            </w:r>
          </w:p>
        </w:tc>
        <w:tc>
          <w:tcPr>
            <w:tcW w:w="1300" w:type="dxa"/>
            <w:vAlign w:val="bottom"/>
            <w:tcBorders>
              <w:bottom w:val="single" w:sz="8" w:color="auto"/>
            </w:tcBorders>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25,024</w:t>
            </w:r>
          </w:p>
        </w:tc>
        <w:tc>
          <w:tcPr>
            <w:tcW w:w="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22,878</w:t>
            </w:r>
          </w:p>
        </w:tc>
      </w:tr>
      <w:tr>
        <w:trPr>
          <w:trHeight w:val="20"/>
        </w:trPr>
        <w:tc>
          <w:tcPr>
            <w:tcW w:w="67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13 – </w:t>
      </w:r>
      <w:r>
        <w:rPr>
          <w:rFonts w:ascii="Times New Roman" w:cs="Times New Roman" w:eastAsia="Times New Roman" w:hAnsi="Times New Roman"/>
          <w:sz w:val="22"/>
          <w:szCs w:val="22"/>
          <w:b w:val="1"/>
          <w:bCs w:val="1"/>
          <w:i w:val="1"/>
          <w:iCs w:val="1"/>
          <w:color w:val="auto"/>
        </w:rPr>
        <w:t>Segment Information</w:t>
      </w:r>
    </w:p>
    <w:p>
      <w:pPr>
        <w:spacing w:after="0" w:line="226"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1"/>
          <w:szCs w:val="21"/>
          <w:color w:val="auto"/>
        </w:rPr>
        <w:t>The Company has eleven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67"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22"/>
          <w:szCs w:val="22"/>
          <w:color w:val="auto"/>
        </w:rPr>
        <w:t>In addition to the Company’s two reportable segments, we include two of our operating segments within the Other category below. These segments are not quantitatively significant and are comprised of our non-regulated natural gas operations and Aqua Resources. Our non-regulated natural gas operations consist of utility service line protection solutions and repair services to households and the operation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2"/>
          <w:szCs w:val="22"/>
          <w:color w:val="auto"/>
        </w:rPr>
        <w:t>gas marketing and production entities. Aqua Resources offers, through a third party, water and sewer service line protection solutions and repair services to households.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information about the Company’s reportable segments: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left="28"/>
              <w:spacing w:after="0"/>
              <w:rPr>
                <w:sz w:val="20"/>
                <w:szCs w:val="20"/>
                <w:color w:val="auto"/>
              </w:rPr>
            </w:pPr>
            <w:r>
              <w:rPr>
                <w:rFonts w:ascii="Times New Roman" w:cs="Times New Roman" w:eastAsia="Times New Roman" w:hAnsi="Times New Roman"/>
                <w:sz w:val="14"/>
                <w:szCs w:val="14"/>
                <w:color w:val="auto"/>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color w:val="auto"/>
              </w:rPr>
              <w:t>March 31, 2024</w:t>
            </w: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center"/>
              <w:ind w:left="48"/>
              <w:spacing w:after="0"/>
              <w:rPr>
                <w:sz w:val="20"/>
                <w:szCs w:val="20"/>
                <w:color w:val="auto"/>
              </w:rPr>
            </w:pPr>
            <w:r>
              <w:rPr>
                <w:rFonts w:ascii="Times New Roman" w:cs="Times New Roman" w:eastAsia="Times New Roman" w:hAnsi="Times New Roman"/>
                <w:sz w:val="14"/>
                <w:szCs w:val="14"/>
                <w:color w:val="auto"/>
              </w:rPr>
              <w:t>March 31, 2023</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100" w:type="dxa"/>
            <w:vAlign w:val="bottom"/>
          </w:tcPr>
          <w:p>
            <w:pPr>
              <w:spacing w:after="0"/>
              <w:rPr>
                <w:sz w:val="11"/>
                <w:szCs w:val="11"/>
                <w:color w:val="auto"/>
              </w:rPr>
            </w:pPr>
          </w:p>
        </w:tc>
        <w:tc>
          <w:tcPr>
            <w:tcW w:w="1000" w:type="dxa"/>
            <w:vAlign w:val="bottom"/>
            <w:gridSpan w:val="2"/>
          </w:tcPr>
          <w:p>
            <w:pPr>
              <w:jc w:val="right"/>
              <w:ind w:right="34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18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Consolidated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1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160" w:type="dxa"/>
            <w:vAlign w:val="bottom"/>
          </w:tcPr>
          <w:p>
            <w:pPr>
              <w:spacing w:after="0"/>
              <w:rPr>
                <w:sz w:val="11"/>
                <w:szCs w:val="11"/>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Water</w:t>
            </w:r>
          </w:p>
        </w:tc>
        <w:tc>
          <w:tcPr>
            <w:tcW w:w="10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Water</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Operating revenues</w:t>
            </w: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279,894</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324,331</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7,844</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612,069</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267,300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441,295</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17,855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726,450</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 expense</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45,917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(1,958)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137,994</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Purchased gas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125,542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129,675</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241,856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256,315</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57,194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89,804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83,794</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 (a)</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34,790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72,284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71,849</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(993)</w:t>
            </w: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(4,681)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(4,946)</w:t>
            </w: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(742)</w:t>
            </w: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 (benefit)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(29,150)</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(2,302)</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(10,642)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(43,484)</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(1,667)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(31,637)</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209,940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(8,073)</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265,772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123,546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(9,514)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191,434</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152,231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100,767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252,998</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159,394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81,669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243,730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460" w:firstLine="8"/>
        <w:spacing w:after="0"/>
        <w:tabs>
          <w:tab w:leader="none" w:pos="163" w:val="left"/>
        </w:tabs>
        <w:numPr>
          <w:ilvl w:val="0"/>
          <w:numId w:val="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regulated water and regulated natural gas segments report interest expense that includes long-term debt that was pushed-down to the regulated operating subsidiaries from Essential Utilities, Inc.</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March 31,</w:t>
            </w: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December 31,</w:t>
            </w:r>
          </w:p>
        </w:tc>
      </w:tr>
      <w:tr>
        <w:trPr>
          <w:trHeight w:val="257"/>
        </w:trPr>
        <w:tc>
          <w:tcPr>
            <w:tcW w:w="342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22"/>
                <w:szCs w:val="22"/>
                <w:color w:val="auto"/>
              </w:rPr>
              <w:t>2024</w:t>
            </w:r>
          </w:p>
        </w:tc>
        <w:tc>
          <w:tcPr>
            <w:tcW w:w="3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22"/>
                <w:szCs w:val="22"/>
                <w:color w:val="auto"/>
              </w:rPr>
              <w:t>2023</w:t>
            </w:r>
          </w:p>
        </w:tc>
      </w:tr>
      <w:tr>
        <w:trPr>
          <w:trHeight w:val="223"/>
        </w:trPr>
        <w:tc>
          <w:tcPr>
            <w:tcW w:w="34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Total assets:</w:t>
            </w:r>
          </w:p>
        </w:tc>
        <w:tc>
          <w:tcPr>
            <w:tcW w:w="1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r>
      <w:tr>
        <w:trPr>
          <w:trHeight w:val="230"/>
        </w:trPr>
        <w:tc>
          <w:tcPr>
            <w:tcW w:w="34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Regulated water</w:t>
            </w:r>
          </w:p>
        </w:tc>
        <w:tc>
          <w:tcPr>
            <w:tcW w:w="2000" w:type="dxa"/>
            <w:vAlign w:val="bottom"/>
            <w:gridSpan w:val="2"/>
          </w:tcPr>
          <w:p>
            <w:pPr>
              <w:jc w:val="right"/>
              <w:ind w:right="352"/>
              <w:spacing w:after="0" w:line="229" w:lineRule="exact"/>
              <w:rPr>
                <w:sz w:val="20"/>
                <w:szCs w:val="20"/>
                <w:color w:val="auto"/>
              </w:rPr>
            </w:pPr>
            <w:r>
              <w:rPr>
                <w:rFonts w:ascii="Times New Roman" w:cs="Times New Roman" w:eastAsia="Times New Roman" w:hAnsi="Times New Roman"/>
                <w:sz w:val="22"/>
                <w:szCs w:val="22"/>
                <w:color w:val="auto"/>
              </w:rPr>
              <w:t>$</w:t>
            </w:r>
          </w:p>
        </w:tc>
        <w:tc>
          <w:tcPr>
            <w:tcW w:w="24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9,498,773</w:t>
            </w:r>
          </w:p>
        </w:tc>
        <w:tc>
          <w:tcPr>
            <w:tcW w:w="860" w:type="dxa"/>
            <w:vAlign w:val="bottom"/>
            <w:gridSpan w:val="2"/>
          </w:tcPr>
          <w:p>
            <w:pPr>
              <w:jc w:val="right"/>
              <w:ind w:right="312"/>
              <w:spacing w:after="0" w:line="229" w:lineRule="exact"/>
              <w:rPr>
                <w:sz w:val="20"/>
                <w:szCs w:val="20"/>
                <w:color w:val="auto"/>
              </w:rPr>
            </w:pPr>
            <w:r>
              <w:rPr>
                <w:rFonts w:ascii="Times New Roman" w:cs="Times New Roman" w:eastAsia="Times New Roman" w:hAnsi="Times New Roman"/>
                <w:sz w:val="22"/>
                <w:szCs w:val="22"/>
                <w:color w:val="auto"/>
              </w:rPr>
              <w:t>$</w:t>
            </w:r>
          </w:p>
        </w:tc>
        <w:tc>
          <w:tcPr>
            <w:tcW w:w="25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9,386,347</w:t>
            </w:r>
          </w:p>
        </w:tc>
      </w:tr>
      <w:tr>
        <w:trPr>
          <w:trHeight w:val="230"/>
        </w:trPr>
        <w:tc>
          <w:tcPr>
            <w:tcW w:w="34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Regulated natural gas</w:t>
            </w:r>
          </w:p>
        </w:tc>
        <w:tc>
          <w:tcPr>
            <w:tcW w:w="1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7,191,015</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6,965,350</w:t>
            </w:r>
          </w:p>
        </w:tc>
      </w:tr>
      <w:tr>
        <w:trPr>
          <w:trHeight w:val="230"/>
        </w:trPr>
        <w:tc>
          <w:tcPr>
            <w:tcW w:w="342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14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364,556</w:t>
            </w:r>
          </w:p>
        </w:tc>
        <w:tc>
          <w:tcPr>
            <w:tcW w:w="3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489,762</w:t>
            </w:r>
          </w:p>
        </w:tc>
      </w:tr>
      <w:tr>
        <w:trPr>
          <w:trHeight w:val="223"/>
        </w:trPr>
        <w:tc>
          <w:tcPr>
            <w:tcW w:w="3420" w:type="dxa"/>
            <w:vAlign w:val="bottom"/>
            <w:tcBorders>
              <w:bottom w:val="single" w:sz="8" w:color="CCEEFF"/>
            </w:tcBorders>
            <w:shd w:val="clear" w:color="auto" w:fill="CCEEFF"/>
          </w:tcPr>
          <w:p>
            <w:pPr>
              <w:ind w:left="120"/>
              <w:spacing w:after="0" w:line="223" w:lineRule="exact"/>
              <w:rPr>
                <w:sz w:val="20"/>
                <w:szCs w:val="20"/>
                <w:color w:val="auto"/>
              </w:rPr>
            </w:pPr>
            <w:r>
              <w:rPr>
                <w:rFonts w:ascii="Times New Roman" w:cs="Times New Roman" w:eastAsia="Times New Roman" w:hAnsi="Times New Roman"/>
                <w:sz w:val="22"/>
                <w:szCs w:val="22"/>
                <w:color w:val="auto"/>
              </w:rPr>
              <w:t>Consolidated</w:t>
            </w:r>
          </w:p>
        </w:tc>
        <w:tc>
          <w:tcPr>
            <w:tcW w:w="14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24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17,054,344</w:t>
            </w:r>
          </w:p>
        </w:tc>
        <w:tc>
          <w:tcPr>
            <w:tcW w:w="3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6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16,841,459</w:t>
            </w:r>
          </w:p>
        </w:tc>
      </w:tr>
      <w:tr>
        <w:trPr>
          <w:trHeight w:val="20"/>
        </w:trPr>
        <w:tc>
          <w:tcPr>
            <w:tcW w:w="3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 </w:t>
      </w:r>
      <w:r>
        <w:rPr>
          <w:rFonts w:ascii="Times New Roman" w:cs="Times New Roman" w:eastAsia="Times New Roman" w:hAnsi="Times New Roman"/>
          <w:sz w:val="22"/>
          <w:szCs w:val="22"/>
          <w:b w:val="1"/>
          <w:bCs w:val="1"/>
          <w:i w:val="1"/>
          <w:iCs w:val="1"/>
          <w:color w:val="auto"/>
        </w:rPr>
        <w:t>Commitments and Contingencies</w:t>
      </w:r>
    </w:p>
    <w:p>
      <w:pPr>
        <w:spacing w:after="0" w:line="212"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22"/>
          <w:szCs w:val="22"/>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March 31, 2024, the aggregate amount of $23,819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 as of March 31, 2024, estimates that approximately $1,283 of the amount accrued for these matters are probable of recovery through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5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insurance, which amount is also reported in the Company’s consolidated balance sheet as deferred charges and other assets, net.</w:t>
      </w:r>
    </w:p>
    <w:p>
      <w:pPr>
        <w:spacing w:after="0" w:line="218"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2"/>
          <w:szCs w:val="22"/>
          <w:color w:val="auto"/>
        </w:rPr>
        <w:t>During a portion of 2019, the Company initiated a do not consume advisory for some of its customers in one division served by the Company’s Illinois subsidiary. The do not consume advisory was lifted in 2019 and, in 2022, the water system was determined to be in compliance with the federal Lead and Copper Rule. The Company has accrued for the penalty and other fees that will be paid as a result of a conditional settlement that was reached with the regulators. The settlement was subject to court approval. However, the court declined to approve the settlement agreement. The Company is considering its options in the light of this decision.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has an accrual for the amount of loss asserted in the complaint that we determined to be probable and estimable of being incurred. The Company is vigorously defending against this claim. The Company submitted a claim for the expenses incurred to its insurance carrier for potential recovery of a portion of these costs and is currently in litigation with one of its carriers seeking to enforce its claims.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9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A number of the Company’s subsidiaries are parties to several lawsuits against manufacturers of certain per- and polyfluoroalkyl substances or compounds (“PFAS”) for damages, contribution and reimbursement of costs incurred and continuing to be incurred to address the presence of such PFAS in public water supply systems owned and operated by these utility subsidiaries throughout its service area. One such suit to which the Company is a party is a multi-district litigation (the “MDL”) lawsuit which commenced on December 7, 2018, in the United States District Court for the District of South Carolina. In August 2023, a potential class action settlement involving defendants The Chemours Company, Corteva, Inc., and DuPont de Nemours, Inc. to resolve claims brought in the MDL against them by public water systems, including the Company, and a similar class action settlement with defendant 3M Company received preliminary approval from the MDL court. In February and April 2024, the MDL court issued its final approval of the DuPont and 3M settlements, respectively. The Company is monitoring and evaluating the ongoing litigation and settlement activity with the PFAS manufacturers for potential impacts to the various claims that the Company has asserted.</w:t>
      </w:r>
    </w:p>
    <w:p>
      <w:pPr>
        <w:spacing w:after="0" w:line="199"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21"/>
          <w:szCs w:val="21"/>
          <w:color w:val="auto"/>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jc w:val="center"/>
        <w:ind w:right="-5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15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22"/>
          <w:szCs w:val="22"/>
          <w:color w:val="auto"/>
        </w:rPr>
        <w:t>In addition to the aforementioned loss contingencies, the Company self-insures a portion of its employee medical benefit program, and maintains stop-loss coverage to limit the exposure arising from these claims. The Company’s reserve for these claims totaled $1,846 at March 31, 2024 and represents a reserve for unpaid claim costs, including an estimate for the cost of incurred but not reported claims.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 </w:t>
      </w:r>
      <w:r>
        <w:rPr>
          <w:rFonts w:ascii="Times New Roman" w:cs="Times New Roman" w:eastAsia="Times New Roman" w:hAnsi="Times New Roman"/>
          <w:sz w:val="22"/>
          <w:szCs w:val="22"/>
          <w:b w:val="1"/>
          <w:bCs w:val="1"/>
          <w:i w:val="1"/>
          <w:iCs w:val="1"/>
          <w:color w:val="auto"/>
        </w:rPr>
        <w:t>Income Taxes</w:t>
      </w:r>
    </w:p>
    <w:p>
      <w:pPr>
        <w:spacing w:after="0" w:line="226"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2"/>
          <w:szCs w:val="22"/>
          <w:color w:val="auto"/>
        </w:rPr>
        <w:t>The Company’s effective tax rate was a benefit of 4.2 % and 19.8% for the three months ended March 31, 2024 and 2023, respectively. The decrease in income tax benefit is primarily attributed to the gain recognized from the sale of the Company’s interest in three non-utility local microgrid and distributed energy projects in the first quarter of 2024 partially offset by the increase in tax benefit associated with the tax deduction for continued qualifying infrastructure investment. In determining its interim tax provision, the Company reflects its estimated permanent and flow-through tax differences for the taxable year. The Company uses the flow-through method to account for the tax deduction for qualifying utility infrastructure at its regulated Pennsylvania and New Jersey subsidiaries.</w:t>
      </w:r>
    </w:p>
    <w:p>
      <w:pPr>
        <w:spacing w:after="0" w:line="181"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22"/>
          <w:szCs w:val="22"/>
          <w:color w:val="auto"/>
        </w:rPr>
        <w:t>The statutory Federal tax rate is 21.0% for the three months ended March 31, 2024 and 2023. For states with a corporate net income tax, the state corporate net income tax rates range from 2.5% to 9.50% for all periods presented.</w:t>
      </w:r>
    </w:p>
    <w:p>
      <w:pPr>
        <w:spacing w:after="0" w:line="186"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2"/>
          <w:szCs w:val="22"/>
          <w:color w:val="auto"/>
        </w:rPr>
        <w:t>In April 2023, the Internal Revenue Service issued Revenue Procedure 2023-15 which provides a safe harbor method of accounting that taxpayers may use to determine whether expenses to repair, maintain, replace, or improve natural gas transmission and distribution property must be capitalized for tax purposes. The Company evaluated the safe harbor and intends to adopt the methodology on its 2023 tax return. In the second quarter of 2023, based on the tax legislative guidance that was issued, the Company reevaluated the uncertain tax positions related to the Regulated Water Segment and ultimately released a portion of its historical income tax reserves. Concurrently, the Company deferred this tax benefit from the reserve release as a regulatory liability, as the accounting treatment is expected to be determined in the next rate case.</w:t>
      </w:r>
    </w:p>
    <w:p>
      <w:pPr>
        <w:spacing w:after="0" w:line="215" w:lineRule="exact"/>
        <w:rPr>
          <w:sz w:val="20"/>
          <w:szCs w:val="20"/>
          <w:color w:val="auto"/>
        </w:rPr>
      </w:pPr>
    </w:p>
    <w:p>
      <w:pPr>
        <w:ind w:right="4960"/>
        <w:spacing w:after="0" w:line="444" w:lineRule="auto"/>
        <w:rPr>
          <w:sz w:val="20"/>
          <w:szCs w:val="20"/>
          <w:color w:val="auto"/>
        </w:rPr>
      </w:pPr>
      <w:r>
        <w:rPr>
          <w:rFonts w:ascii="Times New Roman" w:cs="Times New Roman" w:eastAsia="Times New Roman" w:hAnsi="Times New Roman"/>
          <w:sz w:val="22"/>
          <w:szCs w:val="22"/>
          <w:b w:val="1"/>
          <w:bCs w:val="1"/>
          <w:color w:val="auto"/>
        </w:rPr>
        <w:t xml:space="preserve">Note 16 – </w:t>
      </w:r>
      <w:r>
        <w:rPr>
          <w:rFonts w:ascii="Times New Roman" w:cs="Times New Roman" w:eastAsia="Times New Roman" w:hAnsi="Times New Roman"/>
          <w:sz w:val="22"/>
          <w:szCs w:val="22"/>
          <w:b w:val="1"/>
          <w:bCs w:val="1"/>
          <w:i w:val="1"/>
          <w:iCs w:val="1"/>
          <w:color w:val="auto"/>
        </w:rPr>
        <w:t>Recent Accounting Pronouncements and Disclosure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Pronouncements to be adopted upon the effective date:</w:t>
      </w:r>
    </w:p>
    <w:p>
      <w:pPr>
        <w:spacing w:after="0" w:line="1"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2"/>
          <w:szCs w:val="22"/>
          <w:color w:val="auto"/>
        </w:rPr>
        <w:t>In December 2023, the FASB issued ASU 2023-09, “Income Taxes (Topic 740): Improvements to Income Tax Disclosures”. The ASU enhances the transparency and decision usefulness of income tax disclosures and is effective for annual periods beginning after December 15, 2024 on a prospective basis. Early adoption is permitted. The Company is currently evaluating the impact of this ASU on its consolidated financial statements and related disclosures.</w:t>
      </w:r>
    </w:p>
    <w:p>
      <w:pPr>
        <w:spacing w:after="0" w:line="17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In November 2023, the FASB issued ASU 2023-07 Segment Reporting – Improving Reportable Segment Disclosures (Topic 280). The update is intended to improve reportable segment disclosure requirements, primarily through enhanced disclosures about significant expenses. The ASU requires disclosures to include significant segment expenses that are regularly provided to the chief operating decision maker (CODM), a description of other segment items by reportable segment, and any</w:t>
      </w:r>
    </w:p>
    <w:p>
      <w:pPr>
        <w:spacing w:after="0" w:line="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1"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5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additional measures of a segment’s profit or loss used by the CODM when deciding how to allocate resources. The ASU also requires all annual disclosures currently required by Topic 280 to be included in interim periods. The update is effective for fiscal years beginning after December 15, 2023, and interim periods within fiscal years beginning after December 15, 2024, with early adoption permitted and requires retrospective application to all prior periods presented in the financial statements. The Company is currently assessing the timing and impact of adopting the updated provisions.</w:t>
      </w:r>
    </w:p>
    <w:p>
      <w:pPr>
        <w:spacing w:after="0" w:line="178"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22"/>
          <w:szCs w:val="22"/>
          <w:color w:val="auto"/>
        </w:rPr>
        <w:t>In March 2024, the U.S. Securities and Exchange Commission (SEC) issued its final climate disclosure rule, which requires the disclosure of Scope 1 and Scope 2 greenhouse gas emissions and other climate-related topics in annual reports and registration statements, when material. A number of petitions have been filed in federal courts seeking to challenge the SEC’s climate disclosure rule. As a result, in April 2024, the SEC placed a pause on its implementation of the new rule. We are currently evaluating the impact of the new rule and, depending on the outcome of the proceedings, will include the required disclosures once it becomes effective.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96" w:lineRule="exact"/>
        <w:rPr>
          <w:sz w:val="20"/>
          <w:szCs w:val="20"/>
          <w:color w:val="auto"/>
        </w:rPr>
      </w:pPr>
    </w:p>
    <w:p>
      <w:pPr>
        <w:jc w:val="center"/>
        <w:ind w:right="40"/>
        <w:spacing w:after="0" w:line="248"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 – Management’s Discussion and Analysis of Financial Condition and Results of Operations</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u w:val="single" w:color="auto"/>
          <w:color w:val="auto"/>
        </w:rPr>
        <w:t>Forward-looking Statements</w:t>
      </w:r>
    </w:p>
    <w:p>
      <w:pPr>
        <w:spacing w:after="0" w:line="20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geopolitical forces, the impact of inflation and supply chain pressures, the threat of cyber-attacks and data breaches, changes in capital requirements and funding, our ability to close acquisitions, changes to the capital markets, impact of public health threats, and our ability to assimilate acquired operations, as well as those risks, uncertainties and other factors discussed in our Annual Report on Form 10-K for the fiscal year ended December 31, 2023 under the captions “Risk Factors” and “Management’s Discussion and Analysis of Financial Condition and Results of Operations” and elsewhere in such reports. As a result, readers are cautioned not to place undue reliance on any forward-looking statements. We undertake no obligation to update or revise forward-looking statements, whether as a result of new information, future events or otherwise.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General Information</w:t>
      </w:r>
    </w:p>
    <w:p>
      <w:pPr>
        <w:spacing w:after="0" w:line="22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1"/>
          <w:szCs w:val="21"/>
          <w:color w:val="auto"/>
        </w:rPr>
        <w:t>Essential Utilities, Inc. (“we”, “us”, “our” or the “Company”), a Pennsylvania corporation, is the holding company for regulated utilities providing water, wastewater, or natural gas services to an estimated 5.5 million people in Pennsylvania, Ohio, Texas, Illinois, North Carolina, New Jersey, Indiana,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additional states. Our Peoples subsidiaries provide natural gas distribution services to customers in western Pennsylvania and Kentucky. Approximately 95% of the total number of natural gas utility customers we serve are in western Pennsylvania. The Company also operates market-based businesses, conducted through its non-regulated subsidiaries, that provide utility service line protection solutions and repair services to households and gas marketing and production activities. Currently, the Company seeks to acquire businesses in the U.S. regulated sector, focusing on water and wastewater utilities and to opportunistically pursue growth ventures in select market-based activities, such as infrastructure opportunities that are supplementary and complementary to our regulated water utility businesses.</w:t>
      </w:r>
    </w:p>
    <w:p>
      <w:pPr>
        <w:jc w:val="center"/>
        <w:ind w:right="-3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October 1, 2023, the Company sold its regulated natural gas utility assets in West Virginia, which represented approximately</w:t>
      </w:r>
    </w:p>
    <w:p>
      <w:pPr>
        <w:spacing w:after="0" w:line="229" w:lineRule="auto"/>
        <w:rPr>
          <w:sz w:val="20"/>
          <w:szCs w:val="20"/>
          <w:color w:val="auto"/>
        </w:rPr>
      </w:pPr>
      <w:r>
        <w:rPr>
          <w:rFonts w:ascii="Times New Roman" w:cs="Times New Roman" w:eastAsia="Times New Roman" w:hAnsi="Times New Roman"/>
          <w:sz w:val="22"/>
          <w:szCs w:val="22"/>
          <w:color w:val="auto"/>
        </w:rPr>
        <w:t>two percent of the Company’s regulated natural gas customers. Initially the sale closed for an estimated purchase price of</w:t>
      </w:r>
    </w:p>
    <w:p>
      <w:pPr>
        <w:spacing w:after="0" w:line="228" w:lineRule="auto"/>
        <w:rPr>
          <w:sz w:val="20"/>
          <w:szCs w:val="20"/>
          <w:color w:val="auto"/>
        </w:rPr>
      </w:pPr>
      <w:r>
        <w:rPr>
          <w:rFonts w:ascii="Times New Roman" w:cs="Times New Roman" w:eastAsia="Times New Roman" w:hAnsi="Times New Roman"/>
          <w:sz w:val="21"/>
          <w:szCs w:val="21"/>
          <w:color w:val="auto"/>
        </w:rPr>
        <w:t>$39,965, subject to working capital and other adjustments. In March 2024, the Company received an additional $1,213 from the</w:t>
      </w:r>
    </w:p>
    <w:p>
      <w:pPr>
        <w:spacing w:after="0" w:line="230" w:lineRule="auto"/>
        <w:rPr>
          <w:sz w:val="20"/>
          <w:szCs w:val="20"/>
          <w:color w:val="auto"/>
        </w:rPr>
      </w:pPr>
      <w:r>
        <w:rPr>
          <w:rFonts w:ascii="Times New Roman" w:cs="Times New Roman" w:eastAsia="Times New Roman" w:hAnsi="Times New Roman"/>
          <w:sz w:val="22"/>
          <w:szCs w:val="22"/>
          <w:color w:val="auto"/>
        </w:rPr>
        <w:t>buyer. The additional proceeds were based on finalizing closing working capital and other adjustments, resulting in a final</w:t>
      </w:r>
    </w:p>
    <w:p>
      <w:pPr>
        <w:spacing w:after="0" w:line="228" w:lineRule="auto"/>
        <w:tabs>
          <w:tab w:leader="none" w:pos="6020" w:val="left"/>
        </w:tabs>
        <w:rPr>
          <w:sz w:val="20"/>
          <w:szCs w:val="20"/>
          <w:color w:val="auto"/>
        </w:rPr>
      </w:pPr>
      <w:r>
        <w:rPr>
          <w:rFonts w:ascii="Times New Roman" w:cs="Times New Roman" w:eastAsia="Times New Roman" w:hAnsi="Times New Roman"/>
          <w:sz w:val="22"/>
          <w:szCs w:val="22"/>
          <w:color w:val="auto"/>
        </w:rPr>
        <w:t>purchase price of $41,178 and a loss of an inconsequential amount.</w:t>
      </w:r>
      <w:r>
        <w:rPr>
          <w:sz w:val="20"/>
          <w:szCs w:val="20"/>
          <w:color w:val="auto"/>
        </w:rPr>
        <w:tab/>
      </w:r>
      <w:r>
        <w:rPr>
          <w:rFonts w:ascii="Times New Roman" w:cs="Times New Roman" w:eastAsia="Times New Roman" w:hAnsi="Times New Roman"/>
          <w:sz w:val="21"/>
          <w:szCs w:val="21"/>
          <w:color w:val="auto"/>
        </w:rPr>
        <w:t>In October 2023, the Company entered into an agreement to</w:t>
      </w:r>
    </w:p>
    <w:p>
      <w:pPr>
        <w:spacing w:after="0" w:line="218" w:lineRule="auto"/>
        <w:rPr>
          <w:sz w:val="20"/>
          <w:szCs w:val="20"/>
          <w:color w:val="auto"/>
        </w:rPr>
      </w:pPr>
      <w:r>
        <w:rPr>
          <w:rFonts w:ascii="Times New Roman" w:cs="Times New Roman" w:eastAsia="Times New Roman" w:hAnsi="Times New Roman"/>
          <w:sz w:val="22"/>
          <w:szCs w:val="22"/>
          <w:color w:val="auto"/>
        </w:rPr>
        <w:t>sell its interest in three non-utility local microgrid and distributed energy projects for $165,000. The sale was completed in</w:t>
      </w:r>
    </w:p>
    <w:p>
      <w:pPr>
        <w:spacing w:after="0"/>
        <w:rPr>
          <w:sz w:val="20"/>
          <w:szCs w:val="20"/>
          <w:color w:val="auto"/>
        </w:rPr>
      </w:pPr>
      <w:r>
        <w:rPr>
          <w:rFonts w:ascii="Times New Roman" w:cs="Times New Roman" w:eastAsia="Times New Roman" w:hAnsi="Times New Roman"/>
          <w:sz w:val="21"/>
          <w:szCs w:val="21"/>
          <w:color w:val="auto"/>
        </w:rPr>
        <w:t>January 2024, and the Company recognized a gain of $91,236 in the first quarter of 2024. These transactions are consistent with</w:t>
      </w:r>
    </w:p>
    <w:p>
      <w:pPr>
        <w:spacing w:after="0" w:line="219" w:lineRule="auto"/>
        <w:rPr>
          <w:sz w:val="20"/>
          <w:szCs w:val="20"/>
          <w:color w:val="auto"/>
        </w:rPr>
      </w:pPr>
      <w:r>
        <w:rPr>
          <w:rFonts w:ascii="Times New Roman" w:cs="Times New Roman" w:eastAsia="Times New Roman" w:hAnsi="Times New Roman"/>
          <w:sz w:val="22"/>
          <w:szCs w:val="22"/>
          <w:color w:val="auto"/>
        </w:rPr>
        <w:t>the Company’s long-term strategy of focusing on its core business and will allow the Company to prioritize the growth of its</w:t>
      </w:r>
    </w:p>
    <w:p>
      <w:pPr>
        <w:spacing w:after="0" w:line="217" w:lineRule="auto"/>
        <w:rPr>
          <w:sz w:val="20"/>
          <w:szCs w:val="20"/>
          <w:color w:val="auto"/>
        </w:rPr>
      </w:pPr>
      <w:r>
        <w:rPr>
          <w:rFonts w:ascii="Times New Roman" w:cs="Times New Roman" w:eastAsia="Times New Roman" w:hAnsi="Times New Roman"/>
          <w:sz w:val="22"/>
          <w:szCs w:val="22"/>
          <w:color w:val="auto"/>
        </w:rPr>
        <w:t>utilities in states where it has scale. The Company used the proceeds from these transactions to finance its capital expenditures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water and wastewater acquisitions, in place of external funding from equity and debt issuances.</w:t>
      </w:r>
    </w:p>
    <w:p>
      <w:pPr>
        <w:spacing w:after="0" w:line="192" w:lineRule="exact"/>
        <w:rPr>
          <w:sz w:val="20"/>
          <w:szCs w:val="20"/>
          <w:color w:val="auto"/>
        </w:rPr>
      </w:pPr>
    </w:p>
    <w:p>
      <w:pPr>
        <w:ind w:right="580"/>
        <w:spacing w:after="0" w:line="249" w:lineRule="auto"/>
        <w:rPr>
          <w:sz w:val="20"/>
          <w:szCs w:val="20"/>
          <w:color w:val="auto"/>
        </w:rPr>
      </w:pPr>
      <w:r>
        <w:rPr>
          <w:rFonts w:ascii="Times New Roman" w:cs="Times New Roman" w:eastAsia="Times New Roman" w:hAnsi="Times New Roman"/>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Recent Developments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Macroeconomic Factors</w:t>
      </w:r>
    </w:p>
    <w:p>
      <w:pPr>
        <w:spacing w:after="0" w:line="210"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2"/>
          <w:szCs w:val="22"/>
          <w:color w:val="auto"/>
        </w:rPr>
        <w:t>Our industry has been significantly impacted by inflation, higher interest rates, and other macroeconomic factors. This resulted in an increase in our operating and capital spending requirements in 2022 and 2023. As of the current period, inflation decelerated compared with the prior year, however, is still above historical levels. Additionally, interest rates remain elevated to curb inflation. We experienced moderate macroeconomic pressures during the first quarter of 2024, which we expect to continue through the remainder of 2024. We continue to pursue enhancements to our regulatory practices to facilitate the efficient recovery of the increased cost of providing services and infrastructure improvements in our rates and mitigate the inherent regulatory lag associated with traditional rate making processes.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Environmental Compliance</w:t>
      </w:r>
    </w:p>
    <w:p>
      <w:pPr>
        <w:spacing w:after="0" w:line="210"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1"/>
          <w:szCs w:val="21"/>
          <w:color w:val="auto"/>
        </w:rPr>
        <w:t>On April 10, 2024, the U.S. Environmental Protection Agency (“EPA”) announced the final National Primary Drinking Water Regulation (“NPDWR”) for the treatment of six per- and polyfluoroalkyl substances or compounds (“PFAS”). The NPDWR established the maximum contaminant levels (MCLs) in drinking water and allows for a five-year window to comply. In 2023, the Company performed its initial analysis of the NPDWR and estimated an investment of at least $450,000 of capital expenditures to install additional treatment facilities over the Compliance Period in order to comply (i.e. 2029 pending no delays due to lawsuits). This figure could increase as plans for construction execution are refined or if additional sites require treatment in the future. Additionally, the Company estimated annual operating expenses of approximately five percent of the installed capital expenditures, in today’s dollars, related to testing, treatment, and disposal. These were preliminary estimates and actual capital expenditures and expenses may differ based upon a variety of factors, including supply chain issues and site-by-site</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requirements. Capital expenditures and operating costs required as a result of water quality standards have been traditionally recognized by state utility commissions as appropriate for inclusion in establishing rates; however, we are also actively applying for grants and low interest loans, whenever possible, to reduce the overall cost to customers.</w:t>
      </w:r>
    </w:p>
    <w:p>
      <w:pPr>
        <w:spacing w:after="0" w:line="17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On April 19, 2024, the U.S. Environmental Protection Agency (“EPA”) announced a final rule that designated two PFAS chemicals, perfluorooctanoic acid (“PFOA”) and perfluorooctanesulfonic acid (“PFOS”), as hazardous substances under the under the Comprehensive Environmental Response, Compensation, and Liability Act (CERCLA), also known as Superfund. This final action will address PFOA and PFOS contamination by enabling investigation and cleanup of these harmful chemicals and ensuring that leaks, spills, and other releases are reported. In addition to the final rule, EPA issued a separate CERCLA enforcement discretion policy that makes it clear that EPA will focus enforcement on parties who significantly contributed to the release of PFAS chemicals into the environment, including parties that have manufactured PFAS or used PFAS in the manufacturing process, federal facilities, and other industrial parties. The policy identifies examples for operators of public water systems and wastewater systems or entities performing a public service role in providing safe drinking water, handling municipal solid waste, treating or managing stormwater and wastewater, disposing of pollution control residuals, or ensuring beneficial application of wastewater products as a fertilizer substitute. The potential liabilities to the Company, if any, resulting from this rule are currently being evaluated.</w:t>
      </w:r>
    </w:p>
    <w:p>
      <w:pPr>
        <w:spacing w:after="0" w:line="19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2"/>
          <w:szCs w:val="22"/>
          <w:color w:val="auto"/>
        </w:rPr>
        <w:t>The Company continues to advocate for actions to hold polluters accountable and is part of the Multi-District Litigation and other legal actions against multiple PFAS manufacturers and polluters to attempt to ensure that the ultimate responsibility for the cleanup of these contaminants is attributed to the polluters and is seeking damages and other costs to address the contamination of its public water supply systems by PFAS. The Company is also monitoring ongoing litigation and settlement activity with manufacturers of PFAS in these proceedings. For more information, see Part I - Item I - Note 14 to the Company’s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Liquidity and Capital Resources</w:t>
      </w:r>
    </w:p>
    <w:p>
      <w:pPr>
        <w:spacing w:after="0" w:line="206" w:lineRule="exact"/>
        <w:rPr>
          <w:sz w:val="20"/>
          <w:szCs w:val="20"/>
          <w:color w:val="auto"/>
        </w:rPr>
      </w:pPr>
    </w:p>
    <w:p>
      <w:pPr>
        <w:ind w:right="200"/>
        <w:spacing w:after="0" w:line="224" w:lineRule="auto"/>
        <w:rPr>
          <w:sz w:val="20"/>
          <w:szCs w:val="20"/>
          <w:color w:val="auto"/>
        </w:rPr>
      </w:pPr>
      <w:r>
        <w:rPr>
          <w:rFonts w:ascii="Times New Roman" w:cs="Times New Roman" w:eastAsia="Times New Roman" w:hAnsi="Times New Roman"/>
          <w:sz w:val="22"/>
          <w:szCs w:val="22"/>
          <w:color w:val="auto"/>
        </w:rPr>
        <w:t>Our regulated water and gas business is capital intensive and requires a significant level of capital spending. The liquidity required to fund our working capital, capital expenditures and other cash needs is provided from a combination of internally generated cash flows and external debt and equity financing. The Company’s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long-term debt and equity will be adequate to provide sufficient working capital to maintain normal operations and to meet our financing requirements for at least the next twelve months.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22"/>
          <w:szCs w:val="22"/>
          <w:color w:val="auto"/>
        </w:rPr>
        <w:t>Our operating cash flow can be significantly affected by changes in operating working capital, especially during periods with significant changes in natural gas commodity prices and also the timing of our natural gas inventory purchases. Cash flow from operations was $240,713 for the first quarter of 2024, compared to $401,628 for the first quarter of 2023. The net change in working capital and other assets and liabilities resulted in a decrease in cash from operations of $19,732 for the first quarter of 2024 compared to an increase of $151,952 for the first quarter of 2023. The change in working capital in 2024 as compared to 2023 was primarily driven by the year over year decrease in accounts receivable, unbilled revenues and deferred purchased gas cost balances, and most significantly in gas inventory, as a result of lower gas prices in the current period as compared with the prior period for our Regulated Natural Gas segment.</w:t>
      </w:r>
    </w:p>
    <w:p>
      <w:pPr>
        <w:spacing w:after="0" w:line="178"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During the first three months of 2024, we incurred $252,998 of capital expenditures, issued $618,008 of long-term debt, received $166,563 from the sale of assets, repaid short-term debt, and made sinking fund contributions and other long-term debt repayments in aggregate of $659,272. The capital expenditures were related to new and replacement water, wastewater, and natural gas mains, improvements to treatment plants, tanks, hydrants, and service lines, well and booster improvements, information technology improvements, and other enhancements and improvements. The proceeds from the issuance of long-term debt, including borrowings from our revolving credit facility, and proceeds from the sale of the non-utility energy projects were used for capital expenditures, repayment of existing indebtedness, and general corporate purposes. Cash flows used in financing activities were lower during the first three months of 2024 principally as a result of the decrease in the amount of the paydown of loans payable associated with the financing of inventory.</w:t>
      </w:r>
    </w:p>
    <w:p>
      <w:pPr>
        <w:spacing w:after="0" w:line="192"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2"/>
          <w:szCs w:val="22"/>
          <w:color w:val="auto"/>
        </w:rPr>
        <w:t>On January 8, 2024, the Company issued $500,000 of long-term debt (the “2024 Senior Notes”), less expenses of $4,610, due in 2034 with an interest rate of 5.375%. In August 2023, the Company’s subsidiary, Aqua Pennsylvania, issued $225,000 in aggregate principal amount of first mortgage bonds. The bonds consisted of $175,000 of 5.48% first mortgage bonds due in 2053; and $50,000 of 5.56% first mortgage bonds due in 2061. In January 2023, Aqua Pennsylvania issued $75,000 of first mortgage bonds, due in 2043, and with an interest rate of 5.60%. The proceeds from these borrowings were used to repay existing indebtedness and for general corporate purposes.</w:t>
      </w:r>
    </w:p>
    <w:p>
      <w:pPr>
        <w:spacing w:after="0" w:line="192"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22"/>
          <w:szCs w:val="22"/>
          <w:color w:val="auto"/>
        </w:rPr>
        <w:t>On October 14, 2022, the Company entered into at-the market sales agreements (“ATM”) with third-party sales agents, under which the Company may offer and sell shares of its common stock, from time to time, at its option, having an aggregate gross offering price of up to $500,000 pursuant to the Company’s effective shelf registration statement on Form S-3 (File No. 333-255235). During the three months ended March 31, 2024, there were no sales of common stock under the ATM. As of March 31, 2024, the Company had issued 10,260,833 shares of common stock for net proceeds of $386,023 under the ATM. As of March 31, 2024, approximately $110,000 remained available for sale under the ATM. The Company used the net proceeds from the sales of shares through the ATM for working capital, capital expenditures, water and wastewater utility acquisitions, and repaying outstanding indebtedness.</w:t>
      </w:r>
    </w:p>
    <w:p>
      <w:pPr>
        <w:spacing w:after="0" w:line="195" w:lineRule="exact"/>
        <w:rPr>
          <w:sz w:val="20"/>
          <w:szCs w:val="20"/>
          <w:color w:val="auto"/>
        </w:rPr>
      </w:pPr>
    </w:p>
    <w:p>
      <w:pPr>
        <w:ind w:right="340"/>
        <w:spacing w:after="0" w:line="229" w:lineRule="auto"/>
        <w:rPr>
          <w:sz w:val="20"/>
          <w:szCs w:val="20"/>
          <w:color w:val="auto"/>
        </w:rPr>
      </w:pPr>
      <w:r>
        <w:rPr>
          <w:rFonts w:ascii="Times New Roman" w:cs="Times New Roman" w:eastAsia="Times New Roman" w:hAnsi="Times New Roman"/>
          <w:sz w:val="22"/>
          <w:szCs w:val="22"/>
          <w:color w:val="auto"/>
        </w:rPr>
        <w:t>At March 31, 2024, we had $35,200 of cash and cash equivalents compared to $4,612 at December 31, 2023. During the first three months of 2024, we used the proceeds from long-term debt, the proceeds</w:t>
      </w: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3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3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22"/>
          <w:szCs w:val="22"/>
          <w:color w:val="auto"/>
        </w:rPr>
        <w:t>from issuance of common stock, and proceeds from the sale of the non-utility energy projects, as well as internally generated funds, to fund the cash requirements discussed above and to pay dividends.</w:t>
      </w:r>
    </w:p>
    <w:p>
      <w:pPr>
        <w:spacing w:after="0" w:line="18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1"/>
          <w:szCs w:val="21"/>
          <w:color w:val="auto"/>
        </w:rPr>
        <w:t>At March 31, 2024 our $1,000,000 unsecured revolving credit facility, which expires in December 2027, had $725,162 available for borrowing. Additionally, at March 31, 2024, we had short-term lines of credit of $435,500, primarily used for working capital, of which $348,000 was available for borrowing. On June 29, 2023, Aqua Pennsylvania and Peoples Natural Gas Companies amended the terms of its respective $100,000 and $300,000 364-day revolving credit agreements by extending the maturity dates to June 27, 2024 and updated the adjustment on the Bloomberg Short-Term Bank Yield Index (BSBY) floating rate. Our short-term lines of credit of $435,500 are subject to renewal on an annual basis. Although we believe we will be able to renew these facilities, there is no assurance that they will be renewed, or what the terms of any such renewal will be.</w:t>
      </w:r>
    </w:p>
    <w:p>
      <w:pPr>
        <w:spacing w:after="0" w:line="180"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In March 2024, the Company filed a new universal shelf registration through a filing with the Securities and Exchange Commission (SEC) to allow for the potential future offer and sale by the Company, from time to time, in one or more public offerings, of an indeterminate amount of our common stock, preferred stock, debt securities, and other securities specified therein at indeterminate prices. This registration statement is effective for three years and replaces a similar filing that expires in the second quarter of 2024.</w:t>
      </w:r>
    </w:p>
    <w:p>
      <w:pPr>
        <w:spacing w:after="0" w:line="19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color w:val="auto"/>
        </w:rPr>
        <w:t>As of March 31, 2024, our credit ratings remained at investment grade levels. On March 19, 2024, S&amp;P lowered its credit rating for the Company, Aqua Pennsylvania, and Peoples Natural Gas Companies from A to A-, citing weakening financial measures as a result of inflationary pressures and our significant capital spending; and revised its outlook from negative to stable for the companies. However, as can be noted in their report, S&amp;P continues to assess our business risk profile as excellent, considering our low-risk and rate-regulated water and gas distribution operations in credit-supportive regulatory environments, our geographic and regulatory diversity, our large and stable residential and commercial customer base, and our solid and reliable operations. On August 29, 2023, Moody’s Investors Service (“Moody’s”) affirmed the Company’s senior unsecured notes rating of Baa2 and stable outlook; and, affirmed Peoples Natural Gas Companies’ senior secured notes rating of Baa1 and revised its outlook from stable to negative. The Company’s ability to maintain its credit rating depends, among other things, on adequate and timely rate relief, its ability to fund capital expenditures in a balanced manner using both debt and equity, and its ability to generate cash flow. A material downgrade of our credit rating may result in the imposition of additional financial and/or other covenants, impact the market prices of equity and debt securities, increase our borrowing costs, and adversely affect our liquidity, among other things. Management continues to enhance our regulatory practices to address regulatory lag and recover capital project costs and increases in operating costs efficiently and timely through various rate-making mechanisms.</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Consolidated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financial and operational highlights for the periods ended March 31, 2024 and 2023 are presented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Increase</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(Decrease)</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83"/>
        </w:trPr>
        <w:tc>
          <w:tcPr>
            <w:tcW w:w="58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612,069</w:t>
            </w:r>
          </w:p>
        </w:tc>
        <w:tc>
          <w:tcPr>
            <w:tcW w:w="32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726,450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(114,381)</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136,900</w:t>
            </w:r>
          </w:p>
        </w:tc>
        <w:tc>
          <w:tcPr>
            <w:tcW w:w="32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137,994</w:t>
            </w:r>
          </w:p>
        </w:tc>
        <w:tc>
          <w:tcPr>
            <w:tcW w:w="18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(1,094)</w:t>
            </w:r>
          </w:p>
        </w:tc>
        <w:tc>
          <w:tcPr>
            <w:tcW w:w="24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170"/>
        </w:trPr>
        <w:tc>
          <w:tcPr>
            <w:tcW w:w="582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129,675</w:t>
            </w:r>
          </w:p>
        </w:tc>
        <w:tc>
          <w:tcPr>
            <w:tcW w:w="32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256,315</w:t>
            </w: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(126,640)</w:t>
            </w: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20" w:type="dxa"/>
            <w:vAlign w:val="bottom"/>
            <w:vMerge w:val="continue"/>
          </w:tcPr>
          <w:p>
            <w:pPr>
              <w:spacing w:after="0"/>
              <w:rPr>
                <w:sz w:val="14"/>
                <w:szCs w:val="14"/>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265,772</w:t>
            </w:r>
          </w:p>
        </w:tc>
        <w:tc>
          <w:tcPr>
            <w:tcW w:w="32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191,434</w:t>
            </w:r>
          </w:p>
        </w:tc>
        <w:tc>
          <w:tcPr>
            <w:tcW w:w="18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74,338</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Statistics</w:t>
            </w:r>
          </w:p>
        </w:tc>
        <w:tc>
          <w:tcPr>
            <w:tcW w:w="174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1740" w:type="dxa"/>
            <w:vAlign w:val="bottom"/>
            <w:shd w:val="clear" w:color="auto" w:fill="CCEEFF"/>
          </w:tcPr>
          <w:p>
            <w:pPr>
              <w:spacing w:after="0"/>
              <w:rPr>
                <w:sz w:val="16"/>
                <w:szCs w:val="16"/>
                <w:color w:val="auto"/>
              </w:rPr>
            </w:pPr>
          </w:p>
        </w:tc>
        <w:tc>
          <w:tcPr>
            <w:tcW w:w="4000" w:type="dxa"/>
            <w:vAlign w:val="bottom"/>
            <w:shd w:val="clear" w:color="auto" w:fill="CCEEFF"/>
          </w:tcPr>
          <w:p>
            <w:pPr>
              <w:spacing w:after="0"/>
              <w:rPr>
                <w:sz w:val="16"/>
                <w:szCs w:val="16"/>
                <w:color w:val="auto"/>
              </w:rPr>
            </w:pPr>
          </w:p>
        </w:tc>
      </w:tr>
      <w:tr>
        <w:trPr>
          <w:trHeight w:val="189"/>
        </w:trPr>
        <w:tc>
          <w:tcPr>
            <w:tcW w:w="5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1740" w:type="dxa"/>
            <w:vAlign w:val="bottom"/>
          </w:tcPr>
          <w:p>
            <w:pPr>
              <w:jc w:val="center"/>
              <w:ind w:left="310"/>
              <w:spacing w:after="0" w:line="189" w:lineRule="exact"/>
              <w:rPr>
                <w:sz w:val="20"/>
                <w:szCs w:val="20"/>
                <w:color w:val="auto"/>
              </w:rPr>
            </w:pPr>
            <w:r>
              <w:rPr>
                <w:rFonts w:ascii="Times New Roman" w:cs="Times New Roman" w:eastAsia="Times New Roman" w:hAnsi="Times New Roman"/>
                <w:sz w:val="18"/>
                <w:szCs w:val="18"/>
                <w:color w:val="auto"/>
                <w:w w:val="98"/>
              </w:rPr>
              <w:t>22.4%</w:t>
            </w:r>
          </w:p>
        </w:tc>
        <w:tc>
          <w:tcPr>
            <w:tcW w:w="4000" w:type="dxa"/>
            <w:vAlign w:val="bottom"/>
          </w:tcPr>
          <w:p>
            <w:pPr>
              <w:jc w:val="center"/>
              <w:ind w:right="2470"/>
              <w:spacing w:after="0" w:line="189" w:lineRule="exact"/>
              <w:rPr>
                <w:sz w:val="20"/>
                <w:szCs w:val="20"/>
                <w:color w:val="auto"/>
              </w:rPr>
            </w:pPr>
            <w:r>
              <w:rPr>
                <w:rFonts w:ascii="Times New Roman" w:cs="Times New Roman" w:eastAsia="Times New Roman" w:hAnsi="Times New Roman"/>
                <w:sz w:val="18"/>
                <w:szCs w:val="18"/>
                <w:color w:val="auto"/>
              </w:rPr>
              <w:t>19.0%</w:t>
            </w:r>
          </w:p>
        </w:tc>
      </w:tr>
      <w:tr>
        <w:trPr>
          <w:trHeight w:val="189"/>
        </w:trPr>
        <w:tc>
          <w:tcPr>
            <w:tcW w:w="55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1740" w:type="dxa"/>
            <w:vAlign w:val="bottom"/>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auto"/>
                <w:w w:val="98"/>
              </w:rPr>
              <w:t>21.2%</w:t>
            </w:r>
          </w:p>
        </w:tc>
        <w:tc>
          <w:tcPr>
            <w:tcW w:w="4000" w:type="dxa"/>
            <w:vAlign w:val="bottom"/>
            <w:shd w:val="clear" w:color="auto" w:fill="CCEEFF"/>
          </w:tcPr>
          <w:p>
            <w:pPr>
              <w:jc w:val="center"/>
              <w:ind w:right="2470"/>
              <w:spacing w:after="0" w:line="189" w:lineRule="exact"/>
              <w:rPr>
                <w:sz w:val="20"/>
                <w:szCs w:val="20"/>
                <w:color w:val="auto"/>
              </w:rPr>
            </w:pPr>
            <w:r>
              <w:rPr>
                <w:rFonts w:ascii="Times New Roman" w:cs="Times New Roman" w:eastAsia="Times New Roman" w:hAnsi="Times New Roman"/>
                <w:sz w:val="18"/>
                <w:szCs w:val="18"/>
                <w:color w:val="auto"/>
              </w:rPr>
              <w:t>35.3%</w:t>
            </w:r>
          </w:p>
        </w:tc>
      </w:tr>
      <w:tr>
        <w:trPr>
          <w:trHeight w:val="189"/>
        </w:trPr>
        <w:tc>
          <w:tcPr>
            <w:tcW w:w="5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740" w:type="dxa"/>
            <w:vAlign w:val="bottom"/>
          </w:tcPr>
          <w:p>
            <w:pPr>
              <w:jc w:val="center"/>
              <w:ind w:left="310"/>
              <w:spacing w:after="0" w:line="189" w:lineRule="exact"/>
              <w:rPr>
                <w:sz w:val="20"/>
                <w:szCs w:val="20"/>
                <w:color w:val="auto"/>
              </w:rPr>
            </w:pPr>
            <w:r>
              <w:rPr>
                <w:rFonts w:ascii="Times New Roman" w:cs="Times New Roman" w:eastAsia="Times New Roman" w:hAnsi="Times New Roman"/>
                <w:sz w:val="18"/>
                <w:szCs w:val="18"/>
                <w:color w:val="auto"/>
                <w:w w:val="98"/>
              </w:rPr>
              <w:t>14.7%</w:t>
            </w:r>
          </w:p>
        </w:tc>
        <w:tc>
          <w:tcPr>
            <w:tcW w:w="4000" w:type="dxa"/>
            <w:vAlign w:val="bottom"/>
          </w:tcPr>
          <w:p>
            <w:pPr>
              <w:jc w:val="center"/>
              <w:ind w:right="2470"/>
              <w:spacing w:after="0" w:line="189" w:lineRule="exact"/>
              <w:rPr>
                <w:sz w:val="20"/>
                <w:szCs w:val="20"/>
                <w:color w:val="auto"/>
              </w:rPr>
            </w:pPr>
            <w:r>
              <w:rPr>
                <w:rFonts w:ascii="Times New Roman" w:cs="Times New Roman" w:eastAsia="Times New Roman" w:hAnsi="Times New Roman"/>
                <w:sz w:val="18"/>
                <w:szCs w:val="18"/>
                <w:color w:val="auto"/>
                <w:w w:val="94"/>
              </w:rPr>
              <w:t>11.5%</w:t>
            </w:r>
          </w:p>
        </w:tc>
      </w:tr>
      <w:tr>
        <w:trPr>
          <w:trHeight w:val="189"/>
        </w:trPr>
        <w:tc>
          <w:tcPr>
            <w:tcW w:w="55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1740" w:type="dxa"/>
            <w:vAlign w:val="bottom"/>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4000" w:type="dxa"/>
            <w:vAlign w:val="bottom"/>
            <w:shd w:val="clear" w:color="auto" w:fill="CCEEFF"/>
          </w:tcPr>
          <w:p>
            <w:pPr>
              <w:jc w:val="center"/>
              <w:ind w:right="2470"/>
              <w:spacing w:after="0" w:line="189" w:lineRule="exact"/>
              <w:rPr>
                <w:sz w:val="20"/>
                <w:szCs w:val="20"/>
                <w:color w:val="auto"/>
              </w:rPr>
            </w:pPr>
            <w:r>
              <w:rPr>
                <w:rFonts w:ascii="Times New Roman" w:cs="Times New Roman" w:eastAsia="Times New Roman" w:hAnsi="Times New Roman"/>
                <w:sz w:val="18"/>
                <w:szCs w:val="18"/>
                <w:color w:val="auto"/>
                <w:w w:val="95"/>
              </w:rPr>
              <w:t>3.1%</w:t>
            </w:r>
          </w:p>
        </w:tc>
      </w:tr>
      <w:tr>
        <w:trPr>
          <w:trHeight w:val="189"/>
        </w:trPr>
        <w:tc>
          <w:tcPr>
            <w:tcW w:w="5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1740" w:type="dxa"/>
            <w:vAlign w:val="bottom"/>
          </w:tcPr>
          <w:p>
            <w:pPr>
              <w:jc w:val="center"/>
              <w:ind w:left="310"/>
              <w:spacing w:after="0" w:line="189" w:lineRule="exact"/>
              <w:rPr>
                <w:sz w:val="20"/>
                <w:szCs w:val="20"/>
                <w:color w:val="auto"/>
              </w:rPr>
            </w:pPr>
            <w:r>
              <w:rPr>
                <w:rFonts w:ascii="Times New Roman" w:cs="Times New Roman" w:eastAsia="Times New Roman" w:hAnsi="Times New Roman"/>
                <w:sz w:val="18"/>
                <w:szCs w:val="18"/>
                <w:color w:val="auto"/>
                <w:w w:val="98"/>
              </w:rPr>
              <w:t>11.8%</w:t>
            </w:r>
          </w:p>
        </w:tc>
        <w:tc>
          <w:tcPr>
            <w:tcW w:w="4000" w:type="dxa"/>
            <w:vAlign w:val="bottom"/>
          </w:tcPr>
          <w:p>
            <w:pPr>
              <w:jc w:val="center"/>
              <w:ind w:right="2470"/>
              <w:spacing w:after="0" w:line="189" w:lineRule="exact"/>
              <w:rPr>
                <w:sz w:val="20"/>
                <w:szCs w:val="20"/>
                <w:color w:val="auto"/>
              </w:rPr>
            </w:pPr>
            <w:r>
              <w:rPr>
                <w:rFonts w:ascii="Times New Roman" w:cs="Times New Roman" w:eastAsia="Times New Roman" w:hAnsi="Times New Roman"/>
                <w:sz w:val="18"/>
                <w:szCs w:val="18"/>
                <w:color w:val="auto"/>
                <w:w w:val="95"/>
              </w:rPr>
              <w:t>9.9%</w:t>
            </w:r>
          </w:p>
        </w:tc>
      </w:tr>
      <w:tr>
        <w:trPr>
          <w:trHeight w:val="189"/>
        </w:trPr>
        <w:tc>
          <w:tcPr>
            <w:tcW w:w="55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740" w:type="dxa"/>
            <w:vAlign w:val="bottom"/>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auto"/>
                <w:w w:val="98"/>
              </w:rPr>
              <w:t>43.4%</w:t>
            </w:r>
          </w:p>
        </w:tc>
        <w:tc>
          <w:tcPr>
            <w:tcW w:w="4000" w:type="dxa"/>
            <w:vAlign w:val="bottom"/>
            <w:shd w:val="clear" w:color="auto" w:fill="CCEEFF"/>
          </w:tcPr>
          <w:p>
            <w:pPr>
              <w:jc w:val="center"/>
              <w:ind w:right="2470"/>
              <w:spacing w:after="0" w:line="189" w:lineRule="exact"/>
              <w:rPr>
                <w:sz w:val="20"/>
                <w:szCs w:val="20"/>
                <w:color w:val="auto"/>
              </w:rPr>
            </w:pPr>
            <w:r>
              <w:rPr>
                <w:rFonts w:ascii="Times New Roman" w:cs="Times New Roman" w:eastAsia="Times New Roman" w:hAnsi="Times New Roman"/>
                <w:sz w:val="18"/>
                <w:szCs w:val="18"/>
                <w:color w:val="auto"/>
              </w:rPr>
              <w:t>26.4%</w:t>
            </w:r>
          </w:p>
        </w:tc>
      </w:tr>
      <w:tr>
        <w:trPr>
          <w:trHeight w:val="189"/>
        </w:trPr>
        <w:tc>
          <w:tcPr>
            <w:tcW w:w="5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1740" w:type="dxa"/>
            <w:vAlign w:val="bottom"/>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auto"/>
                <w:w w:val="96"/>
              </w:rPr>
              <w:t>-4.2%</w:t>
            </w:r>
          </w:p>
        </w:tc>
        <w:tc>
          <w:tcPr>
            <w:tcW w:w="4000" w:type="dxa"/>
            <w:vAlign w:val="bottom"/>
            <w:shd w:val="clear" w:color="auto" w:fill="CCEEFF"/>
          </w:tcPr>
          <w:p>
            <w:pPr>
              <w:jc w:val="center"/>
              <w:ind w:right="2470"/>
              <w:spacing w:after="0" w:line="189" w:lineRule="exact"/>
              <w:rPr>
                <w:sz w:val="20"/>
                <w:szCs w:val="20"/>
                <w:color w:val="auto"/>
              </w:rPr>
            </w:pPr>
            <w:r>
              <w:rPr>
                <w:rFonts w:ascii="Times New Roman" w:cs="Times New Roman" w:eastAsia="Times New Roman" w:hAnsi="Times New Roman"/>
                <w:sz w:val="18"/>
                <w:szCs w:val="18"/>
                <w:color w:val="auto"/>
                <w:w w:val="98"/>
              </w:rPr>
              <w:t>-19.8%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March 31, 2024 compared with three months ended March 31, 2023</w:t>
      </w:r>
    </w:p>
    <w:p>
      <w:pPr>
        <w:spacing w:after="0" w:line="224"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2"/>
          <w:szCs w:val="22"/>
          <w:color w:val="auto"/>
        </w:rPr>
        <w:t>Consolidated operating revenues decreased by $114,381 or 15.7% as compared to the same period in 2023. Revenues from our Regulated Water segment increased by $12,594. Revenues from our Regulated Natural Gas segment and Other business segment decreased by $116,964 and $10,011, respectively. A detailed discussion of the factors contributing to the changes in segment revenue is included below under the section, Segment Results of Operations. The decrease in our Other business segment revenue is due to lower revenues from our non-regulated natural gas operations primarily as a result of lower average gas prices and lower gas usage in the current period as compared to the prior period.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9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9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operations and maintenance expense decreased by $1,094 or 0.8%, primarily due to:</w:t>
      </w:r>
    </w:p>
    <w:p>
      <w:pPr>
        <w:spacing w:after="0" w:line="206" w:lineRule="exact"/>
        <w:rPr>
          <w:sz w:val="20"/>
          <w:szCs w:val="20"/>
          <w:color w:val="auto"/>
        </w:rPr>
      </w:pPr>
    </w:p>
    <w:p>
      <w:pPr>
        <w:ind w:left="340" w:right="280"/>
        <w:spacing w:after="0" w:line="235" w:lineRule="auto"/>
        <w:rPr>
          <w:sz w:val="20"/>
          <w:szCs w:val="20"/>
          <w:color w:val="auto"/>
        </w:rPr>
      </w:pPr>
      <w:r>
        <w:rPr>
          <w:rFonts w:ascii="Times New Roman" w:cs="Times New Roman" w:eastAsia="Times New Roman" w:hAnsi="Times New Roman"/>
          <w:sz w:val="22"/>
          <w:szCs w:val="22"/>
          <w:color w:val="auto"/>
        </w:rPr>
        <w:t>decrease in customer assistance surcharge costs of $2,797 in our Regulated Natural Gas segment, which has an equivalent offsetting amount in revenues;</w:t>
      </w:r>
    </w:p>
    <w:p>
      <w:pPr>
        <w:spacing w:after="0" w:line="1" w:lineRule="exact"/>
        <w:rPr>
          <w:sz w:val="20"/>
          <w:szCs w:val="20"/>
          <w:color w:val="auto"/>
        </w:rPr>
      </w:pPr>
    </w:p>
    <w:p>
      <w:pPr>
        <w:ind w:left="340"/>
        <w:spacing w:after="0" w:line="228" w:lineRule="auto"/>
        <w:rPr>
          <w:sz w:val="20"/>
          <w:szCs w:val="20"/>
          <w:color w:val="auto"/>
        </w:rPr>
      </w:pPr>
      <w:r>
        <w:rPr>
          <w:rFonts w:ascii="Times New Roman" w:cs="Times New Roman" w:eastAsia="Times New Roman" w:hAnsi="Times New Roman"/>
          <w:sz w:val="21"/>
          <w:szCs w:val="21"/>
          <w:color w:val="auto"/>
        </w:rPr>
        <w:t>decrease in operation and maintenance expense of $1,712 as a result of the sale of both the regulated natural gas utility assets in West Virginia in October 2023 and the three non-utility local microgrid and distributed energy projects in January 2024;</w:t>
      </w:r>
    </w:p>
    <w:p>
      <w:pPr>
        <w:ind w:left="340" w:right="100"/>
        <w:spacing w:after="0" w:line="224" w:lineRule="auto"/>
        <w:rPr>
          <w:sz w:val="20"/>
          <w:szCs w:val="20"/>
          <w:color w:val="auto"/>
        </w:rPr>
      </w:pPr>
      <w:r>
        <w:rPr>
          <w:rFonts w:ascii="Times New Roman" w:cs="Times New Roman" w:eastAsia="Times New Roman" w:hAnsi="Times New Roman"/>
          <w:sz w:val="22"/>
          <w:szCs w:val="22"/>
          <w:color w:val="auto"/>
        </w:rPr>
        <w:t>decrease in outside services and other expenses due to higher capitalization as a result of greater capital spend in the current period compared to the prior period; offset by</w:t>
      </w:r>
    </w:p>
    <w:p>
      <w:pPr>
        <w:ind w:left="340" w:right="200"/>
        <w:spacing w:after="0" w:line="217" w:lineRule="auto"/>
        <w:rPr>
          <w:sz w:val="20"/>
          <w:szCs w:val="20"/>
          <w:color w:val="auto"/>
        </w:rPr>
      </w:pPr>
      <w:r>
        <w:rPr>
          <w:rFonts w:ascii="Times New Roman" w:cs="Times New Roman" w:eastAsia="Times New Roman" w:hAnsi="Times New Roman"/>
          <w:sz w:val="22"/>
          <w:szCs w:val="22"/>
          <w:color w:val="auto"/>
        </w:rPr>
        <w:t>an increase in employee related costs of $2,003, primarily resulting from higher salary costs and increased contributions to the Company’s defined contribution plan;</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increase in bad debt expense of $3,224;</w:t>
      </w:r>
    </w:p>
    <w:p>
      <w:pPr>
        <w:ind w:left="340" w:right="200"/>
        <w:spacing w:after="0" w:line="217"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$2,397, primarily due to increased purchased water, wastewater, and power costs;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operating costs resulting from acquired water and wastewater utility systems and higher customer base of $1,127.</w:t>
      </w:r>
    </w:p>
    <w:p>
      <w:pPr>
        <w:spacing w:after="0" w:line="19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Purchased gas decreased by $126,640 or 49.4%. Purchased gas represents the cost of gas sold by Peoples, which for the regulated gas business has a corresponding offset in revenue. The decrease is the result of the impact of lower average cost of gas of $107,916, and the impact of lower gas usage of $18,724 due to warmer weather conditions during the first quarter of 2024 as well as the sale of Peoples West Virginia.</w:t>
      </w:r>
    </w:p>
    <w:p>
      <w:pPr>
        <w:spacing w:after="0" w:line="19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2"/>
          <w:szCs w:val="22"/>
          <w:color w:val="auto"/>
        </w:rPr>
        <w:t>Depreciation and amortization expense increased by $6,010 or 7.2% principally due to continued capital expenditures to expand and improve our utility facilities and our acquisitions of new utility systems.</w:t>
      </w:r>
    </w:p>
    <w:p>
      <w:pPr>
        <w:spacing w:after="0" w:line="172"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Taxes other than income taxes increased by $2,146 or 9.4% largely due to an increase in property taxes and payroll taxes in our Regulated Natural Gas segment.</w:t>
      </w:r>
    </w:p>
    <w:p>
      <w:pPr>
        <w:spacing w:after="0" w:line="166"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1"/>
          <w:szCs w:val="21"/>
          <w:b w:val="1"/>
          <w:bCs w:val="1"/>
          <w:i w:val="1"/>
          <w:iCs w:val="1"/>
          <w:color w:val="auto"/>
        </w:rPr>
        <w:t xml:space="preserve">Other expense, net </w:t>
      </w:r>
      <w:r>
        <w:rPr>
          <w:rFonts w:ascii="Times New Roman" w:cs="Times New Roman" w:eastAsia="Times New Roman" w:hAnsi="Times New Roman"/>
          <w:sz w:val="21"/>
          <w:szCs w:val="21"/>
          <w:color w:val="auto"/>
        </w:rPr>
        <w:t>- Interest expense, net of interest income increased by $435 or 0.6% for the quarter. Interest expense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increased by $5,077 in our Regulated Water segment and decreased by $2,151 for our Regulated Natural Gas segment. Refer to Segment Results of Operations below for further details. Interest expense in Other relates to our corporate operations, and this decreased by $2,491 primarily due to lower average borrowings on our revolving credit facility during the first quarter of 2024.</w:t>
      </w:r>
    </w:p>
    <w:p>
      <w:pPr>
        <w:spacing w:after="0" w:line="182" w:lineRule="exact"/>
        <w:rPr>
          <w:sz w:val="20"/>
          <w:szCs w:val="20"/>
          <w:color w:val="auto"/>
        </w:rPr>
      </w:pPr>
    </w:p>
    <w:p>
      <w:pPr>
        <w:ind w:right="400"/>
        <w:spacing w:after="0" w:line="234" w:lineRule="auto"/>
        <w:rPr>
          <w:sz w:val="20"/>
          <w:szCs w:val="20"/>
          <w:color w:val="auto"/>
        </w:rPr>
      </w:pPr>
      <w:r>
        <w:rPr>
          <w:rFonts w:ascii="Times New Roman" w:cs="Times New Roman" w:eastAsia="Times New Roman" w:hAnsi="Times New Roman"/>
          <w:sz w:val="22"/>
          <w:szCs w:val="22"/>
          <w:color w:val="auto"/>
        </w:rPr>
        <w:t>Allowance for funds used during construction (AFUDC) was $4,681 and $5,688 during the first quarter of 2024 and 2023, respectively. The decrease in 2024 is primarily due to a decrease in the average balance of utility plant construction work in progress, to which AFUDC is applied for our Regulated Water segment.</w:t>
      </w:r>
    </w:p>
    <w:p>
      <w:pPr>
        <w:spacing w:after="0" w:line="165"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22"/>
          <w:szCs w:val="22"/>
          <w:color w:val="auto"/>
        </w:rPr>
        <w:t>Gain on sale of assets was $91,625 and $249 during the first quarters of 2024 and 2023, respectively. During the first quarter of 2024, the Company completed the sale of its interest in three non-utility local microgrid and distributed energy projects and recognized a gain of $91,236.</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 xml:space="preserve">Income tax benefit </w:t>
      </w:r>
      <w:r>
        <w:rPr>
          <w:rFonts w:ascii="Times New Roman" w:cs="Times New Roman" w:eastAsia="Times New Roman" w:hAnsi="Times New Roman"/>
          <w:sz w:val="21"/>
          <w:szCs w:val="21"/>
          <w:color w:val="auto"/>
        </w:rPr>
        <w:t>- Our effective income tax rate was a benefit of 4.2% and 19.8% in the first quarter of 2024 and 2023,</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respectively. The decrease in the income tax benefit is primarily attributed to the gain recognized from the sale of the Company’s interest in three non-utility local microgrid and distributed energy projects in the first quarter of 2024 partially offset by the increase in income tax benefit associated with the tax deduction for continued qualifying infrastructure investment.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Segment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Water Segment</w:t>
      </w:r>
    </w:p>
    <w:p>
      <w:pPr>
        <w:spacing w:after="0" w:line="21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Water segment for the periods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31, 2024 and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Increase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(Decrease)</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83"/>
        </w:trPr>
        <w:tc>
          <w:tcPr>
            <w:tcW w:w="58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279,894</w:t>
            </w:r>
          </w:p>
        </w:tc>
        <w:tc>
          <w:tcPr>
            <w:tcW w:w="32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267,300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12,594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center"/>
              <w:ind w:left="350"/>
              <w:spacing w:after="0" w:line="182"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90,683</w:t>
            </w:r>
          </w:p>
        </w:tc>
        <w:tc>
          <w:tcPr>
            <w:tcW w:w="32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82,802</w:t>
            </w:r>
          </w:p>
        </w:tc>
        <w:tc>
          <w:tcPr>
            <w:tcW w:w="18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7,881</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ind w:left="350"/>
              <w:spacing w:after="0" w:line="170"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69"/>
        </w:trPr>
        <w:tc>
          <w:tcPr>
            <w:tcW w:w="586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Segment net income</w:t>
            </w: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63,905</w:t>
            </w:r>
          </w:p>
        </w:tc>
        <w:tc>
          <w:tcPr>
            <w:tcW w:w="32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77,402</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(13,497)</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center"/>
              <w:ind w:left="330"/>
              <w:spacing w:after="0" w:line="170" w:lineRule="exact"/>
              <w:rPr>
                <w:sz w:val="20"/>
                <w:szCs w:val="20"/>
                <w:color w:val="auto"/>
              </w:rPr>
            </w:pPr>
            <w:r>
              <w:rPr>
                <w:rFonts w:ascii="Times New Roman" w:cs="Times New Roman" w:eastAsia="Times New Roman" w:hAnsi="Times New Roman"/>
                <w:sz w:val="18"/>
                <w:szCs w:val="18"/>
                <w:color w:val="auto"/>
                <w:w w:val="98"/>
              </w:rPr>
              <w:t>-17.4%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Operating Statistics</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32.4%</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6"/>
                <w:szCs w:val="16"/>
                <w:color w:val="auto"/>
              </w:rPr>
            </w:pPr>
          </w:p>
        </w:tc>
        <w:tc>
          <w:tcPr>
            <w:tcW w:w="12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20.4%</w:t>
            </w:r>
          </w:p>
        </w:tc>
        <w:tc>
          <w:tcPr>
            <w:tcW w:w="3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140" w:type="dxa"/>
            <w:vAlign w:val="bottom"/>
          </w:tcPr>
          <w:p>
            <w:pPr>
              <w:spacing w:after="0"/>
              <w:rPr>
                <w:sz w:val="16"/>
                <w:szCs w:val="16"/>
                <w:color w:val="auto"/>
              </w:rPr>
            </w:pPr>
          </w:p>
        </w:tc>
        <w:tc>
          <w:tcPr>
            <w:tcW w:w="12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3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Segment net income</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22.8%</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29.0%</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24.6%</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March 31, 2024 compared with three months ended March 31, 2023</w:t>
      </w:r>
    </w:p>
    <w:p>
      <w:pPr>
        <w:spacing w:after="0" w:line="22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2"/>
          <w:szCs w:val="22"/>
          <w:color w:val="auto"/>
        </w:rPr>
        <w:t>Revenues from our Regulated Water segment increased by $12,594 or 4.7% for the first quarter of 2024 as compared to the same period in 2023, mainly due to the following: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increase in water and wastewater rates, including infrastructure rehabilitation surcharges, of $11,378;</w:t>
      </w:r>
    </w:p>
    <w:p>
      <w:pPr>
        <w:ind w:left="340" w:right="440"/>
        <w:spacing w:after="0" w:line="217" w:lineRule="auto"/>
        <w:rPr>
          <w:sz w:val="20"/>
          <w:szCs w:val="20"/>
          <w:color w:val="auto"/>
        </w:rPr>
      </w:pPr>
      <w:r>
        <w:rPr>
          <w:rFonts w:ascii="Times New Roman" w:cs="Times New Roman" w:eastAsia="Times New Roman" w:hAnsi="Times New Roman"/>
          <w:sz w:val="22"/>
          <w:szCs w:val="22"/>
          <w:color w:val="auto"/>
        </w:rPr>
        <w:t>additional water and wastewater revenues of $2,990 associated with a larger customer base due to utility acquisitions and organic growth;</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an increase in volume consumption of $1,092; offset by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5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5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decrease in non-utility revenue of $2,930, primarily due to higher developer fees earned in the first quarter of 2023.</w:t>
      </w:r>
    </w:p>
    <w:p>
      <w:pPr>
        <w:spacing w:after="0" w:line="206"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2"/>
          <w:szCs w:val="22"/>
          <w:color w:val="auto"/>
        </w:rPr>
        <w:t>Operations and maintenance expense for the three months ended March 31, 2024 increased by $7,881 or 9.5% primarily due to the following:</w:t>
      </w:r>
    </w:p>
    <w:p>
      <w:pPr>
        <w:spacing w:after="0" w:line="186" w:lineRule="exact"/>
        <w:rPr>
          <w:sz w:val="20"/>
          <w:szCs w:val="20"/>
          <w:color w:val="auto"/>
        </w:rPr>
      </w:pPr>
    </w:p>
    <w:p>
      <w:pPr>
        <w:ind w:left="340" w:right="500"/>
        <w:spacing w:after="0" w:line="235" w:lineRule="auto"/>
        <w:rPr>
          <w:sz w:val="20"/>
          <w:szCs w:val="20"/>
          <w:color w:val="auto"/>
        </w:rPr>
      </w:pPr>
      <w:r>
        <w:rPr>
          <w:rFonts w:ascii="Times New Roman" w:cs="Times New Roman" w:eastAsia="Times New Roman" w:hAnsi="Times New Roman"/>
          <w:sz w:val="22"/>
          <w:szCs w:val="22"/>
          <w:color w:val="auto"/>
        </w:rPr>
        <w:t>increase in production costs for water and wastewater operations of $2,397, primarily due to increased purchased water, wastewater, and power costs;</w:t>
      </w:r>
    </w:p>
    <w:p>
      <w:pPr>
        <w:spacing w:after="0" w:line="1" w:lineRule="exact"/>
        <w:rPr>
          <w:sz w:val="20"/>
          <w:szCs w:val="20"/>
          <w:color w:val="auto"/>
        </w:rPr>
      </w:pPr>
    </w:p>
    <w:p>
      <w:pPr>
        <w:ind w:left="340" w:right="120"/>
        <w:spacing w:after="0" w:line="217" w:lineRule="auto"/>
        <w:rPr>
          <w:sz w:val="20"/>
          <w:szCs w:val="20"/>
          <w:color w:val="auto"/>
        </w:rPr>
      </w:pPr>
      <w:r>
        <w:rPr>
          <w:rFonts w:ascii="Times New Roman" w:cs="Times New Roman" w:eastAsia="Times New Roman" w:hAnsi="Times New Roman"/>
          <w:sz w:val="22"/>
          <w:szCs w:val="22"/>
          <w:color w:val="auto"/>
        </w:rPr>
        <w:t>additional operating costs resulting from acquired water and wastewater utility systems and higher customer base of $1,127; increase in bad debt expense of $4,458; and</w:t>
      </w:r>
    </w:p>
    <w:p>
      <w:pPr>
        <w:spacing w:after="0" w:line="1" w:lineRule="exact"/>
        <w:rPr>
          <w:sz w:val="20"/>
          <w:szCs w:val="20"/>
          <w:color w:val="auto"/>
        </w:rPr>
      </w:pPr>
    </w:p>
    <w:p>
      <w:pPr>
        <w:ind w:left="340" w:right="240"/>
        <w:spacing w:after="0" w:line="231" w:lineRule="auto"/>
        <w:rPr>
          <w:sz w:val="20"/>
          <w:szCs w:val="20"/>
          <w:color w:val="auto"/>
        </w:rPr>
      </w:pPr>
      <w:r>
        <w:rPr>
          <w:rFonts w:ascii="Times New Roman" w:cs="Times New Roman" w:eastAsia="Times New Roman" w:hAnsi="Times New Roman"/>
          <w:sz w:val="22"/>
          <w:szCs w:val="22"/>
          <w:color w:val="auto"/>
        </w:rPr>
        <w:t>increase in employee related costs of $1,814 primarily resulting from higher salary costs and increased contributions to the Company’s defined contribution plan.</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Depreciation and amortization increased by $3,727 or 7.0% primarily due to continued capital investment to expand and improve our utility facilities and our acquisitions of new utility systems.</w:t>
      </w:r>
    </w:p>
    <w:p>
      <w:pPr>
        <w:spacing w:after="0" w:line="18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expense, net </w:t>
      </w:r>
      <w:r>
        <w:rPr>
          <w:rFonts w:ascii="Times New Roman" w:cs="Times New Roman" w:eastAsia="Times New Roman" w:hAnsi="Times New Roman"/>
          <w:sz w:val="22"/>
          <w:szCs w:val="22"/>
          <w:color w:val="auto"/>
        </w:rPr>
        <w:t>– Interest expense, net, increased by $5,077 or 17.1% for the quarter primarily due to higher push down debt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borrowings and operating company debt issuances for the Regulated Water segment and increased borrowing costs.</w:t>
      </w:r>
    </w:p>
    <w:p>
      <w:pPr>
        <w:spacing w:after="0" w:line="165"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AFUDC decreased by $1,258 or by 25.4% due to the decrease in the average balance of utility plant construction work in progress, to which AFUDC is applied.</w:t>
      </w:r>
    </w:p>
    <w:p>
      <w:pPr>
        <w:spacing w:after="0" w:line="15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1"/>
          <w:szCs w:val="21"/>
          <w:b w:val="1"/>
          <w:bCs w:val="1"/>
          <w:i w:val="1"/>
          <w:iCs w:val="1"/>
          <w:color w:val="auto"/>
        </w:rPr>
        <w:t xml:space="preserve">Provision for income tax </w:t>
      </w:r>
      <w:r>
        <w:rPr>
          <w:rFonts w:ascii="Times New Roman" w:cs="Times New Roman" w:eastAsia="Times New Roman" w:hAnsi="Times New Roman"/>
          <w:sz w:val="21"/>
          <w:szCs w:val="21"/>
          <w:color w:val="auto"/>
        </w:rPr>
        <w:t>– Our effective income tax rate for our Regulated Water Segment was an expense of 24.6% in the first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quarter of 2024, compared to an expense of 14.9% in the first quarter of 2023. The increase in the effective tax rate is primarily the result of changes in the jurisdictional earnings mix, decrease in the amortization of certain regulatory liabilities associated with deferred taxes, and a decrease in the income tax benefit associated with the tax deduction for qualifying infrastructure.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Natural Gas Segment</w:t>
      </w:r>
    </w:p>
    <w:p>
      <w:pPr>
        <w:spacing w:after="0" w:line="2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Natural Gas segment, for the periods ended March 31,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Pr>
          <w:p>
            <w:pPr>
              <w:spacing w:after="0"/>
              <w:rPr>
                <w:sz w:val="19"/>
                <w:szCs w:val="19"/>
                <w:color w:val="auto"/>
              </w:rPr>
            </w:pPr>
          </w:p>
        </w:tc>
        <w:tc>
          <w:tcPr>
            <w:tcW w:w="1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Increase (Decrease)</w:t>
            </w:r>
          </w:p>
        </w:tc>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324,331</w:t>
            </w:r>
          </w:p>
        </w:tc>
        <w:tc>
          <w:tcPr>
            <w:tcW w:w="340" w:type="dxa"/>
            <w:vAlign w:val="bottom"/>
            <w:tcBorders>
              <w:top w:val="single" w:sz="8" w:color="auto"/>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441,295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(116,964)</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ind w:left="340"/>
              <w:spacing w:after="0" w:line="182" w:lineRule="exact"/>
              <w:rPr>
                <w:sz w:val="20"/>
                <w:szCs w:val="20"/>
                <w:color w:val="auto"/>
              </w:rPr>
            </w:pPr>
            <w:r>
              <w:rPr>
                <w:rFonts w:ascii="Times New Roman" w:cs="Times New Roman" w:eastAsia="Times New Roman" w:hAnsi="Times New Roman"/>
                <w:sz w:val="18"/>
                <w:szCs w:val="18"/>
                <w:color w:val="auto"/>
                <w:w w:val="95"/>
              </w:rPr>
              <w:t>-26.5%</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45,917</w:t>
            </w:r>
          </w:p>
        </w:tc>
        <w:tc>
          <w:tcPr>
            <w:tcW w:w="340" w:type="dxa"/>
            <w:vAlign w:val="bottom"/>
            <w:tcBorders>
              <w:bottom w:val="single" w:sz="8" w:color="auto"/>
            </w:tcBorders>
          </w:tcPr>
          <w:p>
            <w:pPr>
              <w:jc w:val="right"/>
              <w:ind w:right="17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57,150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42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(11,233)</w:t>
            </w:r>
          </w:p>
        </w:tc>
        <w:tc>
          <w:tcPr>
            <w:tcW w:w="26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tcPr>
          <w:p>
            <w:pPr>
              <w:ind w:left="340"/>
              <w:spacing w:after="0" w:line="170" w:lineRule="exact"/>
              <w:rPr>
                <w:sz w:val="20"/>
                <w:szCs w:val="20"/>
                <w:color w:val="auto"/>
              </w:rPr>
            </w:pPr>
            <w:r>
              <w:rPr>
                <w:rFonts w:ascii="Times New Roman" w:cs="Times New Roman" w:eastAsia="Times New Roman" w:hAnsi="Times New Roman"/>
                <w:sz w:val="18"/>
                <w:szCs w:val="18"/>
                <w:color w:val="auto"/>
                <w:w w:val="95"/>
              </w:rPr>
              <w:t>-19.7%</w:t>
            </w:r>
          </w:p>
        </w:tc>
        <w:tc>
          <w:tcPr>
            <w:tcW w:w="0" w:type="dxa"/>
            <w:vAlign w:val="bottom"/>
          </w:tcPr>
          <w:p>
            <w:pPr>
              <w:spacing w:after="0"/>
              <w:rPr>
                <w:sz w:val="1"/>
                <w:szCs w:val="1"/>
                <w:color w:val="auto"/>
              </w:rPr>
            </w:pPr>
          </w:p>
        </w:tc>
      </w:tr>
      <w:tr>
        <w:trPr>
          <w:trHeight w:val="169"/>
        </w:trPr>
        <w:tc>
          <w:tcPr>
            <w:tcW w:w="552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125,542</w:t>
            </w:r>
          </w:p>
        </w:tc>
        <w:tc>
          <w:tcPr>
            <w:tcW w:w="340" w:type="dxa"/>
            <w:vAlign w:val="bottom"/>
            <w:tcBorders>
              <w:bottom w:val="single" w:sz="8" w:color="auto"/>
            </w:tcBorders>
            <w:shd w:val="clear" w:color="auto" w:fill="CCEEFF"/>
          </w:tcPr>
          <w:p>
            <w:pPr>
              <w:jc w:val="right"/>
              <w:ind w:right="17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241,856</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(116,314)</w:t>
            </w: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ind w:left="340"/>
              <w:spacing w:after="0" w:line="170" w:lineRule="exact"/>
              <w:rPr>
                <w:sz w:val="20"/>
                <w:szCs w:val="20"/>
                <w:color w:val="auto"/>
              </w:rPr>
            </w:pPr>
            <w:r>
              <w:rPr>
                <w:rFonts w:ascii="Times New Roman" w:cs="Times New Roman" w:eastAsia="Times New Roman" w:hAnsi="Times New Roman"/>
                <w:sz w:val="18"/>
                <w:szCs w:val="18"/>
                <w:color w:val="auto"/>
                <w:w w:val="95"/>
              </w:rPr>
              <w:t>-48.1%</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net income</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209,940</w:t>
            </w:r>
          </w:p>
        </w:tc>
        <w:tc>
          <w:tcPr>
            <w:tcW w:w="340" w:type="dxa"/>
            <w:vAlign w:val="bottom"/>
            <w:tcBorders>
              <w:bottom w:val="single" w:sz="8" w:color="auto"/>
            </w:tcBorders>
          </w:tcPr>
          <w:p>
            <w:pPr>
              <w:jc w:val="right"/>
              <w:ind w:right="17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123,546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42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86,394</w:t>
            </w: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ind w:left="340"/>
              <w:spacing w:after="0" w:line="170" w:lineRule="exact"/>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169"/>
        </w:trPr>
        <w:tc>
          <w:tcPr>
            <w:tcW w:w="5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Statistics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14.2%</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38.7%</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Segment net income</w:t>
            </w: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64.7%</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March 31, 2024 compared with three months ended March 31,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revenues from the Regulated Natural Gas segment decreased by $116,964 or by 26.5% due to:</w:t>
      </w:r>
    </w:p>
    <w:p>
      <w:pPr>
        <w:spacing w:after="0" w:line="220" w:lineRule="exact"/>
        <w:rPr>
          <w:sz w:val="20"/>
          <w:szCs w:val="20"/>
          <w:color w:val="auto"/>
        </w:rPr>
      </w:pPr>
    </w:p>
    <w:p>
      <w:pPr>
        <w:ind w:left="340" w:right="240"/>
        <w:spacing w:after="0" w:line="229" w:lineRule="auto"/>
        <w:rPr>
          <w:sz w:val="20"/>
          <w:szCs w:val="20"/>
          <w:color w:val="auto"/>
        </w:rPr>
      </w:pPr>
      <w:r>
        <w:rPr>
          <w:rFonts w:ascii="Times New Roman" w:cs="Times New Roman" w:eastAsia="Times New Roman" w:hAnsi="Times New Roman"/>
          <w:sz w:val="22"/>
          <w:szCs w:val="22"/>
          <w:color w:val="auto"/>
        </w:rPr>
        <w:t>decrease in purchased gas costs of $116,314 during the quarter as compared to the prior period, refer to purchased gas costs discussion below for further information;</w:t>
      </w:r>
    </w:p>
    <w:p>
      <w:pPr>
        <w:ind w:left="340" w:right="1100"/>
        <w:spacing w:after="0" w:line="224" w:lineRule="auto"/>
        <w:rPr>
          <w:sz w:val="20"/>
          <w:szCs w:val="20"/>
          <w:color w:val="auto"/>
        </w:rPr>
      </w:pPr>
      <w:r>
        <w:rPr>
          <w:rFonts w:ascii="Times New Roman" w:cs="Times New Roman" w:eastAsia="Times New Roman" w:hAnsi="Times New Roman"/>
          <w:sz w:val="22"/>
          <w:szCs w:val="22"/>
          <w:color w:val="auto"/>
        </w:rPr>
        <w:t>decrease in customer assistance surcharge of $2,797, which has an equivalent offsetting amount in operations and maintenance expense; and offset by,</w:t>
      </w:r>
    </w:p>
    <w:p>
      <w:pPr>
        <w:spacing w:after="0"/>
        <w:rPr>
          <w:sz w:val="20"/>
          <w:szCs w:val="20"/>
          <w:color w:val="auto"/>
        </w:rPr>
      </w:pPr>
      <w:r>
        <w:rPr>
          <w:rFonts w:ascii="Times New Roman" w:cs="Times New Roman" w:eastAsia="Times New Roman" w:hAnsi="Times New Roman"/>
          <w:sz w:val="22"/>
          <w:szCs w:val="22"/>
          <w:color w:val="auto"/>
        </w:rPr>
        <w:t>an increase of $2,479 due to higher rates and other surcharges.</w:t>
      </w:r>
    </w:p>
    <w:p>
      <w:pPr>
        <w:spacing w:after="0" w:line="19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Operations and maintenance expense for the three months ended March 31, 2024 decreased by $11,233 or 19.7% primarily due to the following:</w:t>
      </w:r>
    </w:p>
    <w:p>
      <w:pPr>
        <w:spacing w:after="0" w:line="172" w:lineRule="exact"/>
        <w:rPr>
          <w:sz w:val="20"/>
          <w:szCs w:val="20"/>
          <w:color w:val="auto"/>
        </w:rPr>
      </w:pPr>
    </w:p>
    <w:p>
      <w:pPr>
        <w:ind w:left="340" w:right="1040"/>
        <w:spacing w:after="0" w:line="235" w:lineRule="auto"/>
        <w:rPr>
          <w:sz w:val="20"/>
          <w:szCs w:val="20"/>
          <w:color w:val="auto"/>
        </w:rPr>
      </w:pPr>
      <w:r>
        <w:rPr>
          <w:rFonts w:ascii="Times New Roman" w:cs="Times New Roman" w:eastAsia="Times New Roman" w:hAnsi="Times New Roman"/>
          <w:sz w:val="22"/>
          <w:szCs w:val="22"/>
          <w:color w:val="auto"/>
        </w:rPr>
        <w:t>decrease in customer assistance surcharge costs of $2,797, which has an equivalent offsetting amount in revenues; decrease in bad debt expense of $1,261;</w:t>
      </w:r>
    </w:p>
    <w:p>
      <w:pPr>
        <w:spacing w:after="0" w:line="1" w:lineRule="exact"/>
        <w:rPr>
          <w:sz w:val="20"/>
          <w:szCs w:val="20"/>
          <w:color w:val="auto"/>
        </w:rPr>
      </w:pPr>
    </w:p>
    <w:p>
      <w:pPr>
        <w:ind w:left="340" w:right="100"/>
        <w:spacing w:after="0" w:line="221" w:lineRule="auto"/>
        <w:rPr>
          <w:sz w:val="20"/>
          <w:szCs w:val="20"/>
          <w:color w:val="auto"/>
        </w:rPr>
      </w:pPr>
      <w:r>
        <w:rPr>
          <w:rFonts w:ascii="Times New Roman" w:cs="Times New Roman" w:eastAsia="Times New Roman" w:hAnsi="Times New Roman"/>
          <w:sz w:val="22"/>
          <w:szCs w:val="22"/>
          <w:color w:val="auto"/>
        </w:rPr>
        <w:t>decrease in operation and maintenance expense of $1,712 as a result of the sale of both the regulated natural gas utility assets in West Virginia in October 2023 and the three non-utility local microgrid and distributed energy projects in January 2024; and</w:t>
      </w:r>
    </w:p>
    <w:p>
      <w:pPr>
        <w:spacing w:after="0" w:line="3" w:lineRule="exact"/>
        <w:rPr>
          <w:sz w:val="20"/>
          <w:szCs w:val="20"/>
          <w:color w:val="auto"/>
        </w:rPr>
      </w:pPr>
    </w:p>
    <w:p>
      <w:pPr>
        <w:ind w:left="340" w:right="200"/>
        <w:spacing w:after="0" w:line="231" w:lineRule="auto"/>
        <w:rPr>
          <w:sz w:val="20"/>
          <w:szCs w:val="20"/>
          <w:color w:val="auto"/>
        </w:rPr>
      </w:pPr>
      <w:r>
        <w:rPr>
          <w:rFonts w:ascii="Times New Roman" w:cs="Times New Roman" w:eastAsia="Times New Roman" w:hAnsi="Times New Roman"/>
          <w:sz w:val="22"/>
          <w:szCs w:val="22"/>
          <w:color w:val="auto"/>
        </w:rPr>
        <w:t>decrease in outside services and other expenses due to higher capitalization as a result of greater capital spend in the current period.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5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5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2"/>
          <w:szCs w:val="22"/>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Fluctuations in the cost of purchased gas impact operating revenues on a dollar-for-dollar basis. Purchased gas decreased by $116,314 or 48.1% as a result of the impact of: (1) decrease in the average cost of gas of $107,122; (2) lower gas usage of $5,994 due to warmer weather conditions during the first quarter of 2024; and (3) the sale of Peoples West Virginia of $3,198 in October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Depreciation and amortization increased by $2,283 or 7.6% primarily due to continued capital investment.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Taxes other than income taxes increased by $1,599 or 28.4% primarily due an increase in property taxes and payroll taxes.</w:t>
      </w:r>
    </w:p>
    <w:p>
      <w:pPr>
        <w:spacing w:after="0" w:line="21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expense, net </w:t>
      </w:r>
      <w:r>
        <w:rPr>
          <w:rFonts w:ascii="Times New Roman" w:cs="Times New Roman" w:eastAsia="Times New Roman" w:hAnsi="Times New Roman"/>
          <w:sz w:val="22"/>
          <w:szCs w:val="22"/>
          <w:color w:val="auto"/>
        </w:rPr>
        <w:t>– Interest expense, net, decreased by $2,151 or 7.8% due to interest incurred in the first quarter of 2023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refunded gas cost collections, partially offset by an increase in interest expense resulting from higher push down debt borrowings of the Regulated Natural Gas segment with Essential Utilities, Inc.</w:t>
      </w:r>
    </w:p>
    <w:p>
      <w:pPr>
        <w:spacing w:after="0" w:line="191"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22"/>
          <w:szCs w:val="22"/>
          <w:color w:val="auto"/>
        </w:rPr>
        <w:t>Gain on sale of assets was $91,581 and $0 during the first quarters of 2024 and 2023, respectively. During the first quarter of 2024, the Company completed the sale of its interest in three non-utility local microgrid and distributed energy projects and recognized a gain of $91,236.</w:t>
      </w:r>
    </w:p>
    <w:p>
      <w:pPr>
        <w:spacing w:after="0" w:line="186"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Income tax benefit </w:t>
      </w:r>
      <w:r>
        <w:rPr>
          <w:rFonts w:ascii="Times New Roman" w:cs="Times New Roman" w:eastAsia="Times New Roman" w:hAnsi="Times New Roman"/>
          <w:sz w:val="22"/>
          <w:szCs w:val="22"/>
          <w:color w:val="auto"/>
        </w:rPr>
        <w:t>– Our effective income tax rate was a benefit of 16.1% in the first quarter of 2024, compared to a benefit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54.3% in the first quarter of 2023. The decrease in the income tax benefit is primarily attributed to the gain recognized from the sale of the Company’s interest in three non-utility local microgrid and distributed energy projects in the first quarter of 2024 partially offset by the increase in income tax benefit associated with the tax deduction for continued qualifying infrastructure investment.</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Impact of Recent Accounting Pronouncements</w:t>
      </w:r>
    </w:p>
    <w:p>
      <w:pPr>
        <w:spacing w:after="0" w:line="216" w:lineRule="exact"/>
        <w:rPr>
          <w:sz w:val="20"/>
          <w:szCs w:val="20"/>
          <w:color w:val="auto"/>
        </w:rPr>
      </w:pPr>
    </w:p>
    <w:p>
      <w:pPr>
        <w:ind w:right="1060"/>
        <w:spacing w:after="0" w:line="249" w:lineRule="auto"/>
        <w:rPr>
          <w:sz w:val="20"/>
          <w:szCs w:val="20"/>
          <w:color w:val="auto"/>
        </w:rPr>
      </w:pPr>
      <w:r>
        <w:rPr>
          <w:rFonts w:ascii="Times New Roman" w:cs="Times New Roman" w:eastAsia="Times New Roman" w:hAnsi="Times New Roman"/>
          <w:sz w:val="22"/>
          <w:szCs w:val="22"/>
          <w:color w:val="auto"/>
        </w:rPr>
        <w:t xml:space="preserve">We describe the impact of recent accounting pronouncements in Note 16, </w:t>
      </w:r>
      <w:r>
        <w:rPr>
          <w:rFonts w:ascii="Times New Roman" w:cs="Times New Roman" w:eastAsia="Times New Roman" w:hAnsi="Times New Roman"/>
          <w:sz w:val="22"/>
          <w:szCs w:val="22"/>
          <w:i w:val="1"/>
          <w:iCs w:val="1"/>
          <w:color w:val="auto"/>
        </w:rPr>
        <w:t>Recent Accounting Pronouncements</w:t>
      </w:r>
      <w:r>
        <w:rPr>
          <w:rFonts w:ascii="Times New Roman" w:cs="Times New Roman" w:eastAsia="Times New Roman" w:hAnsi="Times New Roman"/>
          <w:sz w:val="22"/>
          <w:szCs w:val="22"/>
          <w:color w:val="auto"/>
        </w:rPr>
        <w:t>, to the consolidated financial statements in this report.</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3 – Quantitative and Qualitative Disclosures About Market Risk</w:t>
      </w:r>
    </w:p>
    <w:p>
      <w:pPr>
        <w:spacing w:after="0" w:line="206" w:lineRule="exact"/>
        <w:rPr>
          <w:sz w:val="20"/>
          <w:szCs w:val="20"/>
          <w:color w:val="auto"/>
        </w:rPr>
      </w:pPr>
    </w:p>
    <w:p>
      <w:pPr>
        <w:jc w:val="both"/>
        <w:ind w:right="300"/>
        <w:spacing w:after="0" w:line="238" w:lineRule="auto"/>
        <w:rPr>
          <w:sz w:val="20"/>
          <w:szCs w:val="20"/>
          <w:color w:val="auto"/>
        </w:rPr>
      </w:pPr>
      <w:r>
        <w:rPr>
          <w:rFonts w:ascii="Times New Roman" w:cs="Times New Roman" w:eastAsia="Times New Roman" w:hAnsi="Times New Roman"/>
          <w:sz w:val="22"/>
          <w:szCs w:val="22"/>
          <w:color w:val="auto"/>
        </w:rPr>
        <w:t>We are subject to market risks in the normal course of business, including changes in interest rates and equity prices. Refer to Item 7A of the Company’s Annual Report on Form 10-K for the year ended December 31, 2023, filed February 29, 2024, for additional information on market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 Controls and Procedures</w:t>
      </w:r>
    </w:p>
    <w:p>
      <w:pPr>
        <w:spacing w:after="0" w:line="220"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Evaluation of Disclosure Controls and Procedures</w:t>
      </w:r>
    </w:p>
    <w:p>
      <w:pPr>
        <w:spacing w:after="0" w:line="20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1"/>
          <w:szCs w:val="21"/>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9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Internal Control over Financial Reporting</w:t>
      </w:r>
    </w:p>
    <w:p>
      <w:pPr>
        <w:spacing w:after="0" w:line="20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2"/>
          <w:szCs w:val="22"/>
          <w:color w:val="auto"/>
        </w:rPr>
        <w:t>No change in our internal control over financial reporting occurred during the quarter ended March 31, 2024 that has materially affected, or is reasonably likely to materially affect, our internal control over financial reporting.</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 – Legal Proceedings</w:t>
      </w:r>
    </w:p>
    <w:p>
      <w:pPr>
        <w:spacing w:after="0" w:line="220" w:lineRule="exact"/>
        <w:rPr>
          <w:sz w:val="20"/>
          <w:szCs w:val="20"/>
          <w:color w:val="auto"/>
        </w:rPr>
      </w:pPr>
    </w:p>
    <w:p>
      <w:pPr>
        <w:ind w:right="540"/>
        <w:spacing w:after="0" w:line="245" w:lineRule="auto"/>
        <w:rPr>
          <w:sz w:val="20"/>
          <w:szCs w:val="20"/>
          <w:color w:val="auto"/>
        </w:rPr>
      </w:pPr>
      <w:r>
        <w:rPr>
          <w:rFonts w:ascii="Times New Roman" w:cs="Times New Roman" w:eastAsia="Times New Roman" w:hAnsi="Times New Roman"/>
          <w:sz w:val="22"/>
          <w:szCs w:val="22"/>
          <w:color w:val="auto"/>
        </w:rPr>
        <w:t>For a discussion of the Company’s legal proceedings, see Part I – Item I – Note 14 to the Company’s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1A – Risk Factors</w:t>
      </w:r>
    </w:p>
    <w:p>
      <w:pPr>
        <w:spacing w:after="0" w:line="22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2"/>
          <w:szCs w:val="22"/>
          <w:color w:val="auto"/>
        </w:rPr>
        <w:t>Please review the risks disclosed in our Annual Report on Form 10-K for the year ended December 31, 2023, under “Part 1, Item 1A – Risk Factors”.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5 -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 Amendments to the Form of Stock Award Agreements</w:t>
      </w:r>
    </w:p>
    <w:p>
      <w:pPr>
        <w:spacing w:after="0" w:line="22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On May 2, 2024, the Board of Directors approved amendments to the forms of award agreements for the grant of Restricted Stock Units (“RSUs”), Performance-based Share Units (“PSUs”) and stock options to acquire shares of common stock to certain officers of the Company, including the named executive officers. The amendments amend the definition of “Retirement” under the award agreements to mean (i) the executive’s voluntary termination of employment after (A) the executive has attained age fifty-five (55) and has five (5) full years of service with the Company or (B) a combination of age and years of service equal to at least 60, and (ii) the executive has provided the Company at least six (6) months’ advance written notice</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22"/>
          <w:szCs w:val="22"/>
          <w:color w:val="auto"/>
        </w:rPr>
        <w:t>of such Retirement. In the event of a Retirement, all outstanding awards under the award agreement accelerate and vest in full. However, if a change in control of the Company occurs, the provisions in the award agreement with respect to the impact of a change in control supersede this amended Retirement provision. The changes to the award agreements will apply prospectively to any new awards made to the designated officers.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 Security Trading Plans of Directors and Executive Officers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During the quarter ended March 31, 2024, none of the Company’s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 – Exhibits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8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216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10.1*!</w:t>
            </w: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Form of 2025 Restricted Stock Unit Grant Terms and Conditions for Certain Officers and Executive Officers</w:t>
            </w:r>
          </w:p>
        </w:tc>
      </w:tr>
      <w:tr>
        <w:trPr>
          <w:trHeight w:val="189"/>
        </w:trPr>
        <w:tc>
          <w:tcPr>
            <w:tcW w:w="2160" w:type="dxa"/>
            <w:vAlign w:val="bottom"/>
            <w:tcBorders>
              <w:top w:val="single" w:sz="8" w:color="CCEEFF"/>
            </w:tcBorders>
          </w:tcPr>
          <w:p>
            <w:pPr>
              <w:spacing w:after="0"/>
              <w:rPr>
                <w:sz w:val="16"/>
                <w:szCs w:val="16"/>
                <w:color w:val="auto"/>
              </w:rPr>
            </w:pPr>
          </w:p>
        </w:tc>
        <w:tc>
          <w:tcPr>
            <w:tcW w:w="618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540" w:type="dxa"/>
            <w:vAlign w:val="bottom"/>
            <w:tcBorders>
              <w:top w:val="single" w:sz="8" w:color="0563C1"/>
            </w:tcBorders>
          </w:tcPr>
          <w:p>
            <w:pPr>
              <w:spacing w:after="0"/>
              <w:rPr>
                <w:sz w:val="16"/>
                <w:szCs w:val="16"/>
                <w:color w:val="auto"/>
              </w:rPr>
            </w:pPr>
          </w:p>
        </w:tc>
        <w:tc>
          <w:tcPr>
            <w:tcW w:w="800" w:type="dxa"/>
            <w:vAlign w:val="bottom"/>
            <w:tcBorders>
              <w:top w:val="single" w:sz="8" w:color="0563C1"/>
            </w:tcBorders>
          </w:tcPr>
          <w:p>
            <w:pPr>
              <w:spacing w:after="0"/>
              <w:rPr>
                <w:sz w:val="16"/>
                <w:szCs w:val="16"/>
                <w:color w:val="auto"/>
              </w:rPr>
            </w:pPr>
          </w:p>
        </w:tc>
        <w:tc>
          <w:tcPr>
            <w:tcW w:w="260" w:type="dxa"/>
            <w:vAlign w:val="bottom"/>
            <w:tcBorders>
              <w:top w:val="single" w:sz="8" w:color="0563C1"/>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10.2*!</w:t>
            </w: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Form of 2025 Stock Option Terms and Conditions for Certain Officers and Executive Officers</w:t>
            </w:r>
          </w:p>
        </w:tc>
      </w:tr>
      <w:tr>
        <w:trPr>
          <w:trHeight w:val="189"/>
        </w:trPr>
        <w:tc>
          <w:tcPr>
            <w:tcW w:w="2160" w:type="dxa"/>
            <w:vAlign w:val="bottom"/>
            <w:tcBorders>
              <w:top w:val="single" w:sz="8" w:color="CCEEFF"/>
            </w:tcBorders>
          </w:tcPr>
          <w:p>
            <w:pPr>
              <w:spacing w:after="0"/>
              <w:rPr>
                <w:sz w:val="16"/>
                <w:szCs w:val="16"/>
                <w:color w:val="auto"/>
              </w:rPr>
            </w:pPr>
          </w:p>
        </w:tc>
        <w:tc>
          <w:tcPr>
            <w:tcW w:w="618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540" w:type="dxa"/>
            <w:vAlign w:val="bottom"/>
            <w:tcBorders>
              <w:top w:val="single" w:sz="8" w:color="0563C1"/>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10.3*!</w:t>
            </w: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Form of 2025 Performance Stock Unit Terms and Conditions for Certain Officers and Executive Officers</w:t>
            </w:r>
          </w:p>
        </w:tc>
      </w:tr>
      <w:tr>
        <w:trPr>
          <w:trHeight w:val="189"/>
        </w:trPr>
        <w:tc>
          <w:tcPr>
            <w:tcW w:w="2160" w:type="dxa"/>
            <w:vAlign w:val="bottom"/>
            <w:tcBorders>
              <w:top w:val="single" w:sz="8" w:color="CCEEFF"/>
            </w:tcBorders>
          </w:tcPr>
          <w:p>
            <w:pPr>
              <w:spacing w:after="0"/>
              <w:rPr>
                <w:sz w:val="16"/>
                <w:szCs w:val="16"/>
                <w:color w:val="auto"/>
              </w:rPr>
            </w:pPr>
          </w:p>
        </w:tc>
        <w:tc>
          <w:tcPr>
            <w:tcW w:w="618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540" w:type="dxa"/>
            <w:vAlign w:val="bottom"/>
            <w:tcBorders>
              <w:top w:val="single" w:sz="8" w:color="0563C1"/>
            </w:tcBorders>
          </w:tcPr>
          <w:p>
            <w:pPr>
              <w:spacing w:after="0"/>
              <w:rPr>
                <w:sz w:val="16"/>
                <w:szCs w:val="16"/>
                <w:color w:val="auto"/>
              </w:rPr>
            </w:pPr>
          </w:p>
        </w:tc>
        <w:tc>
          <w:tcPr>
            <w:tcW w:w="800" w:type="dxa"/>
            <w:vAlign w:val="bottom"/>
            <w:tcBorders>
              <w:top w:val="single" w:sz="8" w:color="0563C1"/>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31.1*</w:t>
            </w: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filed pursuant to Rule 13a-14(a) under the Securities and Exchange Act of 1934</w:t>
            </w:r>
          </w:p>
        </w:tc>
      </w:tr>
      <w:tr>
        <w:trPr>
          <w:trHeight w:val="230"/>
        </w:trPr>
        <w:tc>
          <w:tcPr>
            <w:tcW w:w="2160" w:type="dxa"/>
            <w:vAlign w:val="bottom"/>
            <w:tcBorders>
              <w:top w:val="single" w:sz="8" w:color="CCEEFF"/>
            </w:tcBorders>
          </w:tcPr>
          <w:p>
            <w:pPr>
              <w:spacing w:after="0"/>
              <w:rPr>
                <w:sz w:val="19"/>
                <w:szCs w:val="19"/>
                <w:color w:val="auto"/>
              </w:rPr>
            </w:pPr>
          </w:p>
        </w:tc>
        <w:tc>
          <w:tcPr>
            <w:tcW w:w="61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80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8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31.2*</w:t>
            </w: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filed pursuant to Rule 13a-14(a) under the Securities and Exchange Act of 1934</w:t>
            </w:r>
          </w:p>
        </w:tc>
      </w:tr>
      <w:tr>
        <w:trPr>
          <w:trHeight w:val="230"/>
        </w:trPr>
        <w:tc>
          <w:tcPr>
            <w:tcW w:w="2160" w:type="dxa"/>
            <w:vAlign w:val="bottom"/>
            <w:tcBorders>
              <w:top w:val="single" w:sz="8" w:color="CCEEFF"/>
            </w:tcBorders>
          </w:tcPr>
          <w:p>
            <w:pPr>
              <w:spacing w:after="0"/>
              <w:rPr>
                <w:sz w:val="19"/>
                <w:szCs w:val="19"/>
                <w:color w:val="auto"/>
              </w:rPr>
            </w:pPr>
          </w:p>
        </w:tc>
        <w:tc>
          <w:tcPr>
            <w:tcW w:w="61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80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82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32.1*</w:t>
            </w: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furnished pursuant to 18 U.S.C. Section 1350</w:t>
            </w:r>
          </w:p>
        </w:tc>
      </w:tr>
      <w:tr>
        <w:trPr>
          <w:trHeight w:val="229"/>
        </w:trPr>
        <w:tc>
          <w:tcPr>
            <w:tcW w:w="2160" w:type="dxa"/>
            <w:vAlign w:val="bottom"/>
            <w:tcBorders>
              <w:top w:val="single" w:sz="8" w:color="CCEEFF"/>
            </w:tcBorders>
          </w:tcPr>
          <w:p>
            <w:pPr>
              <w:spacing w:after="0"/>
              <w:rPr>
                <w:sz w:val="19"/>
                <w:szCs w:val="19"/>
                <w:color w:val="auto"/>
              </w:rPr>
            </w:pPr>
          </w:p>
        </w:tc>
        <w:tc>
          <w:tcPr>
            <w:tcW w:w="61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32.2*</w:t>
            </w: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furnished pursuant to 18 U.S.C. Section 1350</w:t>
            </w:r>
          </w:p>
        </w:tc>
      </w:tr>
      <w:tr>
        <w:trPr>
          <w:trHeight w:val="229"/>
        </w:trPr>
        <w:tc>
          <w:tcPr>
            <w:tcW w:w="2160" w:type="dxa"/>
            <w:vAlign w:val="bottom"/>
            <w:tcBorders>
              <w:top w:val="single" w:sz="8" w:color="CCEEFF"/>
            </w:tcBorders>
          </w:tcPr>
          <w:p>
            <w:pPr>
              <w:spacing w:after="0"/>
              <w:rPr>
                <w:sz w:val="19"/>
                <w:szCs w:val="19"/>
                <w:color w:val="auto"/>
              </w:rPr>
            </w:pPr>
          </w:p>
        </w:tc>
        <w:tc>
          <w:tcPr>
            <w:tcW w:w="618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r>
      <w:tr>
        <w:trPr>
          <w:trHeight w:val="157"/>
        </w:trPr>
        <w:tc>
          <w:tcPr>
            <w:tcW w:w="21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101.INS</w:t>
            </w:r>
          </w:p>
        </w:tc>
        <w:tc>
          <w:tcPr>
            <w:tcW w:w="908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189"/>
        </w:trPr>
        <w:tc>
          <w:tcPr>
            <w:tcW w:w="21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89"/>
        </w:trPr>
        <w:tc>
          <w:tcPr>
            <w:tcW w:w="21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189"/>
        </w:trPr>
        <w:tc>
          <w:tcPr>
            <w:tcW w:w="21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89"/>
        </w:trPr>
        <w:tc>
          <w:tcPr>
            <w:tcW w:w="21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189"/>
        </w:trPr>
        <w:tc>
          <w:tcPr>
            <w:tcW w:w="21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101.PRES</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189"/>
        </w:trPr>
        <w:tc>
          <w:tcPr>
            <w:tcW w:w="21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57"/>
        </w:trPr>
        <w:tc>
          <w:tcPr>
            <w:tcW w:w="21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104</w:t>
            </w:r>
          </w:p>
        </w:tc>
        <w:tc>
          <w:tcPr>
            <w:tcW w:w="908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March 31, 2024, formatted in</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(included in Exhibit 101)</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*Filed herewith.</w:t>
      </w:r>
    </w:p>
    <w:p>
      <w:pPr>
        <w:spacing w:after="0" w:line="1" w:lineRule="exact"/>
        <w:rPr>
          <w:sz w:val="20"/>
          <w:szCs w:val="20"/>
          <w:color w:val="auto"/>
        </w:rPr>
      </w:pPr>
    </w:p>
    <w:p>
      <w:pPr>
        <w:ind w:left="5520" w:right="5080" w:hanging="5512"/>
        <w:spacing w:after="0" w:line="942" w:lineRule="auto"/>
        <w:tabs>
          <w:tab w:leader="none" w:pos="13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Indicates management contract or compensatory plan or arrangement.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SIGNATURES</w:t>
      </w:r>
    </w:p>
    <w:p>
      <w:pPr>
        <w:spacing w:after="0" w:line="8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executed on its behalf by the undersigned thereunto duly authorized.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8, 2024</w:t>
      </w:r>
    </w:p>
    <w:p>
      <w:pPr>
        <w:spacing w:after="0" w:line="17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Christopher H. Franklin</w:t>
      </w:r>
    </w:p>
    <w:p>
      <w:pPr>
        <w:ind w:left="6300"/>
        <w:spacing w:after="0" w:line="217" w:lineRule="auto"/>
        <w:rPr>
          <w:sz w:val="20"/>
          <w:szCs w:val="20"/>
          <w:color w:val="auto"/>
        </w:rPr>
      </w:pPr>
      <w:r>
        <w:rPr>
          <w:rFonts w:ascii="Times New Roman" w:cs="Times New Roman" w:eastAsia="Times New Roman" w:hAnsi="Times New Roman"/>
          <w:sz w:val="22"/>
          <w:szCs w:val="22"/>
          <w:color w:val="auto"/>
        </w:rPr>
        <w:t>Chairman,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Daniel J. Schuller</w:t>
      </w:r>
    </w:p>
    <w:p>
      <w:pPr>
        <w:ind w:left="6300"/>
        <w:spacing w:after="0" w:line="217" w:lineRule="auto"/>
        <w:rPr>
          <w:sz w:val="20"/>
          <w:szCs w:val="20"/>
          <w:color w:val="auto"/>
        </w:rPr>
      </w:pPr>
      <w:r>
        <w:rPr>
          <w:rFonts w:ascii="Times New Roman" w:cs="Times New Roman" w:eastAsia="Times New Roman" w:hAnsi="Times New Roman"/>
          <w:sz w:val="22"/>
          <w:szCs w:val="22"/>
          <w:color w:val="auto"/>
        </w:rPr>
        <w:t>Executive Vice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100"/>
          </w:cols>
          <w:pgMar w:left="320" w:top="112" w:right="479" w:bottom="1440" w:gutter="0" w:footer="0" w:header="0"/>
        </w:sectPr>
      </w:pPr>
    </w:p>
    <w:bookmarkStart w:id="42" w:name="page43"/>
    <w:bookmarkEnd w:id="42"/>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ESSENTIAL UTILITIES, INC.</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EQUITY COMPENSATION PLAN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2025 RESTRICTED STOCK UNIT GRANT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TERMS AND CONDITIONS</w:t>
      </w:r>
    </w:p>
    <w:p>
      <w:pPr>
        <w:spacing w:after="0" w:line="182" w:lineRule="exact"/>
        <w:rPr>
          <w:sz w:val="20"/>
          <w:szCs w:val="20"/>
          <w:color w:val="auto"/>
        </w:rPr>
      </w:pPr>
    </w:p>
    <w:p>
      <w:pPr>
        <w:ind w:left="860" w:hanging="676"/>
        <w:spacing w:after="0"/>
        <w:tabs>
          <w:tab w:leader="none" w:pos="8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379" w:firstLine="648"/>
        <w:spacing w:after="0" w:line="234" w:lineRule="auto"/>
        <w:rPr>
          <w:sz w:val="20"/>
          <w:szCs w:val="20"/>
          <w:color w:val="auto"/>
        </w:rPr>
      </w:pPr>
      <w:r>
        <w:rPr>
          <w:rFonts w:ascii="Times New Roman" w:cs="Times New Roman" w:eastAsia="Times New Roman" w:hAnsi="Times New Roman"/>
          <w:sz w:val="22"/>
          <w:szCs w:val="22"/>
          <w:color w:val="auto"/>
        </w:rPr>
        <w:t>These Restricted Stock Unit Grant Terms and Conditions (the “Grant Conditions”) shall apply and be part of the grant made by Essential Utilities Inc., a Pennsylvania corporation (the “Company”), to the Grantee named in the Restricted Stock Unit Grant (the “Restricted Stock Unit Grant”) to which these Grant Conditions are attached (the “Grantee”), under the terms and provisions of the Essential Utilities Inc. Amended and Restated Equity Compensation Plan, as amended and restated (the “Plan”). The applicable provisions of the Plan are incorporated into these Grant Conditions by reference, including the definitions of terms contained in the Plan (unless such terms are otherwise defined herein). The Grantee is an employee of the Company, its subsidiaries or its Affiliates (collectively, the “Employer”).</w:t>
      </w:r>
    </w:p>
    <w:p>
      <w:pPr>
        <w:spacing w:after="0" w:line="183" w:lineRule="exact"/>
        <w:rPr>
          <w:sz w:val="20"/>
          <w:szCs w:val="20"/>
          <w:color w:val="auto"/>
        </w:rPr>
      </w:pPr>
    </w:p>
    <w:p>
      <w:pPr>
        <w:ind w:left="180" w:right="359" w:firstLine="648"/>
        <w:spacing w:after="0" w:line="236" w:lineRule="auto"/>
        <w:rPr>
          <w:sz w:val="20"/>
          <w:szCs w:val="20"/>
          <w:color w:val="auto"/>
        </w:rPr>
      </w:pPr>
      <w:r>
        <w:rPr>
          <w:rFonts w:ascii="Times New Roman" w:cs="Times New Roman" w:eastAsia="Times New Roman" w:hAnsi="Times New Roman"/>
          <w:sz w:val="22"/>
          <w:szCs w:val="22"/>
          <w:color w:val="auto"/>
        </w:rPr>
        <w:t>Subject to the terms and vesting conditions hereinafter set forth, the Company, with the approval and at the direction of the Executive Compensation Committee (the “Committee”) of the Company’s Board of Directors (the “Board”), has granted to the Grantee the number of restricted stock units specified in the Restricted Stock Unit Grant (the “Restricted Units”). The Restricted Units shall become vested as set forth in these Grant Conditions and Grant. The Restricted Units are granted with Dividend Equivalents (as defined in Section 8).</w:t>
      </w:r>
    </w:p>
    <w:p>
      <w:pPr>
        <w:spacing w:after="0" w:line="181" w:lineRule="exact"/>
        <w:rPr>
          <w:sz w:val="20"/>
          <w:szCs w:val="20"/>
          <w:color w:val="auto"/>
        </w:rPr>
      </w:pPr>
    </w:p>
    <w:p>
      <w:pPr>
        <w:ind w:left="860" w:hanging="676"/>
        <w:spacing w:after="0"/>
        <w:tabs>
          <w:tab w:leader="none" w:pos="8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Unit Account.</w:t>
      </w:r>
    </w:p>
    <w:p>
      <w:pPr>
        <w:spacing w:after="0" w:line="206" w:lineRule="exact"/>
        <w:rPr>
          <w:sz w:val="20"/>
          <w:szCs w:val="20"/>
          <w:color w:val="auto"/>
        </w:rPr>
      </w:pPr>
    </w:p>
    <w:p>
      <w:pPr>
        <w:ind w:left="180" w:right="199" w:firstLine="648"/>
        <w:spacing w:after="0" w:line="234" w:lineRule="auto"/>
        <w:rPr>
          <w:sz w:val="20"/>
          <w:szCs w:val="20"/>
          <w:color w:val="auto"/>
        </w:rPr>
      </w:pPr>
      <w:r>
        <w:rPr>
          <w:rFonts w:ascii="Times New Roman" w:cs="Times New Roman" w:eastAsia="Times New Roman" w:hAnsi="Times New Roman"/>
          <w:sz w:val="22"/>
          <w:szCs w:val="22"/>
          <w:color w:val="auto"/>
        </w:rPr>
        <w:t>Restricted Units represent hypothetical shares of common stock of the Company (“Company Stock”), and not actual shares of Company Stock. The Company shall establish and maintain a Restricted Unit account, as a bookkeeping account on its records, for the Grantee and shall record in such account the number of Restricted Units granted to the Grantee. No shares of Company Stock shall be issued to the Grantee at the time the grant is made, and the Grantee shall not be, nor have any of the rights or privileges of, a shareholder of the Company with respect to any Restricted Units recorded in the account, including no voting rights and no rights to receive dividends (other than Dividend Equivalents). The Grantee shall not have any interest in any fund or specific assets of the Company by reason of this award or the Restricted Unit account established for the Grantee.</w:t>
      </w:r>
    </w:p>
    <w:p>
      <w:pPr>
        <w:spacing w:after="0" w:line="179" w:lineRule="exact"/>
        <w:rPr>
          <w:sz w:val="20"/>
          <w:szCs w:val="20"/>
          <w:color w:val="auto"/>
        </w:rPr>
      </w:pPr>
    </w:p>
    <w:p>
      <w:pPr>
        <w:ind w:left="860" w:hanging="676"/>
        <w:spacing w:after="0"/>
        <w:tabs>
          <w:tab w:leader="none" w:pos="8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spacing w:after="0" w:line="239" w:lineRule="auto"/>
        <w:rPr>
          <w:sz w:val="20"/>
          <w:szCs w:val="20"/>
          <w:color w:val="auto"/>
        </w:rPr>
      </w:pPr>
      <w:r>
        <w:rPr>
          <w:rFonts w:ascii="Times New Roman" w:cs="Times New Roman" w:eastAsia="Times New Roman" w:hAnsi="Times New Roman"/>
          <w:sz w:val="22"/>
          <w:szCs w:val="22"/>
          <w:color w:val="auto"/>
        </w:rPr>
        <w:t>Except as otherwise set forth in these Grant Conditions, the Grantee shall vest and receive payment with respect to the Restricted Units on the Vesting Date specified in the Restricted Stock Unit Grant (the “Vesting Date”), provided that the Grantee continues to be employed by the Employer through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119380</wp:posOffset>
            </wp:positionV>
            <wp:extent cx="552894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3" w:name="page44"/>
    <w:bookmarkEnd w:id="43"/>
    <w:p>
      <w:pPr>
        <w:ind w:left="860" w:hanging="676"/>
        <w:spacing w:after="0"/>
        <w:tabs>
          <w:tab w:leader="none" w:pos="8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on Account of Retirement, Death, or Disability.</w:t>
      </w:r>
    </w:p>
    <w:p>
      <w:pPr>
        <w:spacing w:after="0" w:line="206" w:lineRule="exact"/>
        <w:rPr>
          <w:rFonts w:ascii="Times New Roman" w:cs="Times New Roman" w:eastAsia="Times New Roman" w:hAnsi="Times New Roman"/>
          <w:sz w:val="22"/>
          <w:szCs w:val="22"/>
          <w:color w:val="auto"/>
        </w:rPr>
      </w:pPr>
    </w:p>
    <w:p>
      <w:pPr>
        <w:ind w:left="180" w:right="479" w:firstLine="652"/>
        <w:spacing w:after="0" w:line="282" w:lineRule="auto"/>
        <w:tabs>
          <w:tab w:leader="none" w:pos="1473"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described below, if the Grantee ceases to be employed by the Employer prior to the Vesting Date, the Restricted Units shall be forfeited as of the termination date.</w:t>
      </w:r>
    </w:p>
    <w:p>
      <w:pPr>
        <w:spacing w:after="0" w:line="134" w:lineRule="exact"/>
        <w:rPr>
          <w:rFonts w:ascii="Times New Roman" w:cs="Times New Roman" w:eastAsia="Times New Roman" w:hAnsi="Times New Roman"/>
          <w:sz w:val="21"/>
          <w:szCs w:val="21"/>
          <w:color w:val="auto"/>
        </w:rPr>
      </w:pPr>
    </w:p>
    <w:p>
      <w:pPr>
        <w:ind w:left="180" w:right="239" w:firstLine="652"/>
        <w:spacing w:after="0" w:line="234" w:lineRule="auto"/>
        <w:tabs>
          <w:tab w:leader="none" w:pos="1485"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5(b), if the Grantee ceases to be employed by the Employer prior to the Vesting Date on account of the Grantee’s Retirement (defined below), the Grantee shall vest in the unvested Restricted Units upon such Retirement. Shares of Company Stock equal to the the Restricted Units that so vest shall be issued to the Grantee within sixty (60) days following the Grantee’s Retirement date, subject to applicable tax withholding and subject to Section 19 below. For purposes of these Grant Conditions, “Retirement” shall mean (i) the Grantee’s voluntary termination of employment after (A) the Grantee has attained age fifty-five (55) and has five (5) full years of service with the Employer or (B a combination of age and years of service equal to at least 60, and (ii) the Grantee has provided the Company at least six (6) months’ advance written notice of such Retirement.</w:t>
      </w:r>
    </w:p>
    <w:p>
      <w:pPr>
        <w:spacing w:after="0" w:line="179" w:lineRule="exact"/>
        <w:rPr>
          <w:rFonts w:ascii="Times New Roman" w:cs="Times New Roman" w:eastAsia="Times New Roman" w:hAnsi="Times New Roman"/>
          <w:sz w:val="22"/>
          <w:szCs w:val="22"/>
          <w:color w:val="auto"/>
        </w:rPr>
      </w:pPr>
    </w:p>
    <w:p>
      <w:pPr>
        <w:ind w:left="180" w:right="299" w:firstLine="652"/>
        <w:spacing w:after="0" w:line="238" w:lineRule="auto"/>
        <w:tabs>
          <w:tab w:leader="none" w:pos="1473"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ceases to be employed by the Employer prior to the Vesting Date on account of the Grantee’s death or Disability, the Grantee’s Restricted Units shall fully vest and shares of Company Stock equal to the vested Restricted Units shall be issued to the Grantee within sixty (60) days after the Grantee’s date of termination, subject to applicable tax withholding and subject to Section 19 below.</w:t>
      </w:r>
    </w:p>
    <w:p>
      <w:pPr>
        <w:spacing w:after="0" w:line="176" w:lineRule="exact"/>
        <w:rPr>
          <w:rFonts w:ascii="Times New Roman" w:cs="Times New Roman" w:eastAsia="Times New Roman" w:hAnsi="Times New Roman"/>
          <w:sz w:val="22"/>
          <w:szCs w:val="22"/>
          <w:color w:val="auto"/>
        </w:rPr>
      </w:pPr>
    </w:p>
    <w:p>
      <w:pPr>
        <w:ind w:left="860" w:hanging="676"/>
        <w:spacing w:after="0"/>
        <w:tabs>
          <w:tab w:leader="none" w:pos="8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p>
    <w:p>
      <w:pPr>
        <w:spacing w:after="0" w:line="206" w:lineRule="exact"/>
        <w:rPr>
          <w:rFonts w:ascii="Times New Roman" w:cs="Times New Roman" w:eastAsia="Times New Roman" w:hAnsi="Times New Roman"/>
          <w:sz w:val="22"/>
          <w:szCs w:val="22"/>
          <w:color w:val="auto"/>
        </w:rPr>
      </w:pPr>
    </w:p>
    <w:p>
      <w:pPr>
        <w:ind w:left="180" w:right="219" w:firstLine="652"/>
        <w:spacing w:after="0" w:line="236" w:lineRule="auto"/>
        <w:tabs>
          <w:tab w:leader="none" w:pos="1473"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in Section 5(d) below, if a Change in Control occurs prior to the Vesting Date, the Grantee’s Restricted Units shall remain outstanding and shall vest on the Vesting Date if the Grantee continues to be employed by the Employer through the Vesting Date. Shares of Company Stock (or other consideration, as described below) equal to the vested Restricted Units shall be issued to the Grantee within sixty (60) days after the Vesting Date, subject to applicable tax withholding and Section 19 below.</w:t>
      </w:r>
    </w:p>
    <w:p>
      <w:pPr>
        <w:spacing w:after="0" w:line="181" w:lineRule="exact"/>
        <w:rPr>
          <w:rFonts w:ascii="Times New Roman" w:cs="Times New Roman" w:eastAsia="Times New Roman" w:hAnsi="Times New Roman"/>
          <w:sz w:val="22"/>
          <w:szCs w:val="22"/>
          <w:color w:val="auto"/>
        </w:rPr>
      </w:pPr>
    </w:p>
    <w:p>
      <w:pPr>
        <w:ind w:left="180" w:right="359" w:firstLine="652"/>
        <w:spacing w:after="0" w:line="235" w:lineRule="auto"/>
        <w:tabs>
          <w:tab w:leader="none" w:pos="1485"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ceases to be employed by the Employer upon or following a Change in Control on account of (i) the Grantee’s Retirement, (ii) termination by the Employer without Cause, (iii) termination by the Grantee for Good Reason (defined below), or (iv) the Grantee’s Disability or death, the Grantee’s outstanding unvested Restricted Units shall fully vest. Shares of Company Stock (or such other consideration, as described below) equal to the Grantee’s vested Restricted Units shall be issued to the Grantee within sixty (60) days after the Grantee’s date of termination, subject to applicable tax withholding and Section 19 below.</w:t>
      </w:r>
    </w:p>
    <w:p>
      <w:pPr>
        <w:spacing w:after="0" w:line="183" w:lineRule="exact"/>
        <w:rPr>
          <w:rFonts w:ascii="Times New Roman" w:cs="Times New Roman" w:eastAsia="Times New Roman" w:hAnsi="Times New Roman"/>
          <w:sz w:val="22"/>
          <w:szCs w:val="22"/>
          <w:color w:val="auto"/>
        </w:rPr>
      </w:pPr>
    </w:p>
    <w:p>
      <w:pPr>
        <w:jc w:val="both"/>
        <w:ind w:left="180" w:right="239" w:firstLine="652"/>
        <w:spacing w:after="0" w:line="282" w:lineRule="auto"/>
        <w:tabs>
          <w:tab w:leader="none" w:pos="1473"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 terminates employment for any other reason prior to the Vesting Date, except as set forth in Section 4, the Restricted Units shall be forfeited as of the date of termination.</w:t>
      </w:r>
    </w:p>
    <w:p>
      <w:pPr>
        <w:spacing w:after="0" w:line="134" w:lineRule="exact"/>
        <w:rPr>
          <w:rFonts w:ascii="Times New Roman" w:cs="Times New Roman" w:eastAsia="Times New Roman" w:hAnsi="Times New Roman"/>
          <w:sz w:val="21"/>
          <w:szCs w:val="21"/>
          <w:color w:val="auto"/>
        </w:rPr>
      </w:pPr>
    </w:p>
    <w:p>
      <w:pPr>
        <w:ind w:left="180" w:right="419" w:firstLine="652"/>
        <w:spacing w:after="0" w:line="261" w:lineRule="auto"/>
        <w:tabs>
          <w:tab w:leader="none" w:pos="1485"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in connection with the Change in Control, shares of Company Stock are converted into the right to receive a cash payment or other form of consideration, the vested Restricted Units shall be payable in such form of consideration,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327660</wp:posOffset>
            </wp:positionV>
            <wp:extent cx="552894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44" w:name="page45"/>
    <w:bookmarkEnd w:id="44"/>
    <w:p>
      <w:pPr>
        <w:ind w:left="860" w:hanging="676"/>
        <w:spacing w:after="0"/>
        <w:tabs>
          <w:tab w:leader="none" w:pos="8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p>
    <w:p>
      <w:pPr>
        <w:spacing w:after="0" w:line="206" w:lineRule="exact"/>
        <w:rPr>
          <w:rFonts w:ascii="Times New Roman" w:cs="Times New Roman" w:eastAsia="Times New Roman" w:hAnsi="Times New Roman"/>
          <w:sz w:val="22"/>
          <w:szCs w:val="22"/>
          <w:color w:val="auto"/>
        </w:rPr>
      </w:pPr>
    </w:p>
    <w:p>
      <w:pPr>
        <w:ind w:left="180" w:right="339" w:firstLine="652"/>
        <w:spacing w:after="0" w:line="236" w:lineRule="auto"/>
        <w:tabs>
          <w:tab w:leader="none" w:pos="147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Grant Conditions, “Good Reason” shall have the meaning set forth in any written severance or employment agreement between the Grantee and Essential Utilities or, if there is no such agreement or such agreement does not define Good Reason, shall mean, except as otherwise provided in the last paragraph of this subsection, a termination of employment as a result of one or more of the following events, without the Grantee’s written consent to the event:</w:t>
      </w:r>
    </w:p>
    <w:p>
      <w:pPr>
        <w:spacing w:after="0" w:line="181" w:lineRule="exact"/>
        <w:rPr>
          <w:rFonts w:ascii="Times New Roman" w:cs="Times New Roman" w:eastAsia="Times New Roman" w:hAnsi="Times New Roman"/>
          <w:sz w:val="22"/>
          <w:szCs w:val="22"/>
          <w:color w:val="auto"/>
        </w:rPr>
      </w:pPr>
    </w:p>
    <w:p>
      <w:pPr>
        <w:ind w:left="180" w:right="239" w:firstLine="1300"/>
        <w:spacing w:after="0" w:line="258" w:lineRule="auto"/>
        <w:tabs>
          <w:tab w:leader="none" w:pos="2139"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inaction that constitutes a material breach by Essential Utilities (or any successor thereto) of this Agreement;</w:t>
      </w:r>
    </w:p>
    <w:p>
      <w:pPr>
        <w:spacing w:after="0" w:line="158" w:lineRule="exact"/>
        <w:rPr>
          <w:rFonts w:ascii="Times New Roman" w:cs="Times New Roman" w:eastAsia="Times New Roman" w:hAnsi="Times New Roman"/>
          <w:sz w:val="22"/>
          <w:szCs w:val="22"/>
          <w:color w:val="auto"/>
        </w:rPr>
      </w:pPr>
    </w:p>
    <w:p>
      <w:pPr>
        <w:ind w:left="180" w:right="839" w:firstLine="1300"/>
        <w:spacing w:after="0" w:line="258" w:lineRule="auto"/>
        <w:tabs>
          <w:tab w:leader="none" w:pos="2172"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of the authority, duties or responsibilities of the Grantee held immediately prior to the Change in Control;</w:t>
      </w:r>
    </w:p>
    <w:p>
      <w:pPr>
        <w:spacing w:after="0" w:line="158" w:lineRule="exact"/>
        <w:rPr>
          <w:rFonts w:ascii="Times New Roman" w:cs="Times New Roman" w:eastAsia="Times New Roman" w:hAnsi="Times New Roman"/>
          <w:sz w:val="22"/>
          <w:szCs w:val="22"/>
          <w:color w:val="auto"/>
        </w:rPr>
      </w:pPr>
    </w:p>
    <w:p>
      <w:pPr>
        <w:jc w:val="both"/>
        <w:ind w:left="180" w:right="479" w:firstLine="1300"/>
        <w:spacing w:after="0" w:line="244" w:lineRule="auto"/>
        <w:tabs>
          <w:tab w:leader="none" w:pos="2191"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Grantee’s base salary, which, for purposes of this Agreement, means a reduction in base salary of ten (10) percent or more that does not apply generally to all executive officers of Essential Utilities; or</w:t>
      </w:r>
    </w:p>
    <w:p>
      <w:pPr>
        <w:spacing w:after="0" w:line="173" w:lineRule="exact"/>
        <w:rPr>
          <w:rFonts w:ascii="Times New Roman" w:cs="Times New Roman" w:eastAsia="Times New Roman" w:hAnsi="Times New Roman"/>
          <w:sz w:val="22"/>
          <w:szCs w:val="22"/>
          <w:color w:val="auto"/>
        </w:rPr>
      </w:pPr>
    </w:p>
    <w:p>
      <w:pPr>
        <w:ind w:left="180" w:right="219" w:firstLine="1300"/>
        <w:spacing w:after="0" w:line="238" w:lineRule="auto"/>
        <w:tabs>
          <w:tab w:leader="none" w:pos="2179"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at which the Grantee must perform services under this Agreement, which, for purposes of this Agreement, means a requirement that the Grantee be based at any office or location which is located more than fifty (50) miles from the Grantee’s primary place of employment immediately prior to the Change in Control on other than on a temporary basis (less than 6 months).</w:t>
      </w:r>
    </w:p>
    <w:p>
      <w:pPr>
        <w:spacing w:after="0" w:line="176" w:lineRule="exact"/>
        <w:rPr>
          <w:rFonts w:ascii="Times New Roman" w:cs="Times New Roman" w:eastAsia="Times New Roman" w:hAnsi="Times New Roman"/>
          <w:sz w:val="22"/>
          <w:szCs w:val="22"/>
          <w:color w:val="auto"/>
        </w:rPr>
      </w:pPr>
    </w:p>
    <w:p>
      <w:pPr>
        <w:ind w:left="180" w:right="359" w:firstLine="1300"/>
        <w:spacing w:after="0" w:line="239" w:lineRule="auto"/>
        <w:tabs>
          <w:tab w:leader="none" w:pos="2133"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authority, duties, or responsibilities of the supervisor to whom the Grantee is required to report, including a requirement that the Grantee report to a corporate officer or employee instead of reporting directly to the board of directors of a corporation (or similar governing body with respect to an entity other than a corporation).</w:t>
      </w:r>
    </w:p>
    <w:p>
      <w:pPr>
        <w:spacing w:after="0" w:line="180" w:lineRule="exact"/>
        <w:rPr>
          <w:rFonts w:ascii="Times New Roman" w:cs="Times New Roman" w:eastAsia="Times New Roman" w:hAnsi="Times New Roman"/>
          <w:sz w:val="22"/>
          <w:szCs w:val="22"/>
          <w:color w:val="auto"/>
        </w:rPr>
      </w:pPr>
    </w:p>
    <w:p>
      <w:pPr>
        <w:ind w:left="2180" w:hanging="700"/>
        <w:spacing w:after="0"/>
        <w:tabs>
          <w:tab w:leader="none" w:pos="218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budget over which the Grantee retains</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authority.</w:t>
      </w:r>
    </w:p>
    <w:p>
      <w:pPr>
        <w:spacing w:after="0" w:line="182" w:lineRule="exact"/>
        <w:rPr>
          <w:sz w:val="20"/>
          <w:szCs w:val="20"/>
          <w:color w:val="auto"/>
        </w:rPr>
      </w:pPr>
    </w:p>
    <w:p>
      <w:pPr>
        <w:ind w:left="180" w:right="599" w:firstLine="652"/>
        <w:spacing w:after="0" w:line="238" w:lineRule="auto"/>
        <w:tabs>
          <w:tab w:leader="none" w:pos="109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employment after any of the foregoing events shall be a Good Reason only if the Grantee provides written notice to Essential Utilities of the existence of such event within ninety (90) days after the initial occurrence of such event, and Essential Utilities fails to remedy the event within thirty (30) days following the receipt of such notice and the Grantee terminates employment within fifteen (15) days thereafter.</w:t>
      </w:r>
    </w:p>
    <w:p>
      <w:pPr>
        <w:spacing w:after="0" w:line="176" w:lineRule="exact"/>
        <w:rPr>
          <w:rFonts w:ascii="Times New Roman" w:cs="Times New Roman" w:eastAsia="Times New Roman" w:hAnsi="Times New Roman"/>
          <w:sz w:val="22"/>
          <w:szCs w:val="22"/>
          <w:color w:val="auto"/>
        </w:rPr>
      </w:pPr>
    </w:p>
    <w:p>
      <w:pPr>
        <w:ind w:left="860" w:hanging="676"/>
        <w:spacing w:after="0"/>
        <w:tabs>
          <w:tab w:leader="none" w:pos="8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with Respect to Restricted Units.</w:t>
      </w:r>
    </w:p>
    <w:p>
      <w:pPr>
        <w:spacing w:after="0" w:line="206" w:lineRule="exact"/>
        <w:rPr>
          <w:sz w:val="20"/>
          <w:szCs w:val="20"/>
          <w:color w:val="auto"/>
        </w:rPr>
      </w:pPr>
    </w:p>
    <w:p>
      <w:pPr>
        <w:ind w:left="180" w:right="439" w:firstLine="648"/>
        <w:spacing w:after="0" w:line="239" w:lineRule="auto"/>
        <w:rPr>
          <w:sz w:val="20"/>
          <w:szCs w:val="20"/>
          <w:color w:val="auto"/>
        </w:rPr>
      </w:pPr>
      <w:r>
        <w:rPr>
          <w:rFonts w:ascii="Times New Roman" w:cs="Times New Roman" w:eastAsia="Times New Roman" w:hAnsi="Times New Roman"/>
          <w:sz w:val="22"/>
          <w:szCs w:val="22"/>
          <w:color w:val="auto"/>
        </w:rPr>
        <w:t>Except as otherwise set forth in Section 4 and 5 above, shares of Company Stock equal to the vested Restricted Units shall be issued to the Grantee within sixty (60) days after the Vesting Date, subject to applicable tax withholding and subject to Section 19. Any fractional Restricted Units shall be paid to the Grantee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342265</wp:posOffset>
            </wp:positionV>
            <wp:extent cx="552894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5" w:name="page46"/>
    <w:bookmarkEnd w:id="45"/>
    <w:p>
      <w:pPr>
        <w:ind w:left="860" w:hanging="676"/>
        <w:spacing w:after="0"/>
        <w:tabs>
          <w:tab w:leader="none" w:pos="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 with Respect to Restricted Units.</w:t>
      </w:r>
    </w:p>
    <w:p>
      <w:pPr>
        <w:spacing w:after="0" w:line="206" w:lineRule="exact"/>
        <w:rPr>
          <w:rFonts w:ascii="Times New Roman" w:cs="Times New Roman" w:eastAsia="Times New Roman" w:hAnsi="Times New Roman"/>
          <w:sz w:val="22"/>
          <w:szCs w:val="22"/>
          <w:color w:val="auto"/>
        </w:rPr>
      </w:pPr>
    </w:p>
    <w:p>
      <w:pPr>
        <w:ind w:left="180" w:right="199" w:firstLine="652"/>
        <w:spacing w:after="0" w:line="236" w:lineRule="auto"/>
        <w:tabs>
          <w:tab w:leader="none" w:pos="1473"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Equivalents shall accrue with respect to Restricted Units and shall be payable subject to the same vesting terms and other conditions as the Restricted Units to which they relate. Dividend Equivalents shall be credited when dividends are declared on shares of Company Stock from the Grant Date until the payment date for the vested Restricted Units. If and to the extent that the underlying Restricted Units are forfeited, all related Dividend Equivalents shall also be forfeited.</w:t>
      </w:r>
    </w:p>
    <w:p>
      <w:pPr>
        <w:spacing w:after="0" w:line="181" w:lineRule="exact"/>
        <w:rPr>
          <w:rFonts w:ascii="Times New Roman" w:cs="Times New Roman" w:eastAsia="Times New Roman" w:hAnsi="Times New Roman"/>
          <w:sz w:val="22"/>
          <w:szCs w:val="22"/>
          <w:color w:val="auto"/>
        </w:rPr>
      </w:pPr>
    </w:p>
    <w:p>
      <w:pPr>
        <w:ind w:left="180" w:right="319" w:firstLine="652"/>
        <w:spacing w:after="0" w:line="238" w:lineRule="auto"/>
        <w:tabs>
          <w:tab w:leader="none" w:pos="1485"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the Restricted Units are outstanding, the Company will keep records in a bookkeeping account for the Grantee. On each date on which a dividend is declared by the Company on Company Stock, the Company shall credit to the Grantee’s account an amount equal to the Dividend Equivalents associated with the Restricted Units held by the Grantee on the record date for the dividend. No interest will be credited to any such account.</w:t>
      </w:r>
    </w:p>
    <w:p>
      <w:pPr>
        <w:spacing w:after="0" w:line="176" w:lineRule="exact"/>
        <w:rPr>
          <w:rFonts w:ascii="Times New Roman" w:cs="Times New Roman" w:eastAsia="Times New Roman" w:hAnsi="Times New Roman"/>
          <w:sz w:val="22"/>
          <w:szCs w:val="22"/>
          <w:color w:val="auto"/>
        </w:rPr>
      </w:pPr>
    </w:p>
    <w:p>
      <w:pPr>
        <w:ind w:left="180" w:right="319" w:firstLine="652"/>
        <w:spacing w:after="0" w:line="258" w:lineRule="auto"/>
        <w:tabs>
          <w:tab w:leader="none" w:pos="1473"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Equivalents will be paid in cash at the same time as the underlying vested Restricted Units are paid.</w:t>
      </w:r>
    </w:p>
    <w:p>
      <w:pPr>
        <w:spacing w:after="0" w:line="158" w:lineRule="exact"/>
        <w:rPr>
          <w:rFonts w:ascii="Times New Roman" w:cs="Times New Roman" w:eastAsia="Times New Roman" w:hAnsi="Times New Roman"/>
          <w:sz w:val="22"/>
          <w:szCs w:val="22"/>
          <w:color w:val="auto"/>
        </w:rPr>
      </w:pPr>
    </w:p>
    <w:p>
      <w:pPr>
        <w:ind w:left="180" w:right="259" w:firstLine="652"/>
        <w:spacing w:after="0" w:line="244" w:lineRule="auto"/>
        <w:tabs>
          <w:tab w:leader="none" w:pos="1485"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shares of Company Stock are converted to cash as described in Section 5(d) above in connection with a Change in Control, Dividend Equivalents shall cease to be credited with respect to Restricted Units.</w:t>
      </w:r>
    </w:p>
    <w:p>
      <w:pPr>
        <w:spacing w:after="0" w:line="173" w:lineRule="exact"/>
        <w:rPr>
          <w:rFonts w:ascii="Times New Roman" w:cs="Times New Roman" w:eastAsia="Times New Roman" w:hAnsi="Times New Roman"/>
          <w:sz w:val="22"/>
          <w:szCs w:val="22"/>
          <w:color w:val="auto"/>
        </w:rPr>
      </w:pPr>
    </w:p>
    <w:p>
      <w:pPr>
        <w:ind w:left="860" w:hanging="676"/>
        <w:spacing w:after="0"/>
        <w:tabs>
          <w:tab w:leader="none" w:pos="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Corporate Changes.</w:t>
      </w:r>
    </w:p>
    <w:p>
      <w:pPr>
        <w:spacing w:after="0" w:line="206" w:lineRule="exact"/>
        <w:rPr>
          <w:sz w:val="20"/>
          <w:szCs w:val="20"/>
          <w:color w:val="auto"/>
        </w:rPr>
      </w:pPr>
    </w:p>
    <w:p>
      <w:pPr>
        <w:ind w:left="180" w:right="379" w:firstLine="648"/>
        <w:spacing w:after="0" w:line="248" w:lineRule="auto"/>
        <w:rPr>
          <w:sz w:val="20"/>
          <w:szCs w:val="20"/>
          <w:color w:val="auto"/>
        </w:rPr>
      </w:pPr>
      <w:r>
        <w:rPr>
          <w:rFonts w:ascii="Times New Roman" w:cs="Times New Roman" w:eastAsia="Times New Roman" w:hAnsi="Times New Roman"/>
          <w:sz w:val="21"/>
          <w:szCs w:val="21"/>
          <w:color w:val="auto"/>
        </w:rPr>
        <w:t>If any change is made to the Company Stock (whether by reason of merger, consolidation, reorganization, recapitalization, stock dividend, stock split, combination of shares, or exchange of shares or any other change in capital structure made without receipt of consideration), then unless such event or change results in the termination of all the Restricted Units, the Committee shall adjust, in an equitable manner and as provided in the Plan, the number and class of shares underlying the Restricted Units. Any adjustment that occurs under the terms of this Section 10 or the Plan will not change the timing or form of payment with respect to any Restricted Units.</w:t>
      </w:r>
    </w:p>
    <w:p>
      <w:pPr>
        <w:spacing w:after="0" w:line="170" w:lineRule="exact"/>
        <w:rPr>
          <w:sz w:val="20"/>
          <w:szCs w:val="20"/>
          <w:color w:val="auto"/>
        </w:rPr>
      </w:pPr>
    </w:p>
    <w:p>
      <w:pPr>
        <w:ind w:left="900" w:hanging="716"/>
        <w:spacing w:after="0"/>
        <w:tabs>
          <w:tab w:leader="none" w:pos="9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p>
    <w:p>
      <w:pPr>
        <w:spacing w:after="0" w:line="206" w:lineRule="exact"/>
        <w:rPr>
          <w:sz w:val="20"/>
          <w:szCs w:val="20"/>
          <w:color w:val="auto"/>
        </w:rPr>
      </w:pPr>
    </w:p>
    <w:p>
      <w:pPr>
        <w:ind w:left="180" w:right="299" w:firstLine="648"/>
        <w:spacing w:after="0" w:line="238" w:lineRule="auto"/>
        <w:rPr>
          <w:sz w:val="20"/>
          <w:szCs w:val="20"/>
          <w:color w:val="auto"/>
        </w:rPr>
      </w:pPr>
      <w:r>
        <w:rPr>
          <w:rFonts w:ascii="Times New Roman" w:cs="Times New Roman" w:eastAsia="Times New Roman" w:hAnsi="Times New Roman"/>
          <w:sz w:val="22"/>
          <w:szCs w:val="22"/>
          <w:color w:val="auto"/>
        </w:rPr>
        <w:t>Neither the award of Restricted Units, nor any other action taken with respect to the Restricted Units, shall confer upon the Grantee any right to continue to be employed by the Employer or shall interfere in any way with the right of the Employer to terminate the Grantee’s employment at any time, consistent with the terms of any written employment agreement between the Grantee and the Employer and applicable law.</w:t>
      </w:r>
    </w:p>
    <w:p>
      <w:pPr>
        <w:spacing w:after="0" w:line="177" w:lineRule="exact"/>
        <w:rPr>
          <w:sz w:val="20"/>
          <w:szCs w:val="20"/>
          <w:color w:val="auto"/>
        </w:rPr>
      </w:pPr>
    </w:p>
    <w:p>
      <w:pPr>
        <w:ind w:left="900" w:hanging="716"/>
        <w:spacing w:after="0"/>
        <w:tabs>
          <w:tab w:leader="none" w:pos="9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or Amendment.</w:t>
      </w:r>
    </w:p>
    <w:p>
      <w:pPr>
        <w:spacing w:after="0" w:line="206" w:lineRule="exact"/>
        <w:rPr>
          <w:sz w:val="20"/>
          <w:szCs w:val="20"/>
          <w:color w:val="auto"/>
        </w:rPr>
      </w:pPr>
    </w:p>
    <w:p>
      <w:pPr>
        <w:ind w:left="180" w:right="419" w:firstLine="648"/>
        <w:spacing w:after="0" w:line="258" w:lineRule="auto"/>
        <w:rPr>
          <w:sz w:val="20"/>
          <w:szCs w:val="20"/>
          <w:color w:val="auto"/>
        </w:rPr>
      </w:pPr>
      <w:r>
        <w:rPr>
          <w:rFonts w:ascii="Times New Roman" w:cs="Times New Roman" w:eastAsia="Times New Roman" w:hAnsi="Times New Roman"/>
          <w:sz w:val="22"/>
          <w:szCs w:val="22"/>
          <w:color w:val="auto"/>
        </w:rPr>
        <w:t>These Grant Conditions and the award made hereunder may be terminated or amended by the Committee, in whole or in part, in accordance with the applicable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328295</wp:posOffset>
            </wp:positionV>
            <wp:extent cx="552894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6" w:name="page47"/>
    <w:bookmarkEnd w:id="46"/>
    <w:p>
      <w:pPr>
        <w:ind w:left="900" w:hanging="716"/>
        <w:spacing w:after="0"/>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p>
    <w:p>
      <w:pPr>
        <w:spacing w:after="0" w:line="207" w:lineRule="exact"/>
        <w:rPr>
          <w:sz w:val="20"/>
          <w:szCs w:val="20"/>
          <w:color w:val="auto"/>
        </w:rPr>
      </w:pPr>
    </w:p>
    <w:p>
      <w:pPr>
        <w:ind w:left="180" w:right="239" w:firstLine="648"/>
        <w:spacing w:after="0" w:line="245" w:lineRule="auto"/>
        <w:rPr>
          <w:sz w:val="20"/>
          <w:szCs w:val="20"/>
          <w:color w:val="auto"/>
        </w:rPr>
      </w:pPr>
      <w:r>
        <w:rPr>
          <w:rFonts w:ascii="Times New Roman" w:cs="Times New Roman" w:eastAsia="Times New Roman" w:hAnsi="Times New Roman"/>
          <w:sz w:val="21"/>
          <w:szCs w:val="21"/>
          <w:color w:val="auto"/>
        </w:rPr>
        <w:t>Any notice to the Company provided for in these Grant Conditions shall be addressed to it in care of the Company’s Chief Human Resources Officer, and any notice to the Grantee shall be addressed to the Grantee at the current address shown on the payroll system of the Company, or to such other address as the Grantee may designate to the Company in writing. Any notice provided for hereunder shall be delivered by hand, sent by telecopy or electronic mail or enclosed in a properly sealed envelope addressed as stated above, registered and deposited, postage and registry fee prepaid in the United States mail or other mail delivery service. Notice to the Company shall be deemed effective upon receipt. By receipt of these Grant Conditions, the Grantee hereby consents to the delivery of information (including without limitation, information required to be delivered to the Grantee pursuant to the applicable securities laws) regarding the Company, the Plan, and the Restricted Units via the Company’s electronic mail system or other electronic delivery system.</w:t>
      </w:r>
    </w:p>
    <w:p>
      <w:pPr>
        <w:spacing w:after="0" w:line="177" w:lineRule="exact"/>
        <w:rPr>
          <w:sz w:val="20"/>
          <w:szCs w:val="20"/>
          <w:color w:val="auto"/>
        </w:rPr>
      </w:pPr>
    </w:p>
    <w:p>
      <w:pPr>
        <w:ind w:left="900" w:hanging="716"/>
        <w:spacing w:after="0"/>
        <w:tabs>
          <w:tab w:leader="none" w:pos="9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 by Reference.</w:t>
      </w:r>
    </w:p>
    <w:p>
      <w:pPr>
        <w:spacing w:after="0" w:line="206" w:lineRule="exact"/>
        <w:rPr>
          <w:sz w:val="20"/>
          <w:szCs w:val="20"/>
          <w:color w:val="auto"/>
        </w:rPr>
      </w:pPr>
    </w:p>
    <w:p>
      <w:pPr>
        <w:ind w:left="180" w:right="239" w:firstLine="648"/>
        <w:spacing w:after="0" w:line="233" w:lineRule="auto"/>
        <w:rPr>
          <w:sz w:val="20"/>
          <w:szCs w:val="20"/>
          <w:color w:val="auto"/>
        </w:rPr>
      </w:pPr>
      <w:r>
        <w:rPr>
          <w:rFonts w:ascii="Times New Roman" w:cs="Times New Roman" w:eastAsia="Times New Roman" w:hAnsi="Times New Roman"/>
          <w:sz w:val="22"/>
          <w:szCs w:val="22"/>
          <w:color w:val="auto"/>
        </w:rPr>
        <w:t>The Restricted Stock Unit Grant and these Grant Conditions are made pursuant to the terms of the Plan, the terms of which are incorporated herein by reference, and shall in all respects be interpreted in accordance therewith. The decisions of the Committee shall be conclusive upon any question arising hereunder. The Grantee’s receipt of the Restricted Units constitutes the Grantee’s acknowledgment that all decisions and determinations of the Committee with respect to the Plan, these Grant Conditions, and/or the Restricted Units shall be final and binding on the Grantee, his or her beneficiaries and any other person having or claiming an interest in the Restricted Units. The settlement of any award with respect to the Restricted Units is subject to the provisions of the Plan and to interpretations, regulations and determinations concerning the Plan as established from time to time by the Committee in accordance with the provisions of the Plan. A copy of the Plan will be furnished to each Grantee upon request.</w:t>
      </w:r>
    </w:p>
    <w:p>
      <w:pPr>
        <w:spacing w:after="0" w:line="187" w:lineRule="exact"/>
        <w:rPr>
          <w:sz w:val="20"/>
          <w:szCs w:val="20"/>
          <w:color w:val="auto"/>
        </w:rPr>
      </w:pPr>
    </w:p>
    <w:p>
      <w:pPr>
        <w:ind w:left="900" w:hanging="716"/>
        <w:spacing w:after="0"/>
        <w:tabs>
          <w:tab w:leader="none" w:pos="9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Income Taxes; Withholding Taxes.</w:t>
      </w:r>
    </w:p>
    <w:p>
      <w:pPr>
        <w:spacing w:after="0" w:line="206" w:lineRule="exact"/>
        <w:rPr>
          <w:sz w:val="20"/>
          <w:szCs w:val="20"/>
          <w:color w:val="auto"/>
        </w:rPr>
      </w:pPr>
    </w:p>
    <w:p>
      <w:pPr>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The Grantee is solely responsible for the satisfaction of all taxes and penalties that may arise in connection with the award or settlement of Restricted Units and payment of Dividend Equivalents pursuant to these Grant Conditions. At the time of taxation, the Employer shall have the right to deduct from other compensation, or to withhold shares of Company Stock, in an amount equal to the federal (including FICA), state, local and foreign taxes and other amounts as may be required by law to be withheld with respect to the Restricted Units, as approved in advance by the Committee.</w:t>
      </w:r>
    </w:p>
    <w:p>
      <w:pPr>
        <w:spacing w:after="0" w:line="183" w:lineRule="exact"/>
        <w:rPr>
          <w:sz w:val="20"/>
          <w:szCs w:val="20"/>
          <w:color w:val="auto"/>
        </w:rPr>
      </w:pPr>
    </w:p>
    <w:p>
      <w:pPr>
        <w:ind w:left="900" w:hanging="716"/>
        <w:spacing w:after="0"/>
        <w:tabs>
          <w:tab w:leader="none" w:pos="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Policies.</w:t>
      </w:r>
    </w:p>
    <w:p>
      <w:pPr>
        <w:spacing w:after="0" w:line="206" w:lineRule="exact"/>
        <w:rPr>
          <w:sz w:val="20"/>
          <w:szCs w:val="20"/>
          <w:color w:val="auto"/>
        </w:rPr>
      </w:pPr>
    </w:p>
    <w:p>
      <w:pPr>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This Restricted Unit Grant and all shares issued pursuant to this grant shall be subject to any applicable recoupment or clawback policies and other policies implemented by the Board,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337820</wp:posOffset>
            </wp:positionV>
            <wp:extent cx="552894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7" w:name="page48"/>
    <w:bookmarkEnd w:id="47"/>
    <w:p>
      <w:pPr>
        <w:ind w:left="900" w:hanging="716"/>
        <w:spacing w:after="0"/>
        <w:tabs>
          <w:tab w:leader="none" w:pos="9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Enforcement.</w:t>
      </w:r>
    </w:p>
    <w:p>
      <w:pPr>
        <w:spacing w:after="0" w:line="207" w:lineRule="exact"/>
        <w:rPr>
          <w:sz w:val="20"/>
          <w:szCs w:val="20"/>
          <w:color w:val="auto"/>
        </w:rPr>
      </w:pPr>
    </w:p>
    <w:p>
      <w:pPr>
        <w:ind w:left="180" w:right="299" w:firstLine="648"/>
        <w:spacing w:after="0" w:line="235" w:lineRule="auto"/>
        <w:rPr>
          <w:sz w:val="20"/>
          <w:szCs w:val="20"/>
          <w:color w:val="auto"/>
        </w:rPr>
      </w:pPr>
      <w:r>
        <w:rPr>
          <w:rFonts w:ascii="Times New Roman" w:cs="Times New Roman" w:eastAsia="Times New Roman" w:hAnsi="Times New Roman"/>
          <w:sz w:val="22"/>
          <w:szCs w:val="22"/>
          <w:color w:val="auto"/>
        </w:rPr>
        <w:t>The validity, construction, interpretation and effect of the Restricted Stock Unit Grant and these Grant Conditions shall be governed by, and determined in accordance with, the applicable laws of the Commonwealth of Pennsylvania, excluding any conflicts or choice of law rule or principle. The resolution of any dispute regarding, or the enforcement of, this Restricted Stock Unit Grant and these Grant Conditions shall take place in a court of competent jurisdiction located within the Commonwealth of Pennsylvania, notwithstanding any dispute resolution terms that may exist under any employment agreement between the Grantee and the Company.</w:t>
      </w:r>
    </w:p>
    <w:p>
      <w:pPr>
        <w:spacing w:after="0" w:line="183" w:lineRule="exact"/>
        <w:rPr>
          <w:sz w:val="20"/>
          <w:szCs w:val="20"/>
          <w:color w:val="auto"/>
        </w:rPr>
      </w:pPr>
    </w:p>
    <w:p>
      <w:pPr>
        <w:ind w:left="900" w:hanging="716"/>
        <w:spacing w:after="0"/>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p>
    <w:p>
      <w:pPr>
        <w:spacing w:after="0" w:line="206" w:lineRule="exact"/>
        <w:rPr>
          <w:sz w:val="20"/>
          <w:szCs w:val="20"/>
          <w:color w:val="auto"/>
        </w:rPr>
      </w:pPr>
    </w:p>
    <w:p>
      <w:pPr>
        <w:ind w:left="180" w:right="199" w:firstLine="648"/>
        <w:spacing w:after="0" w:line="239" w:lineRule="auto"/>
        <w:rPr>
          <w:sz w:val="20"/>
          <w:szCs w:val="20"/>
          <w:color w:val="auto"/>
        </w:rPr>
      </w:pPr>
      <w:r>
        <w:rPr>
          <w:rFonts w:ascii="Times New Roman" w:cs="Times New Roman" w:eastAsia="Times New Roman" w:hAnsi="Times New Roman"/>
          <w:sz w:val="22"/>
          <w:szCs w:val="22"/>
          <w:color w:val="auto"/>
        </w:rPr>
        <w:t>The Restricted Stock Unit Grant and these Grant Conditions shall bind and inure to the benefit of the successors and assignees of the Company. The Grantee may not sell, assign, transfer, pledge or otherwise dispose of the Restricted Units, except to a successor grantee in the event of the Grantee’s death.</w:t>
      </w:r>
    </w:p>
    <w:p>
      <w:pPr>
        <w:spacing w:after="0" w:line="180" w:lineRule="exact"/>
        <w:rPr>
          <w:sz w:val="20"/>
          <w:szCs w:val="20"/>
          <w:color w:val="auto"/>
        </w:rPr>
      </w:pPr>
    </w:p>
    <w:p>
      <w:pPr>
        <w:ind w:left="900" w:hanging="716"/>
        <w:spacing w:after="0"/>
        <w:tabs>
          <w:tab w:leader="none" w:pos="9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p>
    <w:p>
      <w:pPr>
        <w:spacing w:after="0" w:line="206" w:lineRule="exact"/>
        <w:rPr>
          <w:sz w:val="20"/>
          <w:szCs w:val="20"/>
          <w:color w:val="auto"/>
        </w:rPr>
      </w:pPr>
    </w:p>
    <w:p>
      <w:pPr>
        <w:ind w:left="180" w:right="219" w:firstLine="648"/>
        <w:spacing w:after="0" w:line="245" w:lineRule="auto"/>
        <w:rPr>
          <w:sz w:val="20"/>
          <w:szCs w:val="20"/>
          <w:color w:val="auto"/>
        </w:rPr>
      </w:pPr>
      <w:r>
        <w:rPr>
          <w:rFonts w:ascii="Times New Roman" w:cs="Times New Roman" w:eastAsia="Times New Roman" w:hAnsi="Times New Roman"/>
          <w:sz w:val="21"/>
          <w:szCs w:val="21"/>
          <w:color w:val="auto"/>
        </w:rPr>
        <w:t>The Restricted Stock Unit Grant and these Grant Conditions are intended to comply with Code Section 409A or an exemption, and payments may only be made under these Grant Conditions upon an event and in a manner permitted by Code Section 409A, to the extent applicable. Notwithstanding anything in these Grant Conditions to the contrary, if required by Code Section 409A, if the Grantee is considered a “specified employee” for purposes of Code Section 409A and if any payment under these Grant Conditions is required to be delayed for a period of six</w:t>
      </w:r>
    </w:p>
    <w:p>
      <w:pPr>
        <w:spacing w:after="0" w:line="3" w:lineRule="exact"/>
        <w:rPr>
          <w:sz w:val="20"/>
          <w:szCs w:val="20"/>
          <w:color w:val="auto"/>
        </w:rPr>
      </w:pPr>
    </w:p>
    <w:p>
      <w:pPr>
        <w:ind w:left="180" w:right="299" w:firstLine="4"/>
        <w:spacing w:after="0" w:line="232" w:lineRule="auto"/>
        <w:tabs>
          <w:tab w:leader="none" w:pos="48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separation from service pursuant to Code Section 409A, such payment shall be delayed as required by Code Section 409A, and the accumulated payment amounts shall be paid in a lump sum payment within ten (10) days after the end of the six (6)-month period. If the Grantee dies during the postponement period prior to payment, the amounts withheld on account of Code Section 409A shall be paid to the personal representative of the Grantee’s estate within sixty (60) days after the date of the Grantee’s death. Any payments to be made upon a termination of employment under these Grant Conditions may only be made upon a “separation from service” under Code Section 409A. In no event may the Grantee, directly or indirectly, designate the calendar year of a payment, except in accordance with Code Section 409A.</w:t>
      </w:r>
    </w:p>
    <w:p>
      <w:pPr>
        <w:spacing w:after="0" w:line="178" w:lineRule="exact"/>
        <w:rPr>
          <w:rFonts w:ascii="Times New Roman" w:cs="Times New Roman" w:eastAsia="Times New Roman" w:hAnsi="Times New Roman"/>
          <w:sz w:val="22"/>
          <w:szCs w:val="22"/>
          <w:color w:val="auto"/>
        </w:rPr>
      </w:pPr>
    </w:p>
    <w:p>
      <w:pPr>
        <w:ind w:left="3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649605</wp:posOffset>
            </wp:positionV>
            <wp:extent cx="552894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8" w:name="page49"/>
    <w:bookmarkEnd w:id="48"/>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9"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2025 Stock Option Agreement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ESSENTIAL UTILITIES,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EQUITY COMPENSATION PLAN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STOCK OPTION</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TERMS AND CONDITIONS</w:t>
      </w:r>
    </w:p>
    <w:p>
      <w:pPr>
        <w:spacing w:after="0" w:line="182" w:lineRule="exact"/>
        <w:rPr>
          <w:sz w:val="20"/>
          <w:szCs w:val="20"/>
          <w:color w:val="auto"/>
        </w:rPr>
      </w:pPr>
    </w:p>
    <w:p>
      <w:pPr>
        <w:ind w:left="1000" w:hanging="816"/>
        <w:spacing w:after="0"/>
        <w:tabs>
          <w:tab w:leader="none" w:pos="10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299" w:firstLine="648"/>
        <w:spacing w:after="0" w:line="234" w:lineRule="auto"/>
        <w:rPr>
          <w:sz w:val="20"/>
          <w:szCs w:val="20"/>
          <w:color w:val="auto"/>
        </w:rPr>
      </w:pPr>
      <w:r>
        <w:rPr>
          <w:rFonts w:ascii="Times New Roman" w:cs="Times New Roman" w:eastAsia="Times New Roman" w:hAnsi="Times New Roman"/>
          <w:sz w:val="22"/>
          <w:szCs w:val="22"/>
          <w:color w:val="auto"/>
        </w:rPr>
        <w:t>These Stock Option Terms and Conditions (the “Grant Conditions”) shall apply and be part of the grant made by Essential Utilities, a Pennsylvania corporation (the “Company”), to the Grantee named in the Stock Option Grant (the “Option”) to which these Grant Conditions are attached (the “Grantee”), under the terms and provisions of the Essential Utilities, Inc. Amended and Restated Equity Compensation Plan, as amended and restated (the “Plan”). The applicable provisions of the Plan are incorporated into the Grant Conditions by reference, including the definitions of terms contained in the Plan (unless such terms are otherwise defined herein). The Grantee is an employee of the Company, its subsidiaries or its Affiliates (collectively, the “Employer”).</w:t>
      </w:r>
    </w:p>
    <w:p>
      <w:pPr>
        <w:spacing w:after="0" w:line="183" w:lineRule="exact"/>
        <w:rPr>
          <w:sz w:val="20"/>
          <w:szCs w:val="20"/>
          <w:color w:val="auto"/>
        </w:rPr>
      </w:pPr>
    </w:p>
    <w:p>
      <w:pPr>
        <w:ind w:left="180" w:right="359" w:firstLine="648"/>
        <w:spacing w:after="0" w:line="249" w:lineRule="auto"/>
        <w:rPr>
          <w:sz w:val="20"/>
          <w:szCs w:val="20"/>
          <w:color w:val="auto"/>
        </w:rPr>
      </w:pPr>
      <w:r>
        <w:rPr>
          <w:rFonts w:ascii="Times New Roman" w:cs="Times New Roman" w:eastAsia="Times New Roman" w:hAnsi="Times New Roman"/>
          <w:sz w:val="21"/>
          <w:szCs w:val="21"/>
          <w:color w:val="auto"/>
        </w:rPr>
        <w:t>Subject to the terms and vesting conditions hereinafter set forth, the Company, with the approval and at the direction of the Executive Compensation Committee (the “Committee”) of the Company’s Board of Directors (the “Board”), has granted to the Grantee a nonqualified stock option (the “Option”) to purchase the number of shares of common stock of the Company (the “Shares”) as specified in the Stock Option Grant at the exercise price per Share set forth in the Stock Option Grant (the “Exercise Price”). The Option shall vest according to Section 2 below.</w:t>
      </w:r>
    </w:p>
    <w:p>
      <w:pPr>
        <w:spacing w:after="0" w:line="171" w:lineRule="exact"/>
        <w:rPr>
          <w:sz w:val="20"/>
          <w:szCs w:val="20"/>
          <w:color w:val="auto"/>
        </w:rPr>
      </w:pPr>
    </w:p>
    <w:p>
      <w:pPr>
        <w:ind w:left="1000" w:hanging="816"/>
        <w:spacing w:after="0"/>
        <w:tabs>
          <w:tab w:leader="none" w:pos="10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The Option shall vest on the following dates (each date, a “Vesting Date”) if (i) the Grantee continues to be employed by the Employer through the Vesting Date and (ii) the Performance Goal described on the attached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is achieved for the calendar year ending on December 31 immediately preceding the Vesting Date (each such calendar year, a “Performance Year”), except as otherwise provided in Sections 3 and 5 below.</w:t>
      </w:r>
    </w:p>
    <w:p>
      <w:pPr>
        <w:spacing w:after="0" w:line="154" w:lineRule="exact"/>
        <w:rPr>
          <w:sz w:val="20"/>
          <w:szCs w:val="20"/>
          <w:color w:val="auto"/>
        </w:rPr>
      </w:pPr>
    </w:p>
    <w:tbl>
      <w:tblPr>
        <w:tblLayout w:type="fixed"/>
        <w:tblInd w:w="116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2720" w:type="dxa"/>
            <w:vAlign w:val="bottom"/>
            <w:gridSpan w:val="2"/>
          </w:tcPr>
          <w:p>
            <w:pPr>
              <w:jc w:val="center"/>
              <w:ind w:right="1600"/>
              <w:spacing w:after="0"/>
              <w:rPr>
                <w:sz w:val="20"/>
                <w:szCs w:val="20"/>
                <w:color w:val="auto"/>
              </w:rPr>
            </w:pPr>
            <w:r>
              <w:rPr>
                <w:rFonts w:ascii="Times New Roman" w:cs="Times New Roman" w:eastAsia="Times New Roman" w:hAnsi="Times New Roman"/>
                <w:sz w:val="22"/>
                <w:szCs w:val="22"/>
                <w:color w:val="auto"/>
                <w:w w:val="96"/>
              </w:rPr>
              <w:t>Vesting Date</w:t>
            </w:r>
          </w:p>
        </w:tc>
        <w:tc>
          <w:tcPr>
            <w:tcW w:w="2380" w:type="dxa"/>
            <w:vAlign w:val="bottom"/>
            <w:gridSpan w:val="3"/>
          </w:tcPr>
          <w:p>
            <w:pPr>
              <w:ind w:left="520"/>
              <w:spacing w:after="0"/>
              <w:rPr>
                <w:sz w:val="20"/>
                <w:szCs w:val="20"/>
                <w:color w:val="auto"/>
              </w:rPr>
            </w:pPr>
            <w:r>
              <w:rPr>
                <w:rFonts w:ascii="Times New Roman" w:cs="Times New Roman" w:eastAsia="Times New Roman" w:hAnsi="Times New Roman"/>
                <w:sz w:val="22"/>
                <w:szCs w:val="22"/>
                <w:color w:val="auto"/>
                <w:w w:val="98"/>
              </w:rPr>
              <w:t>Shares for Which the</w:t>
            </w:r>
          </w:p>
        </w:tc>
      </w:tr>
      <w:tr>
        <w:trPr>
          <w:trHeight w:val="223"/>
        </w:trPr>
        <w:tc>
          <w:tcPr>
            <w:tcW w:w="1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4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Option is Vested</w:t>
            </w:r>
          </w:p>
        </w:tc>
      </w:tr>
      <w:tr>
        <w:trPr>
          <w:trHeight w:val="20"/>
        </w:trPr>
        <w:tc>
          <w:tcPr>
            <w:tcW w:w="38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91"/>
        </w:trPr>
        <w:tc>
          <w:tcPr>
            <w:tcW w:w="382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First Anniversary of the Grant Date</w:t>
            </w:r>
          </w:p>
        </w:tc>
        <w:tc>
          <w:tcPr>
            <w:tcW w:w="23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w w:val="96"/>
              </w:rPr>
              <w:t>33.33% of the Shares</w:t>
            </w:r>
          </w:p>
        </w:tc>
      </w:tr>
      <w:tr>
        <w:trPr>
          <w:trHeight w:val="459"/>
        </w:trPr>
        <w:tc>
          <w:tcPr>
            <w:tcW w:w="382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Second Anniversary of the Grant Date</w:t>
            </w:r>
          </w:p>
        </w:tc>
        <w:tc>
          <w:tcPr>
            <w:tcW w:w="23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w w:val="96"/>
              </w:rPr>
              <w:t>33.33% of the Shares</w:t>
            </w:r>
          </w:p>
        </w:tc>
      </w:tr>
      <w:tr>
        <w:trPr>
          <w:trHeight w:val="459"/>
        </w:trPr>
        <w:tc>
          <w:tcPr>
            <w:tcW w:w="382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Third Anniversary of the Grant Date</w:t>
            </w:r>
          </w:p>
        </w:tc>
        <w:tc>
          <w:tcPr>
            <w:tcW w:w="23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w w:val="96"/>
              </w:rPr>
              <w:t>33.33% of the Shares</w:t>
            </w:r>
          </w:p>
        </w:tc>
      </w:tr>
    </w:tbl>
    <w:p>
      <w:pPr>
        <w:spacing w:after="0" w:line="393" w:lineRule="exact"/>
        <w:rPr>
          <w:sz w:val="20"/>
          <w:szCs w:val="20"/>
          <w:color w:val="auto"/>
        </w:rPr>
      </w:pPr>
    </w:p>
    <w:p>
      <w:pPr>
        <w:ind w:left="180" w:right="259"/>
        <w:spacing w:after="0" w:line="244" w:lineRule="auto"/>
        <w:rPr>
          <w:sz w:val="20"/>
          <w:szCs w:val="20"/>
          <w:color w:val="auto"/>
        </w:rPr>
      </w:pPr>
      <w:r>
        <w:rPr>
          <w:rFonts w:ascii="Times New Roman" w:cs="Times New Roman" w:eastAsia="Times New Roman" w:hAnsi="Times New Roman"/>
          <w:sz w:val="22"/>
          <w:szCs w:val="22"/>
          <w:color w:val="auto"/>
        </w:rPr>
        <w:t>The vesting of the Option is cumulative but shall not exceed 100% of the Shares subject to the Option. If the foregoing schedule would produce fractional Shares, the number of Shares for which the Option becomes vested shall be rounded down to the nearest whole Share;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114935</wp:posOffset>
            </wp:positionV>
            <wp:extent cx="552894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9" w:name="page50"/>
    <w:bookmarkEnd w:id="49"/>
    <w:p>
      <w:pPr>
        <w:ind w:left="180" w:right="419"/>
        <w:spacing w:after="0" w:line="282" w:lineRule="auto"/>
        <w:rPr>
          <w:sz w:val="20"/>
          <w:szCs w:val="20"/>
          <w:color w:val="auto"/>
        </w:rPr>
      </w:pPr>
      <w:r>
        <w:rPr>
          <w:rFonts w:ascii="Times New Roman" w:cs="Times New Roman" w:eastAsia="Times New Roman" w:hAnsi="Times New Roman"/>
          <w:sz w:val="21"/>
          <w:szCs w:val="21"/>
          <w:color w:val="auto"/>
        </w:rPr>
        <w:t>that, the portion of the Option subject to vesting on the Third Anniversary of the Grant Date shall include the Shares subject the Option that did not previously vest as a result of such rounding.</w:t>
      </w:r>
    </w:p>
    <w:p>
      <w:pPr>
        <w:spacing w:after="0" w:line="135" w:lineRule="exact"/>
        <w:rPr>
          <w:sz w:val="20"/>
          <w:szCs w:val="20"/>
          <w:color w:val="auto"/>
        </w:rPr>
      </w:pPr>
    </w:p>
    <w:p>
      <w:pPr>
        <w:ind w:left="1000" w:hanging="816"/>
        <w:spacing w:after="0"/>
        <w:tabs>
          <w:tab w:leader="none" w:pos="10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80" w:right="279" w:firstLine="652"/>
        <w:spacing w:after="0" w:line="261" w:lineRule="auto"/>
        <w:tabs>
          <w:tab w:leader="none" w:pos="1513"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shall have a term of ten (10) years from the Grant Date specified in the Stock Option Grant (the “Grant Date”) and shall terminate at the expiration of that period, unless it is terminated at an earlier date pursuant to the provisions of these Grant Conditions or the Plan.</w:t>
      </w:r>
    </w:p>
    <w:p>
      <w:pPr>
        <w:spacing w:after="0" w:line="157" w:lineRule="exact"/>
        <w:rPr>
          <w:rFonts w:ascii="Times New Roman" w:cs="Times New Roman" w:eastAsia="Times New Roman" w:hAnsi="Times New Roman"/>
          <w:sz w:val="21"/>
          <w:szCs w:val="21"/>
          <w:color w:val="auto"/>
        </w:rPr>
      </w:pPr>
    </w:p>
    <w:p>
      <w:pPr>
        <w:ind w:left="180" w:right="199" w:firstLine="652"/>
        <w:spacing w:after="0" w:line="255" w:lineRule="auto"/>
        <w:tabs>
          <w:tab w:leader="none" w:pos="1525"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 ceases to be employed by the Employer for any reason, the unvested portion of the Option will terminate on the date the Grantee ceases to be employed by the Employer (the “Termination Date”), unless otherwise provided in this Section 3. Any vested portion of the Option as of the Termination Date may be exercised for the period described in this Section 3.</w:t>
      </w:r>
    </w:p>
    <w:p>
      <w:pPr>
        <w:spacing w:after="0" w:line="161" w:lineRule="exact"/>
        <w:rPr>
          <w:rFonts w:ascii="Times New Roman" w:cs="Times New Roman" w:eastAsia="Times New Roman" w:hAnsi="Times New Roman"/>
          <w:sz w:val="21"/>
          <w:szCs w:val="21"/>
          <w:color w:val="auto"/>
        </w:rPr>
      </w:pPr>
    </w:p>
    <w:p>
      <w:pPr>
        <w:ind w:left="180" w:right="219" w:firstLine="652"/>
        <w:spacing w:after="0" w:line="258" w:lineRule="auto"/>
        <w:tabs>
          <w:tab w:leader="none" w:pos="151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ceases to be employed by the Employer for the following reasons, the Option will be treated as follows:</w:t>
      </w:r>
    </w:p>
    <w:p>
      <w:pPr>
        <w:spacing w:after="0" w:line="154" w:lineRule="exact"/>
        <w:rPr>
          <w:rFonts w:ascii="Times New Roman" w:cs="Times New Roman" w:eastAsia="Times New Roman" w:hAnsi="Times New Roman"/>
          <w:sz w:val="22"/>
          <w:szCs w:val="22"/>
          <w:color w:val="auto"/>
        </w:rPr>
      </w:pPr>
    </w:p>
    <w:p>
      <w:pPr>
        <w:ind w:left="180" w:right="219" w:firstLine="1300"/>
        <w:spacing w:after="0" w:line="238" w:lineRule="auto"/>
        <w:tabs>
          <w:tab w:leader="none" w:pos="2773" w:val="left"/>
        </w:tabs>
        <w:numPr>
          <w:ilvl w:val="2"/>
          <w:numId w:val="3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General Rule</w:t>
      </w:r>
      <w:r>
        <w:rPr>
          <w:rFonts w:ascii="Times New Roman" w:cs="Times New Roman" w:eastAsia="Times New Roman" w:hAnsi="Times New Roman"/>
          <w:sz w:val="22"/>
          <w:szCs w:val="22"/>
          <w:color w:val="auto"/>
        </w:rPr>
        <w:t>. If the Grantee ceases to be employed by the Employer,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except as provided below, the Option will thereafter be exercisable only with respect to that number of Shares with respect to which the Option has vested as of the Termination Date. The vested portion of the Option will terminate upon the earlier of the expiration of the term of the Option or the expiration of the ninety (90) day period commencing on the Termination Date.</w:t>
      </w:r>
    </w:p>
    <w:p>
      <w:pPr>
        <w:spacing w:after="0" w:line="176" w:lineRule="exact"/>
        <w:rPr>
          <w:rFonts w:ascii="Times New Roman" w:cs="Times New Roman" w:eastAsia="Times New Roman" w:hAnsi="Times New Roman"/>
          <w:sz w:val="22"/>
          <w:szCs w:val="22"/>
          <w:i w:val="1"/>
          <w:iCs w:val="1"/>
          <w:color w:val="auto"/>
        </w:rPr>
      </w:pPr>
    </w:p>
    <w:p>
      <w:pPr>
        <w:ind w:left="180" w:right="219" w:firstLine="1300"/>
        <w:spacing w:after="0" w:line="244" w:lineRule="auto"/>
        <w:tabs>
          <w:tab w:leader="none" w:pos="2766" w:val="left"/>
        </w:tabs>
        <w:numPr>
          <w:ilvl w:val="2"/>
          <w:numId w:val="30"/>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Retirement</w:t>
      </w:r>
      <w:r>
        <w:rPr>
          <w:rFonts w:ascii="Times New Roman" w:cs="Times New Roman" w:eastAsia="Times New Roman" w:hAnsi="Times New Roman"/>
          <w:sz w:val="21"/>
          <w:szCs w:val="21"/>
          <w:color w:val="auto"/>
        </w:rPr>
        <w:t>. If the Grantee ceases to be employed by the Employer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account of the Grantee’s Retirement, except as otherwise provided in subsection (iv) below, the unvested Option will vest on the Vesting Date coincident with or immediately following the Termination Date (the “Retirement Vesting Date”) if the Performance Goal is achieved for the Performance Year that relates to the Retirement Vesting Date. If the Grantee ceases to be employed by the Employer on account of Retirement, the vested portion of the Option shall remain outstanding until the expiration of the term of the Option. For purposes of these Grant Conditions, “Retirement” shall mean (i) the Grantee’s voluntary termination of employment after (A) the Grantee has attained age fifty-five (55) and has five (5) full years of service with the Employer or</w:t>
      </w:r>
    </w:p>
    <w:p>
      <w:pPr>
        <w:spacing w:after="0" w:line="5" w:lineRule="exact"/>
        <w:rPr>
          <w:rFonts w:ascii="Times New Roman" w:cs="Times New Roman" w:eastAsia="Times New Roman" w:hAnsi="Times New Roman"/>
          <w:sz w:val="21"/>
          <w:szCs w:val="21"/>
          <w:i w:val="1"/>
          <w:iCs w:val="1"/>
          <w:color w:val="auto"/>
        </w:rPr>
      </w:pPr>
    </w:p>
    <w:p>
      <w:pPr>
        <w:ind w:left="180" w:right="219"/>
        <w:spacing w:after="0" w:line="237" w:lineRule="auto"/>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2"/>
          <w:szCs w:val="22"/>
          <w:color w:val="auto"/>
        </w:rPr>
        <w:t>(B) a combination of age and years of service equal to at least 60 , and (ii) the Grantee has provided the Company at least six (6) months’ advance written notice of such Retirement.</w:t>
      </w:r>
    </w:p>
    <w:p>
      <w:pPr>
        <w:spacing w:after="0" w:line="174" w:lineRule="exact"/>
        <w:rPr>
          <w:rFonts w:ascii="Times New Roman" w:cs="Times New Roman" w:eastAsia="Times New Roman" w:hAnsi="Times New Roman"/>
          <w:sz w:val="21"/>
          <w:szCs w:val="21"/>
          <w:i w:val="1"/>
          <w:iCs w:val="1"/>
          <w:color w:val="auto"/>
        </w:rPr>
      </w:pPr>
    </w:p>
    <w:p>
      <w:pPr>
        <w:ind w:left="180" w:right="379" w:firstLine="1300"/>
        <w:spacing w:after="0" w:line="238" w:lineRule="auto"/>
        <w:tabs>
          <w:tab w:leader="none" w:pos="2772"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Death or Disability</w:t>
      </w:r>
      <w:r>
        <w:rPr>
          <w:rFonts w:ascii="Times New Roman" w:cs="Times New Roman" w:eastAsia="Times New Roman" w:hAnsi="Times New Roman"/>
          <w:sz w:val="22"/>
          <w:szCs w:val="22"/>
          <w:color w:val="auto"/>
        </w:rPr>
        <w:t>. If the Grantee ceases to be employed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Employer on account of the Grantee’s death or Disability, any unvested portion of the outstanding Option will become immediately vested on the Termination Date. The Option will terminate upon the earlier of the expiration of the term of the Option or the date that is 12 months following the Termination Date.</w:t>
      </w:r>
    </w:p>
    <w:p>
      <w:pPr>
        <w:spacing w:after="0" w:line="176" w:lineRule="exact"/>
        <w:rPr>
          <w:rFonts w:ascii="Times New Roman" w:cs="Times New Roman" w:eastAsia="Times New Roman" w:hAnsi="Times New Roman"/>
          <w:sz w:val="22"/>
          <w:szCs w:val="22"/>
          <w:color w:val="auto"/>
        </w:rPr>
      </w:pPr>
    </w:p>
    <w:p>
      <w:pPr>
        <w:ind w:left="180" w:right="379" w:firstLine="1300"/>
        <w:spacing w:after="0" w:line="238" w:lineRule="auto"/>
        <w:tabs>
          <w:tab w:leader="none" w:pos="2802" w:val="left"/>
        </w:tabs>
        <w:numPr>
          <w:ilvl w:val="2"/>
          <w:numId w:val="3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Termination Upon or Following a Change in Control. </w:t>
      </w:r>
      <w:r>
        <w:rPr>
          <w:rFonts w:ascii="Times New Roman" w:cs="Times New Roman" w:eastAsia="Times New Roman" w:hAnsi="Times New Roman"/>
          <w:sz w:val="22"/>
          <w:szCs w:val="22"/>
          <w:color w:val="auto"/>
        </w:rPr>
        <w:t>Notwithstanding the foregoing, if the Grantee ceases to be employed by the Employer upon or following a Change in Control on account of (i) the Grantee’s Retirement, (ii) termination by the Employer without Cause, (iii) the termination by the Grantee for Good reason (as defined below), or (iv)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342265</wp:posOffset>
            </wp:positionV>
            <wp:extent cx="552894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50" w:name="page51"/>
    <w:bookmarkEnd w:id="50"/>
    <w:p>
      <w:pPr>
        <w:jc w:val="both"/>
        <w:ind w:left="180" w:right="499"/>
        <w:spacing w:after="0" w:line="244" w:lineRule="auto"/>
        <w:rPr>
          <w:sz w:val="20"/>
          <w:szCs w:val="20"/>
          <w:color w:val="auto"/>
        </w:rPr>
      </w:pPr>
      <w:r>
        <w:rPr>
          <w:rFonts w:ascii="Times New Roman" w:cs="Times New Roman" w:eastAsia="Times New Roman" w:hAnsi="Times New Roman"/>
          <w:sz w:val="22"/>
          <w:szCs w:val="22"/>
          <w:color w:val="auto"/>
        </w:rPr>
        <w:t>Grantee’s Disability or death, any unvested portion of the outstanding Option shall become fully vested on the Termination Date. The vested Option shall be exercisable for the applicable period described in subsections (i) through (iii) above.</w:t>
      </w:r>
    </w:p>
    <w:p>
      <w:pPr>
        <w:spacing w:after="0" w:line="170" w:lineRule="exact"/>
        <w:rPr>
          <w:sz w:val="20"/>
          <w:szCs w:val="20"/>
          <w:color w:val="auto"/>
        </w:rPr>
      </w:pPr>
    </w:p>
    <w:p>
      <w:pPr>
        <w:ind w:left="180" w:right="239" w:firstLine="1300"/>
        <w:spacing w:after="0" w:line="250" w:lineRule="auto"/>
        <w:tabs>
          <w:tab w:leader="none" w:pos="2809" w:val="left"/>
        </w:tabs>
        <w:numPr>
          <w:ilvl w:val="0"/>
          <w:numId w:val="3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Termination for Cause</w:t>
      </w:r>
      <w:r>
        <w:rPr>
          <w:rFonts w:ascii="Times New Roman" w:cs="Times New Roman" w:eastAsia="Times New Roman" w:hAnsi="Times New Roman"/>
          <w:sz w:val="21"/>
          <w:szCs w:val="21"/>
          <w:color w:val="auto"/>
        </w:rPr>
        <w:t>. If the Committee determines that the Grantee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has engaged in conduct that constitutes Cause at any time while the Grantee is employed by the Employer or after the Grantee’s termination of employment (A) the vested and unvested Option shall immediately terminate and (B) the Grantee shall automatically forfeit all Shares underlying any exercised portion of the Option for which the Company has not yet delivered the share certificates, upon refund by the Company of the Exercise Price paid by the Grantee for such shares.</w:t>
      </w:r>
    </w:p>
    <w:p>
      <w:pPr>
        <w:spacing w:after="0" w:line="168" w:lineRule="exact"/>
        <w:rPr>
          <w:rFonts w:ascii="Times New Roman" w:cs="Times New Roman" w:eastAsia="Times New Roman" w:hAnsi="Times New Roman"/>
          <w:sz w:val="21"/>
          <w:szCs w:val="21"/>
          <w:i w:val="1"/>
          <w:iCs w:val="1"/>
          <w:color w:val="auto"/>
        </w:rPr>
      </w:pPr>
    </w:p>
    <w:p>
      <w:pPr>
        <w:ind w:left="180" w:right="199" w:firstLine="1300"/>
        <w:spacing w:after="0" w:line="236" w:lineRule="auto"/>
        <w:tabs>
          <w:tab w:leader="none" w:pos="2802" w:val="left"/>
        </w:tabs>
        <w:numPr>
          <w:ilvl w:val="0"/>
          <w:numId w:val="3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For purposes of these Grant Conditions, “Good Reason” shall have the meaning set forth in any written severance or employment agreement between the Grantee and Essential Utilities or, if there is no such agreement or such agreement does not define Good Reason, shall mean, except as otherwise provided in the last paragraph of this subsection, a termination of employment as a result of one or more of the following events, without the Grantee’s written consent to the event:</w:t>
      </w:r>
    </w:p>
    <w:p>
      <w:pPr>
        <w:spacing w:after="0" w:line="181" w:lineRule="exact"/>
        <w:rPr>
          <w:rFonts w:ascii="Times New Roman" w:cs="Times New Roman" w:eastAsia="Times New Roman" w:hAnsi="Times New Roman"/>
          <w:sz w:val="22"/>
          <w:szCs w:val="22"/>
          <w:i w:val="1"/>
          <w:iCs w:val="1"/>
          <w:color w:val="auto"/>
        </w:rPr>
      </w:pPr>
    </w:p>
    <w:p>
      <w:pPr>
        <w:ind w:left="180" w:right="439" w:firstLine="1867"/>
        <w:spacing w:after="0" w:line="258" w:lineRule="auto"/>
        <w:tabs>
          <w:tab w:leader="none" w:pos="2700" w:val="left"/>
        </w:tabs>
        <w:numPr>
          <w:ilvl w:val="1"/>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action or inaction that constitutes a material breach by Essential Utilities (or any successor thereto) of this Agreement;</w:t>
      </w:r>
    </w:p>
    <w:p>
      <w:pPr>
        <w:spacing w:after="0" w:line="158" w:lineRule="exact"/>
        <w:rPr>
          <w:rFonts w:ascii="Times New Roman" w:cs="Times New Roman" w:eastAsia="Times New Roman" w:hAnsi="Times New Roman"/>
          <w:sz w:val="22"/>
          <w:szCs w:val="22"/>
          <w:color w:val="010000"/>
        </w:rPr>
      </w:pPr>
    </w:p>
    <w:p>
      <w:pPr>
        <w:ind w:left="180" w:right="319" w:firstLine="1867"/>
        <w:spacing w:after="0" w:line="258" w:lineRule="auto"/>
        <w:tabs>
          <w:tab w:leader="none" w:pos="2700" w:val="left"/>
        </w:tabs>
        <w:numPr>
          <w:ilvl w:val="1"/>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diminution of the authority, duties or responsibilities of the Grantee held immediately prior to the Change in Control;</w:t>
      </w:r>
    </w:p>
    <w:p>
      <w:pPr>
        <w:spacing w:after="0" w:line="158" w:lineRule="exact"/>
        <w:rPr>
          <w:rFonts w:ascii="Times New Roman" w:cs="Times New Roman" w:eastAsia="Times New Roman" w:hAnsi="Times New Roman"/>
          <w:sz w:val="22"/>
          <w:szCs w:val="22"/>
          <w:color w:val="010000"/>
        </w:rPr>
      </w:pPr>
    </w:p>
    <w:p>
      <w:pPr>
        <w:jc w:val="both"/>
        <w:ind w:left="180" w:right="219" w:firstLine="1867"/>
        <w:spacing w:after="0" w:line="244" w:lineRule="auto"/>
        <w:tabs>
          <w:tab w:leader="none" w:pos="2700" w:val="left"/>
        </w:tabs>
        <w:numPr>
          <w:ilvl w:val="1"/>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diminution in the Grantee’s base salary, which, for purposes of this Agreement, means a reduction in base salary of ten (10) percent or more that does not apply generally to all executive officers of Essential Utilities; or</w:t>
      </w:r>
    </w:p>
    <w:p>
      <w:pPr>
        <w:spacing w:after="0" w:line="173" w:lineRule="exact"/>
        <w:rPr>
          <w:rFonts w:ascii="Times New Roman" w:cs="Times New Roman" w:eastAsia="Times New Roman" w:hAnsi="Times New Roman"/>
          <w:sz w:val="22"/>
          <w:szCs w:val="22"/>
          <w:color w:val="010000"/>
        </w:rPr>
      </w:pPr>
    </w:p>
    <w:p>
      <w:pPr>
        <w:ind w:left="180" w:right="219" w:firstLine="1867"/>
        <w:spacing w:after="0" w:line="238" w:lineRule="auto"/>
        <w:tabs>
          <w:tab w:leader="none" w:pos="2700" w:val="left"/>
        </w:tabs>
        <w:numPr>
          <w:ilvl w:val="1"/>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change in the geographic location at which the Grantee must perform services under this Agreement, which, for purposes of this Agreement, means a requirement that the Grantee be based at any office or location which is located more than fifty (50) miles from the Grantee’s primary place of employment immediately prior to the Change in Control on other than on a temporary basis (less than 6 months).</w:t>
      </w:r>
    </w:p>
    <w:p>
      <w:pPr>
        <w:spacing w:after="0" w:line="176" w:lineRule="exact"/>
        <w:rPr>
          <w:rFonts w:ascii="Times New Roman" w:cs="Times New Roman" w:eastAsia="Times New Roman" w:hAnsi="Times New Roman"/>
          <w:sz w:val="22"/>
          <w:szCs w:val="22"/>
          <w:color w:val="010000"/>
        </w:rPr>
      </w:pPr>
    </w:p>
    <w:p>
      <w:pPr>
        <w:ind w:left="180" w:right="279" w:firstLine="1867"/>
        <w:spacing w:after="0" w:line="255" w:lineRule="auto"/>
        <w:tabs>
          <w:tab w:leader="none" w:pos="2700" w:val="left"/>
        </w:tabs>
        <w:numPr>
          <w:ilvl w:val="1"/>
          <w:numId w:val="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material diminution in the authority, duties, or responsibilities of the supervisor to whom the Grantee is required to report, including a requirement that the Grantee report to a corporate officer or employee instead of reporting directly to the board of directors of a corporation (or similar governing body with respect to an entity other than a corporation).</w:t>
      </w:r>
    </w:p>
    <w:p>
      <w:pPr>
        <w:spacing w:after="0" w:line="161" w:lineRule="exact"/>
        <w:rPr>
          <w:rFonts w:ascii="Times New Roman" w:cs="Times New Roman" w:eastAsia="Times New Roman" w:hAnsi="Times New Roman"/>
          <w:sz w:val="21"/>
          <w:szCs w:val="21"/>
          <w:color w:val="010000"/>
        </w:rPr>
      </w:pPr>
    </w:p>
    <w:p>
      <w:pPr>
        <w:ind w:left="2700" w:hanging="653"/>
        <w:spacing w:after="0"/>
        <w:tabs>
          <w:tab w:leader="none" w:pos="2700" w:val="left"/>
        </w:tabs>
        <w:numPr>
          <w:ilvl w:val="1"/>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diminution in the budget over which the Grantee retains</w:t>
      </w:r>
    </w:p>
    <w:p>
      <w:pPr>
        <w:spacing w:after="0" w:line="14" w:lineRule="exact"/>
        <w:rPr>
          <w:rFonts w:ascii="Times New Roman" w:cs="Times New Roman" w:eastAsia="Times New Roman" w:hAnsi="Times New Roman"/>
          <w:sz w:val="22"/>
          <w:szCs w:val="22"/>
          <w:color w:val="010000"/>
        </w:rPr>
      </w:pPr>
    </w:p>
    <w:p>
      <w:pPr>
        <w:ind w:left="18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authority.</w:t>
      </w:r>
    </w:p>
    <w:p>
      <w:pPr>
        <w:spacing w:after="0" w:line="182" w:lineRule="exact"/>
        <w:rPr>
          <w:sz w:val="20"/>
          <w:szCs w:val="20"/>
          <w:color w:val="auto"/>
        </w:rPr>
      </w:pPr>
    </w:p>
    <w:p>
      <w:pPr>
        <w:ind w:left="180" w:right="359"/>
        <w:spacing w:after="0" w:line="244" w:lineRule="auto"/>
        <w:rPr>
          <w:sz w:val="20"/>
          <w:szCs w:val="20"/>
          <w:color w:val="auto"/>
        </w:rPr>
      </w:pPr>
      <w:r>
        <w:rPr>
          <w:rFonts w:ascii="Times New Roman" w:cs="Times New Roman" w:eastAsia="Times New Roman" w:hAnsi="Times New Roman"/>
          <w:sz w:val="22"/>
          <w:szCs w:val="22"/>
          <w:color w:val="auto"/>
        </w:rPr>
        <w:t>A termination of employment after any of the foregoing events shall be a Good Reason only if the Grantee provides written notice to Essential Utilities of the existence of such event within ninety (90) days after the initial occurrence of such event, and Essential Utilities fails to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337820</wp:posOffset>
            </wp:positionV>
            <wp:extent cx="552894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1" w:name="page52"/>
    <w:bookmarkEnd w:id="51"/>
    <w:p>
      <w:pPr>
        <w:ind w:left="180" w:right="559"/>
        <w:spacing w:after="0" w:line="259" w:lineRule="auto"/>
        <w:rPr>
          <w:sz w:val="20"/>
          <w:szCs w:val="20"/>
          <w:color w:val="auto"/>
        </w:rPr>
      </w:pPr>
      <w:r>
        <w:rPr>
          <w:rFonts w:ascii="Times New Roman" w:cs="Times New Roman" w:eastAsia="Times New Roman" w:hAnsi="Times New Roman"/>
          <w:sz w:val="22"/>
          <w:szCs w:val="22"/>
          <w:color w:val="auto"/>
        </w:rPr>
        <w:t>the event within thirty (30) days following the receipt of such notice and the Grantee terminates employment within fifteen (15) days thereafter.</w:t>
      </w:r>
    </w:p>
    <w:p>
      <w:pPr>
        <w:spacing w:after="0" w:line="157" w:lineRule="exact"/>
        <w:rPr>
          <w:sz w:val="20"/>
          <w:szCs w:val="20"/>
          <w:color w:val="auto"/>
        </w:rPr>
      </w:pPr>
    </w:p>
    <w:p>
      <w:pPr>
        <w:ind w:left="1000" w:hanging="816"/>
        <w:spacing w:after="0"/>
        <w:tabs>
          <w:tab w:leader="none" w:pos="10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the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80" w:right="239" w:firstLine="652"/>
        <w:spacing w:after="0" w:line="236" w:lineRule="auto"/>
        <w:tabs>
          <w:tab w:leader="none" w:pos="151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2 and 3 above, the Grantee may exercise any vested portion of the Option, in whole or in part, by delivering a notice of exercise to the Company. Payment of the Exercise Price and any applicable withholding taxes must be paid prior to issuance of the Shares and must be received by the Company by the time specified by the Company, depending on the type of payment being made, but in all cases prior to the issuance or transfer of such Shares.</w:t>
      </w:r>
    </w:p>
    <w:p>
      <w:pPr>
        <w:spacing w:after="0" w:line="181" w:lineRule="exact"/>
        <w:rPr>
          <w:rFonts w:ascii="Times New Roman" w:cs="Times New Roman" w:eastAsia="Times New Roman" w:hAnsi="Times New Roman"/>
          <w:sz w:val="22"/>
          <w:szCs w:val="22"/>
          <w:color w:val="auto"/>
        </w:rPr>
      </w:pPr>
    </w:p>
    <w:p>
      <w:pPr>
        <w:ind w:left="180" w:right="199" w:firstLine="652"/>
        <w:spacing w:after="0" w:line="234" w:lineRule="auto"/>
        <w:tabs>
          <w:tab w:leader="none" w:pos="1525"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may pay the Exercise Price (i) in cash, (ii) by delivering shares of Company Stock owned by the Grantee and having a Fair Market Value on the date of exercise at least equal to the Exercise Price or by attestation (on a form prescribed by the Committee) to ownership of shares of Company Stock having a Fair Market Value on the date of exercise at least equal to the Exercise Price, (iii) by payment through a broker in accordance with procedures permitted by Regulation T of the Federal Reserve Board, or (iv) by such other method as the Committee may approve. The Committee may impose such limitations as it deems appropriate on the use of shares of Company Stock to exercise the Option, and shares of Company Stock used to exercise the Option shall have been held by the Grantee for the requisite period of time necessary to avoid adverse accounting consequences to the Company with respect to the Option.</w:t>
      </w:r>
    </w:p>
    <w:p>
      <w:pPr>
        <w:spacing w:after="0" w:line="179" w:lineRule="exact"/>
        <w:rPr>
          <w:rFonts w:ascii="Times New Roman" w:cs="Times New Roman" w:eastAsia="Times New Roman" w:hAnsi="Times New Roman"/>
          <w:sz w:val="22"/>
          <w:szCs w:val="22"/>
          <w:color w:val="auto"/>
        </w:rPr>
      </w:pPr>
    </w:p>
    <w:p>
      <w:pPr>
        <w:ind w:left="180" w:right="259" w:firstLine="652"/>
        <w:spacing w:after="0" w:line="235" w:lineRule="auto"/>
        <w:tabs>
          <w:tab w:leader="none" w:pos="151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the Company to deliver Shares upon exercise of the Option shall be subject to all applicable laws, rules, and regulations and such approvals by governmental agencies as may be deemed appropriate by the Committee, including such actions as the Company’s counsel shall deem necessary or appropriate to comply with relevant securities laws and regulations. The Company may require that the Grantee (or other person exercising the Option after the Grantee’s death) represent that the Grantee is purchasing Shares for the Grantee’s own account and not with a view to or for sale in connection with any distribution of the Shares, or such other representation as the Company deems appropriate.</w:t>
      </w:r>
    </w:p>
    <w:p>
      <w:pPr>
        <w:spacing w:after="0" w:line="178" w:lineRule="exact"/>
        <w:rPr>
          <w:rFonts w:ascii="Times New Roman" w:cs="Times New Roman" w:eastAsia="Times New Roman" w:hAnsi="Times New Roman"/>
          <w:sz w:val="22"/>
          <w:szCs w:val="22"/>
          <w:color w:val="auto"/>
        </w:rPr>
      </w:pPr>
    </w:p>
    <w:p>
      <w:pPr>
        <w:ind w:left="1000" w:hanging="816"/>
        <w:spacing w:after="0"/>
        <w:tabs>
          <w:tab w:leader="none" w:pos="10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80" w:right="339" w:firstLine="652"/>
        <w:spacing w:after="0" w:line="239" w:lineRule="auto"/>
        <w:tabs>
          <w:tab w:leader="none" w:pos="151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before the end of the third Performance Year, vesting of the Option shall cease to subject to achievement of the Performance Goal and the Option shall vest on each Vesting Date that occurs following the Change in Control if the Grantee continues to be employed by the Employer through the applicable Vesting Date.</w:t>
      </w:r>
    </w:p>
    <w:p>
      <w:pPr>
        <w:spacing w:after="0" w:line="180" w:lineRule="exact"/>
        <w:rPr>
          <w:rFonts w:ascii="Times New Roman" w:cs="Times New Roman" w:eastAsia="Times New Roman" w:hAnsi="Times New Roman"/>
          <w:sz w:val="22"/>
          <w:szCs w:val="22"/>
          <w:color w:val="auto"/>
        </w:rPr>
      </w:pPr>
    </w:p>
    <w:p>
      <w:pPr>
        <w:ind w:left="180" w:right="359" w:firstLine="652"/>
        <w:spacing w:after="0" w:line="238" w:lineRule="auto"/>
        <w:tabs>
          <w:tab w:leader="none" w:pos="1525"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occurs following the Grantee’s termination of employment on account of Retirement and during the Performance Year in which the Termination Date occurs, the portion of the Option that would have otherwise vested on the Retirement Vesting Date pursuant to Section 3(c)(ii) shall become immediately vested upon the Change in Control, without regard to whether the Performance Goal is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339725</wp:posOffset>
            </wp:positionV>
            <wp:extent cx="552894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2" w:name="page53"/>
    <w:bookmarkEnd w:id="52"/>
    <w:p>
      <w:pPr>
        <w:ind w:left="180" w:right="419" w:firstLine="652"/>
        <w:spacing w:after="0" w:line="244" w:lineRule="auto"/>
        <w:tabs>
          <w:tab w:leader="none" w:pos="1513"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acceleration, exercise, exchange or other disposition of this Option upon a Change in Control shall be governed by the provisions of Section 15 of the Plan, notwithstanding any other provision in these Grant Conditions.</w:t>
      </w:r>
    </w:p>
    <w:p>
      <w:pPr>
        <w:spacing w:after="0" w:line="173" w:lineRule="exact"/>
        <w:rPr>
          <w:rFonts w:ascii="Times New Roman" w:cs="Times New Roman" w:eastAsia="Times New Roman" w:hAnsi="Times New Roman"/>
          <w:sz w:val="22"/>
          <w:szCs w:val="22"/>
          <w:color w:val="auto"/>
        </w:rPr>
      </w:pPr>
    </w:p>
    <w:p>
      <w:pPr>
        <w:ind w:left="1000" w:hanging="816"/>
        <w:spacing w:after="0"/>
        <w:tabs>
          <w:tab w:leader="none" w:pos="10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Corporate Changes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219" w:firstLine="648"/>
        <w:spacing w:after="0" w:line="235" w:lineRule="auto"/>
        <w:rPr>
          <w:sz w:val="20"/>
          <w:szCs w:val="20"/>
          <w:color w:val="auto"/>
        </w:rPr>
      </w:pPr>
      <w:r>
        <w:rPr>
          <w:rFonts w:ascii="Times New Roman" w:cs="Times New Roman" w:eastAsia="Times New Roman" w:hAnsi="Times New Roman"/>
          <w:sz w:val="22"/>
          <w:szCs w:val="22"/>
          <w:color w:val="auto"/>
        </w:rPr>
        <w:t>If any change is made to the Company Stock (whether by reason of merger, consolidation, reorganization, recapitalization, stock dividend, stock split, combination of shares, or exchange of shares or any other change in capital structure made without receipt of consideration), then unless such event or change results in the termination of the Option, the Committee shall adjust, in an equitable manner and as provided in the Plan, the number and class of shares underlying the Option and the Exercise Price to reflect the effect of such event or change in the Company’s capital structure, and the Committee shall adjust the Performance Goal as necessary to reflect the effect of such event or change in the Company’s capital structure.</w:t>
      </w:r>
    </w:p>
    <w:p>
      <w:pPr>
        <w:spacing w:after="0" w:line="178" w:lineRule="exact"/>
        <w:rPr>
          <w:sz w:val="20"/>
          <w:szCs w:val="20"/>
          <w:color w:val="auto"/>
        </w:rPr>
      </w:pPr>
    </w:p>
    <w:p>
      <w:pPr>
        <w:ind w:left="1000" w:hanging="816"/>
        <w:spacing w:after="0"/>
        <w:tabs>
          <w:tab w:leader="none" w:pos="10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Exercise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279" w:firstLine="648"/>
        <w:spacing w:after="0" w:line="239" w:lineRule="auto"/>
        <w:rPr>
          <w:sz w:val="20"/>
          <w:szCs w:val="20"/>
          <w:color w:val="auto"/>
        </w:rPr>
      </w:pPr>
      <w:r>
        <w:rPr>
          <w:rFonts w:ascii="Times New Roman" w:cs="Times New Roman" w:eastAsia="Times New Roman" w:hAnsi="Times New Roman"/>
          <w:sz w:val="22"/>
          <w:szCs w:val="22"/>
          <w:color w:val="auto"/>
        </w:rPr>
        <w:t>Except as the Committee may otherwise permit pursuant to the Plan, only the Grantee may exercise the Option during the Grantee’s lifetime and, after the Grantee’s death, the Option shall be exercisable by the Grantee’s estate, to the extent that the Option is exercisable pursuant to these Grant Conditions.</w:t>
      </w:r>
    </w:p>
    <w:p>
      <w:pPr>
        <w:spacing w:after="0" w:line="180" w:lineRule="exact"/>
        <w:rPr>
          <w:sz w:val="20"/>
          <w:szCs w:val="20"/>
          <w:color w:val="auto"/>
        </w:rPr>
      </w:pPr>
    </w:p>
    <w:p>
      <w:pPr>
        <w:ind w:left="1000" w:hanging="816"/>
        <w:spacing w:after="0"/>
        <w:tabs>
          <w:tab w:leader="none" w:pos="10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259" w:firstLine="648"/>
        <w:spacing w:after="0" w:line="238" w:lineRule="auto"/>
        <w:rPr>
          <w:sz w:val="20"/>
          <w:szCs w:val="20"/>
          <w:color w:val="auto"/>
        </w:rPr>
      </w:pPr>
      <w:r>
        <w:rPr>
          <w:rFonts w:ascii="Times New Roman" w:cs="Times New Roman" w:eastAsia="Times New Roman" w:hAnsi="Times New Roman"/>
          <w:sz w:val="22"/>
          <w:szCs w:val="22"/>
          <w:color w:val="auto"/>
        </w:rPr>
        <w:t>Neither the award of the Option, nor any other action taken with respect to the Option, shall confer upon the Grantee any right to continue to be employed by the Employer or shall interfere in any way with the right of the Employer to terminate the Grantee’s employment at any time, consistent with the terms of any written employment agreement between the Grantee and the Employer and applicable law.</w:t>
      </w:r>
    </w:p>
    <w:p>
      <w:pPr>
        <w:spacing w:after="0" w:line="177" w:lineRule="exact"/>
        <w:rPr>
          <w:sz w:val="20"/>
          <w:szCs w:val="20"/>
          <w:color w:val="auto"/>
        </w:rPr>
      </w:pPr>
    </w:p>
    <w:p>
      <w:pPr>
        <w:ind w:left="1000" w:hanging="816"/>
        <w:spacing w:after="0"/>
        <w:tabs>
          <w:tab w:leader="none" w:pos="10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Shareholder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359" w:firstLine="648"/>
        <w:spacing w:after="0" w:line="239" w:lineRule="auto"/>
        <w:rPr>
          <w:sz w:val="20"/>
          <w:szCs w:val="20"/>
          <w:color w:val="auto"/>
        </w:rPr>
      </w:pPr>
      <w:r>
        <w:rPr>
          <w:rFonts w:ascii="Times New Roman" w:cs="Times New Roman" w:eastAsia="Times New Roman" w:hAnsi="Times New Roman"/>
          <w:sz w:val="22"/>
          <w:szCs w:val="22"/>
          <w:color w:val="auto"/>
        </w:rPr>
        <w:t>Neither the Grantee, nor any person entitled to exercise the Grantee’s rights in the event of the Grantee’s death, shall have any of the rights and privileges of a shareholder with respect to the Shares subject to the Option until certificates for Shares have been issued upon exercise of the Option.</w:t>
      </w:r>
    </w:p>
    <w:p>
      <w:pPr>
        <w:spacing w:after="0" w:line="180" w:lineRule="exact"/>
        <w:rPr>
          <w:sz w:val="20"/>
          <w:szCs w:val="20"/>
          <w:color w:val="auto"/>
        </w:rPr>
      </w:pPr>
    </w:p>
    <w:p>
      <w:pPr>
        <w:ind w:left="1100" w:hanging="916"/>
        <w:spacing w:after="0"/>
        <w:tabs>
          <w:tab w:leader="none" w:pos="11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or Amendment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419" w:firstLine="648"/>
        <w:spacing w:after="0" w:line="258" w:lineRule="auto"/>
        <w:rPr>
          <w:sz w:val="20"/>
          <w:szCs w:val="20"/>
          <w:color w:val="auto"/>
        </w:rPr>
      </w:pPr>
      <w:r>
        <w:rPr>
          <w:rFonts w:ascii="Times New Roman" w:cs="Times New Roman" w:eastAsia="Times New Roman" w:hAnsi="Times New Roman"/>
          <w:sz w:val="22"/>
          <w:szCs w:val="22"/>
          <w:color w:val="auto"/>
        </w:rPr>
        <w:t>These Grant Conditions and the award made hereunder may be terminated or amended by the Committee, in whole or in part, in accordance with the applicable terms of the Plan.</w:t>
      </w:r>
    </w:p>
    <w:p>
      <w:pPr>
        <w:spacing w:after="0" w:line="158" w:lineRule="exact"/>
        <w:rPr>
          <w:sz w:val="20"/>
          <w:szCs w:val="20"/>
          <w:color w:val="auto"/>
        </w:rPr>
      </w:pPr>
    </w:p>
    <w:p>
      <w:pPr>
        <w:ind w:left="1100" w:hanging="916"/>
        <w:spacing w:after="0"/>
        <w:tabs>
          <w:tab w:leader="none" w:pos="11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359" w:firstLine="648"/>
        <w:spacing w:after="0" w:line="239" w:lineRule="auto"/>
        <w:rPr>
          <w:sz w:val="20"/>
          <w:szCs w:val="20"/>
          <w:color w:val="auto"/>
        </w:rPr>
      </w:pPr>
      <w:r>
        <w:rPr>
          <w:rFonts w:ascii="Times New Roman" w:cs="Times New Roman" w:eastAsia="Times New Roman" w:hAnsi="Times New Roman"/>
          <w:sz w:val="22"/>
          <w:szCs w:val="22"/>
          <w:color w:val="auto"/>
        </w:rPr>
        <w:t>Any notice to the Company provided for in these Grant Conditions shall be addressed to it in care of the Company’s Senior Vice President and Chief Human Resources Officer, and any notice to the Grantee shall be addressed to the Grantee at the current address shown on the payroll system of the Company, or to such other address as the Grantee may designate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342265</wp:posOffset>
            </wp:positionV>
            <wp:extent cx="552894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3" w:name="page54"/>
    <w:bookmarkEnd w:id="53"/>
    <w:p>
      <w:pPr>
        <w:ind w:left="180" w:right="239"/>
        <w:spacing w:after="0" w:line="235" w:lineRule="auto"/>
        <w:rPr>
          <w:sz w:val="20"/>
          <w:szCs w:val="20"/>
          <w:color w:val="auto"/>
        </w:rPr>
      </w:pPr>
      <w:r>
        <w:rPr>
          <w:rFonts w:ascii="Times New Roman" w:cs="Times New Roman" w:eastAsia="Times New Roman" w:hAnsi="Times New Roman"/>
          <w:sz w:val="22"/>
          <w:szCs w:val="22"/>
          <w:color w:val="auto"/>
        </w:rPr>
        <w:t>Company in writing. Any notice provided for hereunder shall be delivered by hand, sent by telecopy or electronic mail or enclosed in a properly sealed envelope addressed as stated above, registered and deposited, postage and registry fee prepaid in the United States mail or other mail delivery service. Notice to the Company shall be deemed effective upon receipt. By receipt of these Grant Conditions, the Grantee hereby consents to the delivery of information (including without limitation, information required to be delivered to the Grantee pursuant to the applicable securities laws) regarding the Company, the Plan, and the Option via the Company’s electronic mail system or other electronic delivery system.</w:t>
      </w:r>
    </w:p>
    <w:p>
      <w:pPr>
        <w:spacing w:after="0" w:line="179" w:lineRule="exact"/>
        <w:rPr>
          <w:sz w:val="20"/>
          <w:szCs w:val="20"/>
          <w:color w:val="auto"/>
        </w:rPr>
      </w:pPr>
    </w:p>
    <w:p>
      <w:pPr>
        <w:ind w:left="1100" w:hanging="916"/>
        <w:spacing w:after="0"/>
        <w:tabs>
          <w:tab w:leader="none" w:pos="11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 by Reference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359" w:firstLine="648"/>
        <w:spacing w:after="0" w:line="233" w:lineRule="auto"/>
        <w:rPr>
          <w:sz w:val="20"/>
          <w:szCs w:val="20"/>
          <w:color w:val="auto"/>
        </w:rPr>
      </w:pPr>
      <w:r>
        <w:rPr>
          <w:rFonts w:ascii="Times New Roman" w:cs="Times New Roman" w:eastAsia="Times New Roman" w:hAnsi="Times New Roman"/>
          <w:sz w:val="22"/>
          <w:szCs w:val="22"/>
          <w:color w:val="auto"/>
        </w:rPr>
        <w:t>The Stock Option Grant and these Grant Conditions are made pursuant to the terms of the Plan, the terms of which are incorporated herein by reference, and shall in all respects be interpreted in accordance therewith. The decisions of the Committee shall be conclusive upon any question arising hereunder. The Grantee’s receipt of the Option constitutes the Grantee’s acknowledgment that all decisions and determinations of the Committee with respect to the Plan, these Grant Conditions, and/or the Option shall be final and binding on the Grantee, his or her beneficiaries and any other person having or claiming an interest in the Option. The settlement of any award with respect to the Option is subject to the provisions of the Plan and to interpretations, regulations and determinations concerning the Plan as established from time to time by the Committee in accordance with the provisions of the Plan. A copy of the Plan will be furnished to each Grantee upon request.</w:t>
      </w:r>
    </w:p>
    <w:p>
      <w:pPr>
        <w:spacing w:after="0" w:line="187" w:lineRule="exact"/>
        <w:rPr>
          <w:sz w:val="20"/>
          <w:szCs w:val="20"/>
          <w:color w:val="auto"/>
        </w:rPr>
      </w:pPr>
    </w:p>
    <w:p>
      <w:pPr>
        <w:ind w:left="1100" w:hanging="916"/>
        <w:spacing w:after="0"/>
        <w:tabs>
          <w:tab w:leader="none" w:pos="11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Income Taxes; Withholding Taxes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219" w:firstLine="648"/>
        <w:spacing w:after="0" w:line="235" w:lineRule="auto"/>
        <w:rPr>
          <w:sz w:val="20"/>
          <w:szCs w:val="20"/>
          <w:color w:val="auto"/>
        </w:rPr>
      </w:pPr>
      <w:r>
        <w:rPr>
          <w:rFonts w:ascii="Times New Roman" w:cs="Times New Roman" w:eastAsia="Times New Roman" w:hAnsi="Times New Roman"/>
          <w:sz w:val="22"/>
          <w:szCs w:val="22"/>
          <w:color w:val="auto"/>
        </w:rPr>
        <w:t>The Grantee is solely responsible for the satisfaction of all taxes and penalties that may arise in connection with the Option or the exercise of the Option pursuant to these Grant Conditions, and all obligations of the Company under these Grant Conditions shall be subject to the rights of the Employer as set forth in the Plan to withhold amounts required to be withheld for any taxes, if applicable. At the time of taxation, the Employer shall have the right to deduct from other compensation, or to withhold shares of Company Stock, in an amount equal to the federal (including FICA), state, local and foreign taxes and other amounts as may be required by law to be withheld with respect to the Option, as approved in advance by the Committee.</w:t>
      </w:r>
    </w:p>
    <w:p>
      <w:pPr>
        <w:spacing w:after="0" w:line="178" w:lineRule="exact"/>
        <w:rPr>
          <w:sz w:val="20"/>
          <w:szCs w:val="20"/>
          <w:color w:val="auto"/>
        </w:rPr>
      </w:pPr>
    </w:p>
    <w:p>
      <w:pPr>
        <w:ind w:left="1100" w:hanging="916"/>
        <w:spacing w:after="0"/>
        <w:tabs>
          <w:tab w:leader="none" w:pos="11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Policies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519" w:firstLine="648"/>
        <w:spacing w:after="0" w:line="244" w:lineRule="auto"/>
        <w:rPr>
          <w:sz w:val="20"/>
          <w:szCs w:val="20"/>
          <w:color w:val="auto"/>
        </w:rPr>
      </w:pPr>
      <w:r>
        <w:rPr>
          <w:rFonts w:ascii="Times New Roman" w:cs="Times New Roman" w:eastAsia="Times New Roman" w:hAnsi="Times New Roman"/>
          <w:sz w:val="22"/>
          <w:szCs w:val="22"/>
          <w:color w:val="auto"/>
        </w:rPr>
        <w:t>This Option and all shares issued pursuant to this grant shall be subject to any applicable recoupment or clawback policies and other policies implemented by the Board, as in effect from time to time.</w:t>
      </w:r>
    </w:p>
    <w:p>
      <w:pPr>
        <w:spacing w:after="0" w:line="173" w:lineRule="exact"/>
        <w:rPr>
          <w:sz w:val="20"/>
          <w:szCs w:val="20"/>
          <w:color w:val="auto"/>
        </w:rPr>
      </w:pPr>
    </w:p>
    <w:p>
      <w:pPr>
        <w:ind w:left="1100" w:hanging="916"/>
        <w:spacing w:after="0"/>
        <w:tabs>
          <w:tab w:leader="none" w:pos="11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Enforcement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359" w:firstLine="648"/>
        <w:spacing w:after="0" w:line="238" w:lineRule="auto"/>
        <w:rPr>
          <w:sz w:val="20"/>
          <w:szCs w:val="20"/>
          <w:color w:val="auto"/>
        </w:rPr>
      </w:pPr>
      <w:r>
        <w:rPr>
          <w:rFonts w:ascii="Times New Roman" w:cs="Times New Roman" w:eastAsia="Times New Roman" w:hAnsi="Times New Roman"/>
          <w:sz w:val="22"/>
          <w:szCs w:val="22"/>
          <w:color w:val="auto"/>
        </w:rPr>
        <w:t>The validity, construction, interpretation and effect of the Stock Option Grant and these Grant Conditions shall be governed by, and determined in accordance with, the applicable laws of the Commonwealth of Pennsylvania, excluding any conflicts or choice of law rule or principle. The resolution of any dispute regarding, or the enforcement of, this Stock Option Grant and these Grant Conditions shall take place in a court of competent jurisdiction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339725</wp:posOffset>
            </wp:positionV>
            <wp:extent cx="552894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4" w:name="page55"/>
    <w:bookmarkEnd w:id="54"/>
    <w:p>
      <w:pPr>
        <w:ind w:left="180" w:right="299"/>
        <w:spacing w:after="0" w:line="259" w:lineRule="auto"/>
        <w:rPr>
          <w:sz w:val="20"/>
          <w:szCs w:val="20"/>
          <w:color w:val="auto"/>
        </w:rPr>
      </w:pPr>
      <w:r>
        <w:rPr>
          <w:rFonts w:ascii="Times New Roman" w:cs="Times New Roman" w:eastAsia="Times New Roman" w:hAnsi="Times New Roman"/>
          <w:sz w:val="22"/>
          <w:szCs w:val="22"/>
          <w:color w:val="auto"/>
        </w:rPr>
        <w:t>within the Commonwealth of Pennsylvania, notwithstanding any dispute resolution terms that may exist under any employment agreement between the Grantee and the Company.</w:t>
      </w:r>
    </w:p>
    <w:p>
      <w:pPr>
        <w:spacing w:after="0" w:line="157" w:lineRule="exact"/>
        <w:rPr>
          <w:sz w:val="20"/>
          <w:szCs w:val="20"/>
          <w:color w:val="auto"/>
        </w:rPr>
      </w:pPr>
    </w:p>
    <w:p>
      <w:pPr>
        <w:ind w:left="1100" w:hanging="916"/>
        <w:spacing w:after="0"/>
        <w:tabs>
          <w:tab w:leader="none" w:pos="11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319" w:firstLine="648"/>
        <w:spacing w:after="0" w:line="261" w:lineRule="auto"/>
        <w:rPr>
          <w:sz w:val="20"/>
          <w:szCs w:val="20"/>
          <w:color w:val="auto"/>
        </w:rPr>
      </w:pPr>
      <w:r>
        <w:rPr>
          <w:rFonts w:ascii="Times New Roman" w:cs="Times New Roman" w:eastAsia="Times New Roman" w:hAnsi="Times New Roman"/>
          <w:sz w:val="21"/>
          <w:szCs w:val="21"/>
          <w:color w:val="auto"/>
        </w:rPr>
        <w:t>The Stock Option Grant and these Grant Conditions shall bind and inure to the benefit of the successors and assignees of the Company. The Grantee may not sell, assign, transfer, pledge or otherwise dispose of the Option, except to a successor grantee in the event of the Grantee’s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619125</wp:posOffset>
            </wp:positionV>
            <wp:extent cx="552894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Performance Goal</w:t>
      </w:r>
    </w:p>
    <w:p>
      <w:pPr>
        <w:spacing w:after="0" w:line="206" w:lineRule="exact"/>
        <w:rPr>
          <w:sz w:val="20"/>
          <w:szCs w:val="20"/>
          <w:color w:val="auto"/>
        </w:rPr>
      </w:pPr>
    </w:p>
    <w:p>
      <w:pPr>
        <w:ind w:left="180" w:right="439"/>
        <w:spacing w:after="0" w:line="244" w:lineRule="auto"/>
        <w:rPr>
          <w:sz w:val="20"/>
          <w:szCs w:val="20"/>
          <w:color w:val="auto"/>
        </w:rPr>
      </w:pPr>
      <w:r>
        <w:rPr>
          <w:rFonts w:ascii="Times New Roman" w:cs="Times New Roman" w:eastAsia="Times New Roman" w:hAnsi="Times New Roman"/>
          <w:sz w:val="22"/>
          <w:szCs w:val="22"/>
          <w:color w:val="auto"/>
        </w:rPr>
        <w:t>Provided the Grantee has remained in the continuous employment of the Employer through the applicable Vesting Date (except as otherwise provided in Section 3), the applicable portion of the Option shall become vested on the Vesting Date as follows:</w:t>
      </w:r>
    </w:p>
    <w:p>
      <w:pPr>
        <w:spacing w:after="0" w:line="173" w:lineRule="exact"/>
        <w:rPr>
          <w:sz w:val="20"/>
          <w:szCs w:val="20"/>
          <w:color w:val="auto"/>
        </w:rPr>
      </w:pPr>
    </w:p>
    <w:p>
      <w:pPr>
        <w:ind w:left="180" w:right="199"/>
        <w:spacing w:after="0" w:line="248" w:lineRule="auto"/>
        <w:rPr>
          <w:sz w:val="20"/>
          <w:szCs w:val="20"/>
          <w:color w:val="auto"/>
        </w:rPr>
      </w:pPr>
      <w:r>
        <w:rPr>
          <w:rFonts w:ascii="Times New Roman" w:cs="Times New Roman" w:eastAsia="Times New Roman" w:hAnsi="Times New Roman"/>
          <w:sz w:val="21"/>
          <w:szCs w:val="21"/>
          <w:color w:val="auto"/>
        </w:rPr>
        <w:t>For purposes of this Option award, the achievement of the Performance Goal shall be determined as follows: the Company’s achievement of at least an adjusted return on equity equal to 150 basis points below the return on equity granted by the Pennsylvania Public Utility Commission (the “PUC”) during Aqua Pennsylvania’s, the Company’s Pennsylvania subsidiary, last rate proceeding. The Company’s adjusted return on equity is calculated annually in accordance with the below descriptive formula and if the adjusted return on equity meets or exceeds 150 basis points below the return of equity of the most current Pennsylvania PUC rate award, the awards will vest:</w:t>
      </w:r>
    </w:p>
    <w:p>
      <w:pPr>
        <w:spacing w:after="0" w:line="170" w:lineRule="exact"/>
        <w:rPr>
          <w:sz w:val="20"/>
          <w:szCs w:val="20"/>
          <w:color w:val="auto"/>
        </w:rPr>
      </w:pPr>
    </w:p>
    <w:p>
      <w:pPr>
        <w:ind w:left="840" w:right="299"/>
        <w:spacing w:after="0" w:line="238" w:lineRule="auto"/>
        <w:rPr>
          <w:sz w:val="20"/>
          <w:szCs w:val="20"/>
          <w:color w:val="auto"/>
        </w:rPr>
      </w:pPr>
      <w:r>
        <w:rPr>
          <w:rFonts w:ascii="Times New Roman" w:cs="Times New Roman" w:eastAsia="Times New Roman" w:hAnsi="Times New Roman"/>
          <w:sz w:val="22"/>
          <w:szCs w:val="22"/>
          <w:color w:val="auto"/>
        </w:rPr>
        <w:t>Return on Equity = net income (excluding net income or loss from acquisitions which have not yet been incorporated into a rate application as of the last year end)/equity (excluding equity applicable to acquisitions which are not yet incorporated in a rate application during the award period), all as adjusted in accordance with the Amended and Restated Omnibus Equity Plan.</w:t>
      </w:r>
    </w:p>
    <w:p>
      <w:pPr>
        <w:spacing w:after="0" w:line="177" w:lineRule="exact"/>
        <w:rPr>
          <w:sz w:val="20"/>
          <w:szCs w:val="20"/>
          <w:color w:val="auto"/>
        </w:rPr>
      </w:pPr>
    </w:p>
    <w:p>
      <w:pPr>
        <w:ind w:left="180" w:right="299"/>
        <w:spacing w:after="0" w:line="244" w:lineRule="auto"/>
        <w:rPr>
          <w:sz w:val="20"/>
          <w:szCs w:val="20"/>
          <w:color w:val="auto"/>
        </w:rPr>
      </w:pPr>
      <w:r>
        <w:rPr>
          <w:rFonts w:ascii="Times New Roman" w:cs="Times New Roman" w:eastAsia="Times New Roman" w:hAnsi="Times New Roman"/>
          <w:sz w:val="22"/>
          <w:szCs w:val="22"/>
          <w:color w:val="auto"/>
        </w:rPr>
        <w:t>Except as otherwise provided in Section 5, in the event the Company’s Annual Adjusted Return on Equity for the Performance Year is less than the Adjusted Return on Equity Target, the portion of the Option that would vest for the Performance Year shall cease to be outstanding.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6" w:name="page57"/>
    <w:bookmarkEnd w:id="56"/>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19"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2025 PSU Agreement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ESSENTIAL UTILITIES,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EQUITY COMPENSATION PLAN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PERFORMANCE-BASED SHARE UNIT GRANT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TERMS AND CONDITIONS</w:t>
      </w:r>
    </w:p>
    <w:p>
      <w:pPr>
        <w:spacing w:after="0" w:line="182" w:lineRule="exact"/>
        <w:rPr>
          <w:sz w:val="20"/>
          <w:szCs w:val="20"/>
          <w:color w:val="auto"/>
        </w:rPr>
      </w:pPr>
    </w:p>
    <w:p>
      <w:pPr>
        <w:ind w:left="860" w:hanging="676"/>
        <w:spacing w:after="0"/>
        <w:tabs>
          <w:tab w:leader="none" w:pos="8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Performance Units.</w:t>
      </w:r>
    </w:p>
    <w:p>
      <w:pPr>
        <w:spacing w:after="0" w:line="206" w:lineRule="exact"/>
        <w:rPr>
          <w:sz w:val="20"/>
          <w:szCs w:val="20"/>
          <w:color w:val="auto"/>
        </w:rPr>
      </w:pPr>
    </w:p>
    <w:p>
      <w:pPr>
        <w:ind w:left="180" w:right="199" w:firstLine="648"/>
        <w:spacing w:after="0" w:line="234" w:lineRule="auto"/>
        <w:rPr>
          <w:sz w:val="20"/>
          <w:szCs w:val="20"/>
          <w:color w:val="auto"/>
        </w:rPr>
      </w:pPr>
      <w:r>
        <w:rPr>
          <w:rFonts w:ascii="Times New Roman" w:cs="Times New Roman" w:eastAsia="Times New Roman" w:hAnsi="Times New Roman"/>
          <w:sz w:val="22"/>
          <w:szCs w:val="22"/>
          <w:color w:val="auto"/>
        </w:rPr>
        <w:t>These Performance-Based Share Unit Grant Terms and Conditions (the “Grant Conditions”) shall apply and be part of the grant made by Essential Utilities, Inc., a Pennsylvania corporation (the “Company”), to the Grantee named in the Performance-Based Share Unit Grant (the “Performance-Based Unit Grant”) to which these Grant Conditions are attached (the “Grantee”), under the terms and provisions of the Essential Utilities, Inc. Amended and Restated Equity Compensation Plan, as amended and restated (the “Plan”). The applicable provisions of the Plan are incorporated into the Grant Conditions by reference, including the definitions of terms contained in the Plan (unless such terms are otherwise defined herein). The Grantee is an employee of the Company, its subsidiaries or its Affiliates (collectively, the “Employer”).</w:t>
      </w:r>
    </w:p>
    <w:p>
      <w:pPr>
        <w:spacing w:after="0" w:line="183" w:lineRule="exact"/>
        <w:rPr>
          <w:sz w:val="20"/>
          <w:szCs w:val="20"/>
          <w:color w:val="auto"/>
        </w:rPr>
      </w:pPr>
    </w:p>
    <w:p>
      <w:pPr>
        <w:ind w:left="180" w:right="219" w:firstLine="648"/>
        <w:spacing w:after="0" w:line="247" w:lineRule="auto"/>
        <w:rPr>
          <w:sz w:val="20"/>
          <w:szCs w:val="20"/>
          <w:color w:val="auto"/>
        </w:rPr>
      </w:pPr>
      <w:r>
        <w:rPr>
          <w:rFonts w:ascii="Times New Roman" w:cs="Times New Roman" w:eastAsia="Times New Roman" w:hAnsi="Times New Roman"/>
          <w:sz w:val="21"/>
          <w:szCs w:val="21"/>
          <w:color w:val="auto"/>
        </w:rPr>
        <w:t xml:space="preserve">Subject to the terms and vesting conditions hereinafter set forth, the Company, with the approval and at the direction of the Executive Compensation Committee (the “Committee”) of the Company’s Board of Directors (the “Board”), has granted to the Grantee a target award (the “Target Award”) of performance-based share units as specified in the Performance-Based Share Unit Grant (the “Performance Units”). The Performance Units are contingently awarded and shall be earned, vested and payable if and to the extent that the performance goals described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(the “Performance Goals”), employment conditions and other conditions of these Grant Conditions are met. The Performance Units are granted with Dividend Equivalents (as defined in Section 6).</w:t>
      </w:r>
    </w:p>
    <w:p>
      <w:pPr>
        <w:spacing w:after="0" w:line="172" w:lineRule="exact"/>
        <w:rPr>
          <w:sz w:val="20"/>
          <w:szCs w:val="20"/>
          <w:color w:val="auto"/>
        </w:rPr>
      </w:pPr>
    </w:p>
    <w:p>
      <w:pPr>
        <w:ind w:left="860" w:hanging="676"/>
        <w:spacing w:after="0"/>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p>
    <w:p>
      <w:pPr>
        <w:spacing w:after="0" w:line="206" w:lineRule="exact"/>
        <w:rPr>
          <w:sz w:val="20"/>
          <w:szCs w:val="20"/>
          <w:color w:val="auto"/>
        </w:rPr>
      </w:pPr>
    </w:p>
    <w:p>
      <w:pPr>
        <w:ind w:left="180" w:right="279" w:firstLine="648"/>
        <w:spacing w:after="0" w:line="235" w:lineRule="auto"/>
        <w:rPr>
          <w:sz w:val="20"/>
          <w:szCs w:val="20"/>
          <w:color w:val="auto"/>
        </w:rPr>
      </w:pPr>
      <w:r>
        <w:rPr>
          <w:rFonts w:ascii="Times New Roman" w:cs="Times New Roman" w:eastAsia="Times New Roman" w:hAnsi="Times New Roman"/>
          <w:sz w:val="22"/>
          <w:szCs w:val="22"/>
          <w:color w:val="auto"/>
        </w:rPr>
        <w:t>Except as otherwise set forth in these Grant Conditions, the Grantee shall earn and vest in a number of Performance Units based on the attainment of the Performance Goals as of the end of the Performance Period, provided that the Grantee continues to be employed by the Employer through the Vesting Date stated on the Performance-Based Share Unit Grant (the “Vesting Date”). The “Performance Period” is the performance period beginning and ending on the applicable dates stated on the Performance-Based Share Unit Grant. The “Vesting Period” is the period beginning on the Grant Date and ending on the Vesting Date.</w:t>
      </w:r>
    </w:p>
    <w:p>
      <w:pPr>
        <w:spacing w:after="0" w:line="183" w:lineRule="exact"/>
        <w:rPr>
          <w:sz w:val="20"/>
          <w:szCs w:val="20"/>
          <w:color w:val="auto"/>
        </w:rPr>
      </w:pPr>
    </w:p>
    <w:p>
      <w:pPr>
        <w:ind w:left="180" w:right="499" w:firstLine="652"/>
        <w:spacing w:after="0" w:line="238" w:lineRule="auto"/>
        <w:tabs>
          <w:tab w:leader="none" w:pos="151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in these Grant Conditions, at the end of the Performance Period, the Committee will determine whether and to what extent the Performance Goals have been met and the amount earned with respect to the Performance Units. The Grantee can earn up to two hundred percent (200%) of the Target Award based on the attainment of the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116840</wp:posOffset>
            </wp:positionV>
            <wp:extent cx="552894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7" w:name="page58"/>
    <w:bookmarkEnd w:id="57"/>
    <w:p>
      <w:pPr>
        <w:ind w:left="180" w:right="199" w:firstLine="652"/>
        <w:spacing w:after="0" w:line="244" w:lineRule="auto"/>
        <w:tabs>
          <w:tab w:leader="none" w:pos="1525"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in Section 3 below, the Grantee must continue to be employed by the Employer throughout the Vesting Period in order for the Grantee to vest and receive payment with respect to the earned Performance Units.</w:t>
      </w:r>
    </w:p>
    <w:p>
      <w:pPr>
        <w:spacing w:after="0" w:line="173" w:lineRule="exact"/>
        <w:rPr>
          <w:rFonts w:ascii="Times New Roman" w:cs="Times New Roman" w:eastAsia="Times New Roman" w:hAnsi="Times New Roman"/>
          <w:sz w:val="22"/>
          <w:szCs w:val="22"/>
          <w:color w:val="auto"/>
        </w:rPr>
      </w:pPr>
    </w:p>
    <w:p>
      <w:pPr>
        <w:ind w:left="180" w:right="339" w:firstLine="652"/>
        <w:spacing w:after="0" w:line="244" w:lineRule="auto"/>
        <w:tabs>
          <w:tab w:leader="none" w:pos="1513"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provided below, no Performance Units shall vest prior to the Vesting Date, and if the Performance Goals are not attained at the end of the Performance Period, the Performance Units shall be immediately forfeited and shall cease to be outstanding.</w:t>
      </w:r>
    </w:p>
    <w:p>
      <w:pPr>
        <w:spacing w:after="0" w:line="173" w:lineRule="exact"/>
        <w:rPr>
          <w:rFonts w:ascii="Times New Roman" w:cs="Times New Roman" w:eastAsia="Times New Roman" w:hAnsi="Times New Roman"/>
          <w:sz w:val="22"/>
          <w:szCs w:val="22"/>
          <w:color w:val="auto"/>
        </w:rPr>
      </w:pPr>
    </w:p>
    <w:p>
      <w:pPr>
        <w:ind w:left="860" w:hanging="676"/>
        <w:spacing w:after="0"/>
        <w:tabs>
          <w:tab w:leader="none" w:pos="8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on Account of Retirement, Death, or Disability.</w:t>
      </w:r>
    </w:p>
    <w:p>
      <w:pPr>
        <w:spacing w:after="0" w:line="206" w:lineRule="exact"/>
        <w:rPr>
          <w:rFonts w:ascii="Times New Roman" w:cs="Times New Roman" w:eastAsia="Times New Roman" w:hAnsi="Times New Roman"/>
          <w:sz w:val="22"/>
          <w:szCs w:val="22"/>
          <w:color w:val="auto"/>
        </w:rPr>
      </w:pPr>
    </w:p>
    <w:p>
      <w:pPr>
        <w:ind w:left="180" w:right="439" w:firstLine="652"/>
        <w:spacing w:after="0" w:line="244" w:lineRule="auto"/>
        <w:tabs>
          <w:tab w:leader="none" w:pos="151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below, if the Grantee ceases to be employed by the Employer prior to the Vesting Date, the Performance Units shall be forfeited as of the termination date and shall cease to be outstanding.</w:t>
      </w:r>
    </w:p>
    <w:p>
      <w:pPr>
        <w:spacing w:after="0" w:line="173" w:lineRule="exact"/>
        <w:rPr>
          <w:rFonts w:ascii="Times New Roman" w:cs="Times New Roman" w:eastAsia="Times New Roman" w:hAnsi="Times New Roman"/>
          <w:sz w:val="22"/>
          <w:szCs w:val="22"/>
          <w:color w:val="auto"/>
        </w:rPr>
      </w:pPr>
    </w:p>
    <w:p>
      <w:pPr>
        <w:ind w:left="180" w:right="279" w:firstLine="652"/>
        <w:spacing w:after="0" w:line="236" w:lineRule="auto"/>
        <w:tabs>
          <w:tab w:leader="none" w:pos="1525"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ceases to be employed by the Employer during the Vesting Period on account of the Grantee’s death or Disability, the Grantee’s outstanding Performance Units shall remain outstanding through the Vesting Period and the Grantee shall earn Performance Units based on the attainment of the Performance Goals, as determined following the end of the Performance Period (or as described in Section 4, if applicable). The earned Performance Units shall be paid as described in Section 5.</w:t>
      </w:r>
    </w:p>
    <w:p>
      <w:pPr>
        <w:spacing w:after="0" w:line="181" w:lineRule="exact"/>
        <w:rPr>
          <w:rFonts w:ascii="Times New Roman" w:cs="Times New Roman" w:eastAsia="Times New Roman" w:hAnsi="Times New Roman"/>
          <w:sz w:val="22"/>
          <w:szCs w:val="22"/>
          <w:color w:val="auto"/>
        </w:rPr>
      </w:pPr>
    </w:p>
    <w:p>
      <w:pPr>
        <w:ind w:left="180" w:right="259" w:firstLine="652"/>
        <w:spacing w:after="0" w:line="235" w:lineRule="auto"/>
        <w:tabs>
          <w:tab w:leader="none" w:pos="151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ceases to be employed by the Employer during the Vesting Period on account of Retirement (defined below), the Grantee shall remain eligible to earn the outstanding Performance Units based on attainment of the Performance Goals, as determined following the end of the Performance Period (or as described in Section 4, if applicable). The earned portion shall be determined based on the number of Performance Units earned based on the attainment of the Performance Goals during the Performance Period, without proration. The earned Performance Units shall be paid as described in Section 5.</w:t>
      </w:r>
    </w:p>
    <w:p>
      <w:pPr>
        <w:spacing w:after="0" w:line="183" w:lineRule="exact"/>
        <w:rPr>
          <w:rFonts w:ascii="Times New Roman" w:cs="Times New Roman" w:eastAsia="Times New Roman" w:hAnsi="Times New Roman"/>
          <w:sz w:val="22"/>
          <w:szCs w:val="22"/>
          <w:color w:val="auto"/>
        </w:rPr>
      </w:pPr>
    </w:p>
    <w:p>
      <w:pPr>
        <w:ind w:left="180" w:right="319" w:firstLine="652"/>
        <w:spacing w:after="0" w:line="238" w:lineRule="auto"/>
        <w:tabs>
          <w:tab w:leader="none" w:pos="1525"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Grant Conditions, “Retirement” shall mean (i) the Grantee’s voluntary termination of employment after (A) the Grantee has attained age fifty-five (55) and has five (5) full years of service with the Employer or (B) a combination of age and years of service equal to at least 60, and (ii) the Grantee has provided the Company at least six (6) months advance written notice of such Retirement.</w:t>
      </w:r>
    </w:p>
    <w:p>
      <w:pPr>
        <w:spacing w:after="0" w:line="176" w:lineRule="exact"/>
        <w:rPr>
          <w:rFonts w:ascii="Times New Roman" w:cs="Times New Roman" w:eastAsia="Times New Roman" w:hAnsi="Times New Roman"/>
          <w:sz w:val="22"/>
          <w:szCs w:val="22"/>
          <w:color w:val="auto"/>
        </w:rPr>
      </w:pPr>
    </w:p>
    <w:p>
      <w:pPr>
        <w:ind w:left="860" w:hanging="676"/>
        <w:spacing w:after="0"/>
        <w:tabs>
          <w:tab w:leader="none" w:pos="8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p>
    <w:p>
      <w:pPr>
        <w:spacing w:after="0" w:line="206" w:lineRule="exact"/>
        <w:rPr>
          <w:rFonts w:ascii="Times New Roman" w:cs="Times New Roman" w:eastAsia="Times New Roman" w:hAnsi="Times New Roman"/>
          <w:sz w:val="22"/>
          <w:szCs w:val="22"/>
          <w:color w:val="auto"/>
        </w:rPr>
      </w:pPr>
    </w:p>
    <w:p>
      <w:pPr>
        <w:ind w:left="180" w:right="619" w:firstLine="652"/>
        <w:spacing w:after="0" w:line="244" w:lineRule="auto"/>
        <w:tabs>
          <w:tab w:leader="none" w:pos="151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occurs during the Vesting Period, the Grantee shall earn outstanding Performance Units as of the date of the Change in Control (the “Change in Control Date”) as follows:</w:t>
      </w:r>
    </w:p>
    <w:p>
      <w:pPr>
        <w:spacing w:after="0" w:line="173" w:lineRule="exact"/>
        <w:rPr>
          <w:rFonts w:ascii="Times New Roman" w:cs="Times New Roman" w:eastAsia="Times New Roman" w:hAnsi="Times New Roman"/>
          <w:sz w:val="22"/>
          <w:szCs w:val="22"/>
          <w:color w:val="auto"/>
        </w:rPr>
      </w:pPr>
    </w:p>
    <w:p>
      <w:pPr>
        <w:ind w:left="180" w:right="359" w:firstLine="1300"/>
        <w:spacing w:after="0" w:line="239" w:lineRule="auto"/>
        <w:tabs>
          <w:tab w:leader="none" w:pos="2139"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Change in Control occurs before the end of the Performance Period, the Grantee shall earn the greater of (x) the number of Performance Units earned based on the attainment of the Performance Goals from the beginning of the Performance Period to the Change in Control Date, or (y) the Target Award.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8" w:name="page59"/>
    <w:bookmarkEnd w:id="58"/>
    <w:p>
      <w:pPr>
        <w:jc w:val="both"/>
        <w:ind w:left="180" w:right="479" w:firstLine="1300"/>
        <w:spacing w:after="0" w:line="244" w:lineRule="auto"/>
        <w:tabs>
          <w:tab w:leader="none" w:pos="217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occurs after the end of the Performance Period but before the Vesting Date, the Grantee shall earn Performance Units based on the attainment of the Performance Goals as of the end of the Performance Period.</w:t>
      </w:r>
    </w:p>
    <w:p>
      <w:pPr>
        <w:spacing w:after="0" w:line="174" w:lineRule="exact"/>
        <w:rPr>
          <w:sz w:val="20"/>
          <w:szCs w:val="20"/>
          <w:color w:val="auto"/>
        </w:rPr>
      </w:pPr>
    </w:p>
    <w:p>
      <w:pPr>
        <w:jc w:val="both"/>
        <w:ind w:left="180" w:right="259"/>
        <w:spacing w:after="0" w:line="244" w:lineRule="auto"/>
        <w:rPr>
          <w:sz w:val="20"/>
          <w:szCs w:val="20"/>
          <w:color w:val="auto"/>
        </w:rPr>
      </w:pPr>
      <w:r>
        <w:rPr>
          <w:rFonts w:ascii="Times New Roman" w:cs="Times New Roman" w:eastAsia="Times New Roman" w:hAnsi="Times New Roman"/>
          <w:sz w:val="22"/>
          <w:szCs w:val="22"/>
          <w:color w:val="auto"/>
        </w:rPr>
        <w:t>Performance Units earned as of the Change in Control Date, as described above in subsection (a)(i) or (ii), are referred to as the “CIC Earned Units.” All reference in this Agreement to “Performance Units” includes CIC Earned Units on and after a Change in Control.</w:t>
      </w:r>
    </w:p>
    <w:p>
      <w:pPr>
        <w:spacing w:after="0" w:line="173" w:lineRule="exact"/>
        <w:rPr>
          <w:sz w:val="20"/>
          <w:szCs w:val="20"/>
          <w:color w:val="auto"/>
        </w:rPr>
      </w:pPr>
    </w:p>
    <w:p>
      <w:pPr>
        <w:jc w:val="both"/>
        <w:ind w:left="180" w:right="419" w:firstLine="652"/>
        <w:spacing w:after="0" w:line="239" w:lineRule="auto"/>
        <w:tabs>
          <w:tab w:leader="none" w:pos="152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shall vest in the CIC Earned Units on the Vesting Date if the Grantee continues to be employed by the Employer through the Vesting Date. Except as described below, the CIC Earned Units shall only vest if the Grantee continues to be employed by the Employer through the Vesting Date.</w:t>
      </w:r>
    </w:p>
    <w:p>
      <w:pPr>
        <w:spacing w:after="0" w:line="180" w:lineRule="exact"/>
        <w:rPr>
          <w:rFonts w:ascii="Times New Roman" w:cs="Times New Roman" w:eastAsia="Times New Roman" w:hAnsi="Times New Roman"/>
          <w:sz w:val="22"/>
          <w:szCs w:val="22"/>
          <w:color w:val="auto"/>
        </w:rPr>
      </w:pPr>
    </w:p>
    <w:p>
      <w:pPr>
        <w:ind w:left="180" w:right="459" w:firstLine="652"/>
        <w:spacing w:after="0" w:line="238" w:lineRule="auto"/>
        <w:tabs>
          <w:tab w:leader="none" w:pos="151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Vesting Date, a Change in Control occurs and the Grantee ceases to be employed by the Employer upon or following a Change in Control on account of (i) the Grantee’s Retirement, (ii) the Grantee’s termination by the Company without Cause, (iii) the termination by the Grantee for Good Reason (defined below), or (iv) the Grantee’s Disability or death, the CIC Earned Units shall vest as of the termination date.</w:t>
      </w:r>
    </w:p>
    <w:p>
      <w:pPr>
        <w:spacing w:after="0" w:line="176" w:lineRule="exact"/>
        <w:rPr>
          <w:rFonts w:ascii="Times New Roman" w:cs="Times New Roman" w:eastAsia="Times New Roman" w:hAnsi="Times New Roman"/>
          <w:sz w:val="22"/>
          <w:szCs w:val="22"/>
          <w:color w:val="auto"/>
        </w:rPr>
      </w:pPr>
    </w:p>
    <w:p>
      <w:pPr>
        <w:ind w:left="180" w:right="419" w:firstLine="652"/>
        <w:spacing w:after="0" w:line="282" w:lineRule="auto"/>
        <w:tabs>
          <w:tab w:leader="none" w:pos="152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 ceases to be employed by the Employer for any other reason before the Vesting Date, the shall forfeit Grantee the CIC Earned Units as of the date of termination.</w:t>
      </w:r>
    </w:p>
    <w:p>
      <w:pPr>
        <w:spacing w:after="0" w:line="134" w:lineRule="exact"/>
        <w:rPr>
          <w:rFonts w:ascii="Times New Roman" w:cs="Times New Roman" w:eastAsia="Times New Roman" w:hAnsi="Times New Roman"/>
          <w:sz w:val="21"/>
          <w:szCs w:val="21"/>
          <w:color w:val="auto"/>
        </w:rPr>
      </w:pPr>
    </w:p>
    <w:p>
      <w:pPr>
        <w:ind w:left="180" w:right="239" w:firstLine="652"/>
        <w:spacing w:after="0" w:line="238" w:lineRule="auto"/>
        <w:tabs>
          <w:tab w:leader="none" w:pos="151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hereof, “Good Reason” shall have the meaning set forth in any written severance or employment agreement between the Grantee and Essential Utilities or, if there is no such agreement or such agreement does not define Good Reason, shall mean, except as otherwise provided in the last paragraph of this subsection, a termination of employment as a result of one or more of the following events, without the Grantee’s written consent to the event:</w:t>
      </w:r>
    </w:p>
    <w:p>
      <w:pPr>
        <w:spacing w:after="0" w:line="176" w:lineRule="exact"/>
        <w:rPr>
          <w:rFonts w:ascii="Times New Roman" w:cs="Times New Roman" w:eastAsia="Times New Roman" w:hAnsi="Times New Roman"/>
          <w:sz w:val="22"/>
          <w:szCs w:val="22"/>
          <w:color w:val="auto"/>
        </w:rPr>
      </w:pPr>
    </w:p>
    <w:p>
      <w:pPr>
        <w:ind w:left="180" w:right="239" w:firstLine="1300"/>
        <w:spacing w:after="0" w:line="258" w:lineRule="auto"/>
        <w:tabs>
          <w:tab w:leader="none" w:pos="213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inaction that constitutes a material breach by Essential Utilities (or any successor thereto) of this Agreement;</w:t>
      </w:r>
    </w:p>
    <w:p>
      <w:pPr>
        <w:spacing w:after="0" w:line="158" w:lineRule="exact"/>
        <w:rPr>
          <w:rFonts w:ascii="Times New Roman" w:cs="Times New Roman" w:eastAsia="Times New Roman" w:hAnsi="Times New Roman"/>
          <w:sz w:val="22"/>
          <w:szCs w:val="22"/>
          <w:color w:val="auto"/>
        </w:rPr>
      </w:pPr>
    </w:p>
    <w:p>
      <w:pPr>
        <w:ind w:left="180" w:right="839" w:firstLine="1300"/>
        <w:spacing w:after="0" w:line="258" w:lineRule="auto"/>
        <w:tabs>
          <w:tab w:leader="none" w:pos="217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of the authority, duties or responsibilities of the Grantee held immediately prior to the Change in Control;</w:t>
      </w:r>
    </w:p>
    <w:p>
      <w:pPr>
        <w:spacing w:after="0" w:line="158" w:lineRule="exact"/>
        <w:rPr>
          <w:rFonts w:ascii="Times New Roman" w:cs="Times New Roman" w:eastAsia="Times New Roman" w:hAnsi="Times New Roman"/>
          <w:sz w:val="22"/>
          <w:szCs w:val="22"/>
          <w:color w:val="auto"/>
        </w:rPr>
      </w:pPr>
    </w:p>
    <w:p>
      <w:pPr>
        <w:jc w:val="both"/>
        <w:ind w:left="180" w:right="499" w:firstLine="1300"/>
        <w:spacing w:after="0" w:line="244" w:lineRule="auto"/>
        <w:tabs>
          <w:tab w:leader="none" w:pos="219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Grantee’s base salary, which, for purposes of this Agreement, means a reduction in base salary of ten (10) percent or more that does not apply generally to all executive officers of Essential Utilities; or</w:t>
      </w:r>
    </w:p>
    <w:p>
      <w:pPr>
        <w:spacing w:after="0" w:line="173" w:lineRule="exact"/>
        <w:rPr>
          <w:rFonts w:ascii="Times New Roman" w:cs="Times New Roman" w:eastAsia="Times New Roman" w:hAnsi="Times New Roman"/>
          <w:sz w:val="22"/>
          <w:szCs w:val="22"/>
          <w:color w:val="auto"/>
        </w:rPr>
      </w:pPr>
    </w:p>
    <w:p>
      <w:pPr>
        <w:ind w:left="180" w:right="219" w:firstLine="1300"/>
        <w:spacing w:after="0" w:line="238" w:lineRule="auto"/>
        <w:tabs>
          <w:tab w:leader="none" w:pos="217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at which the Grantee must perform services under this Agreement, which, for purposes of this Agreement, means a requirement that the Grantee be based at any office or location which is located more than fifty (50) miles from the Grantee’s primary place of employment immediately prior to the Change in Control on other than on a temporary basis (less than 6 months).</w:t>
      </w:r>
    </w:p>
    <w:p>
      <w:pPr>
        <w:spacing w:after="0" w:line="176" w:lineRule="exact"/>
        <w:rPr>
          <w:rFonts w:ascii="Times New Roman" w:cs="Times New Roman" w:eastAsia="Times New Roman" w:hAnsi="Times New Roman"/>
          <w:sz w:val="22"/>
          <w:szCs w:val="22"/>
          <w:color w:val="auto"/>
        </w:rPr>
      </w:pPr>
    </w:p>
    <w:p>
      <w:pPr>
        <w:ind w:left="180" w:right="359" w:firstLine="1300"/>
        <w:spacing w:after="0" w:line="239" w:lineRule="auto"/>
        <w:tabs>
          <w:tab w:leader="none" w:pos="213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authority, duties, or responsibilities of the supervisor to whom the Grantee is required to report, including a requirement that the Grantee report to a corporate officer or employee instead of reporting directly to the board of directors of a corporation (or similar governing body with respect to an entity other than a corporation).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9" w:name="page60"/>
    <w:bookmarkEnd w:id="59"/>
    <w:p>
      <w:pPr>
        <w:ind w:left="2180" w:hanging="700"/>
        <w:spacing w:after="0"/>
        <w:tabs>
          <w:tab w:leader="none" w:pos="21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budget over which the Grantee retains</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authority.</w:t>
      </w:r>
    </w:p>
    <w:p>
      <w:pPr>
        <w:spacing w:after="0" w:line="182" w:lineRule="exact"/>
        <w:rPr>
          <w:sz w:val="20"/>
          <w:szCs w:val="20"/>
          <w:color w:val="auto"/>
        </w:rPr>
      </w:pPr>
    </w:p>
    <w:p>
      <w:pPr>
        <w:ind w:left="180" w:right="359"/>
        <w:spacing w:after="0" w:line="253" w:lineRule="auto"/>
        <w:rPr>
          <w:sz w:val="20"/>
          <w:szCs w:val="20"/>
          <w:color w:val="auto"/>
        </w:rPr>
      </w:pPr>
      <w:r>
        <w:rPr>
          <w:rFonts w:ascii="Times New Roman" w:cs="Times New Roman" w:eastAsia="Times New Roman" w:hAnsi="Times New Roman"/>
          <w:sz w:val="21"/>
          <w:szCs w:val="21"/>
          <w:color w:val="auto"/>
        </w:rPr>
        <w:t>A termination of employment after any of the foregoing events shall be a Good Reason only if the Grantee provides written notice to Essential Utilities of the existence of such event within ninety</w:t>
      </w:r>
    </w:p>
    <w:p>
      <w:pPr>
        <w:spacing w:after="0" w:line="1" w:lineRule="exact"/>
        <w:rPr>
          <w:sz w:val="20"/>
          <w:szCs w:val="20"/>
          <w:color w:val="auto"/>
        </w:rPr>
      </w:pPr>
    </w:p>
    <w:p>
      <w:pPr>
        <w:jc w:val="both"/>
        <w:ind w:left="180" w:right="259" w:firstLine="4"/>
        <w:spacing w:after="0" w:line="235" w:lineRule="auto"/>
        <w:tabs>
          <w:tab w:leader="none" w:pos="59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initial occurrence of such event, and Essential Utilities fails to remedy the event within thirty (30) days following the receipt of such notice and the Grantee terminates employment within fifteen (15) days thereafter.</w:t>
      </w:r>
    </w:p>
    <w:p>
      <w:pPr>
        <w:spacing w:after="0" w:line="178" w:lineRule="exact"/>
        <w:rPr>
          <w:sz w:val="20"/>
          <w:szCs w:val="20"/>
          <w:color w:val="auto"/>
        </w:rPr>
      </w:pPr>
    </w:p>
    <w:p>
      <w:pPr>
        <w:ind w:left="860" w:hanging="676"/>
        <w:spacing w:after="0"/>
        <w:tabs>
          <w:tab w:leader="none" w:pos="8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with Respect to Performance Units.</w:t>
      </w:r>
    </w:p>
    <w:p>
      <w:pPr>
        <w:spacing w:after="0" w:line="206" w:lineRule="exact"/>
        <w:rPr>
          <w:rFonts w:ascii="Times New Roman" w:cs="Times New Roman" w:eastAsia="Times New Roman" w:hAnsi="Times New Roman"/>
          <w:sz w:val="22"/>
          <w:szCs w:val="22"/>
          <w:color w:val="auto"/>
        </w:rPr>
      </w:pPr>
    </w:p>
    <w:p>
      <w:pPr>
        <w:ind w:left="180" w:right="619" w:firstLine="652"/>
        <w:spacing w:after="0" w:line="238" w:lineRule="auto"/>
        <w:tabs>
          <w:tab w:leader="none" w:pos="1513"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in Section 4, if the Committee certifies that the Performance Goals and other conditions to payment of the Performance Units have been met, shares of Company Stock equal to the vested earned Performance Units shall be issued to the Grantee within sixty (60) days after the Vesting Date, subject to applicable tax withholding and Section 16 below.</w:t>
      </w:r>
    </w:p>
    <w:p>
      <w:pPr>
        <w:spacing w:after="0" w:line="176" w:lineRule="exact"/>
        <w:rPr>
          <w:rFonts w:ascii="Times New Roman" w:cs="Times New Roman" w:eastAsia="Times New Roman" w:hAnsi="Times New Roman"/>
          <w:sz w:val="22"/>
          <w:szCs w:val="22"/>
          <w:color w:val="auto"/>
        </w:rPr>
      </w:pPr>
    </w:p>
    <w:p>
      <w:pPr>
        <w:ind w:left="180" w:right="339" w:firstLine="652"/>
        <w:spacing w:after="0" w:line="238" w:lineRule="auto"/>
        <w:tabs>
          <w:tab w:leader="none" w:pos="1525"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Vesting Date, a Change in Control occurs and the Grantee continues to be employed by the Employer through the Vesting Date, shares of Company Stock (or other consideration, as described below) equal to the vested CIC Earned Units shall be issued to the Grantee within sixty (60) days after the Vesting Date, subject to applicable tax withholding and Section 16 below.</w:t>
      </w:r>
    </w:p>
    <w:p>
      <w:pPr>
        <w:spacing w:after="0" w:line="176" w:lineRule="exact"/>
        <w:rPr>
          <w:rFonts w:ascii="Times New Roman" w:cs="Times New Roman" w:eastAsia="Times New Roman" w:hAnsi="Times New Roman"/>
          <w:sz w:val="22"/>
          <w:szCs w:val="22"/>
          <w:color w:val="auto"/>
        </w:rPr>
      </w:pPr>
    </w:p>
    <w:p>
      <w:pPr>
        <w:ind w:left="180" w:right="319" w:firstLine="652"/>
        <w:spacing w:after="0" w:line="249" w:lineRule="auto"/>
        <w:tabs>
          <w:tab w:leader="none" w:pos="1513"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prior to the Vesting Date, a Change in Control occurs and the Grantee ceases to be employed by the Employer on or after the Change in Control on account of (i) the Grantee’s Retirement, (ii) the Grantee’s termination by the Employer without Cause, or (iii) the Grantee’s Disability or death, shares of Company Stock (or other consideration, as described below) equal to the vested CIC Earned Units shall be issued to the Grantee within sixty (60) days following the Grantee’s date of termination, subject to applicable tax withholding and Section 16 below.</w:t>
      </w:r>
    </w:p>
    <w:p>
      <w:pPr>
        <w:spacing w:after="0" w:line="170" w:lineRule="exact"/>
        <w:rPr>
          <w:rFonts w:ascii="Times New Roman" w:cs="Times New Roman" w:eastAsia="Times New Roman" w:hAnsi="Times New Roman"/>
          <w:sz w:val="21"/>
          <w:szCs w:val="21"/>
          <w:color w:val="auto"/>
        </w:rPr>
      </w:pPr>
    </w:p>
    <w:p>
      <w:pPr>
        <w:ind w:left="180" w:right="299" w:firstLine="652"/>
        <w:spacing w:after="0" w:line="247" w:lineRule="auto"/>
        <w:tabs>
          <w:tab w:leader="none" w:pos="1525"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 terminates employment on account of the Grantee’s Disability, death or Retirement before a Change in Control, any outstanding Performance Units under Section 3(b) or 3(c) may be earned as CIC Earned Units pursuant to Section 4(a), but in the event such termination is on account of Retirement, such outstanding Performance Units shall be prorated by applying the fraction in Section 3(c), and such CIC Earned Units shall vest on the date of the Change in Control. Shares of Company Stock (or such other consideration, as described below) equal to the vested CIC Earned Units shall be issued to the Grantee within sixty (60) days after the Change in Control, subject to applicable tax withholding and Section 16 below.</w:t>
      </w:r>
    </w:p>
    <w:p>
      <w:pPr>
        <w:spacing w:after="0" w:line="171" w:lineRule="exact"/>
        <w:rPr>
          <w:rFonts w:ascii="Times New Roman" w:cs="Times New Roman" w:eastAsia="Times New Roman" w:hAnsi="Times New Roman"/>
          <w:sz w:val="21"/>
          <w:szCs w:val="21"/>
          <w:color w:val="auto"/>
        </w:rPr>
      </w:pPr>
    </w:p>
    <w:p>
      <w:pPr>
        <w:ind w:left="180" w:right="199" w:firstLine="652"/>
        <w:spacing w:after="0" w:line="244" w:lineRule="auto"/>
        <w:tabs>
          <w:tab w:leader="none" w:pos="1513"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connection with a Change in Control, shares of Company Stock are converted into the right to receive a cash payment or other form of consideration, the vested CIC Earned Units shall be payable in such form of consideration, as determined by the Committee.</w:t>
      </w:r>
    </w:p>
    <w:p>
      <w:pPr>
        <w:spacing w:after="0" w:line="173" w:lineRule="exact"/>
        <w:rPr>
          <w:rFonts w:ascii="Times New Roman" w:cs="Times New Roman" w:eastAsia="Times New Roman" w:hAnsi="Times New Roman"/>
          <w:sz w:val="22"/>
          <w:szCs w:val="22"/>
          <w:color w:val="auto"/>
        </w:rPr>
      </w:pPr>
    </w:p>
    <w:p>
      <w:pPr>
        <w:ind w:left="180" w:right="299" w:firstLine="652"/>
        <w:spacing w:after="0" w:line="258" w:lineRule="auto"/>
        <w:tabs>
          <w:tab w:leader="none" w:pos="1489"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fractional shares with respect to vested earned Performance Units shall be paid to the Grantee in cash.</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0" w:name="page61"/>
    <w:bookmarkEnd w:id="60"/>
    <w:p>
      <w:pPr>
        <w:ind w:left="860" w:hanging="676"/>
        <w:spacing w:after="0"/>
        <w:tabs>
          <w:tab w:leader="none" w:pos="8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 with Respect to Performance Units.</w:t>
      </w:r>
    </w:p>
    <w:p>
      <w:pPr>
        <w:spacing w:after="0" w:line="206" w:lineRule="exact"/>
        <w:rPr>
          <w:rFonts w:ascii="Times New Roman" w:cs="Times New Roman" w:eastAsia="Times New Roman" w:hAnsi="Times New Roman"/>
          <w:sz w:val="22"/>
          <w:szCs w:val="22"/>
          <w:color w:val="auto"/>
        </w:rPr>
      </w:pPr>
    </w:p>
    <w:p>
      <w:pPr>
        <w:ind w:left="180" w:right="199" w:firstLine="652"/>
        <w:spacing w:after="0" w:line="236" w:lineRule="auto"/>
        <w:tabs>
          <w:tab w:leader="none" w:pos="1513"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Equivalents shall accrue with respect to Performance Units and shall be payable subject to the same vesting terms and other conditions as the Performance Units to which they relate. Dividend Equivalents shall be credited when dividends are declared on shares of Company Stock from the Grant Date until payment date for the vested earned Performance Units. If and to the extent that the underlying Performance Units are forfeited, all related Dividend Equivalents shall also be forfeited.</w:t>
      </w:r>
    </w:p>
    <w:p>
      <w:pPr>
        <w:spacing w:after="0" w:line="181" w:lineRule="exact"/>
        <w:rPr>
          <w:rFonts w:ascii="Times New Roman" w:cs="Times New Roman" w:eastAsia="Times New Roman" w:hAnsi="Times New Roman"/>
          <w:sz w:val="22"/>
          <w:szCs w:val="22"/>
          <w:color w:val="auto"/>
        </w:rPr>
      </w:pPr>
    </w:p>
    <w:p>
      <w:pPr>
        <w:ind w:left="180" w:right="379" w:firstLine="652"/>
        <w:spacing w:after="0" w:line="238" w:lineRule="auto"/>
        <w:tabs>
          <w:tab w:leader="none" w:pos="152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the Performance Units are outstanding, the Company will keep records in a bookkeeping account for the Grantee. On each date on which a dividend is declared by the Company on Company Stock, the Company shall credit to the Grantee’s account an amount equal to the Dividend Equivalents associated with the Performance Units held by the Grantee on the record date for the dividend. No interest will be credited to any such account.</w:t>
      </w:r>
    </w:p>
    <w:p>
      <w:pPr>
        <w:spacing w:after="0" w:line="176" w:lineRule="exact"/>
        <w:rPr>
          <w:rFonts w:ascii="Times New Roman" w:cs="Times New Roman" w:eastAsia="Times New Roman" w:hAnsi="Times New Roman"/>
          <w:sz w:val="22"/>
          <w:szCs w:val="22"/>
          <w:color w:val="auto"/>
        </w:rPr>
      </w:pPr>
    </w:p>
    <w:p>
      <w:pPr>
        <w:ind w:left="180" w:right="199" w:firstLine="652"/>
        <w:spacing w:after="0" w:line="258" w:lineRule="auto"/>
        <w:tabs>
          <w:tab w:leader="none" w:pos="1513"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Equivalents shall be paid in cash at the same time as the underlying vested earned Performance Units are paid.</w:t>
      </w:r>
    </w:p>
    <w:p>
      <w:pPr>
        <w:spacing w:after="0" w:line="158" w:lineRule="exact"/>
        <w:rPr>
          <w:rFonts w:ascii="Times New Roman" w:cs="Times New Roman" w:eastAsia="Times New Roman" w:hAnsi="Times New Roman"/>
          <w:sz w:val="22"/>
          <w:szCs w:val="22"/>
          <w:color w:val="auto"/>
        </w:rPr>
      </w:pPr>
    </w:p>
    <w:p>
      <w:pPr>
        <w:jc w:val="both"/>
        <w:ind w:left="180" w:right="199" w:firstLine="652"/>
        <w:spacing w:after="0" w:line="244" w:lineRule="auto"/>
        <w:tabs>
          <w:tab w:leader="none" w:pos="152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shares of Company Stock are converted to cash as described in Section 5(e) above in connection with a Change in Control, Dividend Equivalents shall cease to be credited with respect to the Performance Units.</w:t>
      </w:r>
    </w:p>
    <w:p>
      <w:pPr>
        <w:spacing w:after="0" w:line="173" w:lineRule="exact"/>
        <w:rPr>
          <w:rFonts w:ascii="Times New Roman" w:cs="Times New Roman" w:eastAsia="Times New Roman" w:hAnsi="Times New Roman"/>
          <w:sz w:val="22"/>
          <w:szCs w:val="22"/>
          <w:color w:val="auto"/>
        </w:rPr>
      </w:pPr>
    </w:p>
    <w:p>
      <w:pPr>
        <w:ind w:left="860" w:hanging="676"/>
        <w:spacing w:after="0"/>
        <w:tabs>
          <w:tab w:leader="none" w:pos="8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Corporate Changes.</w:t>
      </w:r>
    </w:p>
    <w:p>
      <w:pPr>
        <w:spacing w:after="0" w:line="206" w:lineRule="exact"/>
        <w:rPr>
          <w:sz w:val="20"/>
          <w:szCs w:val="20"/>
          <w:color w:val="auto"/>
        </w:rPr>
      </w:pPr>
    </w:p>
    <w:p>
      <w:pPr>
        <w:ind w:left="180" w:right="379" w:firstLine="648"/>
        <w:spacing w:after="0" w:line="245" w:lineRule="auto"/>
        <w:rPr>
          <w:sz w:val="20"/>
          <w:szCs w:val="20"/>
          <w:color w:val="auto"/>
        </w:rPr>
      </w:pPr>
      <w:r>
        <w:rPr>
          <w:rFonts w:ascii="Times New Roman" w:cs="Times New Roman" w:eastAsia="Times New Roman" w:hAnsi="Times New Roman"/>
          <w:sz w:val="21"/>
          <w:szCs w:val="21"/>
          <w:color w:val="auto"/>
        </w:rPr>
        <w:t>If any change is made to the Company Stock (whether by reason of merger, consolidation, reorganization, recapitalization, stock dividend, stock split, combination of shares, or exchange of shares or any other change in capital structure made without receipt of consideration), then unless such event or change results in the termination of all the Performance Units, the Committee shall adjust, in an equitable manner and as provided in the Plan, the number and class of shares underlying the Performance Units to reflect the effect of such event or change in the Company’s capital structure in such a way as to preserve the value of the Performance Units, and the Committee shall adjust the Performance Goals as necessary to reflect the effect of such event or change in the Company’s capital structure. Any adjustment that occurs under the terms of this Section 7 or the Plan will not change the timing or form of payment with respect to any Performance Units and will be consistent with Section 409A of the Code, to the extent applicable.</w:t>
      </w:r>
    </w:p>
    <w:p>
      <w:pPr>
        <w:spacing w:after="0" w:line="177" w:lineRule="exact"/>
        <w:rPr>
          <w:sz w:val="20"/>
          <w:szCs w:val="20"/>
          <w:color w:val="auto"/>
        </w:rPr>
      </w:pPr>
    </w:p>
    <w:p>
      <w:pPr>
        <w:ind w:left="860" w:hanging="676"/>
        <w:spacing w:after="0"/>
        <w:tabs>
          <w:tab w:leader="none" w:pos="8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Stockholder Rights.</w:t>
      </w:r>
    </w:p>
    <w:p>
      <w:pPr>
        <w:spacing w:after="0" w:line="206" w:lineRule="exact"/>
        <w:rPr>
          <w:sz w:val="20"/>
          <w:szCs w:val="20"/>
          <w:color w:val="auto"/>
        </w:rPr>
      </w:pPr>
    </w:p>
    <w:p>
      <w:pPr>
        <w:ind w:left="180" w:right="199" w:firstLine="648"/>
        <w:spacing w:after="0" w:line="239" w:lineRule="auto"/>
        <w:rPr>
          <w:sz w:val="20"/>
          <w:szCs w:val="20"/>
          <w:color w:val="auto"/>
        </w:rPr>
      </w:pPr>
      <w:r>
        <w:rPr>
          <w:rFonts w:ascii="Times New Roman" w:cs="Times New Roman" w:eastAsia="Times New Roman" w:hAnsi="Times New Roman"/>
          <w:sz w:val="22"/>
          <w:szCs w:val="22"/>
          <w:color w:val="auto"/>
        </w:rPr>
        <w:t>No shares of Company Stock shall be issued to the Grantee at the time the grant is made, and the Grantee shall not be, nor have any of the rights or privileges of, a shareholder of the Company with respect to any Performance Units recorded in the account, including no voting rights and no rights to receive dividends (other than Dividend Equivalents).</w:t>
      </w:r>
    </w:p>
    <w:p>
      <w:pPr>
        <w:spacing w:after="0" w:line="180" w:lineRule="exact"/>
        <w:rPr>
          <w:sz w:val="20"/>
          <w:szCs w:val="20"/>
          <w:color w:val="auto"/>
        </w:rPr>
      </w:pPr>
    </w:p>
    <w:p>
      <w:pPr>
        <w:ind w:left="860" w:hanging="676"/>
        <w:spacing w:after="0"/>
        <w:tabs>
          <w:tab w:leader="none" w:pos="8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p>
    <w:p>
      <w:pPr>
        <w:spacing w:after="0" w:line="206" w:lineRule="exact"/>
        <w:rPr>
          <w:sz w:val="20"/>
          <w:szCs w:val="20"/>
          <w:color w:val="auto"/>
        </w:rPr>
      </w:pPr>
    </w:p>
    <w:p>
      <w:pPr>
        <w:ind w:left="180" w:right="719" w:firstLine="648"/>
        <w:spacing w:after="0" w:line="282" w:lineRule="auto"/>
        <w:rPr>
          <w:sz w:val="20"/>
          <w:szCs w:val="20"/>
          <w:color w:val="auto"/>
        </w:rPr>
      </w:pPr>
      <w:r>
        <w:rPr>
          <w:rFonts w:ascii="Times New Roman" w:cs="Times New Roman" w:eastAsia="Times New Roman" w:hAnsi="Times New Roman"/>
          <w:sz w:val="21"/>
          <w:szCs w:val="21"/>
          <w:color w:val="auto"/>
        </w:rPr>
        <w:t>Neither the award of Performance Units, nor any other action taken with respect to the Performance Units, shall confer upon the Grantee any right to continue to be employed by the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1" w:name="page62"/>
    <w:bookmarkEnd w:id="61"/>
    <w:p>
      <w:pPr>
        <w:ind w:left="180" w:right="299"/>
        <w:spacing w:after="0" w:line="244" w:lineRule="auto"/>
        <w:rPr>
          <w:sz w:val="20"/>
          <w:szCs w:val="20"/>
          <w:color w:val="auto"/>
        </w:rPr>
      </w:pPr>
      <w:r>
        <w:rPr>
          <w:rFonts w:ascii="Times New Roman" w:cs="Times New Roman" w:eastAsia="Times New Roman" w:hAnsi="Times New Roman"/>
          <w:sz w:val="22"/>
          <w:szCs w:val="22"/>
          <w:color w:val="auto"/>
        </w:rPr>
        <w:t>Employer or shall interfere in any way with the right of the Employer to terminate the Grantee’s employment at any time, consistent with the terms of any written employment agreement between the Grantee and the Employer and applicable law.</w:t>
      </w:r>
    </w:p>
    <w:p>
      <w:pPr>
        <w:spacing w:after="0" w:line="174" w:lineRule="exact"/>
        <w:rPr>
          <w:sz w:val="20"/>
          <w:szCs w:val="20"/>
          <w:color w:val="auto"/>
        </w:rPr>
      </w:pPr>
    </w:p>
    <w:p>
      <w:pPr>
        <w:ind w:left="900" w:hanging="716"/>
        <w:spacing w:after="0"/>
        <w:tabs>
          <w:tab w:leader="none" w:pos="9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or Amendment.</w:t>
      </w:r>
    </w:p>
    <w:p>
      <w:pPr>
        <w:spacing w:after="0" w:line="206" w:lineRule="exact"/>
        <w:rPr>
          <w:sz w:val="20"/>
          <w:szCs w:val="20"/>
          <w:color w:val="auto"/>
        </w:rPr>
      </w:pPr>
    </w:p>
    <w:p>
      <w:pPr>
        <w:ind w:left="180" w:right="419" w:firstLine="648"/>
        <w:spacing w:after="0" w:line="258" w:lineRule="auto"/>
        <w:rPr>
          <w:sz w:val="20"/>
          <w:szCs w:val="20"/>
          <w:color w:val="auto"/>
        </w:rPr>
      </w:pPr>
      <w:r>
        <w:rPr>
          <w:rFonts w:ascii="Times New Roman" w:cs="Times New Roman" w:eastAsia="Times New Roman" w:hAnsi="Times New Roman"/>
          <w:sz w:val="22"/>
          <w:szCs w:val="22"/>
          <w:color w:val="auto"/>
        </w:rPr>
        <w:t>These Grant Conditions and the award made hereunder may be terminated or amended by the Committee, in whole or in part, in accordance with the applicable terms of the Plan.</w:t>
      </w:r>
    </w:p>
    <w:p>
      <w:pPr>
        <w:spacing w:after="0" w:line="158" w:lineRule="exact"/>
        <w:rPr>
          <w:sz w:val="20"/>
          <w:szCs w:val="20"/>
          <w:color w:val="auto"/>
        </w:rPr>
      </w:pPr>
    </w:p>
    <w:p>
      <w:pPr>
        <w:ind w:left="900" w:hanging="716"/>
        <w:spacing w:after="0"/>
        <w:tabs>
          <w:tab w:leader="none" w:pos="9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p>
    <w:p>
      <w:pPr>
        <w:spacing w:after="0" w:line="206" w:lineRule="exact"/>
        <w:rPr>
          <w:sz w:val="20"/>
          <w:szCs w:val="20"/>
          <w:color w:val="auto"/>
        </w:rPr>
      </w:pPr>
    </w:p>
    <w:p>
      <w:pPr>
        <w:ind w:left="180" w:right="239" w:firstLine="648"/>
        <w:spacing w:after="0" w:line="245" w:lineRule="auto"/>
        <w:rPr>
          <w:sz w:val="20"/>
          <w:szCs w:val="20"/>
          <w:color w:val="auto"/>
        </w:rPr>
      </w:pPr>
      <w:r>
        <w:rPr>
          <w:rFonts w:ascii="Times New Roman" w:cs="Times New Roman" w:eastAsia="Times New Roman" w:hAnsi="Times New Roman"/>
          <w:sz w:val="21"/>
          <w:szCs w:val="21"/>
          <w:color w:val="auto"/>
        </w:rPr>
        <w:t>Any notice to the Company provided for in these Grant Conditions shall be addressed to it in care of the Company’s Chief Human Resources Officer, and any notice to the Grantee shall be addressed to the Grantee at the current address shown on the payroll system of the Company, or to such other address as the Grantee may designate to the Company in writing. Any notice provided for hereunder shall be delivered by hand, sent by telecopy or electronic mail or enclosed in a properly sealed envelope addressed as stated above, registered and deposited, postage and registry fee prepaid in the United States mail or other mail delivery service. Notice to the Company shall be deemed effective upon receipt. By receipt of these Grant Conditions, the Grantee hereby consents to the delivery of information (including without limitation, information required to be delivered to the Grantee pursuant to the applicable securities laws) regarding the Company, the Plan, and the Performance Units via the Company’s electronic mail system or other electronic delivery system.</w:t>
      </w:r>
    </w:p>
    <w:p>
      <w:pPr>
        <w:spacing w:after="0" w:line="177" w:lineRule="exact"/>
        <w:rPr>
          <w:sz w:val="20"/>
          <w:szCs w:val="20"/>
          <w:color w:val="auto"/>
        </w:rPr>
      </w:pPr>
    </w:p>
    <w:p>
      <w:pPr>
        <w:ind w:left="900" w:hanging="716"/>
        <w:spacing w:after="0"/>
        <w:tabs>
          <w:tab w:leader="none" w:pos="9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 by Reference.</w:t>
      </w:r>
    </w:p>
    <w:p>
      <w:pPr>
        <w:spacing w:after="0" w:line="206" w:lineRule="exact"/>
        <w:rPr>
          <w:sz w:val="20"/>
          <w:szCs w:val="20"/>
          <w:color w:val="auto"/>
        </w:rPr>
      </w:pPr>
    </w:p>
    <w:p>
      <w:pPr>
        <w:ind w:left="180" w:right="199" w:firstLine="648"/>
        <w:spacing w:after="0" w:line="233" w:lineRule="auto"/>
        <w:rPr>
          <w:sz w:val="20"/>
          <w:szCs w:val="20"/>
          <w:color w:val="auto"/>
        </w:rPr>
      </w:pPr>
      <w:r>
        <w:rPr>
          <w:rFonts w:ascii="Times New Roman" w:cs="Times New Roman" w:eastAsia="Times New Roman" w:hAnsi="Times New Roman"/>
          <w:sz w:val="22"/>
          <w:szCs w:val="22"/>
          <w:color w:val="auto"/>
        </w:rPr>
        <w:t>The Performance-Based Share Unit Grant and these Grant Conditions are made pursuant to the terms of the Plan, the terms of which are incorporated herein by reference, and shall in all respects be interpreted in accordance therewith. The decisions of the Committee shall be conclusive upon any question arising hereunder. The Grantee’s receipt of the Performance Units constitutes the Grantee’s acknowledgment that all decisions and determinations of the Committee with respect to the Plan, these Grant Conditions, and/or the Performance Units shall be final and binding on the Grantee, his or her beneficiaries and any other person having or claiming an interest in the Performance Units. The settlement of any award with respect to the Performance Units is subject to the provisions of the Plan and to interpretations, regulations and determinations concerning the Plan as established from time to time by the Committee in accordance with the provisions of the Plan. A copy of the Plan will be furnished to each Grantee upon request.</w:t>
      </w:r>
    </w:p>
    <w:p>
      <w:pPr>
        <w:spacing w:after="0" w:line="187" w:lineRule="exact"/>
        <w:rPr>
          <w:sz w:val="20"/>
          <w:szCs w:val="20"/>
          <w:color w:val="auto"/>
        </w:rPr>
      </w:pPr>
    </w:p>
    <w:p>
      <w:pPr>
        <w:ind w:left="900" w:hanging="716"/>
        <w:spacing w:after="0"/>
        <w:tabs>
          <w:tab w:leader="none" w:pos="9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Income Taxes; Withholding Taxes.</w:t>
      </w:r>
    </w:p>
    <w:p>
      <w:pPr>
        <w:spacing w:after="0" w:line="206" w:lineRule="exact"/>
        <w:rPr>
          <w:sz w:val="20"/>
          <w:szCs w:val="20"/>
          <w:color w:val="auto"/>
        </w:rPr>
      </w:pPr>
    </w:p>
    <w:p>
      <w:pPr>
        <w:ind w:left="180" w:right="439" w:firstLine="648"/>
        <w:spacing w:after="0" w:line="235" w:lineRule="auto"/>
        <w:rPr>
          <w:sz w:val="20"/>
          <w:szCs w:val="20"/>
          <w:color w:val="auto"/>
        </w:rPr>
      </w:pPr>
      <w:r>
        <w:rPr>
          <w:rFonts w:ascii="Times New Roman" w:cs="Times New Roman" w:eastAsia="Times New Roman" w:hAnsi="Times New Roman"/>
          <w:sz w:val="22"/>
          <w:szCs w:val="22"/>
          <w:color w:val="auto"/>
        </w:rPr>
        <w:t>The Grantee is solely responsible for the satisfaction of all taxes and penalties that may arise in connection with the award or settlement of Performance Units and Dividend Equivalents pursuant to these Grant Conditions. At the time of taxation, the Employer shall have the right to deduct from other compensation, or to withhold shares of Company Stock, in an amount equal to the federal (including FICA), state, local and foreign taxes and other amounts as may be required by law to be withheld with respect to the Performance Units, as approved in advance by the Committee.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2" w:name="page63"/>
    <w:bookmarkEnd w:id="62"/>
    <w:p>
      <w:pPr>
        <w:ind w:left="900" w:hanging="716"/>
        <w:spacing w:after="0"/>
        <w:tabs>
          <w:tab w:leader="none" w:pos="9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Enforcement.</w:t>
      </w:r>
    </w:p>
    <w:p>
      <w:pPr>
        <w:spacing w:after="0" w:line="207" w:lineRule="exact"/>
        <w:rPr>
          <w:sz w:val="20"/>
          <w:szCs w:val="20"/>
          <w:color w:val="auto"/>
        </w:rPr>
      </w:pPr>
    </w:p>
    <w:p>
      <w:pPr>
        <w:ind w:left="180" w:right="299" w:firstLine="648"/>
        <w:spacing w:after="0" w:line="235" w:lineRule="auto"/>
        <w:rPr>
          <w:sz w:val="20"/>
          <w:szCs w:val="20"/>
          <w:color w:val="auto"/>
        </w:rPr>
      </w:pPr>
      <w:r>
        <w:rPr>
          <w:rFonts w:ascii="Times New Roman" w:cs="Times New Roman" w:eastAsia="Times New Roman" w:hAnsi="Times New Roman"/>
          <w:sz w:val="22"/>
          <w:szCs w:val="22"/>
          <w:color w:val="auto"/>
        </w:rPr>
        <w:t>The validity, construction, interpretation and effect of the Performance-Based Share Unit Grant and these Grant Conditions shall be governed by, and determined in accordance with, the applicable laws of the Commonwealth of Pennsylvania, excluding any conflicts or choice of law rule or principle. The resolution of any dispute regarding, or the enforcement of, this Performance-Based Share Unit Grant and these Grant Conditions shall take place in a court of competent jurisdiction located within the Commonwealth of Pennsylvania, notwithstanding any dispute resolution terms that may exist under any employment agreement between the Grantee and the Company.</w:t>
      </w:r>
    </w:p>
    <w:p>
      <w:pPr>
        <w:spacing w:after="0" w:line="178" w:lineRule="exact"/>
        <w:rPr>
          <w:sz w:val="20"/>
          <w:szCs w:val="20"/>
          <w:color w:val="auto"/>
        </w:rPr>
      </w:pPr>
    </w:p>
    <w:p>
      <w:pPr>
        <w:ind w:left="900" w:hanging="716"/>
        <w:spacing w:after="0"/>
        <w:tabs>
          <w:tab w:leader="none" w:pos="9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p>
    <w:p>
      <w:pPr>
        <w:spacing w:after="0" w:line="206" w:lineRule="exact"/>
        <w:rPr>
          <w:sz w:val="20"/>
          <w:szCs w:val="20"/>
          <w:color w:val="auto"/>
        </w:rPr>
      </w:pPr>
    </w:p>
    <w:p>
      <w:pPr>
        <w:ind w:left="180" w:right="279" w:firstLine="648"/>
        <w:spacing w:after="0" w:line="239" w:lineRule="auto"/>
        <w:rPr>
          <w:sz w:val="20"/>
          <w:szCs w:val="20"/>
          <w:color w:val="auto"/>
        </w:rPr>
      </w:pPr>
      <w:r>
        <w:rPr>
          <w:rFonts w:ascii="Times New Roman" w:cs="Times New Roman" w:eastAsia="Times New Roman" w:hAnsi="Times New Roman"/>
          <w:sz w:val="22"/>
          <w:szCs w:val="22"/>
          <w:color w:val="auto"/>
        </w:rPr>
        <w:t>The Performance-Based Share Unit Grant and these Grant Conditions shall bind and inure to the benefit of the successors and assignees of the Company. The Grantee may not sell, assign, transfer, pledge or otherwise dispose of the Performance Units, except to a successor grantee in the event of the Grantee’s death.</w:t>
      </w:r>
    </w:p>
    <w:p>
      <w:pPr>
        <w:spacing w:after="0" w:line="180" w:lineRule="exact"/>
        <w:rPr>
          <w:sz w:val="20"/>
          <w:szCs w:val="20"/>
          <w:color w:val="auto"/>
        </w:rPr>
      </w:pPr>
    </w:p>
    <w:p>
      <w:pPr>
        <w:ind w:left="900" w:hanging="716"/>
        <w:spacing w:after="0"/>
        <w:tabs>
          <w:tab w:leader="none" w:pos="9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p>
    <w:p>
      <w:pPr>
        <w:spacing w:after="0" w:line="206" w:lineRule="exact"/>
        <w:rPr>
          <w:sz w:val="20"/>
          <w:szCs w:val="20"/>
          <w:color w:val="auto"/>
        </w:rPr>
      </w:pPr>
    </w:p>
    <w:p>
      <w:pPr>
        <w:ind w:left="180" w:right="219" w:firstLine="648"/>
        <w:spacing w:after="0" w:line="245" w:lineRule="auto"/>
        <w:rPr>
          <w:sz w:val="20"/>
          <w:szCs w:val="20"/>
          <w:color w:val="auto"/>
        </w:rPr>
      </w:pPr>
      <w:r>
        <w:rPr>
          <w:rFonts w:ascii="Times New Roman" w:cs="Times New Roman" w:eastAsia="Times New Roman" w:hAnsi="Times New Roman"/>
          <w:sz w:val="21"/>
          <w:szCs w:val="21"/>
          <w:color w:val="auto"/>
        </w:rPr>
        <w:t>The Performance-Based Share Unit Grant and these Grant Conditions are intended to comply with Code Section 409A or an exemption, and payments may only be made under these Grant Conditions upon an event and in a manner permitted by Code Section 409A, to the extent applicable. Notwithstanding anything in these Grant Conditions to the contrary, if required by Code Section 409A, if the Grantee is considered a “specified employee” for purposes of Code Section 409A and if any payment under these Grant Conditions is required to be delayed for a period of six</w:t>
      </w:r>
    </w:p>
    <w:p>
      <w:pPr>
        <w:spacing w:after="0" w:line="3" w:lineRule="exact"/>
        <w:rPr>
          <w:sz w:val="20"/>
          <w:szCs w:val="20"/>
          <w:color w:val="auto"/>
        </w:rPr>
      </w:pPr>
    </w:p>
    <w:p>
      <w:pPr>
        <w:ind w:left="180" w:right="259" w:firstLine="4"/>
        <w:spacing w:after="0" w:line="242" w:lineRule="auto"/>
        <w:tabs>
          <w:tab w:leader="none" w:pos="48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after separation from service pursuant to Code Section 409A, such payment shall be delayed as required by Code Section 409A, and the accumulated payment amounts shall be paid in a lump sum payment within ten (10) days after the end of the six (6)-month period. If the Grantee dies during the postponement period prior to payment, the amounts withheld on account of Code Section 409A shall be paid to the personal representative of the Grantee’s estate within sixty (60) days after the date of the Grantee’s death. Notwithstanding anything in these Grant Conditions to the contrary, if the Performance Units are subject to Code Section 409A and if required by Code Section 409A, any payments to be made upon a termination of employment under these Grant Conditions may only be made upon a “separation from service” under Code Section 409A. In no event may the Grantee, directly or indirectly, designate the calendar year of a payment, except in accordance with Code Section 409A. Notwithstanding anything in these Grant Conditions to the contrary, if required by Code Section 409A, if CIC Earned Units are subject to Code Section 409A, and if a Change in Control is not a “change in control event” under Code Section 409A or the payment event does not occur upon or within two years following a “change in control event” under Code Section 409A, any vested CIC Earned Units shall be paid to the Grantee upon the Vesting Date and not on account of an earlier termination of employment.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3" w:name="page64"/>
    <w:bookmarkEnd w:id="63"/>
    <w:p>
      <w:pPr>
        <w:ind w:left="900" w:hanging="716"/>
        <w:spacing w:after="0"/>
        <w:tabs>
          <w:tab w:leader="none" w:pos="9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Policies.</w:t>
      </w:r>
    </w:p>
    <w:p>
      <w:pPr>
        <w:spacing w:after="0" w:line="207" w:lineRule="exact"/>
        <w:rPr>
          <w:sz w:val="20"/>
          <w:szCs w:val="20"/>
          <w:color w:val="auto"/>
        </w:rPr>
      </w:pPr>
    </w:p>
    <w:p>
      <w:pPr>
        <w:ind w:left="180" w:right="439" w:firstLine="648"/>
        <w:spacing w:after="0" w:line="244" w:lineRule="auto"/>
        <w:rPr>
          <w:sz w:val="20"/>
          <w:szCs w:val="20"/>
          <w:color w:val="auto"/>
        </w:rPr>
      </w:pPr>
      <w:r>
        <w:rPr>
          <w:rFonts w:ascii="Times New Roman" w:cs="Times New Roman" w:eastAsia="Times New Roman" w:hAnsi="Times New Roman"/>
          <w:sz w:val="22"/>
          <w:szCs w:val="22"/>
          <w:color w:val="auto"/>
        </w:rPr>
        <w:t>This Performance-Based Unit Grant and all shares issued pursuant to this grant shall be subject to any applicable recoupment or clawback policies and other policies implemented by the Board, as in effect from time to time.</w:t>
      </w:r>
    </w:p>
    <w:p>
      <w:pPr>
        <w:spacing w:after="0" w:line="173" w:lineRule="exact"/>
        <w:rPr>
          <w:sz w:val="20"/>
          <w:szCs w:val="20"/>
          <w:color w:val="auto"/>
        </w:rPr>
      </w:pPr>
    </w:p>
    <w:p>
      <w:pPr>
        <w:ind w:left="3700"/>
        <w:spacing w:after="0"/>
        <w:tabs>
          <w:tab w:leader="none" w:pos="4440" w:val="left"/>
          <w:tab w:leader="none" w:pos="518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21"/>
          <w:szCs w:val="21"/>
          <w:color w:val="auto"/>
        </w:rPr>
        <w:t>Sch.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520700</wp:posOffset>
            </wp:positionV>
            <wp:extent cx="552894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5" w:name="page66"/>
    <w:bookmarkEnd w:id="65"/>
    <w:p>
      <w:pPr>
        <w:ind w:left="890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607060</wp:posOffset>
            </wp:positionH>
            <wp:positionV relativeFrom="page">
              <wp:posOffset>6436995</wp:posOffset>
            </wp:positionV>
            <wp:extent cx="635190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51905" cy="50800"/>
                    </a:xfrm>
                    <a:prstGeom prst="rect">
                      <a:avLst/>
                    </a:prstGeom>
                    <a:noFill/>
                  </pic:spPr>
                </pic:pic>
              </a:graphicData>
            </a:graphic>
          </wp:anchor>
        </w:drawing>
        <w:t>Exhibit 31.1</w:t>
      </w:r>
    </w:p>
    <w:p>
      <w:pPr>
        <w:spacing w:after="0" w:line="149"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19"/>
          <w:szCs w:val="19"/>
          <w:color w:val="auto"/>
        </w:rPr>
        <w:t>CERTIFICATION OF CHIEF EXECUTIVE OFFICER, PURSUANT TO RULE 13A-14(A) UNDER THE SECURITIES</w:t>
      </w:r>
    </w:p>
    <w:p>
      <w:pPr>
        <w:spacing w:after="0" w:line="6"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Christopher H. Franklin, certify that:</w:t>
      </w:r>
    </w:p>
    <w:p>
      <w:pPr>
        <w:spacing w:after="0" w:line="170" w:lineRule="exact"/>
        <w:rPr>
          <w:sz w:val="20"/>
          <w:szCs w:val="20"/>
          <w:color w:val="auto"/>
        </w:rPr>
      </w:pPr>
    </w:p>
    <w:p>
      <w:pPr>
        <w:ind w:left="324" w:hanging="324"/>
        <w:spacing w:after="0"/>
        <w:tabs>
          <w:tab w:leader="none" w:pos="32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20" w:hanging="324"/>
        <w:spacing w:after="0" w:line="206" w:lineRule="auto"/>
        <w:tabs>
          <w:tab w:leader="none" w:pos="32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180" w:hanging="324"/>
        <w:spacing w:after="0" w:line="206" w:lineRule="auto"/>
        <w:tabs>
          <w:tab w:leader="none" w:pos="32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00" w:hanging="324"/>
        <w:spacing w:after="0" w:line="206" w:lineRule="auto"/>
        <w:tabs>
          <w:tab w:leader="none" w:pos="32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hanging="320"/>
        <w:spacing w:after="0" w:line="207" w:lineRule="auto"/>
        <w:tabs>
          <w:tab w:leader="none" w:pos="64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60" w:hanging="320"/>
        <w:spacing w:after="0" w:line="207" w:lineRule="auto"/>
        <w:tabs>
          <w:tab w:leader="none" w:pos="64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00" w:hanging="320"/>
        <w:spacing w:after="0" w:line="206" w:lineRule="auto"/>
        <w:tabs>
          <w:tab w:leader="none" w:pos="64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40" w:hanging="320"/>
        <w:spacing w:after="0" w:line="207" w:lineRule="auto"/>
        <w:tabs>
          <w:tab w:leader="none" w:pos="64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40" w:hanging="324"/>
        <w:spacing w:after="0" w:line="206" w:lineRule="auto"/>
        <w:tabs>
          <w:tab w:leader="none" w:pos="32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00" w:hanging="320"/>
        <w:spacing w:after="0" w:line="206" w:lineRule="auto"/>
        <w:tabs>
          <w:tab w:leader="none" w:pos="64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80" w:hanging="320"/>
        <w:spacing w:after="0" w:line="221" w:lineRule="auto"/>
        <w:tabs>
          <w:tab w:leader="none" w:pos="64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30861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ind w:left="124"/>
        <w:spacing w:after="0" w:line="193" w:lineRule="auto"/>
        <w:rPr>
          <w:sz w:val="20"/>
          <w:szCs w:val="20"/>
          <w:color w:val="auto"/>
        </w:rPr>
      </w:pPr>
      <w:r>
        <w:rPr>
          <w:rFonts w:ascii="Times New Roman" w:cs="Times New Roman" w:eastAsia="Times New Roman" w:hAnsi="Times New Roman"/>
          <w:sz w:val="19"/>
          <w:szCs w:val="19"/>
          <w:color w:val="auto"/>
        </w:rPr>
        <w:t>May 8, 2024</w:t>
      </w:r>
    </w:p>
    <w:p>
      <w:pPr>
        <w:sectPr>
          <w:pgSz w:w="11900" w:h="16838" w:orient="portrait"/>
          <w:cols w:equalWidth="0" w:num="1">
            <w:col w:w="9924"/>
          </w:cols>
          <w:pgMar w:left="976" w:top="76" w:right="99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56"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 13A-14(A) UNDER THE SECURITIES</w:t>
      </w:r>
    </w:p>
    <w:p>
      <w:pPr>
        <w:jc w:val="center"/>
        <w:ind w:right="9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Daniel J. Schuller, certify that:</w:t>
      </w:r>
    </w:p>
    <w:p>
      <w:pPr>
        <w:spacing w:after="0" w:line="170" w:lineRule="exact"/>
        <w:rPr>
          <w:sz w:val="20"/>
          <w:szCs w:val="20"/>
          <w:color w:val="auto"/>
        </w:rPr>
      </w:pPr>
    </w:p>
    <w:p>
      <w:pPr>
        <w:ind w:left="324" w:hanging="324"/>
        <w:spacing w:after="0"/>
        <w:tabs>
          <w:tab w:leader="none" w:pos="32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40" w:hanging="324"/>
        <w:spacing w:after="0" w:line="206" w:lineRule="auto"/>
        <w:tabs>
          <w:tab w:leader="none" w:pos="32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200" w:hanging="324"/>
        <w:spacing w:after="0" w:line="206" w:lineRule="auto"/>
        <w:tabs>
          <w:tab w:leader="none" w:pos="32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20" w:hanging="324"/>
        <w:spacing w:after="0" w:line="206" w:lineRule="auto"/>
        <w:tabs>
          <w:tab w:leader="none" w:pos="32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right="20" w:hanging="320"/>
        <w:spacing w:after="0" w:line="207" w:lineRule="auto"/>
        <w:tabs>
          <w:tab w:leader="none" w:pos="64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80" w:hanging="320"/>
        <w:spacing w:after="0" w:line="207" w:lineRule="auto"/>
        <w:tabs>
          <w:tab w:leader="none" w:pos="64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20" w:hanging="320"/>
        <w:spacing w:after="0" w:line="206" w:lineRule="auto"/>
        <w:tabs>
          <w:tab w:leader="none" w:pos="64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60" w:hanging="320"/>
        <w:spacing w:after="0" w:line="207" w:lineRule="auto"/>
        <w:tabs>
          <w:tab w:leader="none" w:pos="64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60" w:hanging="324"/>
        <w:spacing w:after="0" w:line="206" w:lineRule="auto"/>
        <w:tabs>
          <w:tab w:leader="none" w:pos="32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20" w:hanging="320"/>
        <w:spacing w:after="0" w:line="206" w:lineRule="auto"/>
        <w:tabs>
          <w:tab w:leader="none" w:pos="64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100" w:hanging="320"/>
        <w:spacing w:after="0" w:line="221" w:lineRule="auto"/>
        <w:tabs>
          <w:tab w:leader="none" w:pos="64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3089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4"/>
          </w:cols>
          <w:pgMar w:left="976" w:top="104" w:right="97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color w:val="auto"/>
        </w:rPr>
        <w:t>Exhibit 32.1</w:t>
      </w: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EXECUTIVE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jc w:val="both"/>
        <w:ind w:left="4" w:right="40"/>
        <w:spacing w:after="0" w:line="196" w:lineRule="auto"/>
        <w:rPr>
          <w:sz w:val="20"/>
          <w:szCs w:val="20"/>
          <w:color w:val="auto"/>
        </w:rPr>
      </w:pPr>
      <w:r>
        <w:rPr>
          <w:rFonts w:ascii="Times New Roman" w:cs="Times New Roman" w:eastAsia="Times New Roman" w:hAnsi="Times New Roman"/>
          <w:sz w:val="19"/>
          <w:szCs w:val="19"/>
          <w:color w:val="auto"/>
        </w:rPr>
        <w:t>In connection with the Quarterly Report on Form 10-Q for the period ended March 31, 2024 of Essential Utilities, Inc. (the “Company”) as filed with the Securities and Exchange Commission on the date hereof (the “Report”), I, Christopher H. Franklin, President and Chief Executive Officer of the Company, certify, pursuant to 18 U.S.C.</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Section 1350, as adopted pursuant to Section 906 of the Sarbanes-Oxley Act of 2002, that, to my knowledge:</w:t>
      </w:r>
    </w:p>
    <w:p>
      <w:pPr>
        <w:spacing w:after="0" w:line="250" w:lineRule="exact"/>
        <w:rPr>
          <w:sz w:val="20"/>
          <w:szCs w:val="20"/>
          <w:color w:val="auto"/>
        </w:rPr>
      </w:pPr>
    </w:p>
    <w:p>
      <w:pPr>
        <w:ind w:left="324" w:right="220" w:hanging="324"/>
        <w:spacing w:after="0" w:line="217" w:lineRule="auto"/>
        <w:tabs>
          <w:tab w:leader="none" w:pos="32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69" w:lineRule="exact"/>
        <w:rPr>
          <w:rFonts w:ascii="Times New Roman" w:cs="Times New Roman" w:eastAsia="Times New Roman" w:hAnsi="Times New Roman"/>
          <w:sz w:val="22"/>
          <w:szCs w:val="22"/>
          <w:color w:val="auto"/>
        </w:rPr>
      </w:pPr>
    </w:p>
    <w:p>
      <w:pPr>
        <w:ind w:left="324" w:right="320" w:hanging="324"/>
        <w:spacing w:after="0" w:line="210" w:lineRule="auto"/>
        <w:tabs>
          <w:tab w:leader="none" w:pos="32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29571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240030</wp:posOffset>
            </wp:positionV>
            <wp:extent cx="635190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84"/>
          </w:cols>
          <w:pgMar w:left="976" w:top="72" w:right="1039" w:bottom="1440" w:gutter="0" w:footer="0" w:header="0"/>
        </w:sectPr>
      </w:pPr>
    </w:p>
    <w:bookmarkStart w:id="68" w:name="page69"/>
    <w:bookmarkEnd w:id="68"/>
    <w:p>
      <w:pPr>
        <w:ind w:left="8824"/>
        <w:spacing w:after="0"/>
        <w:rPr>
          <w:sz w:val="20"/>
          <w:szCs w:val="20"/>
          <w:color w:val="auto"/>
        </w:rPr>
      </w:pPr>
      <w:r>
        <w:rPr>
          <w:rFonts w:ascii="Times New Roman" w:cs="Times New Roman" w:eastAsia="Times New Roman" w:hAnsi="Times New Roman"/>
          <w:sz w:val="21"/>
          <w:szCs w:val="21"/>
          <w:color w:val="auto"/>
        </w:rPr>
        <w:t>Exhibit 32.2</w:t>
      </w:r>
    </w:p>
    <w:p>
      <w:pPr>
        <w:spacing w:after="0" w:line="39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color w:val="auto"/>
        </w:rPr>
        <w:t>CERTIFICATION OF CHIEF FINANCIAL OFFICER PURSUANT TO</w:t>
      </w:r>
    </w:p>
    <w:p>
      <w:pPr>
        <w:jc w:val="center"/>
        <w:ind w:right="16"/>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ind w:left="4"/>
        <w:spacing w:after="0" w:line="188" w:lineRule="auto"/>
        <w:rPr>
          <w:sz w:val="20"/>
          <w:szCs w:val="20"/>
          <w:color w:val="auto"/>
        </w:rPr>
      </w:pPr>
      <w:r>
        <w:rPr>
          <w:rFonts w:ascii="Times New Roman" w:cs="Times New Roman" w:eastAsia="Times New Roman" w:hAnsi="Times New Roman"/>
          <w:sz w:val="22"/>
          <w:szCs w:val="22"/>
          <w:color w:val="auto"/>
        </w:rPr>
        <w:t>In connection with the Quarterly Report on Form 10-Q for the period ended March 31, 2024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47" w:lineRule="exact"/>
        <w:rPr>
          <w:sz w:val="20"/>
          <w:szCs w:val="20"/>
          <w:color w:val="auto"/>
        </w:rPr>
      </w:pPr>
    </w:p>
    <w:p>
      <w:pPr>
        <w:ind w:left="324" w:right="240" w:hanging="324"/>
        <w:spacing w:after="0" w:line="217" w:lineRule="auto"/>
        <w:tabs>
          <w:tab w:leader="none" w:pos="32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69" w:lineRule="exact"/>
        <w:rPr>
          <w:rFonts w:ascii="Times New Roman" w:cs="Times New Roman" w:eastAsia="Times New Roman" w:hAnsi="Times New Roman"/>
          <w:sz w:val="22"/>
          <w:szCs w:val="22"/>
          <w:color w:val="auto"/>
        </w:rPr>
      </w:pPr>
    </w:p>
    <w:p>
      <w:pPr>
        <w:ind w:left="324" w:right="340" w:hanging="324"/>
        <w:spacing w:after="0" w:line="210" w:lineRule="auto"/>
        <w:tabs>
          <w:tab w:leader="none" w:pos="32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4029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sectPr>
      <w:pgSz w:w="11900" w:h="16838" w:orient="portrait"/>
      <w:cols w:equalWidth="0" w:num="1">
        <w:col w:w="9904"/>
      </w:cols>
      <w:pgMar w:left="976" w:top="72"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lowerLetter"/>
      <w:start w:val="1"/>
    </w:lvl>
  </w:abstractNum>
  <w:abstractNum w:abstractNumId="2">
    <w:nsid w:val="3804823E"/>
    <w:multiLevelType w:val="hybridMultilevel"/>
    <w:lvl w:ilvl="0">
      <w:lvlJc w:val="left"/>
      <w:lvlText w:val=" "/>
      <w:numFmt w:val="bullet"/>
      <w:start w:val="1"/>
    </w:lvl>
  </w:abstractNum>
  <w:abstractNum w:abstractNumId="3">
    <w:nsid w:val="77465F01"/>
    <w:multiLevelType w:val="hybridMultilevel"/>
    <w:lvl w:ilvl="0">
      <w:lvlJc w:val="left"/>
      <w:lvlText w:val=" "/>
      <w:numFmt w:val="bullet"/>
      <w:start w:val="1"/>
    </w:lvl>
  </w:abstractNum>
  <w:abstractNum w:abstractNumId="4">
    <w:nsid w:val="7724C67E"/>
    <w:multiLevelType w:val="hybridMultilevel"/>
    <w:lvl w:ilvl="0">
      <w:lvlJc w:val="left"/>
      <w:lvlText w:val=" "/>
      <w:numFmt w:val="bullet"/>
      <w:start w:val="1"/>
    </w:lvl>
  </w:abstractNum>
  <w:abstractNum w:abstractNumId="5">
    <w:nsid w:val="5C482A97"/>
    <w:multiLevelType w:val="hybridMultilevel"/>
    <w:lvl w:ilvl="0">
      <w:lvlJc w:val="left"/>
      <w:lvlText w:val=" "/>
      <w:numFmt w:val="bullet"/>
      <w:start w:val="1"/>
    </w:lvl>
  </w:abstractNum>
  <w:abstractNum w:abstractNumId="6">
    <w:nsid w:val="2463B9EA"/>
    <w:multiLevelType w:val="hybridMultilevel"/>
    <w:lvl w:ilvl="0">
      <w:lvlJc w:val="left"/>
      <w:lvlText w:val=" "/>
      <w:numFmt w:val="bullet"/>
      <w:start w:val="1"/>
    </w:lvl>
  </w:abstractNum>
  <w:abstractNum w:abstractNumId="7">
    <w:nsid w:val="5E884ADC"/>
    <w:multiLevelType w:val="hybridMultilevel"/>
    <w:lvl w:ilvl="0">
      <w:lvlJc w:val="left"/>
      <w:lvlText w:val="(%1)"/>
      <w:numFmt w:val="lowerLetter"/>
      <w:start w:val="1"/>
    </w:lvl>
  </w:abstractNum>
  <w:abstractNum w:abstractNumId="8">
    <w:nsid w:val="51EAD36B"/>
    <w:multiLevelType w:val="hybridMultilevel"/>
    <w:lvl w:ilvl="0">
      <w:lvlJc w:val="left"/>
      <w:lvlText w:val="(%1)"/>
      <w:numFmt w:val="lowerLetter"/>
      <w:start w:val="2"/>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1."/>
      <w:numFmt w:val="decimal"/>
      <w:start w:val="2"/>
    </w:lvl>
  </w:abstractNum>
  <w:abstractNum w:abstractNumId="12">
    <w:nsid w:val="3855585C"/>
    <w:multiLevelType w:val="hybridMultilevel"/>
    <w:lvl w:ilvl="0">
      <w:lvlJc w:val="left"/>
      <w:lvlText w:val="%1."/>
      <w:numFmt w:val="decimal"/>
      <w:start w:val="3"/>
    </w:lvl>
  </w:abstractNum>
  <w:abstractNum w:abstractNumId="13">
    <w:nsid w:val="70A64E2A"/>
    <w:multiLevelType w:val="hybridMultilevel"/>
    <w:lvl w:ilvl="0">
      <w:lvlJc w:val="left"/>
      <w:lvlText w:val="%1."/>
      <w:numFmt w:val="decimal"/>
      <w:start w:val="4"/>
    </w:lvl>
    <w:lvl w:ilvl="1">
      <w:lvlJc w:val="left"/>
      <w:lvlText w:val="(%2)"/>
      <w:numFmt w:val="lowerLetter"/>
      <w:start w:val="1"/>
    </w:lvl>
  </w:abstractNum>
  <w:abstractNum w:abstractNumId="14">
    <w:nsid w:val="6A2342E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
    <w:nsid w:val="2A487CB0"/>
    <w:multiLevelType w:val="hybridMultilevel"/>
    <w:lvl w:ilvl="0">
      <w:lvlJc w:val="left"/>
      <w:lvlText w:val="%1."/>
      <w:numFmt w:val="decimal"/>
      <w:start w:val="6"/>
    </w:lvl>
    <w:lvl w:ilvl="1">
      <w:lvlJc w:val="left"/>
      <w:lvlText w:val="A"/>
      <w:numFmt w:val="bullet"/>
      <w:start w:val="1"/>
    </w:lvl>
  </w:abstractNum>
  <w:abstractNum w:abstractNumId="16">
    <w:nsid w:val="1D4ED43B"/>
    <w:multiLevelType w:val="hybridMultilevel"/>
    <w:lvl w:ilvl="0">
      <w:lvlJc w:val="left"/>
      <w:lvlText w:val="%1."/>
      <w:numFmt w:val="decimal"/>
      <w:start w:val="8"/>
    </w:lvl>
    <w:lvl w:ilvl="1">
      <w:lvlJc w:val="left"/>
      <w:lvlText w:val="(%2)"/>
      <w:numFmt w:val="lowerLetter"/>
      <w:start w:val="1"/>
    </w:lvl>
  </w:abstractNum>
  <w:abstractNum w:abstractNumId="17">
    <w:nsid w:val="725A06FB"/>
    <w:multiLevelType w:val="hybridMultilevel"/>
    <w:lvl w:ilvl="0">
      <w:lvlJc w:val="left"/>
      <w:lvlText w:val="%1."/>
      <w:numFmt w:val="decimal"/>
      <w:start w:val="10"/>
    </w:lvl>
  </w:abstractNum>
  <w:abstractNum w:abstractNumId="18">
    <w:nsid w:val="2CD89A32"/>
    <w:multiLevelType w:val="hybridMultilevel"/>
    <w:lvl w:ilvl="0">
      <w:lvlJc w:val="left"/>
      <w:lvlText w:val="%1."/>
      <w:numFmt w:val="decimal"/>
      <w:start w:val="11"/>
    </w:lvl>
  </w:abstractNum>
  <w:abstractNum w:abstractNumId="19">
    <w:nsid w:val="57E4CCAF"/>
    <w:multiLevelType w:val="hybridMultilevel"/>
    <w:lvl w:ilvl="0">
      <w:lvlJc w:val="left"/>
      <w:lvlText w:val="%1."/>
      <w:numFmt w:val="decimal"/>
      <w:start w:val="12"/>
    </w:lvl>
  </w:abstractNum>
  <w:abstractNum w:abstractNumId="20">
    <w:nsid w:val="7A6D8D3C"/>
    <w:multiLevelType w:val="hybridMultilevel"/>
    <w:lvl w:ilvl="0">
      <w:lvlJc w:val="left"/>
      <w:lvlText w:val="%1."/>
      <w:numFmt w:val="decimal"/>
      <w:start w:val="13"/>
    </w:lvl>
  </w:abstractNum>
  <w:abstractNum w:abstractNumId="21">
    <w:nsid w:val="4B588F54"/>
    <w:multiLevelType w:val="hybridMultilevel"/>
    <w:lvl w:ilvl="0">
      <w:lvlJc w:val="left"/>
      <w:lvlText w:val="%1."/>
      <w:numFmt w:val="decimal"/>
      <w:start w:val="14"/>
    </w:lvl>
  </w:abstractNum>
  <w:abstractNum w:abstractNumId="22">
    <w:nsid w:val="542289EC"/>
    <w:multiLevelType w:val="hybridMultilevel"/>
    <w:lvl w:ilvl="0">
      <w:lvlJc w:val="left"/>
      <w:lvlText w:val="%1."/>
      <w:numFmt w:val="decimal"/>
      <w:start w:val="15"/>
    </w:lvl>
  </w:abstractNum>
  <w:abstractNum w:abstractNumId="23">
    <w:nsid w:val="6DE91B18"/>
    <w:multiLevelType w:val="hybridMultilevel"/>
    <w:lvl w:ilvl="0">
      <w:lvlJc w:val="left"/>
      <w:lvlText w:val="%1."/>
      <w:numFmt w:val="decimal"/>
      <w:start w:val="16"/>
    </w:lvl>
  </w:abstractNum>
  <w:abstractNum w:abstractNumId="24">
    <w:nsid w:val="38437FDB"/>
    <w:multiLevelType w:val="hybridMultilevel"/>
    <w:lvl w:ilvl="0">
      <w:lvlJc w:val="left"/>
      <w:lvlText w:val="%1."/>
      <w:numFmt w:val="decimal"/>
      <w:start w:val="17"/>
    </w:lvl>
  </w:abstractNum>
  <w:abstractNum w:abstractNumId="25">
    <w:nsid w:val="7644A45C"/>
    <w:multiLevelType w:val="hybridMultilevel"/>
    <w:lvl w:ilvl="0">
      <w:lvlJc w:val="left"/>
      <w:lvlText w:val="%1."/>
      <w:numFmt w:val="decimal"/>
      <w:start w:val="18"/>
    </w:lvl>
  </w:abstractNum>
  <w:abstractNum w:abstractNumId="26">
    <w:nsid w:val="32FFF902"/>
    <w:multiLevelType w:val="hybridMultilevel"/>
    <w:lvl w:ilvl="0">
      <w:lvlJc w:val="left"/>
      <w:lvlText w:val="(%1)"/>
      <w:numFmt w:val="decimal"/>
      <w:start w:val="6"/>
    </w:lvl>
    <w:lvl w:ilvl="1">
      <w:lvlJc w:val="left"/>
      <w:lvlText w:val="*"/>
      <w:numFmt w:val="bullet"/>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decimal"/>
      <w:start w:val="2"/>
    </w:lvl>
  </w:abstractNum>
  <w:abstractNum w:abstractNumId="29">
    <w:nsid w:val="749ABB4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
    <w:nsid w:val="3DC240FB"/>
    <w:multiLevelType w:val="hybridMultilevel"/>
    <w:lvl w:ilvl="0">
      <w:lvlJc w:val="left"/>
      <w:lvlText w:val="(%1)"/>
      <w:numFmt w:val="lowerRoman"/>
      <w:start w:val="5"/>
    </w:lvl>
    <w:lvl w:ilvl="1">
      <w:lvlJc w:val="left"/>
      <w:lvlText w:val="(%2)"/>
      <w:numFmt w:val="decimal"/>
      <w:start w:val="1"/>
    </w:lvl>
  </w:abstractNum>
  <w:abstractNum w:abstractNumId="31">
    <w:nsid w:val="1BA026FA"/>
    <w:multiLevelType w:val="hybridMultilevel"/>
    <w:lvl w:ilvl="0">
      <w:lvlJc w:val="left"/>
      <w:lvlText w:val="%1."/>
      <w:numFmt w:val="decimal"/>
      <w:start w:val="4"/>
    </w:lvl>
    <w:lvl w:ilvl="1">
      <w:lvlJc w:val="left"/>
      <w:lvlText w:val="(%2)"/>
      <w:numFmt w:val="lowerLetter"/>
      <w:start w:val="1"/>
    </w:lvl>
  </w:abstractNum>
  <w:abstractNum w:abstractNumId="32">
    <w:nsid w:val="79A1DEAA"/>
    <w:multiLevelType w:val="hybridMultilevel"/>
    <w:lvl w:ilvl="0">
      <w:lvlJc w:val="left"/>
      <w:lvlText w:val="%1"/>
      <w:numFmt w:val="decimal"/>
      <w:start w:val="1"/>
    </w:lvl>
    <w:lvl w:ilvl="1">
      <w:lvlJc w:val="left"/>
      <w:lvlText w:val="(%2)"/>
      <w:numFmt w:val="lowerLetter"/>
      <w:start w:val="3"/>
    </w:lvl>
  </w:abstractNum>
  <w:abstractNum w:abstractNumId="33">
    <w:nsid w:val="75C6C33A"/>
    <w:multiLevelType w:val="hybridMultilevel"/>
    <w:lvl w:ilvl="0">
      <w:lvlJc w:val="left"/>
      <w:lvlText w:val="%1."/>
      <w:numFmt w:val="decimal"/>
      <w:start w:val="6"/>
    </w:lvl>
    <w:lvl w:ilvl="1">
      <w:lvlJc w:val="left"/>
      <w:lvlText w:val="%2"/>
      <w:numFmt w:val="lowerLetter"/>
      <w:start w:val="1"/>
    </w:lvl>
  </w:abstractNum>
  <w:abstractNum w:abstractNumId="34">
    <w:nsid w:val="12E685FB"/>
    <w:multiLevelType w:val="hybridMultilevel"/>
    <w:lvl w:ilvl="0">
      <w:lvlJc w:val="left"/>
      <w:lvlText w:val="%1."/>
      <w:numFmt w:val="decimal"/>
      <w:start w:val="7"/>
    </w:lvl>
  </w:abstractNum>
  <w:abstractNum w:abstractNumId="35">
    <w:nsid w:val="70C6A529"/>
    <w:multiLevelType w:val="hybridMultilevel"/>
    <w:lvl w:ilvl="0">
      <w:lvlJc w:val="left"/>
      <w:lvlText w:val="%1."/>
      <w:numFmt w:val="decimal"/>
      <w:start w:val="8"/>
    </w:lvl>
  </w:abstractNum>
  <w:abstractNum w:abstractNumId="36">
    <w:nsid w:val="520EEDD1"/>
    <w:multiLevelType w:val="hybridMultilevel"/>
    <w:lvl w:ilvl="0">
      <w:lvlJc w:val="left"/>
      <w:lvlText w:val="%1."/>
      <w:numFmt w:val="decimal"/>
      <w:start w:val="9"/>
    </w:lvl>
  </w:abstractNum>
  <w:abstractNum w:abstractNumId="37">
    <w:nsid w:val="374A3FE6"/>
    <w:multiLevelType w:val="hybridMultilevel"/>
    <w:lvl w:ilvl="0">
      <w:lvlJc w:val="left"/>
      <w:lvlText w:val="%1."/>
      <w:numFmt w:val="decimal"/>
      <w:start w:val="10"/>
    </w:lvl>
  </w:abstractNum>
  <w:abstractNum w:abstractNumId="38">
    <w:nsid w:val="4F4EF005"/>
    <w:multiLevelType w:val="hybridMultilevel"/>
    <w:lvl w:ilvl="0">
      <w:lvlJc w:val="left"/>
      <w:lvlText w:val="%1."/>
      <w:numFmt w:val="decimal"/>
      <w:start w:val="11"/>
    </w:lvl>
  </w:abstractNum>
  <w:abstractNum w:abstractNumId="39">
    <w:nsid w:val="23F9C13C"/>
    <w:multiLevelType w:val="hybridMultilevel"/>
    <w:lvl w:ilvl="0">
      <w:lvlJc w:val="left"/>
      <w:lvlText w:val="%1."/>
      <w:numFmt w:val="decimal"/>
      <w:start w:val="12"/>
    </w:lvl>
  </w:abstractNum>
  <w:abstractNum w:abstractNumId="40">
    <w:nsid w:val="649BB77C"/>
    <w:multiLevelType w:val="hybridMultilevel"/>
    <w:lvl w:ilvl="0">
      <w:lvlJc w:val="left"/>
      <w:lvlText w:val="%1."/>
      <w:numFmt w:val="decimal"/>
      <w:start w:val="13"/>
    </w:lvl>
  </w:abstractNum>
  <w:abstractNum w:abstractNumId="41">
    <w:nsid w:val="275AC794"/>
    <w:multiLevelType w:val="hybridMultilevel"/>
    <w:lvl w:ilvl="0">
      <w:lvlJc w:val="left"/>
      <w:lvlText w:val="%1."/>
      <w:numFmt w:val="decimal"/>
      <w:start w:val="14"/>
    </w:lvl>
  </w:abstractNum>
  <w:abstractNum w:abstractNumId="42">
    <w:nsid w:val="39386575"/>
    <w:multiLevelType w:val="hybridMultilevel"/>
    <w:lvl w:ilvl="0">
      <w:lvlJc w:val="left"/>
      <w:lvlText w:val="%1."/>
      <w:numFmt w:val="decimal"/>
      <w:start w:val="15"/>
    </w:lvl>
  </w:abstractNum>
  <w:abstractNum w:abstractNumId="43">
    <w:nsid w:val="1CF10FD8"/>
    <w:multiLevelType w:val="hybridMultilevel"/>
    <w:lvl w:ilvl="0">
      <w:lvlJc w:val="left"/>
      <w:lvlText w:val="%1."/>
      <w:numFmt w:val="decimal"/>
      <w:start w:val="16"/>
    </w:lvl>
  </w:abstractNum>
  <w:abstractNum w:abstractNumId="44">
    <w:nsid w:val="180115BE"/>
    <w:multiLevelType w:val="hybridMultilevel"/>
    <w:lvl w:ilvl="0">
      <w:lvlJc w:val="left"/>
      <w:lvlText w:val="%1."/>
      <w:numFmt w:val="decimal"/>
      <w:start w:val="1"/>
    </w:lvl>
  </w:abstractNum>
  <w:abstractNum w:abstractNumId="45">
    <w:nsid w:val="235BA861"/>
    <w:multiLevelType w:val="hybridMultilevel"/>
    <w:lvl w:ilvl="0">
      <w:lvlJc w:val="left"/>
      <w:lvlText w:val="%1."/>
      <w:numFmt w:val="decimal"/>
      <w:start w:val="2"/>
    </w:lvl>
  </w:abstractNum>
  <w:abstractNum w:abstractNumId="46">
    <w:nsid w:val="47398C89"/>
    <w:multiLevelType w:val="hybridMultilevel"/>
    <w:lvl w:ilvl="0">
      <w:lvlJc w:val="left"/>
      <w:lvlText w:val="(%1)"/>
      <w:numFmt w:val="lowerLetter"/>
      <w:start w:val="1"/>
    </w:lvl>
  </w:abstractNum>
  <w:abstractNum w:abstractNumId="47">
    <w:nsid w:val="354FE9F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8">
    <w:nsid w:val="15B5AF5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9">
    <w:nsid w:val="741226BB"/>
    <w:multiLevelType w:val="hybridMultilevel"/>
    <w:lvl w:ilvl="0">
      <w:lvlJc w:val="left"/>
      <w:lvlText w:val="(%1)"/>
      <w:numFmt w:val="lowerRoman"/>
      <w:start w:val="2"/>
    </w:lvl>
  </w:abstractNum>
  <w:abstractNum w:abstractNumId="50">
    <w:nsid w:val="D34B6A8"/>
    <w:multiLevelType w:val="hybridMultilevel"/>
    <w:lvl w:ilvl="0">
      <w:lvlJc w:val="left"/>
      <w:lvlText w:val="(%1)"/>
      <w:numFmt w:val="lowerLetter"/>
      <w:start w:val="2"/>
    </w:lvl>
    <w:lvl w:ilvl="1">
      <w:lvlJc w:val="left"/>
      <w:lvlText w:val="(%2)"/>
      <w:numFmt w:val="lowerRoman"/>
      <w:start w:val="1"/>
    </w:lvl>
  </w:abstractNum>
  <w:abstractNum w:abstractNumId="51">
    <w:nsid w:val="10233C99"/>
    <w:multiLevelType w:val="hybridMultilevel"/>
    <w:lvl w:ilvl="0">
      <w:lvlJc w:val="left"/>
      <w:lvlText w:val="(%1)"/>
      <w:numFmt w:val="lowerRoman"/>
      <w:start w:val="6"/>
    </w:lvl>
  </w:abstractNum>
  <w:abstractNum w:abstractNumId="52">
    <w:nsid w:val="3F6AB60F"/>
    <w:multiLevelType w:val="hybridMultilevel"/>
    <w:lvl w:ilvl="0">
      <w:lvlJc w:val="left"/>
      <w:lvlText w:val="(%1)"/>
      <w:numFmt w:val="decimal"/>
      <w:start w:val="90"/>
    </w:lvl>
  </w:abstractNum>
  <w:abstractNum w:abstractNumId="53">
    <w:nsid w:val="61574095"/>
    <w:multiLevelType w:val="hybridMultilevel"/>
    <w:lvl w:ilvl="0">
      <w:lvlJc w:val="left"/>
      <w:lvlText w:val="%1."/>
      <w:numFmt w:val="decimal"/>
      <w:start w:val="5"/>
    </w:lvl>
    <w:lvl w:ilvl="1">
      <w:lvlJc w:val="left"/>
      <w:lvlText w:val="(%2)"/>
      <w:numFmt w:val="lowerLetter"/>
      <w:start w:val="1"/>
    </w:lvl>
  </w:abstractNum>
  <w:abstractNum w:abstractNumId="54">
    <w:nsid w:val="7E0C57B1"/>
    <w:multiLevelType w:val="hybridMultilevel"/>
    <w:lvl w:ilvl="0">
      <w:lvlJc w:val="left"/>
      <w:lvlText w:val="%1."/>
      <w:numFmt w:val="decimal"/>
      <w:start w:val="6"/>
    </w:lvl>
    <w:lvl w:ilvl="1">
      <w:lvlJc w:val="left"/>
      <w:lvlText w:val="(%2)"/>
      <w:numFmt w:val="lowerLetter"/>
      <w:start w:val="1"/>
    </w:lvl>
  </w:abstractNum>
  <w:abstractNum w:abstractNumId="55">
    <w:nsid w:val="77AE35EB"/>
    <w:multiLevelType w:val="hybridMultilevel"/>
    <w:lvl w:ilvl="0">
      <w:lvlJc w:val="left"/>
      <w:lvlText w:val="%1."/>
      <w:numFmt w:val="decimal"/>
      <w:start w:val="8"/>
    </w:lvl>
  </w:abstractNum>
  <w:abstractNum w:abstractNumId="56">
    <w:nsid w:val="579BE4F1"/>
    <w:multiLevelType w:val="hybridMultilevel"/>
    <w:lvl w:ilvl="0">
      <w:lvlJc w:val="left"/>
      <w:lvlText w:val="%1."/>
      <w:numFmt w:val="decimal"/>
      <w:start w:val="9"/>
    </w:lvl>
  </w:abstractNum>
  <w:abstractNum w:abstractNumId="57">
    <w:nsid w:val="310C50B3"/>
    <w:multiLevelType w:val="hybridMultilevel"/>
    <w:lvl w:ilvl="0">
      <w:lvlJc w:val="left"/>
      <w:lvlText w:val="%1."/>
      <w:numFmt w:val="decimal"/>
      <w:start w:val="10"/>
    </w:lvl>
  </w:abstractNum>
  <w:abstractNum w:abstractNumId="58">
    <w:nsid w:val="5FF87E05"/>
    <w:multiLevelType w:val="hybridMultilevel"/>
    <w:lvl w:ilvl="0">
      <w:lvlJc w:val="left"/>
      <w:lvlText w:val="%1."/>
      <w:numFmt w:val="decimal"/>
      <w:start w:val="11"/>
    </w:lvl>
  </w:abstractNum>
  <w:abstractNum w:abstractNumId="59">
    <w:nsid w:val="2F305DEF"/>
    <w:multiLevelType w:val="hybridMultilevel"/>
    <w:lvl w:ilvl="0">
      <w:lvlJc w:val="left"/>
      <w:lvlText w:val="%1."/>
      <w:numFmt w:val="decimal"/>
      <w:start w:val="12"/>
    </w:lvl>
  </w:abstractNum>
  <w:abstractNum w:abstractNumId="60">
    <w:nsid w:val="25A70BF7"/>
    <w:multiLevelType w:val="hybridMultilevel"/>
    <w:lvl w:ilvl="0">
      <w:lvlJc w:val="left"/>
      <w:lvlText w:val="%1."/>
      <w:numFmt w:val="decimal"/>
      <w:start w:val="13"/>
    </w:lvl>
  </w:abstractNum>
  <w:abstractNum w:abstractNumId="61">
    <w:nsid w:val="1DBABF00"/>
    <w:multiLevelType w:val="hybridMultilevel"/>
    <w:lvl w:ilvl="0">
      <w:lvlJc w:val="left"/>
      <w:lvlText w:val="%1."/>
      <w:numFmt w:val="decimal"/>
      <w:start w:val="14"/>
    </w:lvl>
  </w:abstractNum>
  <w:abstractNum w:abstractNumId="62">
    <w:nsid w:val="4AD084E9"/>
    <w:multiLevelType w:val="hybridMultilevel"/>
    <w:lvl w:ilvl="0">
      <w:lvlJc w:val="left"/>
      <w:lvlText w:val="%1."/>
      <w:numFmt w:val="decimal"/>
      <w:start w:val="15"/>
    </w:lvl>
  </w:abstractNum>
  <w:abstractNum w:abstractNumId="63">
    <w:nsid w:val="1F48EAA1"/>
    <w:multiLevelType w:val="hybridMultilevel"/>
    <w:lvl w:ilvl="0">
      <w:lvlJc w:val="left"/>
      <w:lvlText w:val="%1."/>
      <w:numFmt w:val="decimal"/>
      <w:start w:val="16"/>
    </w:lvl>
  </w:abstractNum>
  <w:abstractNum w:abstractNumId="64">
    <w:nsid w:val="1381823A"/>
    <w:multiLevelType w:val="hybridMultilevel"/>
    <w:lvl w:ilvl="0">
      <w:lvlJc w:val="left"/>
      <w:lvlText w:val="(%1)"/>
      <w:numFmt w:val="decimal"/>
      <w:start w:val="6"/>
    </w:lvl>
  </w:abstractNum>
  <w:abstractNum w:abstractNumId="65">
    <w:nsid w:val="5DB70AE5"/>
    <w:multiLevelType w:val="hybridMultilevel"/>
    <w:lvl w:ilvl="0">
      <w:lvlJc w:val="left"/>
      <w:lvlText w:val="%1."/>
      <w:numFmt w:val="decimal"/>
      <w:start w:val="17"/>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2024-05-08T14:19:24Z</dcterms:created>
  <dcterms:modified xsi:type="dcterms:W3CDTF">2024-05-08T14:19:24Z</dcterms:modified>
</cp:coreProperties>
</file>